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header15.xml" ContentType="application/vnd.openxmlformats-officedocument.wordprocessingml.head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header17.xml" ContentType="application/vnd.openxmlformats-officedocument.wordprocessingml.header+xml"/>
  <Override PartName="/word/footer21.xml" ContentType="application/vnd.openxmlformats-officedocument.wordprocessingml.footer+xml"/>
  <Override PartName="/word/header18.xml" ContentType="application/vnd.openxmlformats-officedocument.wordprocessingml.header+xml"/>
  <Override PartName="/word/footer22.xml" ContentType="application/vnd.openxmlformats-officedocument.wordprocessingml.footer+xml"/>
  <Override PartName="/word/header19.xml" ContentType="application/vnd.openxmlformats-officedocument.wordprocessingml.header+xml"/>
  <Override PartName="/word/footer23.xml" ContentType="application/vnd.openxmlformats-officedocument.wordprocessingml.footer+xml"/>
  <Override PartName="/word/header20.xml" ContentType="application/vnd.openxmlformats-officedocument.wordprocessingml.header+xml"/>
  <Override PartName="/word/footer24.xml" ContentType="application/vnd.openxmlformats-officedocument.wordprocessingml.footer+xml"/>
  <Override PartName="/word/header21.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2.xml" ContentType="application/vnd.openxmlformats-officedocument.wordprocessingml.header+xml"/>
  <Override PartName="/word/footer27.xml" ContentType="application/vnd.openxmlformats-officedocument.wordprocessingml.footer+xml"/>
  <Override PartName="/word/header23.xml" ContentType="application/vnd.openxmlformats-officedocument.wordprocessingml.header+xml"/>
  <Override PartName="/word/footer28.xml" ContentType="application/vnd.openxmlformats-officedocument.wordprocessingml.footer+xml"/>
  <Override PartName="/word/header24.xml" ContentType="application/vnd.openxmlformats-officedocument.wordprocessingml.header+xml"/>
  <Override PartName="/word/footer29.xml" ContentType="application/vnd.openxmlformats-officedocument.wordprocessingml.footer+xml"/>
  <Override PartName="/word/header25.xml" ContentType="application/vnd.openxmlformats-officedocument.wordprocessingml.header+xml"/>
  <Override PartName="/word/footer30.xml" ContentType="application/vnd.openxmlformats-officedocument.wordprocessingml.footer+xml"/>
  <Override PartName="/word/header26.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27.xml" ContentType="application/vnd.openxmlformats-officedocument.wordprocessingml.header+xml"/>
  <Override PartName="/word/footer33.xml" ContentType="application/vnd.openxmlformats-officedocument.wordprocessingml.footer+xml"/>
  <Override PartName="/word/header28.xml" ContentType="application/vnd.openxmlformats-officedocument.wordprocessingml.header+xml"/>
  <Override PartName="/word/footer34.xml" ContentType="application/vnd.openxmlformats-officedocument.wordprocessingml.footer+xml"/>
  <Override PartName="/word/header29.xml" ContentType="application/vnd.openxmlformats-officedocument.wordprocessingml.header+xml"/>
  <Override PartName="/word/footer35.xml" ContentType="application/vnd.openxmlformats-officedocument.wordprocessingml.footer+xml"/>
  <Override PartName="/word/header30.xml" ContentType="application/vnd.openxmlformats-officedocument.wordprocessingml.header+xml"/>
  <Override PartName="/word/footer36.xml" ContentType="application/vnd.openxmlformats-officedocument.wordprocessingml.footer+xml"/>
  <Override PartName="/word/header31.xml" ContentType="application/vnd.openxmlformats-officedocument.wordprocessingml.header+xml"/>
  <Override PartName="/word/footer37.xml" ContentType="application/vnd.openxmlformats-officedocument.wordprocessingml.footer+xml"/>
  <Override PartName="/word/header32.xml" ContentType="application/vnd.openxmlformats-officedocument.wordprocessingml.header+xml"/>
  <Override PartName="/word/footer3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tabs>
          <w:tab w:pos="6612" w:val="left" w:leader="none"/>
        </w:tabs>
        <w:spacing w:line="240" w:lineRule="auto" w:before="5"/>
        <w:ind w:left="11" w:right="0"/>
        <w:jc w:val="center"/>
      </w:pPr>
      <w:r>
        <w:rPr>
          <w:spacing w:val="-1"/>
        </w:rPr>
        <w:t>公司代码：</w:t>
      </w:r>
      <w:r>
        <w:rPr>
          <w:rFonts w:ascii="Times New Roman" w:hAnsi="Times New Roman" w:cs="Times New Roman" w:eastAsia="Times New Roman" w:hint="default"/>
          <w:spacing w:val="-1"/>
        </w:rPr>
        <w:t>603636</w:t>
        <w:tab/>
      </w:r>
      <w:r>
        <w:rPr/>
        <w:t>公司简称：南威软件</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7"/>
          <w:szCs w:val="27"/>
        </w:rPr>
      </w:pPr>
    </w:p>
    <w:p>
      <w:pPr>
        <w:spacing w:line="625" w:lineRule="exact" w:before="0"/>
        <w:ind w:left="82" w:right="0" w:firstLine="0"/>
        <w:jc w:val="center"/>
        <w:rPr>
          <w:rFonts w:ascii="黑体" w:hAnsi="黑体" w:cs="黑体" w:eastAsia="黑体" w:hint="default"/>
          <w:sz w:val="48"/>
          <w:szCs w:val="48"/>
        </w:rPr>
      </w:pPr>
      <w:r>
        <w:rPr>
          <w:rFonts w:ascii="黑体" w:hAnsi="黑体" w:cs="黑体" w:eastAsia="黑体" w:hint="default"/>
          <w:sz w:val="48"/>
          <w:szCs w:val="48"/>
        </w:rPr>
        <w:t>南威软件股份有限公司</w:t>
      </w:r>
    </w:p>
    <w:p>
      <w:pPr>
        <w:spacing w:line="661" w:lineRule="exact" w:before="0"/>
        <w:ind w:left="82" w:right="0" w:firstLine="0"/>
        <w:jc w:val="center"/>
        <w:rPr>
          <w:rFonts w:ascii="黑体" w:hAnsi="黑体" w:cs="黑体" w:eastAsia="黑体" w:hint="default"/>
          <w:sz w:val="48"/>
          <w:szCs w:val="48"/>
        </w:rPr>
      </w:pPr>
      <w:r>
        <w:rPr>
          <w:rFonts w:ascii="Times New Roman" w:hAnsi="Times New Roman" w:cs="Times New Roman" w:eastAsia="Times New Roman" w:hint="default"/>
          <w:sz w:val="48"/>
          <w:szCs w:val="48"/>
        </w:rPr>
        <w:t>2018 </w:t>
      </w:r>
      <w:r>
        <w:rPr>
          <w:rFonts w:ascii="黑体" w:hAnsi="黑体" w:cs="黑体" w:eastAsia="黑体" w:hint="default"/>
          <w:sz w:val="48"/>
          <w:szCs w:val="48"/>
        </w:rPr>
        <w:t>年年度报告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20"/>
          <w:szCs w:val="20"/>
        </w:rPr>
      </w:pPr>
    </w:p>
    <w:p>
      <w:pPr>
        <w:spacing w:line="770" w:lineRule="exact"/>
        <w:ind w:left="1988" w:right="0" w:firstLine="0"/>
        <w:rPr>
          <w:rFonts w:ascii="黑体" w:hAnsi="黑体" w:cs="黑体" w:eastAsia="黑体" w:hint="default"/>
          <w:sz w:val="20"/>
          <w:szCs w:val="20"/>
        </w:rPr>
      </w:pPr>
      <w:r>
        <w:rPr>
          <w:rFonts w:ascii="黑体" w:hAnsi="黑体" w:cs="黑体" w:eastAsia="黑体" w:hint="default"/>
          <w:position w:val="-14"/>
          <w:sz w:val="20"/>
          <w:szCs w:val="20"/>
        </w:rPr>
        <w:drawing>
          <wp:inline distT="0" distB="0" distL="0" distR="0">
            <wp:extent cx="3209455" cy="48920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09455" cy="489203"/>
                    </a:xfrm>
                    <a:prstGeom prst="rect">
                      <a:avLst/>
                    </a:prstGeom>
                  </pic:spPr>
                </pic:pic>
              </a:graphicData>
            </a:graphic>
          </wp:inline>
        </w:drawing>
      </w:r>
      <w:r>
        <w:rPr>
          <w:rFonts w:ascii="黑体" w:hAnsi="黑体" w:cs="黑体" w:eastAsia="黑体" w:hint="default"/>
          <w:position w:val="-14"/>
          <w:sz w:val="20"/>
          <w:szCs w:val="20"/>
        </w:rPr>
      </w:r>
    </w:p>
    <w:p>
      <w:pPr>
        <w:spacing w:line="240" w:lineRule="auto" w:before="0"/>
        <w:rPr>
          <w:rFonts w:ascii="黑体" w:hAnsi="黑体" w:cs="黑体" w:eastAsia="黑体" w:hint="default"/>
          <w:sz w:val="50"/>
          <w:szCs w:val="50"/>
        </w:rPr>
      </w:pPr>
    </w:p>
    <w:p>
      <w:pPr>
        <w:spacing w:line="240" w:lineRule="auto" w:before="0"/>
        <w:rPr>
          <w:rFonts w:ascii="黑体" w:hAnsi="黑体" w:cs="黑体" w:eastAsia="黑体" w:hint="default"/>
          <w:sz w:val="50"/>
          <w:szCs w:val="50"/>
        </w:rPr>
      </w:pPr>
    </w:p>
    <w:p>
      <w:pPr>
        <w:spacing w:line="240" w:lineRule="auto" w:before="0"/>
        <w:rPr>
          <w:rFonts w:ascii="黑体" w:hAnsi="黑体" w:cs="黑体" w:eastAsia="黑体" w:hint="default"/>
          <w:sz w:val="50"/>
          <w:szCs w:val="50"/>
        </w:rPr>
      </w:pPr>
    </w:p>
    <w:p>
      <w:pPr>
        <w:spacing w:line="240" w:lineRule="auto" w:before="0"/>
        <w:rPr>
          <w:rFonts w:ascii="黑体" w:hAnsi="黑体" w:cs="黑体" w:eastAsia="黑体" w:hint="default"/>
          <w:sz w:val="50"/>
          <w:szCs w:val="50"/>
        </w:rPr>
      </w:pPr>
    </w:p>
    <w:p>
      <w:pPr>
        <w:spacing w:line="240" w:lineRule="auto" w:before="0"/>
        <w:rPr>
          <w:rFonts w:ascii="黑体" w:hAnsi="黑体" w:cs="黑体" w:eastAsia="黑体" w:hint="default"/>
          <w:sz w:val="50"/>
          <w:szCs w:val="50"/>
        </w:rPr>
      </w:pPr>
    </w:p>
    <w:p>
      <w:pPr>
        <w:spacing w:line="240" w:lineRule="auto" w:before="0"/>
        <w:rPr>
          <w:rFonts w:ascii="黑体" w:hAnsi="黑体" w:cs="黑体" w:eastAsia="黑体" w:hint="default"/>
          <w:sz w:val="50"/>
          <w:szCs w:val="50"/>
        </w:rPr>
      </w:pPr>
    </w:p>
    <w:p>
      <w:pPr>
        <w:spacing w:line="240" w:lineRule="auto" w:before="0"/>
        <w:rPr>
          <w:rFonts w:ascii="黑体" w:hAnsi="黑体" w:cs="黑体" w:eastAsia="黑体" w:hint="default"/>
          <w:sz w:val="50"/>
          <w:szCs w:val="50"/>
        </w:rPr>
      </w:pPr>
    </w:p>
    <w:p>
      <w:pPr>
        <w:spacing w:line="240" w:lineRule="auto" w:before="0"/>
        <w:rPr>
          <w:rFonts w:ascii="黑体" w:hAnsi="黑体" w:cs="黑体" w:eastAsia="黑体" w:hint="default"/>
          <w:sz w:val="50"/>
          <w:szCs w:val="50"/>
        </w:rPr>
      </w:pPr>
    </w:p>
    <w:p>
      <w:pPr>
        <w:spacing w:line="240" w:lineRule="auto" w:before="0"/>
        <w:rPr>
          <w:rFonts w:ascii="黑体" w:hAnsi="黑体" w:cs="黑体" w:eastAsia="黑体" w:hint="default"/>
          <w:sz w:val="50"/>
          <w:szCs w:val="50"/>
        </w:rPr>
      </w:pPr>
    </w:p>
    <w:p>
      <w:pPr>
        <w:spacing w:line="240" w:lineRule="auto" w:before="13"/>
        <w:rPr>
          <w:rFonts w:ascii="黑体" w:hAnsi="黑体" w:cs="黑体" w:eastAsia="黑体" w:hint="default"/>
          <w:sz w:val="34"/>
          <w:szCs w:val="34"/>
        </w:rPr>
      </w:pPr>
    </w:p>
    <w:p>
      <w:pPr>
        <w:spacing w:before="0"/>
        <w:ind w:left="85" w:right="0" w:firstLine="0"/>
        <w:jc w:val="center"/>
        <w:rPr>
          <w:rFonts w:ascii="黑体" w:hAnsi="黑体" w:cs="黑体" w:eastAsia="黑体" w:hint="default"/>
          <w:sz w:val="40"/>
          <w:szCs w:val="40"/>
        </w:rPr>
      </w:pPr>
      <w:r>
        <w:rPr>
          <w:rFonts w:ascii="Times New Roman" w:hAnsi="Times New Roman" w:cs="Times New Roman" w:eastAsia="Times New Roman" w:hint="default"/>
          <w:sz w:val="40"/>
          <w:szCs w:val="40"/>
        </w:rPr>
        <w:t>2019</w:t>
      </w:r>
      <w:r>
        <w:rPr>
          <w:rFonts w:ascii="Times New Roman" w:hAnsi="Times New Roman" w:cs="Times New Roman" w:eastAsia="Times New Roman" w:hint="default"/>
          <w:spacing w:val="-2"/>
          <w:sz w:val="40"/>
          <w:szCs w:val="40"/>
        </w:rPr>
        <w:t> </w:t>
      </w:r>
      <w:r>
        <w:rPr>
          <w:rFonts w:ascii="黑体" w:hAnsi="黑体" w:cs="黑体" w:eastAsia="黑体" w:hint="default"/>
          <w:sz w:val="40"/>
          <w:szCs w:val="40"/>
        </w:rPr>
        <w:t>年</w:t>
      </w:r>
      <w:r>
        <w:rPr>
          <w:rFonts w:ascii="黑体" w:hAnsi="黑体" w:cs="黑体" w:eastAsia="黑体" w:hint="default"/>
          <w:spacing w:val="-102"/>
          <w:sz w:val="40"/>
          <w:szCs w:val="40"/>
        </w:rPr>
        <w:t> </w:t>
      </w:r>
      <w:r>
        <w:rPr>
          <w:rFonts w:ascii="Times New Roman" w:hAnsi="Times New Roman" w:cs="Times New Roman" w:eastAsia="Times New Roman" w:hint="default"/>
          <w:sz w:val="40"/>
          <w:szCs w:val="40"/>
        </w:rPr>
        <w:t>4</w:t>
      </w:r>
      <w:r>
        <w:rPr>
          <w:rFonts w:ascii="Times New Roman" w:hAnsi="Times New Roman" w:cs="Times New Roman" w:eastAsia="Times New Roman" w:hint="default"/>
          <w:spacing w:val="2"/>
          <w:sz w:val="40"/>
          <w:szCs w:val="40"/>
        </w:rPr>
        <w:t> </w:t>
      </w:r>
      <w:r>
        <w:rPr>
          <w:rFonts w:ascii="黑体" w:hAnsi="黑体" w:cs="黑体" w:eastAsia="黑体" w:hint="default"/>
          <w:sz w:val="40"/>
          <w:szCs w:val="40"/>
        </w:rPr>
        <w:t>月</w:t>
      </w:r>
      <w:r>
        <w:rPr>
          <w:rFonts w:ascii="黑体" w:hAnsi="黑体" w:cs="黑体" w:eastAsia="黑体" w:hint="default"/>
          <w:spacing w:val="-102"/>
          <w:sz w:val="40"/>
          <w:szCs w:val="40"/>
        </w:rPr>
        <w:t> </w:t>
      </w:r>
      <w:r>
        <w:rPr>
          <w:rFonts w:ascii="Times New Roman" w:hAnsi="Times New Roman" w:cs="Times New Roman" w:eastAsia="Times New Roman" w:hint="default"/>
          <w:sz w:val="40"/>
          <w:szCs w:val="40"/>
        </w:rPr>
        <w:t>13</w:t>
      </w:r>
      <w:r>
        <w:rPr>
          <w:rFonts w:ascii="Times New Roman" w:hAnsi="Times New Roman" w:cs="Times New Roman" w:eastAsia="Times New Roman" w:hint="default"/>
          <w:spacing w:val="2"/>
          <w:sz w:val="40"/>
          <w:szCs w:val="40"/>
        </w:rPr>
        <w:t> </w:t>
      </w:r>
      <w:r>
        <w:rPr>
          <w:rFonts w:ascii="黑体" w:hAnsi="黑体" w:cs="黑体" w:eastAsia="黑体" w:hint="default"/>
          <w:sz w:val="40"/>
          <w:szCs w:val="40"/>
        </w:rPr>
        <w:t>日</w:t>
      </w:r>
    </w:p>
    <w:p>
      <w:pPr>
        <w:spacing w:after="0"/>
        <w:jc w:val="center"/>
        <w:rPr>
          <w:rFonts w:ascii="黑体" w:hAnsi="黑体" w:cs="黑体" w:eastAsia="黑体" w:hint="default"/>
          <w:sz w:val="40"/>
          <w:szCs w:val="40"/>
        </w:rPr>
        <w:sectPr>
          <w:type w:val="continuous"/>
          <w:pgSz w:w="11910" w:h="16840"/>
          <w:pgMar w:top="1580" w:bottom="280" w:left="1680" w:right="1240"/>
        </w:sectPr>
      </w:pPr>
    </w:p>
    <w:p>
      <w:pPr>
        <w:spacing w:line="240" w:lineRule="auto" w:before="10"/>
        <w:rPr>
          <w:rFonts w:ascii="黑体" w:hAnsi="黑体" w:cs="黑体" w:eastAsia="黑体" w:hint="default"/>
          <w:sz w:val="27"/>
          <w:szCs w:val="27"/>
        </w:rPr>
      </w:pPr>
    </w:p>
    <w:p>
      <w:pPr>
        <w:spacing w:line="537" w:lineRule="exact" w:before="0"/>
        <w:ind w:left="646" w:right="644" w:firstLine="0"/>
        <w:jc w:val="center"/>
        <w:rPr>
          <w:rFonts w:ascii="黑体" w:hAnsi="黑体" w:cs="黑体" w:eastAsia="黑体" w:hint="default"/>
          <w:sz w:val="44"/>
          <w:szCs w:val="44"/>
        </w:rPr>
      </w:pPr>
      <w:r>
        <w:rPr>
          <w:rFonts w:ascii="黑体" w:hAnsi="黑体" w:cs="黑体" w:eastAsia="黑体" w:hint="default"/>
          <w:b/>
          <w:bCs/>
          <w:color w:val="FF0000"/>
          <w:sz w:val="44"/>
          <w:szCs w:val="44"/>
        </w:rPr>
        <w:t>南威软件股份有限公司</w:t>
      </w:r>
      <w:r>
        <w:rPr>
          <w:rFonts w:ascii="黑体" w:hAnsi="黑体" w:cs="黑体" w:eastAsia="黑体" w:hint="default"/>
          <w:sz w:val="44"/>
          <w:szCs w:val="44"/>
        </w:rPr>
      </w:r>
    </w:p>
    <w:p>
      <w:pPr>
        <w:spacing w:line="607" w:lineRule="exact" w:before="0"/>
        <w:ind w:left="646" w:right="647" w:firstLine="0"/>
        <w:jc w:val="center"/>
        <w:rPr>
          <w:rFonts w:ascii="黑体" w:hAnsi="黑体" w:cs="黑体" w:eastAsia="黑体" w:hint="default"/>
          <w:sz w:val="44"/>
          <w:szCs w:val="44"/>
        </w:rPr>
      </w:pPr>
      <w:r>
        <w:rPr>
          <w:rFonts w:ascii="Times New Roman" w:hAnsi="Times New Roman" w:cs="Times New Roman" w:eastAsia="Times New Roman" w:hint="default"/>
          <w:b/>
          <w:bCs/>
          <w:color w:val="FF0000"/>
          <w:sz w:val="44"/>
          <w:szCs w:val="44"/>
        </w:rPr>
        <w:t>2018</w:t>
      </w:r>
      <w:r>
        <w:rPr>
          <w:rFonts w:ascii="Times New Roman" w:hAnsi="Times New Roman" w:cs="Times New Roman" w:eastAsia="Times New Roman" w:hint="default"/>
          <w:b/>
          <w:bCs/>
          <w:color w:val="FF0000"/>
          <w:spacing w:val="-8"/>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3"/>
        <w:rPr>
          <w:rFonts w:ascii="黑体" w:hAnsi="黑体" w:cs="黑体" w:eastAsia="黑体" w:hint="default"/>
          <w:b/>
          <w:bCs/>
          <w:sz w:val="44"/>
          <w:szCs w:val="44"/>
        </w:rPr>
      </w:pPr>
    </w:p>
    <w:p>
      <w:pPr>
        <w:spacing w:before="0"/>
        <w:ind w:left="646" w:right="646"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
        <w:rPr>
          <w:rFonts w:ascii="黑体" w:hAnsi="黑体" w:cs="黑体" w:eastAsia="黑体" w:hint="default"/>
          <w:b/>
          <w:bCs/>
          <w:sz w:val="22"/>
          <w:szCs w:val="22"/>
        </w:rPr>
      </w:pPr>
    </w:p>
    <w:p>
      <w:pPr>
        <w:pStyle w:val="Heading4"/>
        <w:spacing w:line="355" w:lineRule="auto" w:before="0"/>
        <w:ind w:left="558" w:right="0" w:hanging="420"/>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pStyle w:val="Heading4"/>
        <w:spacing w:line="240" w:lineRule="auto" w:before="35"/>
        <w:ind w:left="138" w:right="0"/>
        <w:jc w:val="left"/>
        <w:rPr>
          <w:b w:val="0"/>
          <w:bCs w:val="0"/>
        </w:rPr>
      </w:pPr>
      <w:r>
        <w:rPr/>
        <w:t>二、</w:t>
      </w:r>
      <w:r>
        <w:rPr>
          <w:spacing w:val="-80"/>
        </w:rPr>
        <w:t> </w:t>
      </w:r>
      <w:r>
        <w:rPr/>
        <w:t>公司全体董事出席董事会会议。</w:t>
      </w:r>
      <w:r>
        <w:rPr>
          <w:b w:val="0"/>
          <w:bCs w:val="0"/>
        </w:rPr>
      </w:r>
    </w:p>
    <w:p>
      <w:pPr>
        <w:pStyle w:val="Heading4"/>
        <w:spacing w:line="355" w:lineRule="auto" w:before="133"/>
        <w:ind w:left="138" w:right="0"/>
        <w:jc w:val="left"/>
        <w:rPr>
          <w:b w:val="0"/>
          <w:bCs w:val="0"/>
        </w:rPr>
      </w:pPr>
      <w:r>
        <w:rPr/>
        <w:t>三、</w:t>
      </w:r>
      <w:r>
        <w:rPr>
          <w:spacing w:val="-11"/>
        </w:rPr>
        <w:t> </w:t>
      </w:r>
      <w:r>
        <w:rPr/>
        <w:t>福建华兴会计师事务所（特殊普通合伙）为本公司出具了标准无保留意见的审计报告。</w:t>
      </w:r>
      <w:r>
        <w:rPr>
          <w:w w:val="100"/>
        </w:rPr>
        <w:t> </w:t>
      </w:r>
      <w:r>
        <w:rPr>
          <w:spacing w:val="-1"/>
        </w:rPr>
        <w:t>四、公司负责人吴志雄、主管会计工作负责人曾志勇及会计机构负责人（会计主管人员）曾志勇</w:t>
      </w:r>
      <w:r>
        <w:rPr>
          <w:b w:val="0"/>
          <w:bCs w:val="0"/>
          <w:spacing w:val="-1"/>
        </w:rPr>
      </w:r>
    </w:p>
    <w:p>
      <w:pPr>
        <w:pStyle w:val="Heading4"/>
        <w:spacing w:line="240" w:lineRule="auto" w:before="32"/>
        <w:ind w:left="558" w:right="0"/>
        <w:jc w:val="left"/>
        <w:rPr>
          <w:b w:val="0"/>
          <w:bCs w:val="0"/>
        </w:rPr>
      </w:pPr>
      <w:r>
        <w:rPr/>
        <w:t>声明：保证年度报告中财务报告的真实、准确、完整。</w:t>
      </w:r>
      <w:r>
        <w:rPr>
          <w:b w:val="0"/>
          <w:bCs w:val="0"/>
        </w:rPr>
      </w:r>
    </w:p>
    <w:p>
      <w:pPr>
        <w:pStyle w:val="Heading4"/>
        <w:spacing w:line="240" w:lineRule="auto" w:before="135"/>
        <w:ind w:left="138" w:right="0"/>
        <w:jc w:val="left"/>
        <w:rPr>
          <w:b w:val="0"/>
          <w:bCs w:val="0"/>
        </w:rPr>
      </w:pPr>
      <w:r>
        <w:rPr/>
        <w:t>五、</w:t>
      </w:r>
      <w:r>
        <w:rPr>
          <w:spacing w:val="-41"/>
        </w:rPr>
        <w:t> </w:t>
      </w:r>
      <w:r>
        <w:rPr/>
        <w:t>经董事会审议的报告期利润分配预案或公积金转增股本预案</w:t>
      </w:r>
      <w:r>
        <w:rPr>
          <w:b w:val="0"/>
          <w:bCs w:val="0"/>
        </w:rPr>
      </w:r>
    </w:p>
    <w:p>
      <w:pPr>
        <w:spacing w:line="240" w:lineRule="auto" w:before="1"/>
        <w:rPr>
          <w:rFonts w:ascii="宋体" w:hAnsi="宋体" w:cs="宋体" w:eastAsia="宋体" w:hint="default"/>
          <w:b/>
          <w:bCs/>
          <w:sz w:val="16"/>
          <w:szCs w:val="16"/>
        </w:rPr>
      </w:pPr>
    </w:p>
    <w:p>
      <w:pPr>
        <w:pStyle w:val="BodyText"/>
        <w:spacing w:line="240" w:lineRule="auto"/>
        <w:ind w:left="618" w:right="0"/>
        <w:jc w:val="left"/>
      </w:pPr>
      <w:r>
        <w:rPr/>
        <w:t>经福建华兴会计师事务所（特殊普通合伙）审计，公司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年度合并范围内归属上市公司</w:t>
      </w:r>
    </w:p>
    <w:p>
      <w:pPr>
        <w:pStyle w:val="BodyText"/>
        <w:spacing w:line="240" w:lineRule="auto" w:before="69"/>
        <w:ind w:left="138" w:right="0"/>
        <w:jc w:val="left"/>
      </w:pPr>
      <w:r>
        <w:rPr>
          <w:w w:val="100"/>
        </w:rPr>
        <w:t>股东</w:t>
      </w:r>
      <w:r>
        <w:rPr>
          <w:spacing w:val="-3"/>
          <w:w w:val="100"/>
        </w:rPr>
        <w:t>的</w:t>
      </w:r>
      <w:r>
        <w:rPr>
          <w:w w:val="100"/>
        </w:rPr>
        <w:t>净</w:t>
      </w:r>
      <w:r>
        <w:rPr>
          <w:spacing w:val="-3"/>
          <w:w w:val="100"/>
        </w:rPr>
        <w:t>利润</w:t>
      </w:r>
      <w:r>
        <w:rPr>
          <w:w w:val="100"/>
        </w:rPr>
        <w:t>为</w:t>
      </w:r>
      <w:r>
        <w:rPr>
          <w:spacing w:val="-53"/>
        </w:rPr>
        <w:t> </w:t>
      </w:r>
      <w:r>
        <w:rPr>
          <w:rFonts w:ascii="Times New Roman" w:hAnsi="Times New Roman" w:cs="Times New Roman" w:eastAsia="Times New Roman" w:hint="default"/>
          <w:w w:val="100"/>
        </w:rPr>
        <w:t>172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523</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15.83</w:t>
      </w:r>
      <w:r>
        <w:rPr>
          <w:rFonts w:ascii="Times New Roman" w:hAnsi="Times New Roman" w:cs="Times New Roman" w:eastAsia="Times New Roman" w:hint="default"/>
          <w:spacing w:val="-2"/>
        </w:rPr>
        <w:t> </w:t>
      </w:r>
      <w:r>
        <w:rPr>
          <w:spacing w:val="-3"/>
          <w:w w:val="100"/>
        </w:rPr>
        <w:t>元</w:t>
      </w:r>
      <w:r>
        <w:rPr>
          <w:spacing w:val="-94"/>
          <w:w w:val="100"/>
        </w:rPr>
        <w:t>，</w:t>
      </w:r>
      <w:r>
        <w:rPr>
          <w:spacing w:val="-3"/>
          <w:w w:val="100"/>
        </w:rPr>
        <w:t>母</w:t>
      </w:r>
      <w:r>
        <w:rPr>
          <w:w w:val="100"/>
        </w:rPr>
        <w:t>公</w:t>
      </w:r>
      <w:r>
        <w:rPr>
          <w:spacing w:val="-3"/>
          <w:w w:val="100"/>
        </w:rPr>
        <w:t>司</w:t>
      </w:r>
      <w:r>
        <w:rPr>
          <w:w w:val="100"/>
        </w:rPr>
        <w:t>净</w:t>
      </w:r>
      <w:r>
        <w:rPr>
          <w:spacing w:val="-3"/>
          <w:w w:val="100"/>
        </w:rPr>
        <w:t>利</w:t>
      </w:r>
      <w:r>
        <w:rPr>
          <w:w w:val="100"/>
        </w:rPr>
        <w:t>润为</w:t>
      </w:r>
      <w:r>
        <w:rPr>
          <w:spacing w:val="-55"/>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16,</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66,8</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4.27</w:t>
      </w:r>
      <w:r>
        <w:rPr>
          <w:rFonts w:ascii="Times New Roman" w:hAnsi="Times New Roman" w:cs="Times New Roman" w:eastAsia="Times New Roman" w:hint="default"/>
          <w:spacing w:val="-3"/>
        </w:rPr>
        <w:t> </w:t>
      </w:r>
      <w:r>
        <w:rPr>
          <w:spacing w:val="-3"/>
          <w:w w:val="100"/>
        </w:rPr>
        <w:t>元</w:t>
      </w:r>
      <w:r>
        <w:rPr>
          <w:spacing w:val="-94"/>
          <w:w w:val="100"/>
        </w:rPr>
        <w:t>。</w:t>
      </w:r>
      <w:r>
        <w:rPr>
          <w:spacing w:val="-3"/>
          <w:w w:val="100"/>
        </w:rPr>
        <w:t>截</w:t>
      </w:r>
      <w:r>
        <w:rPr>
          <w:w w:val="100"/>
        </w:rPr>
        <w:t>至</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3"/>
        </w:rPr>
        <w:t> </w:t>
      </w:r>
      <w:r>
        <w:rPr>
          <w:w w:val="100"/>
        </w:rPr>
        <w:t>日，</w:t>
      </w:r>
    </w:p>
    <w:p>
      <w:pPr>
        <w:pStyle w:val="BodyText"/>
        <w:spacing w:line="240" w:lineRule="auto" w:before="69"/>
        <w:ind w:left="138" w:right="0"/>
        <w:jc w:val="left"/>
      </w:pPr>
      <w:r>
        <w:rPr/>
        <w:t>母公司可供分配利润为</w:t>
      </w:r>
      <w:r>
        <w:rPr>
          <w:spacing w:val="-47"/>
        </w:rPr>
        <w:t> </w:t>
      </w:r>
      <w:r>
        <w:rPr>
          <w:rFonts w:ascii="Times New Roman" w:hAnsi="Times New Roman" w:cs="Times New Roman" w:eastAsia="Times New Roman" w:hint="default"/>
        </w:rPr>
        <w:t>418,042,293.70</w:t>
      </w:r>
      <w:r>
        <w:rPr>
          <w:rFonts w:ascii="Times New Roman" w:hAnsi="Times New Roman" w:cs="Times New Roman" w:eastAsia="Times New Roman" w:hint="default"/>
          <w:spacing w:val="5"/>
        </w:rPr>
        <w:t> </w:t>
      </w:r>
      <w:r>
        <w:rPr>
          <w:spacing w:val="-6"/>
        </w:rPr>
        <w:t>元，母公司的资本公积金为</w:t>
      </w:r>
      <w:r>
        <w:rPr>
          <w:spacing w:val="-48"/>
        </w:rPr>
        <w:t> </w:t>
      </w:r>
      <w:r>
        <w:rPr>
          <w:rFonts w:ascii="Times New Roman" w:hAnsi="Times New Roman" w:cs="Times New Roman" w:eastAsia="Times New Roman" w:hint="default"/>
        </w:rPr>
        <w:t>712,443,564.32</w:t>
      </w:r>
      <w:r>
        <w:rPr>
          <w:rFonts w:ascii="Times New Roman" w:hAnsi="Times New Roman" w:cs="Times New Roman" w:eastAsia="Times New Roman" w:hint="default"/>
          <w:spacing w:val="5"/>
        </w:rPr>
        <w:t> </w:t>
      </w:r>
      <w:r>
        <w:rPr>
          <w:spacing w:val="-8"/>
        </w:rPr>
        <w:t>元。根据公司利</w:t>
      </w:r>
    </w:p>
    <w:p>
      <w:pPr>
        <w:pStyle w:val="BodyText"/>
        <w:spacing w:line="240" w:lineRule="auto" w:before="69"/>
        <w:ind w:left="138" w:right="0"/>
        <w:jc w:val="left"/>
      </w:pPr>
      <w:r>
        <w:rPr/>
        <w:t>润实现情况和回报股东需要，</w:t>
      </w:r>
      <w:r>
        <w:rPr>
          <w:rFonts w:ascii="Times New Roman" w:hAnsi="Times New Roman" w:cs="Times New Roman" w:eastAsia="Times New Roman" w:hint="default"/>
        </w:rPr>
        <w:t>2018  </w:t>
      </w:r>
      <w:r>
        <w:rPr/>
        <w:t>年度利润分配方案拟以截止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6"/>
        </w:rPr>
        <w:t> </w:t>
      </w:r>
      <w:r>
        <w:rPr/>
        <w:t>日的总股本</w:t>
      </w:r>
    </w:p>
    <w:p>
      <w:pPr>
        <w:pStyle w:val="BodyText"/>
        <w:spacing w:line="297" w:lineRule="auto" w:before="69"/>
        <w:ind w:left="138" w:right="0"/>
        <w:jc w:val="left"/>
      </w:pPr>
      <w:r>
        <w:rPr>
          <w:rFonts w:ascii="Times New Roman" w:hAnsi="Times New Roman" w:cs="Times New Roman" w:eastAsia="Times New Roman" w:hint="default"/>
          <w:spacing w:val="-1"/>
          <w:w w:val="100"/>
        </w:rPr>
        <w:t>526,684,472</w:t>
      </w:r>
      <w:r>
        <w:rPr>
          <w:rFonts w:ascii="Times New Roman" w:hAnsi="Times New Roman" w:cs="Times New Roman" w:eastAsia="Times New Roman" w:hint="default"/>
          <w:spacing w:val="4"/>
          <w:w w:val="100"/>
        </w:rPr>
        <w:t> </w:t>
      </w:r>
      <w:r>
        <w:rPr>
          <w:spacing w:val="-4"/>
          <w:w w:val="100"/>
        </w:rPr>
        <w:t>股为基数，向全体股东每</w:t>
      </w:r>
      <w:r>
        <w:rPr>
          <w:spacing w:val="-48"/>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
          <w:w w:val="100"/>
        </w:rPr>
        <w:t> </w:t>
      </w:r>
      <w:r>
        <w:rPr>
          <w:spacing w:val="-2"/>
          <w:w w:val="100"/>
        </w:rPr>
        <w:t>股派发现金股利</w:t>
      </w:r>
      <w:r>
        <w:rPr>
          <w:spacing w:val="-49"/>
          <w:w w:val="100"/>
        </w:rPr>
        <w:t> </w:t>
      </w:r>
      <w:r>
        <w:rPr>
          <w:rFonts w:ascii="Times New Roman" w:hAnsi="Times New Roman" w:cs="Times New Roman" w:eastAsia="Times New Roman" w:hint="default"/>
          <w:spacing w:val="-1"/>
          <w:w w:val="100"/>
        </w:rPr>
        <w:t>1.20</w:t>
      </w:r>
      <w:r>
        <w:rPr>
          <w:rFonts w:ascii="Times New Roman" w:hAnsi="Times New Roman" w:cs="Times New Roman" w:eastAsia="Times New Roman" w:hint="default"/>
          <w:spacing w:val="1"/>
          <w:w w:val="100"/>
        </w:rPr>
        <w:t> </w:t>
      </w:r>
      <w:r>
        <w:rPr>
          <w:spacing w:val="-13"/>
          <w:w w:val="100"/>
        </w:rPr>
        <w:t>元（含税），不送红股，也不实施资</w:t>
      </w:r>
      <w:r>
        <w:rPr>
          <w:spacing w:val="-104"/>
          <w:w w:val="100"/>
        </w:rPr>
        <w:t> </w:t>
      </w:r>
      <w:r>
        <w:rPr>
          <w:spacing w:val="-104"/>
          <w:w w:val="100"/>
        </w:rPr>
      </w:r>
      <w:r>
        <w:rPr/>
        <w:t>本公积金转增股本。本次分配方案须经股东大会审议通过后实施。</w:t>
      </w:r>
    </w:p>
    <w:p>
      <w:pPr>
        <w:pStyle w:val="Heading4"/>
        <w:spacing w:line="233" w:lineRule="exact" w:before="0"/>
        <w:ind w:left="138" w:right="0"/>
        <w:jc w:val="left"/>
        <w:rPr>
          <w:b w:val="0"/>
          <w:bCs w:val="0"/>
        </w:rPr>
      </w:pPr>
      <w:r>
        <w:rPr/>
        <w:t>六、</w:t>
      </w:r>
      <w:r>
        <w:rPr>
          <w:spacing w:val="-24"/>
        </w:rPr>
        <w:t> </w:t>
      </w:r>
      <w:r>
        <w:rPr/>
        <w:t>前瞻性陈述的风险声明</w:t>
      </w:r>
      <w:r>
        <w:rPr>
          <w:b w:val="0"/>
          <w:bCs w:val="0"/>
        </w:rPr>
      </w:r>
    </w:p>
    <w:p>
      <w:pPr>
        <w:pStyle w:val="BodyText"/>
        <w:tabs>
          <w:tab w:pos="1460" w:val="left" w:leader="none"/>
        </w:tabs>
        <w:spacing w:line="304" w:lineRule="auto" w:before="133"/>
        <w:ind w:left="618" w:right="142"/>
        <w:jc w:val="left"/>
      </w:pPr>
      <w:r>
        <w:rPr/>
        <w:t>√适用</w:t>
        <w:tab/>
        <w:t>□不适用</w:t>
      </w:r>
      <w:r>
        <w:rPr>
          <w:w w:val="100"/>
        </w:rPr>
        <w:t> </w:t>
      </w:r>
      <w:r>
        <w:rPr>
          <w:spacing w:val="-3"/>
        </w:rPr>
        <w:t>本报告中如有涉及未来计划、发展战略等前瞻性描述不构成公司对投资者的承诺，敬请投资</w:t>
      </w:r>
    </w:p>
    <w:p>
      <w:pPr>
        <w:pStyle w:val="BodyText"/>
        <w:spacing w:line="240" w:lineRule="auto" w:before="28"/>
        <w:ind w:left="138" w:right="0"/>
        <w:jc w:val="left"/>
      </w:pPr>
      <w:r>
        <w:rPr/>
        <w:t>者注意投资风险。</w:t>
      </w:r>
    </w:p>
    <w:p>
      <w:pPr>
        <w:pStyle w:val="Heading4"/>
        <w:spacing w:line="240" w:lineRule="auto" w:before="8"/>
        <w:ind w:left="138" w:right="0"/>
        <w:jc w:val="left"/>
        <w:rPr>
          <w:b w:val="0"/>
          <w:bCs w:val="0"/>
        </w:rPr>
      </w:pPr>
      <w:r>
        <w:rPr/>
        <w:t>七、是否存在被控股股东及其关联方非经营性占用资金情况</w:t>
      </w:r>
      <w:r>
        <w:rPr>
          <w:b w:val="0"/>
          <w:bCs w:val="0"/>
        </w:rPr>
      </w:r>
    </w:p>
    <w:p>
      <w:pPr>
        <w:pStyle w:val="Heading3"/>
        <w:spacing w:line="240" w:lineRule="auto" w:before="177"/>
        <w:ind w:right="0"/>
        <w:jc w:val="left"/>
      </w:pPr>
      <w:r>
        <w:rPr/>
        <w:t>否</w:t>
      </w:r>
    </w:p>
    <w:p>
      <w:pPr>
        <w:pStyle w:val="Heading4"/>
        <w:tabs>
          <w:tab w:pos="781" w:val="left" w:leader="none"/>
        </w:tabs>
        <w:spacing w:line="240" w:lineRule="auto" w:before="4"/>
        <w:ind w:left="138" w:right="0"/>
        <w:jc w:val="left"/>
        <w:rPr>
          <w:b w:val="0"/>
          <w:bCs w:val="0"/>
        </w:rPr>
      </w:pPr>
      <w:r>
        <w:rPr/>
        <w:t>八、</w:t>
        <w:tab/>
        <w:t>是否存在违反规定决策程序对外提供担保的情况？</w:t>
      </w:r>
      <w:r>
        <w:rPr>
          <w:b w:val="0"/>
          <w:bCs w:val="0"/>
        </w:rPr>
      </w:r>
    </w:p>
    <w:p>
      <w:pPr>
        <w:pStyle w:val="Heading3"/>
        <w:spacing w:line="240" w:lineRule="auto" w:before="127"/>
        <w:ind w:right="0"/>
        <w:jc w:val="left"/>
      </w:pPr>
      <w:r>
        <w:rPr/>
        <w:t>否</w:t>
      </w:r>
    </w:p>
    <w:p>
      <w:pPr>
        <w:pStyle w:val="Heading4"/>
        <w:tabs>
          <w:tab w:pos="781" w:val="left" w:leader="none"/>
        </w:tabs>
        <w:spacing w:line="240" w:lineRule="auto" w:before="4"/>
        <w:ind w:left="138" w:right="0"/>
        <w:jc w:val="left"/>
        <w:rPr>
          <w:b w:val="0"/>
          <w:bCs w:val="0"/>
        </w:rPr>
      </w:pPr>
      <w:r>
        <w:rPr/>
        <w:t>九、</w:t>
        <w:tab/>
        <w:t>重大风险提示</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left="138" w:right="0" w:firstLine="479"/>
        <w:jc w:val="left"/>
      </w:pPr>
      <w:r>
        <w:rPr>
          <w:spacing w:val="-3"/>
        </w:rPr>
        <w:t>公司已在本报告中详细描述存在的风险，敬请查阅“第四节经营情况讨论与分析”中关于公</w:t>
      </w:r>
      <w:r>
        <w:rPr>
          <w:w w:val="100"/>
        </w:rPr>
        <w:t> </w:t>
      </w:r>
      <w:r>
        <w:rPr/>
        <w:t>司未来发展的讨论与分析中可能面对的风险因素的内容。</w:t>
      </w:r>
    </w:p>
    <w:p>
      <w:pPr>
        <w:spacing w:line="251"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left="618" w:right="0"/>
        <w:jc w:val="left"/>
      </w:pPr>
      <w:r>
        <w:rPr/>
        <w:t>□适用 √不适用</w:t>
      </w:r>
    </w:p>
    <w:p>
      <w:pPr>
        <w:spacing w:after="0" w:line="240" w:lineRule="auto"/>
        <w:jc w:val="left"/>
        <w:sectPr>
          <w:headerReference w:type="default" r:id="rId6"/>
          <w:footerReference w:type="default" r:id="rId7"/>
          <w:pgSz w:w="11910" w:h="16840"/>
          <w:pgMar w:header="855" w:footer="979" w:top="1120" w:bottom="1160" w:left="1660" w:right="1140"/>
          <w:pgNumType w:start="2"/>
        </w:sectPr>
      </w:pPr>
    </w:p>
    <w:p>
      <w:pPr>
        <w:spacing w:line="240" w:lineRule="auto" w:before="3"/>
        <w:rPr>
          <w:rFonts w:ascii="宋体" w:hAnsi="宋体" w:cs="宋体" w:eastAsia="宋体" w:hint="default"/>
          <w:sz w:val="26"/>
          <w:szCs w:val="26"/>
        </w:rPr>
      </w:pPr>
    </w:p>
    <w:p>
      <w:pPr>
        <w:tabs>
          <w:tab w:pos="1292" w:val="left" w:leader="none"/>
        </w:tabs>
        <w:spacing w:before="0"/>
        <w:ind w:left="646" w:right="0"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961" w:val="right" w:leader="dot"/>
            </w:tabs>
            <w:spacing w:line="240" w:lineRule="auto" w:before="426"/>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w w:val="95"/>
              </w:rPr>
              <w:t>第一节</w:t>
              <w:tab/>
            </w:r>
            <w:r>
              <w:rPr/>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5"/>
            <w:ind w:right="0"/>
            <w:jc w:val="left"/>
            <w:rPr>
              <w:rFonts w:ascii="Times New Roman" w:hAnsi="Times New Roman" w:cs="Times New Roman" w:eastAsia="Times New Roman" w:hint="default"/>
              <w:b w:val="0"/>
              <w:bCs w:val="0"/>
            </w:rPr>
          </w:pPr>
          <w:hyperlink w:history="true" w:anchor="_TOC_250010">
            <w:r>
              <w:rPr>
                <w:w w:val="95"/>
              </w:rPr>
              <w:t>第二节</w:t>
              <w:tab/>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w w:val="95"/>
              </w:rPr>
              <w:t>第三节</w:t>
              <w:tab/>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5"/>
            <w:ind w:right="0"/>
            <w:jc w:val="left"/>
            <w:rPr>
              <w:rFonts w:ascii="Times New Roman" w:hAnsi="Times New Roman" w:cs="Times New Roman" w:eastAsia="Times New Roman" w:hint="default"/>
              <w:b w:val="0"/>
              <w:bCs w:val="0"/>
            </w:rPr>
          </w:pPr>
          <w:hyperlink w:history="true" w:anchor="_TOC_250008">
            <w:r>
              <w:rPr>
                <w:w w:val="95"/>
              </w:rPr>
              <w:t>第四节</w:t>
              <w:tab/>
            </w:r>
            <w:r>
              <w:rPr/>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w w:val="95"/>
              </w:rPr>
              <w:t>第五节</w:t>
              <w:tab/>
            </w:r>
            <w:r>
              <w:rPr/>
              <w:t>重要事项</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6"/>
            <w:ind w:right="0"/>
            <w:jc w:val="left"/>
            <w:rPr>
              <w:rFonts w:ascii="Times New Roman" w:hAnsi="Times New Roman" w:cs="Times New Roman" w:eastAsia="Times New Roman" w:hint="default"/>
              <w:b w:val="0"/>
              <w:bCs w:val="0"/>
            </w:rPr>
          </w:pPr>
          <w:hyperlink w:history="true" w:anchor="_TOC_250006">
            <w:r>
              <w:rPr>
                <w:w w:val="95"/>
              </w:rPr>
              <w:t>第六节</w:t>
              <w:tab/>
            </w:r>
            <w:r>
              <w:rPr/>
              <w:t>普通股股份变动及股东情况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w w:val="95"/>
              </w:rPr>
              <w:t>第七节</w:t>
              <w:tab/>
            </w:r>
            <w:r>
              <w:rPr/>
              <w:t>优先股相关情况</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5"/>
            <w:ind w:right="0"/>
            <w:jc w:val="left"/>
            <w:rPr>
              <w:rFonts w:ascii="Times New Roman" w:hAnsi="Times New Roman" w:cs="Times New Roman" w:eastAsia="Times New Roman" w:hint="default"/>
              <w:b w:val="0"/>
              <w:bCs w:val="0"/>
            </w:rPr>
          </w:pPr>
          <w:hyperlink w:history="true" w:anchor="_TOC_250004">
            <w:r>
              <w:rPr>
                <w:w w:val="95"/>
              </w:rPr>
              <w:t>第八节</w:t>
              <w:tab/>
            </w:r>
            <w:r>
              <w:rPr/>
              <w:t>董事、监事、高级管理人员和员工情况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5"/>
            <w:ind w:right="0"/>
            <w:jc w:val="left"/>
            <w:rPr>
              <w:rFonts w:ascii="Times New Roman" w:hAnsi="Times New Roman" w:cs="Times New Roman" w:eastAsia="Times New Roman" w:hint="default"/>
              <w:b w:val="0"/>
              <w:bCs w:val="0"/>
            </w:rPr>
          </w:pPr>
          <w:hyperlink w:history="true" w:anchor="_TOC_250003">
            <w:r>
              <w:rPr>
                <w:w w:val="95"/>
              </w:rPr>
              <w:t>第九节</w:t>
              <w:tab/>
            </w:r>
            <w:r>
              <w:rPr/>
              <w:t>公司治理</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w w:val="95"/>
              </w:rPr>
              <w:t>第十节</w:t>
              <w:tab/>
            </w:r>
            <w:r>
              <w:rPr/>
              <w:t>公司债券相关情况</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5"/>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238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55" w:footer="979" w:top="1120" w:bottom="1160" w:left="1660" w:right="1140"/>
        </w:sectPr>
      </w:pPr>
    </w:p>
    <w:p>
      <w:pPr>
        <w:pStyle w:val="Heading1"/>
        <w:tabs>
          <w:tab w:pos="1341" w:val="left" w:leader="none"/>
        </w:tabs>
        <w:spacing w:line="240" w:lineRule="auto" w:before="856"/>
        <w:ind w:left="80" w:right="0"/>
        <w:jc w:val="center"/>
        <w:rPr>
          <w:b w:val="0"/>
          <w:bCs w:val="0"/>
        </w:rPr>
      </w:pPr>
      <w:bookmarkStart w:name="_TOC_250011" w:id="1"/>
      <w:r>
        <w:rPr>
          <w:w w:val="95"/>
        </w:rPr>
        <w:t>第一节</w:t>
        <w:tab/>
      </w:r>
      <w:r>
        <w:rPr/>
        <w:t>释义</w:t>
      </w:r>
      <w:bookmarkEnd w:id="1"/>
      <w:r>
        <w:rPr>
          <w:b w:val="0"/>
          <w:bCs w:val="0"/>
        </w:rPr>
      </w:r>
    </w:p>
    <w:p>
      <w:pPr>
        <w:pStyle w:val="BodyText"/>
        <w:spacing w:line="324" w:lineRule="auto" w:before="219"/>
        <w:ind w:right="2631"/>
        <w:jc w:val="left"/>
      </w:pPr>
      <w:r>
        <w:rPr/>
        <w:pict>
          <v:shape style="position:absolute;margin-left:84.264pt;margin-top:45.773682pt;width:441.95pt;height:477.1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5"/>
                    <w:gridCol w:w="850"/>
                    <w:gridCol w:w="6419"/>
                  </w:tblGrid>
                  <w:tr>
                    <w:trPr>
                      <w:trHeight w:val="324"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1"/>
                            <w:sz w:val="21"/>
                            <w:szCs w:val="21"/>
                          </w:rPr>
                          <w:t>公司、本公司</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或南威软件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南威软件股份有限公司</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1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《管理办法》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《上市公司证券发行管理办法》</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《上市规则》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《上海证券交易所股票上市规则》</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1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《南威软件股份有限公司章程》（</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月修订）</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四方伟业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成都四方伟业软件股份有限公司</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深圳太极云软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5"/>
                            <w:sz w:val="21"/>
                            <w:szCs w:val="21"/>
                          </w:rPr>
                          <w:t>深圳太极云软技术有限公司（更名前为“深圳太极云软技术股份有限</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公司”）</w:t>
                        </w:r>
                      </w:p>
                    </w:tc>
                  </w:tr>
                  <w:tr>
                    <w:trPr>
                      <w:trHeight w:val="1260"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电子政务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5"/>
                            <w:sz w:val="21"/>
                            <w:szCs w:val="21"/>
                          </w:rPr>
                          <w:t>运用计算机、网络和通信等现代信息技术手段，实现政府组织结构和</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5"/>
                            <w:sz w:val="21"/>
                            <w:szCs w:val="21"/>
                          </w:rPr>
                          <w:t>工作流程的优化重组，超越时间、空间和部门分隔的限制，建成一个</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5"/>
                            <w:sz w:val="21"/>
                            <w:szCs w:val="21"/>
                          </w:rPr>
                          <w:t>精简、高效、廉洁、公平的政府运作模式，以便全方位地向社会提供</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优质、规范、透明、符合国际水准的管理与服务。</w:t>
                        </w:r>
                      </w:p>
                    </w:tc>
                  </w:tr>
                  <w:tr>
                    <w:trPr>
                      <w:trHeight w:val="94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解决方案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5"/>
                            <w:sz w:val="21"/>
                            <w:szCs w:val="21"/>
                          </w:rPr>
                          <w:t>以应用软件开发为核心，选择适合的外部软件和计算机硬件产品，经</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5"/>
                            <w:sz w:val="21"/>
                            <w:szCs w:val="21"/>
                          </w:rPr>
                          <w:t>过设计、开发、集成、安装、调试和售后服务，使整套系统能够实现</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特定的业务功能，满足客户业务需求的服务。</w:t>
                        </w:r>
                      </w:p>
                    </w:tc>
                  </w:tr>
                  <w:tr>
                    <w:trPr>
                      <w:trHeight w:val="125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智慧公安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5"/>
                            <w:sz w:val="21"/>
                            <w:szCs w:val="21"/>
                          </w:rPr>
                          <w:t>以可视化指挥为理念，运用高清视频、大数据、云计算、智能分析等</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技术对公安领域的海量信息进行采集、存储、加工和智能化处理，搭</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5"/>
                            <w:sz w:val="21"/>
                            <w:szCs w:val="21"/>
                          </w:rPr>
                          <w:t>建智能、高效的指挥显控平台，实现“多级别、跨警种、跨区域”的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公安系统应急联动与决策指挥。</w:t>
                        </w:r>
                      </w:p>
                    </w:tc>
                  </w:tr>
                  <w:tr>
                    <w:trPr>
                      <w:trHeight w:val="94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5"/>
                            <w:sz w:val="21"/>
                            <w:szCs w:val="21"/>
                          </w:rPr>
                          <w:t>指运用信息和通信技术手段感测、分析、整合城市运行核心系统的各</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5"/>
                            <w:sz w:val="21"/>
                            <w:szCs w:val="21"/>
                          </w:rPr>
                          <w:t>项关键信息，从而对包括民生、环保、公共安全、城市服务、工商业</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活动在内的各种需求做出智能响应。</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分享经济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1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也称为点对点经济（</w:t>
                        </w:r>
                        <w:r>
                          <w:rPr>
                            <w:rFonts w:ascii="Times New Roman" w:hAnsi="Times New Roman" w:cs="Times New Roman" w:eastAsia="Times New Roman" w:hint="default"/>
                            <w:spacing w:val="-4"/>
                            <w:sz w:val="21"/>
                            <w:szCs w:val="21"/>
                          </w:rPr>
                          <w:t>Peertopeereconomy</w:t>
                        </w:r>
                        <w:r>
                          <w:rPr>
                            <w:rFonts w:ascii="宋体" w:hAnsi="宋体" w:cs="宋体" w:eastAsia="宋体" w:hint="default"/>
                            <w:spacing w:val="-4"/>
                            <w:sz w:val="21"/>
                            <w:szCs w:val="21"/>
                          </w:rPr>
                          <w:t>）、协作经济、协同消费，是</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一个建立在人与物质资料分享基础上的社会经济生态系统。</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after="0" w:line="324" w:lineRule="auto"/>
        <w:jc w:val="left"/>
        <w:sectPr>
          <w:pgSz w:w="11910" w:h="16840"/>
          <w:pgMar w:header="855" w:footer="979" w:top="1120" w:bottom="1160" w:left="158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1"/>
        <w:tabs>
          <w:tab w:pos="3717" w:val="left" w:leader="none"/>
        </w:tabs>
        <w:spacing w:line="240" w:lineRule="auto"/>
        <w:ind w:left="2457" w:right="4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3"/>
        <w:rPr>
          <w:rFonts w:ascii="黑体" w:hAnsi="黑体" w:cs="黑体" w:eastAsia="黑体" w:hint="default"/>
          <w:b/>
          <w:bCs/>
          <w:sz w:val="13"/>
          <w:szCs w:val="13"/>
        </w:rPr>
      </w:pPr>
    </w:p>
    <w:p>
      <w:pPr>
        <w:pStyle w:val="Heading4"/>
        <w:spacing w:line="240" w:lineRule="auto"/>
        <w:ind w:right="2631"/>
        <w:jc w:val="left"/>
        <w:rPr>
          <w:b w:val="0"/>
          <w:bCs w:val="0"/>
        </w:rPr>
      </w:pPr>
      <w:r>
        <w:rPr/>
        <w:t>一、</w:t>
      </w:r>
      <w:r>
        <w:rPr>
          <w:spacing w:val="40"/>
        </w:rPr>
        <w:t> </w:t>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29"/>
        <w:gridCol w:w="4998"/>
      </w:tblGrid>
      <w:tr>
        <w:trPr>
          <w:trHeight w:val="30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南威软件股份有限公司</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南威软件</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Linewell Software</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Co.</w:t>
            </w:r>
            <w:r>
              <w:rPr>
                <w:rFonts w:ascii="宋体" w:hAnsi="宋体" w:cs="宋体" w:eastAsia="宋体" w:hint="default"/>
                <w:sz w:val="21"/>
                <w:szCs w:val="21"/>
              </w:rPr>
              <w:t>，</w:t>
            </w:r>
            <w:r>
              <w:rPr>
                <w:rFonts w:ascii="Times New Roman" w:hAnsi="Times New Roman" w:cs="Times New Roman" w:eastAsia="Times New Roman" w:hint="default"/>
                <w:sz w:val="21"/>
                <w:szCs w:val="21"/>
              </w:rPr>
              <w:t>Ltd.</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Linewell</w:t>
            </w:r>
          </w:p>
        </w:tc>
      </w:tr>
      <w:tr>
        <w:trPr>
          <w:trHeight w:val="30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吴志雄</w:t>
            </w:r>
          </w:p>
        </w:tc>
      </w:tr>
    </w:tbl>
    <w:p>
      <w:pPr>
        <w:spacing w:line="240" w:lineRule="auto" w:before="9"/>
        <w:rPr>
          <w:rFonts w:ascii="宋体" w:hAnsi="宋体" w:cs="宋体" w:eastAsia="宋体" w:hint="default"/>
          <w:b/>
          <w:bCs/>
          <w:sz w:val="24"/>
          <w:szCs w:val="24"/>
        </w:rPr>
      </w:pPr>
    </w:p>
    <w:p>
      <w:pPr>
        <w:pStyle w:val="Heading4"/>
        <w:spacing w:line="240" w:lineRule="auto"/>
        <w:ind w:right="2631"/>
        <w:jc w:val="left"/>
        <w:rPr>
          <w:b w:val="0"/>
          <w:bCs w:val="0"/>
        </w:rPr>
      </w:pPr>
      <w:r>
        <w:rPr/>
        <w:t>二、</w:t>
      </w:r>
      <w:r>
        <w:rPr>
          <w:spacing w:val="41"/>
        </w:rPr>
        <w:t> </w:t>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24"/>
        <w:gridCol w:w="5003"/>
      </w:tblGrid>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
        </w:tc>
        <w:tc>
          <w:tcPr>
            <w:tcW w:w="5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吴丽卿</w:t>
            </w: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50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福建省泉州市丰泽区丰海路南威大厦</w:t>
            </w:r>
            <w:r>
              <w:rPr>
                <w:rFonts w:ascii="Times New Roman" w:hAnsi="Times New Roman" w:cs="Times New Roman" w:eastAsia="Times New Roman" w:hint="default"/>
                <w:sz w:val="21"/>
                <w:szCs w:val="21"/>
              </w:rPr>
              <w:t>2</w:t>
            </w:r>
            <w:r>
              <w:rPr>
                <w:rFonts w:ascii="宋体" w:hAnsi="宋体" w:cs="宋体" w:eastAsia="宋体" w:hint="default"/>
                <w:sz w:val="21"/>
                <w:szCs w:val="21"/>
              </w:rPr>
              <w:t>号楼</w:t>
            </w:r>
            <w:r>
              <w:rPr>
                <w:rFonts w:ascii="Times New Roman" w:hAnsi="Times New Roman" w:cs="Times New Roman" w:eastAsia="Times New Roman" w:hint="default"/>
                <w:sz w:val="21"/>
                <w:szCs w:val="21"/>
              </w:rPr>
              <w:t>21</w:t>
            </w:r>
            <w:r>
              <w:rPr>
                <w:rFonts w:ascii="宋体" w:hAnsi="宋体" w:cs="宋体" w:eastAsia="宋体" w:hint="default"/>
                <w:sz w:val="21"/>
                <w:szCs w:val="21"/>
              </w:rPr>
              <w:t>层</w:t>
            </w: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5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0595-68288889</w:t>
            </w: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50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0595-68288887</w:t>
            </w: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hyperlink r:id="rId8">
              <w:r>
                <w:rPr>
                  <w:rFonts w:ascii="Times New Roman"/>
                  <w:sz w:val="21"/>
                </w:rPr>
                <w:t>bona@linewell.com</w:t>
              </w:r>
            </w:hyperlink>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Heading4"/>
        <w:spacing w:line="240" w:lineRule="auto"/>
        <w:ind w:right="2631"/>
        <w:jc w:val="left"/>
        <w:rPr>
          <w:b w:val="0"/>
          <w:bCs w:val="0"/>
        </w:rPr>
      </w:pPr>
      <w:r>
        <w:rPr/>
        <w:t>三、</w:t>
      </w:r>
      <w:r>
        <w:rPr>
          <w:spacing w:val="41"/>
        </w:rPr>
        <w:t> </w:t>
      </w:r>
      <w:r>
        <w:rPr/>
        <w:t>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29"/>
        <w:gridCol w:w="4998"/>
      </w:tblGrid>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福建省泉州市丰泽区丰海路南威大厦</w:t>
            </w:r>
            <w:r>
              <w:rPr>
                <w:rFonts w:ascii="宋体" w:hAnsi="宋体" w:cs="宋体" w:eastAsia="宋体" w:hint="default"/>
                <w:sz w:val="21"/>
                <w:szCs w:val="21"/>
              </w:rPr>
              <w:t>2</w:t>
            </w:r>
            <w:r>
              <w:rPr>
                <w:rFonts w:ascii="宋体" w:hAnsi="宋体" w:cs="宋体" w:eastAsia="宋体" w:hint="default"/>
                <w:sz w:val="21"/>
                <w:szCs w:val="21"/>
              </w:rPr>
              <w:t>号楼</w:t>
            </w:r>
          </w:p>
        </w:tc>
      </w:tr>
      <w:tr>
        <w:trPr>
          <w:trHeight w:val="3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362000</w:t>
            </w:r>
          </w:p>
        </w:tc>
      </w:tr>
      <w:tr>
        <w:trPr>
          <w:trHeight w:val="30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福建省泉州市丰海路南威大厦</w:t>
            </w:r>
            <w:r>
              <w:rPr>
                <w:rFonts w:ascii="Times New Roman" w:hAnsi="Times New Roman" w:cs="Times New Roman" w:eastAsia="Times New Roman" w:hint="default"/>
                <w:sz w:val="21"/>
                <w:szCs w:val="21"/>
              </w:rPr>
              <w:t>2</w:t>
            </w:r>
            <w:r>
              <w:rPr>
                <w:rFonts w:ascii="宋体" w:hAnsi="宋体" w:cs="宋体" w:eastAsia="宋体" w:hint="default"/>
                <w:sz w:val="21"/>
                <w:szCs w:val="21"/>
              </w:rPr>
              <w:t>号楼</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362000</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9">
              <w:r>
                <w:rPr>
                  <w:rFonts w:ascii="Times New Roman"/>
                  <w:sz w:val="21"/>
                </w:rPr>
                <w:t>http://www.linewell.com</w:t>
              </w:r>
            </w:hyperlink>
          </w:p>
        </w:tc>
      </w:tr>
      <w:tr>
        <w:trPr>
          <w:trHeight w:val="30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10">
              <w:r>
                <w:rPr>
                  <w:rFonts w:ascii="Times New Roman"/>
                  <w:sz w:val="21"/>
                </w:rPr>
                <w:t>ir@linewell.com</w:t>
              </w:r>
            </w:hyperlink>
          </w:p>
        </w:tc>
      </w:tr>
    </w:tbl>
    <w:p>
      <w:pPr>
        <w:spacing w:line="240" w:lineRule="auto" w:before="9"/>
        <w:rPr>
          <w:rFonts w:ascii="宋体" w:hAnsi="宋体" w:cs="宋体" w:eastAsia="宋体" w:hint="default"/>
          <w:b/>
          <w:bCs/>
          <w:sz w:val="24"/>
          <w:szCs w:val="24"/>
        </w:rPr>
      </w:pPr>
    </w:p>
    <w:p>
      <w:pPr>
        <w:pStyle w:val="Heading4"/>
        <w:spacing w:line="240" w:lineRule="auto"/>
        <w:ind w:right="2631"/>
        <w:jc w:val="left"/>
        <w:rPr>
          <w:b w:val="0"/>
          <w:bCs w:val="0"/>
        </w:rPr>
      </w:pPr>
      <w:r>
        <w:rPr/>
        <w:t>四、</w:t>
      </w:r>
      <w:r>
        <w:rPr>
          <w:spacing w:val="42"/>
        </w:rPr>
        <w:t> </w:t>
      </w:r>
      <w:r>
        <w:rPr/>
        <w:t>信息披露及备置地点</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4109"/>
        <w:gridCol w:w="4717"/>
      </w:tblGrid>
      <w:tr>
        <w:trPr>
          <w:trHeight w:val="554"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《中国证券报》、《上海证券报》、《证券日报》</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02"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Times New Roman" w:hAnsi="Times New Roman" w:cs="Times New Roman" w:eastAsia="Times New Roman" w:hint="default"/>
                <w:sz w:val="21"/>
                <w:szCs w:val="21"/>
              </w:rPr>
            </w:pPr>
            <w:hyperlink r:id="rId11">
              <w:r>
                <w:rPr>
                  <w:rFonts w:ascii="Times New Roman"/>
                  <w:sz w:val="21"/>
                </w:rPr>
                <w:t>http://www.sse.com.cn</w:t>
              </w:r>
            </w:hyperlink>
          </w:p>
        </w:tc>
      </w:tr>
      <w:tr>
        <w:trPr>
          <w:trHeight w:val="302"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福建省泉州市丰泽区丰海路南威大厦</w:t>
            </w:r>
            <w:r>
              <w:rPr>
                <w:rFonts w:ascii="Times New Roman" w:hAnsi="Times New Roman" w:cs="Times New Roman" w:eastAsia="Times New Roman" w:hint="default"/>
                <w:sz w:val="21"/>
                <w:szCs w:val="21"/>
              </w:rPr>
              <w:t>2</w:t>
            </w:r>
            <w:r>
              <w:rPr>
                <w:rFonts w:ascii="宋体" w:hAnsi="宋体" w:cs="宋体" w:eastAsia="宋体" w:hint="default"/>
                <w:sz w:val="21"/>
                <w:szCs w:val="21"/>
              </w:rPr>
              <w:t>号楼</w:t>
            </w:r>
          </w:p>
        </w:tc>
      </w:tr>
    </w:tbl>
    <w:p>
      <w:pPr>
        <w:spacing w:line="240" w:lineRule="auto" w:before="11"/>
        <w:rPr>
          <w:rFonts w:ascii="宋体" w:hAnsi="宋体" w:cs="宋体" w:eastAsia="宋体" w:hint="default"/>
          <w:b/>
          <w:bCs/>
          <w:sz w:val="21"/>
          <w:szCs w:val="21"/>
        </w:rPr>
      </w:pPr>
    </w:p>
    <w:p>
      <w:pPr>
        <w:pStyle w:val="Heading4"/>
        <w:spacing w:line="240" w:lineRule="auto"/>
        <w:ind w:right="2631"/>
        <w:jc w:val="left"/>
        <w:rPr>
          <w:b w:val="0"/>
          <w:bCs w:val="0"/>
        </w:rPr>
      </w:pPr>
      <w:r>
        <w:rPr/>
        <w:t>五、</w:t>
      </w:r>
      <w:r>
        <w:rPr>
          <w:spacing w:val="41"/>
        </w:rPr>
        <w:t> </w:t>
      </w:r>
      <w:r>
        <w:rPr/>
        <w:t>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1766"/>
        <w:gridCol w:w="1765"/>
        <w:gridCol w:w="1764"/>
        <w:gridCol w:w="1764"/>
        <w:gridCol w:w="1767"/>
      </w:tblGrid>
      <w:tr>
        <w:trPr>
          <w:trHeight w:val="302" w:hRule="exact"/>
        </w:trPr>
        <w:tc>
          <w:tcPr>
            <w:tcW w:w="882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454"/>
              <w:jc w:val="right"/>
              <w:rPr>
                <w:rFonts w:ascii="宋体" w:hAnsi="宋体" w:cs="宋体" w:eastAsia="宋体" w:hint="default"/>
                <w:sz w:val="21"/>
                <w:szCs w:val="21"/>
              </w:rPr>
            </w:pPr>
            <w:r>
              <w:rPr>
                <w:rFonts w:ascii="宋体" w:hAnsi="宋体" w:cs="宋体" w:eastAsia="宋体" w:hint="default"/>
                <w:spacing w:val="-1"/>
                <w:sz w:val="21"/>
                <w:szCs w:val="21"/>
              </w:rPr>
              <w:t>股票简称</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54"/>
              <w:jc w:val="right"/>
              <w:rPr>
                <w:rFonts w:ascii="宋体" w:hAnsi="宋体" w:cs="宋体" w:eastAsia="宋体" w:hint="default"/>
                <w:sz w:val="21"/>
                <w:szCs w:val="21"/>
              </w:rPr>
            </w:pPr>
            <w:r>
              <w:rPr>
                <w:rFonts w:ascii="宋体" w:hAnsi="宋体" w:cs="宋体" w:eastAsia="宋体" w:hint="default"/>
                <w:spacing w:val="-1"/>
                <w:sz w:val="21"/>
                <w:szCs w:val="21"/>
              </w:rPr>
              <w:t>南威软件</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603636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b/>
          <w:bCs/>
          <w:sz w:val="24"/>
          <w:szCs w:val="24"/>
        </w:rPr>
      </w:pPr>
    </w:p>
    <w:p>
      <w:pPr>
        <w:pStyle w:val="Heading4"/>
        <w:spacing w:line="240" w:lineRule="auto"/>
        <w:ind w:right="2631"/>
        <w:jc w:val="left"/>
        <w:rPr>
          <w:b w:val="0"/>
          <w:bCs w:val="0"/>
        </w:rPr>
      </w:pPr>
      <w:r>
        <w:rPr/>
        <w:t>六、</w:t>
      </w:r>
      <w:r>
        <w:rPr>
          <w:spacing w:val="41"/>
        </w:rPr>
        <w:t> </w:t>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2919"/>
        <w:gridCol w:w="1750"/>
        <w:gridCol w:w="4155"/>
      </w:tblGrid>
      <w:tr>
        <w:trPr>
          <w:trHeight w:val="322" w:hRule="exact"/>
        </w:trPr>
        <w:tc>
          <w:tcPr>
            <w:tcW w:w="2919" w:type="dxa"/>
            <w:vMerge w:val="restart"/>
            <w:tcBorders>
              <w:top w:val="single" w:sz="4" w:space="0" w:color="000000"/>
              <w:left w:val="single" w:sz="4" w:space="0" w:color="000000"/>
              <w:right w:val="single" w:sz="4" w:space="0" w:color="000000"/>
            </w:tcBorders>
          </w:tcPr>
          <w:p>
            <w:pPr>
              <w:pStyle w:val="TableParagraph"/>
              <w:spacing w:line="273" w:lineRule="auto" w:before="153"/>
              <w:ind w:left="103" w:right="99"/>
              <w:jc w:val="left"/>
              <w:rPr>
                <w:rFonts w:ascii="宋体" w:hAnsi="宋体" w:cs="宋体" w:eastAsia="宋体" w:hint="default"/>
                <w:sz w:val="21"/>
                <w:szCs w:val="21"/>
              </w:rPr>
            </w:pPr>
            <w:r>
              <w:rPr>
                <w:rFonts w:ascii="宋体" w:hAnsi="宋体" w:cs="宋体" w:eastAsia="宋体" w:hint="default"/>
                <w:spacing w:val="-4"/>
                <w:sz w:val="21"/>
                <w:szCs w:val="21"/>
              </w:rPr>
              <w:t>公司聘请的会计师事务所（境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内）</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福建华兴会计师事务所（特殊普通合伙）</w:t>
            </w:r>
          </w:p>
        </w:tc>
      </w:tr>
      <w:tr>
        <w:trPr>
          <w:trHeight w:val="322" w:hRule="exact"/>
        </w:trPr>
        <w:tc>
          <w:tcPr>
            <w:tcW w:w="2919" w:type="dxa"/>
            <w:vMerge/>
            <w:tcBorders>
              <w:left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福建省福州市湖东路中山大厦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7-9 </w:t>
            </w:r>
            <w:r>
              <w:rPr>
                <w:rFonts w:ascii="宋体" w:hAnsi="宋体" w:cs="宋体" w:eastAsia="宋体" w:hint="default"/>
                <w:sz w:val="21"/>
                <w:szCs w:val="21"/>
              </w:rPr>
              <w:t>楼</w:t>
            </w:r>
          </w:p>
        </w:tc>
      </w:tr>
      <w:tr>
        <w:trPr>
          <w:trHeight w:val="322" w:hRule="exact"/>
        </w:trPr>
        <w:tc>
          <w:tcPr>
            <w:tcW w:w="2919"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王庆莲、张伟</w:t>
            </w:r>
          </w:p>
        </w:tc>
      </w:tr>
      <w:tr>
        <w:trPr>
          <w:trHeight w:val="636"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报告期内履行持续督导职责</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的保荐机构</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519"/>
              <w:jc w:val="left"/>
              <w:rPr>
                <w:rFonts w:ascii="宋体" w:hAnsi="宋体" w:cs="宋体" w:eastAsia="宋体" w:hint="default"/>
                <w:sz w:val="21"/>
                <w:szCs w:val="21"/>
              </w:rPr>
            </w:pPr>
            <w:r>
              <w:rPr>
                <w:rFonts w:ascii="宋体" w:hAnsi="宋体" w:cs="宋体" w:eastAsia="宋体" w:hint="default"/>
                <w:sz w:val="21"/>
                <w:szCs w:val="21"/>
              </w:rPr>
              <w:t>国金证券股份有限公司；</w:t>
            </w:r>
            <w:r>
              <w:rPr>
                <w:rFonts w:ascii="宋体" w:hAnsi="宋体" w:cs="宋体" w:eastAsia="宋体" w:hint="default"/>
                <w:w w:val="100"/>
                <w:sz w:val="21"/>
                <w:szCs w:val="21"/>
              </w:rPr>
              <w:t> </w:t>
            </w:r>
            <w:r>
              <w:rPr>
                <w:rFonts w:ascii="宋体" w:hAnsi="宋体" w:cs="宋体" w:eastAsia="宋体" w:hint="default"/>
                <w:spacing w:val="-2"/>
                <w:sz w:val="21"/>
                <w:szCs w:val="21"/>
              </w:rPr>
              <w:t>华泰联合证券有限责任公司</w:t>
            </w:r>
          </w:p>
        </w:tc>
      </w:tr>
    </w:tbl>
    <w:p>
      <w:pPr>
        <w:spacing w:after="0" w:line="273" w:lineRule="auto"/>
        <w:jc w:val="left"/>
        <w:rPr>
          <w:rFonts w:ascii="宋体" w:hAnsi="宋体" w:cs="宋体" w:eastAsia="宋体" w:hint="default"/>
          <w:sz w:val="21"/>
          <w:szCs w:val="21"/>
        </w:rPr>
        <w:sectPr>
          <w:pgSz w:w="11910" w:h="16840"/>
          <w:pgMar w:header="855" w:footer="979" w:top="1120" w:bottom="1160" w:left="1580" w:right="11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919"/>
        <w:gridCol w:w="1750"/>
        <w:gridCol w:w="4155"/>
      </w:tblGrid>
      <w:tr>
        <w:trPr>
          <w:trHeight w:val="636" w:hRule="exact"/>
        </w:trPr>
        <w:tc>
          <w:tcPr>
            <w:tcW w:w="2919" w:type="dxa"/>
            <w:vMerge w:val="restart"/>
            <w:tcBorders>
              <w:top w:val="single" w:sz="4" w:space="0" w:color="000000"/>
              <w:left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成都市青羊区东城根上街</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深圳市福田区中心广场香港中旅大厦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634" w:hRule="exact"/>
        </w:trPr>
        <w:tc>
          <w:tcPr>
            <w:tcW w:w="2919" w:type="dxa"/>
            <w:vMerge/>
            <w:tcBorders>
              <w:left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left"/>
              <w:rPr>
                <w:rFonts w:ascii="宋体" w:hAnsi="宋体" w:cs="宋体" w:eastAsia="宋体" w:hint="default"/>
                <w:sz w:val="21"/>
                <w:szCs w:val="21"/>
              </w:rPr>
            </w:pPr>
            <w:r>
              <w:rPr>
                <w:rFonts w:ascii="宋体" w:hAnsi="宋体" w:cs="宋体" w:eastAsia="宋体" w:hint="default"/>
                <w:spacing w:val="8"/>
                <w:sz w:val="21"/>
                <w:szCs w:val="21"/>
              </w:rPr>
              <w:t>签字的保荐代表</w:t>
            </w:r>
            <w:r>
              <w:rPr>
                <w:rFonts w:ascii="宋体" w:hAnsi="宋体" w:cs="宋体" w:eastAsia="宋体" w:hint="default"/>
                <w:spacing w:val="-90"/>
                <w:sz w:val="21"/>
                <w:szCs w:val="21"/>
              </w:rPr>
              <w:t> </w:t>
            </w:r>
            <w:r>
              <w:rPr>
                <w:rFonts w:ascii="宋体" w:hAnsi="宋体" w:cs="宋体" w:eastAsia="宋体" w:hint="default"/>
                <w:sz w:val="21"/>
                <w:szCs w:val="21"/>
              </w:rPr>
              <w:t>人姓名</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陈钟林、王添进；宁小波、张冠峰</w:t>
            </w:r>
          </w:p>
        </w:tc>
      </w:tr>
      <w:tr>
        <w:trPr>
          <w:trHeight w:val="634" w:hRule="exact"/>
        </w:trPr>
        <w:tc>
          <w:tcPr>
            <w:tcW w:w="2919"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55" w:footer="979" w:top="1120" w:bottom="1160" w:left="1580" w:right="1140"/>
        </w:sectPr>
      </w:pPr>
    </w:p>
    <w:p>
      <w:pPr>
        <w:pStyle w:val="Heading4"/>
        <w:spacing w:line="240" w:lineRule="auto"/>
        <w:ind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9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140"/>
          <w:cols w:num="2" w:equalWidth="0">
            <w:col w:w="3667" w:space="2854"/>
            <w:col w:w="26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122"/>
        <w:gridCol w:w="1843"/>
        <w:gridCol w:w="1844"/>
        <w:gridCol w:w="1274"/>
        <w:gridCol w:w="1741"/>
      </w:tblGrid>
      <w:tr>
        <w:trPr>
          <w:trHeight w:val="109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424"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0"/>
                <w:szCs w:val="30"/>
              </w:rPr>
            </w:pPr>
          </w:p>
          <w:p>
            <w:pPr>
              <w:pStyle w:val="TableParagraph"/>
              <w:spacing w:line="240" w:lineRule="auto"/>
              <w:ind w:left="5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0"/>
                <w:szCs w:val="30"/>
              </w:rPr>
            </w:pPr>
          </w:p>
          <w:p>
            <w:pPr>
              <w:pStyle w:val="TableParagraph"/>
              <w:spacing w:line="240" w:lineRule="auto"/>
              <w:ind w:left="5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5" w:right="103"/>
              <w:jc w:val="center"/>
              <w:rPr>
                <w:rFonts w:ascii="宋体" w:hAnsi="宋体" w:cs="宋体" w:eastAsia="宋体" w:hint="default"/>
                <w:sz w:val="21"/>
                <w:szCs w:val="21"/>
              </w:rPr>
            </w:pPr>
            <w:r>
              <w:rPr>
                <w:rFonts w:ascii="宋体" w:hAnsi="宋体" w:cs="宋体" w:eastAsia="宋体" w:hint="default"/>
                <w:sz w:val="21"/>
                <w:szCs w:val="21"/>
              </w:rPr>
              <w:t>本期比上年</w:t>
            </w:r>
            <w:r>
              <w:rPr>
                <w:rFonts w:ascii="宋体" w:hAnsi="宋体" w:cs="宋体" w:eastAsia="宋体" w:hint="default"/>
                <w:w w:val="100"/>
                <w:sz w:val="21"/>
                <w:szCs w:val="21"/>
              </w:rPr>
              <w:t> </w:t>
            </w:r>
            <w:r>
              <w:rPr>
                <w:rFonts w:ascii="宋体" w:hAnsi="宋体" w:cs="宋体" w:eastAsia="宋体" w:hint="default"/>
                <w:sz w:val="21"/>
                <w:szCs w:val="21"/>
              </w:rPr>
              <w:t>同期增减</w:t>
            </w:r>
            <w:r>
              <w:rPr>
                <w:rFonts w:ascii="宋体" w:hAnsi="宋体" w:cs="宋体" w:eastAsia="宋体" w:hint="default"/>
                <w:w w:val="100"/>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0"/>
                <w:szCs w:val="30"/>
              </w:rPr>
            </w:pPr>
          </w:p>
          <w:p>
            <w:pPr>
              <w:pStyle w:val="TableParagraph"/>
              <w:spacing w:line="240" w:lineRule="auto"/>
              <w:ind w:left="5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r>
      <w:tr>
        <w:trPr>
          <w:trHeight w:val="53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98"/>
              <w:jc w:val="right"/>
              <w:rPr>
                <w:rFonts w:ascii="Times New Roman" w:hAnsi="Times New Roman" w:cs="Times New Roman" w:eastAsia="Times New Roman" w:hint="default"/>
                <w:sz w:val="21"/>
                <w:szCs w:val="21"/>
              </w:rPr>
            </w:pPr>
            <w:r>
              <w:rPr>
                <w:rFonts w:ascii="Times New Roman"/>
                <w:spacing w:val="-1"/>
                <w:sz w:val="21"/>
              </w:rPr>
              <w:t>979,043,905.27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1"/>
                <w:szCs w:val="21"/>
              </w:rPr>
            </w:pPr>
            <w:r>
              <w:rPr>
                <w:rFonts w:ascii="Times New Roman"/>
                <w:spacing w:val="-1"/>
                <w:sz w:val="21"/>
              </w:rPr>
              <w:t>807,313,135.82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98"/>
              <w:jc w:val="right"/>
              <w:rPr>
                <w:rFonts w:ascii="Times New Roman" w:hAnsi="Times New Roman" w:cs="Times New Roman" w:eastAsia="Times New Roman" w:hint="default"/>
                <w:sz w:val="21"/>
                <w:szCs w:val="21"/>
              </w:rPr>
            </w:pPr>
            <w:r>
              <w:rPr>
                <w:rFonts w:ascii="Times New Roman"/>
                <w:sz w:val="21"/>
              </w:rPr>
              <w:t>21.27</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98"/>
              <w:jc w:val="right"/>
              <w:rPr>
                <w:rFonts w:ascii="Times New Roman" w:hAnsi="Times New Roman" w:cs="Times New Roman" w:eastAsia="Times New Roman" w:hint="default"/>
                <w:sz w:val="21"/>
                <w:szCs w:val="21"/>
              </w:rPr>
            </w:pPr>
            <w:r>
              <w:rPr>
                <w:rFonts w:ascii="Times New Roman"/>
                <w:spacing w:val="-1"/>
                <w:sz w:val="21"/>
              </w:rPr>
              <w:t>468,074,426.65</w:t>
            </w:r>
          </w:p>
        </w:tc>
      </w:tr>
      <w:tr>
        <w:trPr>
          <w:trHeight w:val="73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left"/>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的净利润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172,523,315.83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103,025,506.96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67.46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51,474,724.91</w:t>
            </w:r>
          </w:p>
        </w:tc>
      </w:tr>
      <w:tr>
        <w:trPr>
          <w:trHeight w:val="109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both"/>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的扣除非经常性损益</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的净利润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153,116,581.98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85,953,174.95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78.14</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45,583,618.75</w:t>
            </w:r>
          </w:p>
        </w:tc>
      </w:tr>
      <w:tr>
        <w:trPr>
          <w:trHeight w:val="73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0"/>
              <w:jc w:val="left"/>
              <w:rPr>
                <w:rFonts w:ascii="宋体" w:hAnsi="宋体" w:cs="宋体" w:eastAsia="宋体" w:hint="default"/>
                <w:sz w:val="21"/>
                <w:szCs w:val="21"/>
              </w:rPr>
            </w:pPr>
            <w:r>
              <w:rPr>
                <w:rFonts w:ascii="宋体" w:hAnsi="宋体" w:cs="宋体" w:eastAsia="宋体" w:hint="default"/>
                <w:sz w:val="21"/>
                <w:szCs w:val="21"/>
              </w:rPr>
              <w:t>经营活动产生的现金</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流量净额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-269,780,968.06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138,408,077.65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-294.92</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-57,182,000.10</w:t>
            </w:r>
          </w:p>
        </w:tc>
      </w:tr>
      <w:tr>
        <w:trPr>
          <w:trHeight w:val="1090" w:hRule="exact"/>
        </w:trPr>
        <w:tc>
          <w:tcPr>
            <w:tcW w:w="212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0"/>
                <w:szCs w:val="30"/>
              </w:rPr>
            </w:pPr>
          </w:p>
          <w:p>
            <w:pPr>
              <w:pStyle w:val="TableParagraph"/>
              <w:spacing w:line="240" w:lineRule="auto"/>
              <w:ind w:left="4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年末</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0"/>
                <w:szCs w:val="30"/>
              </w:rPr>
            </w:pPr>
          </w:p>
          <w:p>
            <w:pPr>
              <w:pStyle w:val="TableParagraph"/>
              <w:spacing w:line="240" w:lineRule="auto"/>
              <w:ind w:left="4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5" w:right="103"/>
              <w:jc w:val="both"/>
              <w:rPr>
                <w:rFonts w:ascii="宋体" w:hAnsi="宋体" w:cs="宋体" w:eastAsia="宋体" w:hint="default"/>
                <w:sz w:val="21"/>
                <w:szCs w:val="21"/>
              </w:rPr>
            </w:pPr>
            <w:r>
              <w:rPr>
                <w:rFonts w:ascii="宋体" w:hAnsi="宋体" w:cs="宋体" w:eastAsia="宋体" w:hint="default"/>
                <w:sz w:val="21"/>
                <w:szCs w:val="21"/>
              </w:rPr>
              <w:t>本期末比上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0"/>
                <w:szCs w:val="30"/>
              </w:rPr>
            </w:pPr>
          </w:p>
          <w:p>
            <w:pPr>
              <w:pStyle w:val="TableParagraph"/>
              <w:spacing w:line="240" w:lineRule="auto"/>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年末</w:t>
            </w:r>
          </w:p>
        </w:tc>
      </w:tr>
      <w:tr>
        <w:trPr>
          <w:trHeight w:val="73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left"/>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的净资产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1,747,757,502.61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1,009,082,447.13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73.20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883,290,784.19</w:t>
            </w:r>
          </w:p>
        </w:tc>
      </w:tr>
      <w:tr>
        <w:trPr>
          <w:trHeight w:val="44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2,997,253,170.52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1,964,497,552.64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52.57</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1,312,559,308.80</w:t>
            </w:r>
          </w:p>
        </w:tc>
      </w:tr>
      <w:tr>
        <w:trPr>
          <w:trHeight w:val="507"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期末总股本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Times New Roman" w:hAnsi="Times New Roman" w:cs="Times New Roman" w:eastAsia="Times New Roman" w:hint="default"/>
                <w:sz w:val="21"/>
                <w:szCs w:val="21"/>
              </w:rPr>
            </w:pPr>
            <w:r>
              <w:rPr>
                <w:rFonts w:ascii="Times New Roman"/>
                <w:spacing w:val="-1"/>
                <w:sz w:val="21"/>
              </w:rPr>
              <w:t>526</w:t>
            </w:r>
            <w:r>
              <w:rPr>
                <w:rFonts w:ascii="宋体"/>
                <w:spacing w:val="-1"/>
                <w:sz w:val="18"/>
              </w:rPr>
              <w:t>,</w:t>
            </w:r>
            <w:r>
              <w:rPr>
                <w:rFonts w:ascii="Times New Roman"/>
                <w:spacing w:val="-1"/>
                <w:sz w:val="21"/>
              </w:rPr>
              <w:t>684</w:t>
            </w:r>
            <w:r>
              <w:rPr>
                <w:rFonts w:ascii="宋体"/>
                <w:spacing w:val="-1"/>
                <w:sz w:val="18"/>
              </w:rPr>
              <w:t>,</w:t>
            </w:r>
            <w:r>
              <w:rPr>
                <w:rFonts w:ascii="Times New Roman"/>
                <w:spacing w:val="-1"/>
                <w:sz w:val="21"/>
              </w:rPr>
              <w:t>472.00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407,097,800</w:t>
            </w:r>
            <w:r>
              <w:rPr>
                <w:rFonts w:ascii="宋体"/>
                <w:spacing w:val="-1"/>
                <w:sz w:val="22"/>
              </w:rPr>
              <w:t>.</w:t>
            </w:r>
            <w:r>
              <w:rPr>
                <w:rFonts w:ascii="Times New Roman"/>
                <w:spacing w:val="-1"/>
                <w:sz w:val="21"/>
              </w:rPr>
              <w:t>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z w:val="21"/>
              </w:rPr>
              <w:t>29.38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101,707,880</w:t>
            </w:r>
            <w:r>
              <w:rPr>
                <w:rFonts w:ascii="宋体"/>
                <w:spacing w:val="-1"/>
                <w:sz w:val="24"/>
              </w:rPr>
              <w:t>.</w:t>
            </w:r>
            <w:r>
              <w:rPr>
                <w:rFonts w:ascii="Times New Roman"/>
                <w:spacing w:val="-1"/>
                <w:sz w:val="21"/>
              </w:rPr>
              <w:t>00</w:t>
            </w:r>
          </w:p>
        </w:tc>
      </w:tr>
    </w:tbl>
    <w:p>
      <w:pPr>
        <w:spacing w:line="240" w:lineRule="auto" w:before="9"/>
        <w:rPr>
          <w:rFonts w:ascii="宋体" w:hAnsi="宋体" w:cs="宋体" w:eastAsia="宋体" w:hint="default"/>
          <w:sz w:val="24"/>
          <w:szCs w:val="24"/>
        </w:rPr>
      </w:pPr>
    </w:p>
    <w:p>
      <w:pPr>
        <w:pStyle w:val="Heading4"/>
        <w:tabs>
          <w:tab w:pos="1057" w:val="left" w:leader="none"/>
        </w:tabs>
        <w:spacing w:line="240" w:lineRule="auto"/>
        <w:ind w:right="2631"/>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2957"/>
        <w:gridCol w:w="1375"/>
        <w:gridCol w:w="1491"/>
        <w:gridCol w:w="1971"/>
        <w:gridCol w:w="1030"/>
      </w:tblGrid>
      <w:tr>
        <w:trPr>
          <w:trHeight w:val="730"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842"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3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4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681" w:right="137" w:hanging="543"/>
              <w:jc w:val="left"/>
              <w:rPr>
                <w:rFonts w:ascii="宋体" w:hAnsi="宋体" w:cs="宋体" w:eastAsia="宋体" w:hint="default"/>
                <w:sz w:val="21"/>
                <w:szCs w:val="21"/>
              </w:rPr>
            </w:pPr>
            <w:r>
              <w:rPr>
                <w:rFonts w:ascii="宋体" w:hAnsi="宋体" w:cs="宋体" w:eastAsia="宋体" w:hint="default"/>
                <w:sz w:val="21"/>
                <w:szCs w:val="21"/>
              </w:rPr>
              <w:t>本期比上年同期增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r>
      <w:tr>
        <w:trPr>
          <w:trHeight w:val="37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z w:val="21"/>
              </w:rPr>
              <w:t>0.35</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0.25</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z w:val="21"/>
              </w:rPr>
              <w:t>40.00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0.127</w:t>
            </w:r>
          </w:p>
        </w:tc>
      </w:tr>
      <w:tr>
        <w:trPr>
          <w:trHeight w:val="370"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0.35</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0.25</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40.00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0.129</w:t>
            </w:r>
          </w:p>
        </w:tc>
      </w:tr>
      <w:tr>
        <w:trPr>
          <w:trHeight w:val="730"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z w:val="21"/>
                <w:szCs w:val="21"/>
              </w:rPr>
              <w:t>扣除非经常性损益后的基本每</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股收益（元／股）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0.31</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0.21</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47.62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0.112</w:t>
            </w:r>
          </w:p>
        </w:tc>
      </w:tr>
      <w:tr>
        <w:trPr>
          <w:trHeight w:val="370"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11.36</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11.01</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Times New Roman" w:hAnsi="Times New Roman" w:cs="Times New Roman" w:eastAsia="Times New Roman" w:hint="default"/>
                <w:spacing w:val="-1"/>
                <w:sz w:val="21"/>
                <w:szCs w:val="21"/>
              </w:rPr>
              <w:t>0.35</w:t>
            </w:r>
            <w:r>
              <w:rPr>
                <w:rFonts w:ascii="宋体" w:hAnsi="宋体" w:cs="宋体" w:eastAsia="宋体" w:hint="default"/>
                <w:spacing w:val="-1"/>
                <w:sz w:val="21"/>
                <w:szCs w:val="21"/>
              </w:rPr>
              <w:t>个百分点</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5.86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580" w:right="11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957"/>
        <w:gridCol w:w="1375"/>
        <w:gridCol w:w="1491"/>
        <w:gridCol w:w="1971"/>
        <w:gridCol w:w="1030"/>
      </w:tblGrid>
      <w:tr>
        <w:trPr>
          <w:trHeight w:val="73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1"/>
              <w:jc w:val="left"/>
              <w:rPr>
                <w:rFonts w:ascii="宋体" w:hAnsi="宋体" w:cs="宋体" w:eastAsia="宋体" w:hint="default"/>
                <w:sz w:val="21"/>
                <w:szCs w:val="21"/>
              </w:rPr>
            </w:pPr>
            <w:r>
              <w:rPr>
                <w:rFonts w:ascii="宋体" w:hAnsi="宋体" w:cs="宋体" w:eastAsia="宋体" w:hint="default"/>
                <w:sz w:val="21"/>
                <w:szCs w:val="21"/>
              </w:rPr>
              <w:t>扣除非经常性损益后的加权平</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787" w:right="0"/>
              <w:jc w:val="left"/>
              <w:rPr>
                <w:rFonts w:ascii="Times New Roman" w:hAnsi="Times New Roman" w:cs="Times New Roman" w:eastAsia="Times New Roman" w:hint="default"/>
                <w:sz w:val="21"/>
                <w:szCs w:val="21"/>
              </w:rPr>
            </w:pPr>
            <w:r>
              <w:rPr>
                <w:rFonts w:ascii="Times New Roman"/>
                <w:sz w:val="21"/>
              </w:rPr>
              <w:t>10.08</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9.19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0.89</w:t>
            </w:r>
            <w:r>
              <w:rPr>
                <w:rFonts w:ascii="宋体" w:hAnsi="宋体" w:cs="宋体" w:eastAsia="宋体" w:hint="default"/>
                <w:sz w:val="21"/>
                <w:szCs w:val="21"/>
              </w:rPr>
              <w:t>个百分点</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549" w:right="0"/>
              <w:jc w:val="left"/>
              <w:rPr>
                <w:rFonts w:ascii="Times New Roman" w:hAnsi="Times New Roman" w:cs="Times New Roman" w:eastAsia="Times New Roman" w:hint="default"/>
                <w:sz w:val="21"/>
                <w:szCs w:val="21"/>
              </w:rPr>
            </w:pPr>
            <w:r>
              <w:rPr>
                <w:rFonts w:ascii="Times New Roman"/>
                <w:sz w:val="21"/>
              </w:rPr>
              <w:t>5.19</w:t>
            </w:r>
          </w:p>
        </w:tc>
      </w:tr>
    </w:tbl>
    <w:p>
      <w:pPr>
        <w:spacing w:line="240" w:lineRule="auto" w:before="2"/>
        <w:rPr>
          <w:rFonts w:ascii="宋体" w:hAnsi="宋体" w:cs="宋体" w:eastAsia="宋体" w:hint="default"/>
          <w:b/>
          <w:bCs/>
          <w:sz w:val="20"/>
          <w:szCs w:val="20"/>
        </w:rPr>
      </w:pPr>
    </w:p>
    <w:p>
      <w:pPr>
        <w:pStyle w:val="BodyText"/>
        <w:spacing w:line="240" w:lineRule="auto" w:before="36"/>
        <w:ind w:left="698" w:right="99"/>
        <w:jc w:val="left"/>
      </w:pPr>
      <w:r>
        <w:rPr/>
        <w:t>报告期末公司前三年主要会计数据和财务指标的说明</w:t>
      </w:r>
    </w:p>
    <w:p>
      <w:pPr>
        <w:pStyle w:val="BodyText"/>
        <w:spacing w:line="240" w:lineRule="auto" w:before="37"/>
        <w:ind w:left="698" w:right="99"/>
        <w:jc w:val="left"/>
      </w:pPr>
      <w:r>
        <w:rPr/>
        <w:t>√适用 □不适用</w:t>
      </w:r>
    </w:p>
    <w:p>
      <w:pPr>
        <w:pStyle w:val="BodyText"/>
        <w:spacing w:line="304" w:lineRule="auto" w:before="92"/>
        <w:ind w:right="108" w:firstLine="479"/>
        <w:jc w:val="both"/>
      </w:pPr>
      <w:r>
        <w:rPr/>
        <w:t>报告期内，公司营业收入同比增长</w:t>
      </w:r>
      <w:r>
        <w:rPr>
          <w:spacing w:val="22"/>
        </w:rPr>
        <w:t> </w:t>
      </w:r>
      <w:r>
        <w:rPr>
          <w:rFonts w:ascii="Times New Roman" w:hAnsi="Times New Roman" w:cs="Times New Roman" w:eastAsia="Times New Roman" w:hint="default"/>
        </w:rPr>
        <w:t>21.27%</w:t>
      </w:r>
      <w:r>
        <w:rPr/>
        <w:t>，归属于上市公司股东的净利润和归属于上市公</w:t>
      </w:r>
      <w:r>
        <w:rPr>
          <w:w w:val="100"/>
        </w:rPr>
        <w:t> </w:t>
      </w:r>
      <w:r>
        <w:rPr/>
        <w:t>司股东的扣除非经常性损益的净利润同比分别增长了 </w:t>
      </w:r>
      <w:r>
        <w:rPr>
          <w:rFonts w:ascii="Times New Roman" w:hAnsi="Times New Roman" w:cs="Times New Roman" w:eastAsia="Times New Roman" w:hint="default"/>
        </w:rPr>
        <w:t>67.46%</w:t>
      </w:r>
      <w:r>
        <w:rPr/>
        <w:t>和</w:t>
      </w:r>
      <w:r>
        <w:rPr>
          <w:spacing w:val="-29"/>
        </w:rPr>
        <w:t> </w:t>
      </w:r>
      <w:r>
        <w:rPr>
          <w:rFonts w:ascii="Times New Roman" w:hAnsi="Times New Roman" w:cs="Times New Roman" w:eastAsia="Times New Roman" w:hint="default"/>
        </w:rPr>
        <w:t>78.14%</w:t>
      </w:r>
      <w:r>
        <w:rPr/>
        <w:t>；随着国家加快推进发展</w:t>
      </w:r>
      <w:r>
        <w:rPr>
          <w:w w:val="100"/>
        </w:rPr>
        <w:t> </w:t>
      </w:r>
      <w:r>
        <w:rPr/>
        <w:t>数字经济，公司发挥人才、技术、产品、资本等方面的优势，积极开拓市场，持续研发创新，做</w:t>
      </w:r>
      <w:r>
        <w:rPr>
          <w:spacing w:val="-97"/>
        </w:rPr>
        <w:t> </w:t>
      </w:r>
      <w:r>
        <w:rPr>
          <w:spacing w:val="-97"/>
        </w:rPr>
      </w:r>
      <w:r>
        <w:rPr/>
        <w:t>强主营业务。因报告期内自主软件产品收入占比提高，公司销售综合毛利率同比上升，同时公司</w:t>
      </w:r>
      <w:r>
        <w:rPr>
          <w:spacing w:val="-96"/>
        </w:rPr>
        <w:t> </w:t>
      </w:r>
      <w:r>
        <w:rPr>
          <w:spacing w:val="-96"/>
        </w:rPr>
      </w:r>
      <w:r>
        <w:rPr/>
        <w:t>夯实管理基础，合理控制成本与费用，使</w:t>
      </w:r>
      <w:r>
        <w:rPr>
          <w:spacing w:val="-53"/>
        </w:rPr>
        <w:t> </w:t>
      </w:r>
      <w:r>
        <w:rPr>
          <w:rFonts w:ascii="Times New Roman" w:hAnsi="Times New Roman" w:cs="Times New Roman" w:eastAsia="Times New Roman" w:hint="default"/>
        </w:rPr>
        <w:t>2018 </w:t>
      </w:r>
      <w:r>
        <w:rPr/>
        <w:t>年度归属于上市公司股东的净利润实现较大增长。</w:t>
      </w:r>
    </w:p>
    <w:p>
      <w:pPr>
        <w:pStyle w:val="BodyText"/>
        <w:spacing w:line="304" w:lineRule="auto" w:before="6"/>
        <w:ind w:right="208" w:firstLine="419"/>
        <w:jc w:val="both"/>
      </w:pPr>
      <w:r>
        <w:rPr/>
        <w:t>经营活动产生的现金流量净额同比下降，主要系</w:t>
      </w:r>
      <w:r>
        <w:rPr>
          <w:spacing w:val="-3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0"/>
        </w:rPr>
        <w:t> </w:t>
      </w:r>
      <w:r>
        <w:rPr/>
        <w:t>年度投入实施了智慧丰泽一期</w:t>
      </w:r>
      <w:r>
        <w:rPr>
          <w:spacing w:val="-35"/>
        </w:rPr>
        <w:t> </w:t>
      </w:r>
      <w:r>
        <w:rPr>
          <w:rFonts w:ascii="Times New Roman" w:hAnsi="Times New Roman" w:cs="Times New Roman" w:eastAsia="Times New Roman" w:hint="default"/>
        </w:rPr>
        <w:t>PPP</w:t>
      </w:r>
      <w:r>
        <w:rPr>
          <w:rFonts w:ascii="Times New Roman" w:hAnsi="Times New Roman" w:cs="Times New Roman" w:eastAsia="Times New Roman" w:hint="default"/>
          <w:spacing w:val="20"/>
        </w:rPr>
        <w:t> </w:t>
      </w:r>
      <w:r>
        <w:rPr/>
        <w:t>项</w:t>
      </w:r>
      <w:r>
        <w:rPr>
          <w:w w:val="100"/>
        </w:rPr>
        <w:t> </w:t>
      </w:r>
      <w:r>
        <w:rPr>
          <w:spacing w:val="-1"/>
        </w:rPr>
        <w:t>目以及福州高清视频政府购买服务类项目等回款周期较长的项目，报告期内该类项目回款金额较</w:t>
      </w:r>
      <w:r>
        <w:rPr>
          <w:spacing w:val="-55"/>
        </w:rPr>
        <w:t> </w:t>
      </w:r>
      <w:r>
        <w:rPr>
          <w:spacing w:val="-55"/>
        </w:rPr>
      </w:r>
      <w:r>
        <w:rPr/>
        <w:t>少而项目建设采购集中支出所致。</w:t>
      </w:r>
    </w:p>
    <w:p>
      <w:pPr>
        <w:pStyle w:val="BodyText"/>
        <w:spacing w:line="314" w:lineRule="auto" w:before="28"/>
        <w:ind w:right="212" w:firstLine="419"/>
        <w:jc w:val="both"/>
      </w:pPr>
      <w:r>
        <w:rPr>
          <w:spacing w:val="-2"/>
        </w:rPr>
        <w:t>财务指标方面，基本每股收益、扣除非经常性损益后的基本每股收益上升，主要是经营成果</w:t>
      </w:r>
      <w:r>
        <w:rPr>
          <w:spacing w:val="-3"/>
          <w:w w:val="100"/>
        </w:rPr>
        <w:t> </w:t>
      </w:r>
      <w:r>
        <w:rPr/>
        <w:t>良好，净利润同比上升所致。</w:t>
      </w:r>
    </w:p>
    <w:p>
      <w:pPr>
        <w:spacing w:line="240" w:lineRule="auto" w:before="10"/>
        <w:rPr>
          <w:rFonts w:ascii="宋体" w:hAnsi="宋体" w:cs="宋体" w:eastAsia="宋体" w:hint="default"/>
          <w:sz w:val="25"/>
          <w:szCs w:val="25"/>
        </w:rPr>
      </w:pPr>
    </w:p>
    <w:p>
      <w:pPr>
        <w:pStyle w:val="Heading4"/>
        <w:spacing w:line="240" w:lineRule="auto" w:before="0"/>
        <w:ind w:right="99"/>
        <w:jc w:val="left"/>
        <w:rPr>
          <w:b w:val="0"/>
          <w:bCs w:val="0"/>
        </w:rPr>
      </w:pPr>
      <w:r>
        <w:rPr/>
        <w:t>八、</w:t>
      </w:r>
      <w:r>
        <w:rPr>
          <w:spacing w:val="-32"/>
        </w:rPr>
        <w:t> </w:t>
      </w:r>
      <w:r>
        <w:rPr/>
        <w:t>境内外会计准则下会计数据差异</w:t>
      </w:r>
      <w:r>
        <w:rPr>
          <w:b w:val="0"/>
          <w:bCs w:val="0"/>
        </w:rPr>
      </w:r>
    </w:p>
    <w:p>
      <w:pPr>
        <w:pStyle w:val="Heading4"/>
        <w:spacing w:line="247" w:lineRule="auto" w:before="97"/>
        <w:ind w:left="638" w:right="99"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91"/>
        <w:ind w:right="99"/>
        <w:jc w:val="left"/>
      </w:pPr>
      <w:r>
        <w:rPr/>
        <w:t>□适用</w:t>
      </w:r>
      <w:r>
        <w:rPr>
          <w:spacing w:val="-1"/>
        </w:rPr>
        <w:t> </w:t>
      </w:r>
      <w:r>
        <w:rPr/>
        <w:t>√不适用</w:t>
      </w:r>
    </w:p>
    <w:p>
      <w:pPr>
        <w:pStyle w:val="Heading4"/>
        <w:spacing w:line="247" w:lineRule="auto" w:before="97"/>
        <w:ind w:left="638" w:right="99" w:hanging="420"/>
        <w:jc w:val="left"/>
        <w:rPr>
          <w:b w:val="0"/>
          <w:bCs w:val="0"/>
        </w:rPr>
      </w:pPr>
      <w:r>
        <w:rPr>
          <w:rFonts w:ascii="Calibri" w:hAnsi="Calibri" w:cs="Calibri" w:eastAsia="Calibri" w:hint="default"/>
        </w:rPr>
        <w:t>(</w:t>
      </w:r>
      <w:r>
        <w:rPr/>
        <w:t>二</w:t>
      </w:r>
      <w:r>
        <w:rPr>
          <w:rFonts w:ascii="Calibri" w:hAnsi="Calibri" w:cs="Calibri" w:eastAsia="Calibri" w:hint="default"/>
        </w:rPr>
        <w:t>) </w:t>
      </w:r>
      <w:r>
        <w:rPr>
          <w:spacing w:val="2"/>
        </w:rPr>
        <w:t>同时按照境外会计准则与按中国会计准则披露的财务报告中净利润和归属于上市公司股东</w:t>
      </w:r>
      <w:r>
        <w:rPr>
          <w:spacing w:val="-87"/>
        </w:rPr>
        <w:t> </w:t>
      </w:r>
      <w:r>
        <w:rPr>
          <w:spacing w:val="-87"/>
        </w:rPr>
      </w:r>
      <w:r>
        <w:rPr/>
        <w:t>的净资产差异情况</w:t>
      </w:r>
      <w:r>
        <w:rPr>
          <w:b w:val="0"/>
          <w:bCs w:val="0"/>
        </w:rPr>
      </w:r>
    </w:p>
    <w:p>
      <w:pPr>
        <w:pStyle w:val="BodyText"/>
        <w:spacing w:line="240" w:lineRule="auto" w:before="91"/>
        <w:ind w:right="99"/>
        <w:jc w:val="left"/>
      </w:pPr>
      <w:r>
        <w:rPr/>
        <w:t>□适用</w:t>
      </w:r>
      <w:r>
        <w:rPr>
          <w:spacing w:val="-1"/>
        </w:rPr>
        <w:t> </w:t>
      </w:r>
      <w:r>
        <w:rPr/>
        <w:t>√不适用</w:t>
      </w:r>
    </w:p>
    <w:p>
      <w:pPr>
        <w:pStyle w:val="Heading4"/>
        <w:spacing w:line="240" w:lineRule="auto" w:before="97"/>
        <w:ind w:right="9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70"/>
        <w:ind w:right="99"/>
        <w:jc w:val="left"/>
      </w:pPr>
      <w:r>
        <w:rPr/>
        <w:t>□适用</w:t>
      </w:r>
      <w:r>
        <w:rPr>
          <w:spacing w:val="-1"/>
        </w:rPr>
        <w:t> </w:t>
      </w:r>
      <w:r>
        <w:rPr/>
        <w:t>√不适用</w:t>
      </w:r>
    </w:p>
    <w:p>
      <w:pPr>
        <w:pStyle w:val="Heading4"/>
        <w:spacing w:line="240" w:lineRule="auto" w:before="97"/>
        <w:ind w:right="99"/>
        <w:jc w:val="left"/>
        <w:rPr>
          <w:b w:val="0"/>
          <w:bCs w:val="0"/>
        </w:rPr>
      </w:pPr>
      <w:r>
        <w:rPr/>
        <w:t>九、 </w:t>
      </w:r>
      <w:r>
        <w:rPr>
          <w:rFonts w:ascii="Times New Roman" w:hAnsi="Times New Roman" w:cs="Times New Roman" w:eastAsia="Times New Roman" w:hint="default"/>
        </w:rPr>
        <w:t>2018</w:t>
      </w:r>
      <w:r>
        <w:rPr>
          <w:rFonts w:ascii="Times New Roman" w:hAnsi="Times New Roman" w:cs="Times New Roman" w:eastAsia="Times New Roman" w:hint="default"/>
          <w:spacing w:val="-32"/>
        </w:rPr>
        <w:t> </w:t>
      </w:r>
      <w:r>
        <w:rPr/>
        <w:t>年分季度主要财务数据</w:t>
      </w:r>
      <w:r>
        <w:rPr>
          <w:b w:val="0"/>
          <w:bCs w:val="0"/>
        </w:rPr>
      </w:r>
    </w:p>
    <w:p>
      <w:pPr>
        <w:pStyle w:val="BodyText"/>
        <w:tabs>
          <w:tab w:pos="1051" w:val="left" w:leader="none"/>
        </w:tabs>
        <w:spacing w:line="240" w:lineRule="auto" w:before="81"/>
        <w:ind w:left="0" w:right="21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80"/>
        <w:gridCol w:w="1702"/>
        <w:gridCol w:w="1702"/>
        <w:gridCol w:w="1558"/>
        <w:gridCol w:w="1844"/>
      </w:tblGrid>
      <w:tr>
        <w:trPr>
          <w:trHeight w:val="730" w:hRule="exact"/>
        </w:trPr>
        <w:tc>
          <w:tcPr>
            <w:tcW w:w="19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40" w:lineRule="auto" w:before="85"/>
              <w:ind w:left="3"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40" w:lineRule="auto" w:before="85"/>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54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54,452,188.32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221,542,080.47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301,138,933.35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401,910,703.13</w:t>
            </w:r>
          </w:p>
        </w:tc>
      </w:tr>
      <w:tr>
        <w:trPr>
          <w:trHeight w:val="73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left"/>
              <w:rPr>
                <w:rFonts w:ascii="宋体" w:hAnsi="宋体" w:cs="宋体" w:eastAsia="宋体" w:hint="default"/>
                <w:sz w:val="21"/>
                <w:szCs w:val="21"/>
              </w:rPr>
            </w:pPr>
            <w:r>
              <w:rPr>
                <w:rFonts w:ascii="宋体" w:hAnsi="宋体" w:cs="宋体" w:eastAsia="宋体" w:hint="default"/>
                <w:spacing w:val="8"/>
                <w:sz w:val="21"/>
                <w:szCs w:val="21"/>
              </w:rPr>
              <w:t>归属于上市公司股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1,241,483.91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22,738,404.42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98,292,817.70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50,250,609.80</w:t>
            </w:r>
          </w:p>
        </w:tc>
      </w:tr>
      <w:tr>
        <w:trPr>
          <w:trHeight w:val="109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0"/>
              <w:jc w:val="both"/>
              <w:rPr>
                <w:rFonts w:ascii="宋体" w:hAnsi="宋体" w:cs="宋体" w:eastAsia="宋体" w:hint="default"/>
                <w:sz w:val="21"/>
                <w:szCs w:val="21"/>
              </w:rPr>
            </w:pPr>
            <w:r>
              <w:rPr>
                <w:rFonts w:ascii="宋体" w:hAnsi="宋体" w:cs="宋体" w:eastAsia="宋体" w:hint="default"/>
                <w:spacing w:val="8"/>
                <w:sz w:val="21"/>
                <w:szCs w:val="21"/>
              </w:rPr>
              <w:t>归属于上市公司股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8"/>
                <w:sz w:val="21"/>
                <w:szCs w:val="21"/>
              </w:rPr>
              <w:t>东的扣除非经常性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损益后的净利润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-9,430,569.04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19,935,607.94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94,399,092.01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48,212,451.07</w:t>
            </w:r>
          </w:p>
        </w:tc>
      </w:tr>
      <w:tr>
        <w:trPr>
          <w:trHeight w:val="73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left"/>
              <w:rPr>
                <w:rFonts w:ascii="宋体" w:hAnsi="宋体" w:cs="宋体" w:eastAsia="宋体" w:hint="default"/>
                <w:sz w:val="21"/>
                <w:szCs w:val="21"/>
              </w:rPr>
            </w:pPr>
            <w:r>
              <w:rPr>
                <w:rFonts w:ascii="宋体" w:hAnsi="宋体" w:cs="宋体" w:eastAsia="宋体" w:hint="default"/>
                <w:spacing w:val="8"/>
                <w:sz w:val="21"/>
                <w:szCs w:val="21"/>
              </w:rPr>
              <w:t>经营活动产生的现</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-164,342,073.54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-205,557,451.36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-43,790,328.73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143,908,885.57</w:t>
            </w:r>
          </w:p>
        </w:tc>
      </w:tr>
    </w:tbl>
    <w:p>
      <w:pPr>
        <w:pStyle w:val="BodyText"/>
        <w:spacing w:line="262" w:lineRule="exact"/>
        <w:ind w:right="99"/>
        <w:jc w:val="left"/>
      </w:pPr>
      <w:r>
        <w:rPr/>
        <w:t>季度数据与已披露定期报告数据差异说明</w:t>
      </w:r>
    </w:p>
    <w:p>
      <w:pPr>
        <w:spacing w:after="0" w:line="262" w:lineRule="exact"/>
        <w:jc w:val="left"/>
        <w:sectPr>
          <w:pgSz w:w="11910" w:h="16840"/>
          <w:pgMar w:header="855" w:footer="979" w:top="1120" w:bottom="1160" w:left="1580" w:right="106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55" w:footer="979" w:top="1120" w:bottom="1160" w:left="1580" w:right="1140"/>
        </w:sectPr>
      </w:pPr>
    </w:p>
    <w:p>
      <w:pPr>
        <w:pStyle w:val="BodyText"/>
        <w:tabs>
          <w:tab w:pos="1540" w:val="left" w:leader="none"/>
        </w:tabs>
        <w:spacing w:line="240" w:lineRule="auto" w:before="36"/>
        <w:ind w:left="698" w:right="-19"/>
        <w:jc w:val="left"/>
      </w:pPr>
      <w:r>
        <w:rPr/>
        <w:t>□适用</w:t>
        <w:tab/>
        <w:t>√不适用</w:t>
      </w:r>
    </w:p>
    <w:p>
      <w:pPr>
        <w:pStyle w:val="Heading4"/>
        <w:spacing w:line="240" w:lineRule="auto" w:before="97"/>
        <w:ind w:right="-19"/>
        <w:jc w:val="left"/>
        <w:rPr>
          <w:b w:val="0"/>
          <w:bCs w:val="0"/>
        </w:rPr>
      </w:pPr>
      <w:r>
        <w:rPr/>
        <w:t>十、</w:t>
      </w:r>
      <w:r>
        <w:rPr>
          <w:spacing w:val="39"/>
        </w:rPr>
        <w:t> </w:t>
      </w:r>
      <w:r>
        <w:rPr/>
        <w:t>非经常性损益项目和金额</w:t>
      </w:r>
      <w:r>
        <w:rPr>
          <w:b w:val="0"/>
          <w:bCs w:val="0"/>
        </w:rPr>
      </w:r>
    </w:p>
    <w:p>
      <w:pPr>
        <w:pStyle w:val="BodyText"/>
        <w:spacing w:line="240" w:lineRule="auto" w:before="97"/>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140"/>
          <w:cols w:num="2" w:equalWidth="0">
            <w:col w:w="3106" w:space="3627"/>
            <w:col w:w="245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72"/>
        <w:gridCol w:w="1844"/>
        <w:gridCol w:w="953"/>
        <w:gridCol w:w="1580"/>
        <w:gridCol w:w="1476"/>
      </w:tblGrid>
      <w:tr>
        <w:trPr>
          <w:trHeight w:val="636"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40"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年金额</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3" w:right="101" w:hanging="51"/>
              <w:jc w:val="left"/>
              <w:rPr>
                <w:rFonts w:ascii="宋体" w:hAnsi="宋体" w:cs="宋体" w:eastAsia="宋体" w:hint="default"/>
                <w:sz w:val="21"/>
                <w:szCs w:val="21"/>
              </w:rPr>
            </w:pPr>
            <w:r>
              <w:rPr>
                <w:rFonts w:ascii="宋体" w:hAnsi="宋体" w:cs="宋体" w:eastAsia="宋体" w:hint="default"/>
                <w:spacing w:val="-28"/>
                <w:w w:val="100"/>
                <w:sz w:val="21"/>
                <w:szCs w:val="21"/>
              </w:rPr>
              <w:t>附注（如</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适用）</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年金额</w:t>
            </w:r>
          </w:p>
        </w:tc>
      </w:tr>
      <w:tr>
        <w:trPr>
          <w:trHeight w:val="487"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1"/>
                <w:szCs w:val="21"/>
              </w:rPr>
            </w:pPr>
            <w:r>
              <w:rPr>
                <w:rFonts w:ascii="Times New Roman"/>
                <w:spacing w:val="-1"/>
                <w:sz w:val="21"/>
              </w:rPr>
              <w:t>8,380,529.44</w:t>
            </w:r>
          </w:p>
        </w:tc>
        <w:tc>
          <w:tcPr>
            <w:tcW w:w="95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1"/>
                <w:szCs w:val="21"/>
              </w:rPr>
            </w:pPr>
            <w:r>
              <w:rPr>
                <w:rFonts w:ascii="Times New Roman"/>
                <w:spacing w:val="-1"/>
                <w:sz w:val="21"/>
              </w:rPr>
              <w:t>-163,044.23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spacing w:val="-1"/>
                <w:sz w:val="21"/>
              </w:rPr>
              <w:t>-55,242.36</w:t>
            </w:r>
          </w:p>
        </w:tc>
      </w:tr>
      <w:tr>
        <w:trPr>
          <w:trHeight w:val="1570"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计入当期损益的政府补助，但</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7"/>
                <w:sz w:val="21"/>
                <w:szCs w:val="21"/>
              </w:rPr>
              <w:t>与公司正常经营业务密切相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关，符合国家政策规定、按照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一定标准定额或定量持续享受</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的政府补助除外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8,790,301.11</w:t>
            </w:r>
          </w:p>
        </w:tc>
        <w:tc>
          <w:tcPr>
            <w:tcW w:w="95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9,139,913.30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3,919,849.33</w:t>
            </w:r>
          </w:p>
        </w:tc>
      </w:tr>
      <w:tr>
        <w:trPr>
          <w:trHeight w:val="2196"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除同公司正常经营业务相关的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有效套期保值业务外，持有交</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易性金融资产、交易性金融负</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债产生的公允价值变动损益，</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以及处置交易性金融资产、交</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易性金融负债和可供出售金融</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资产取得的投资收益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7,017,396.92</w:t>
            </w:r>
          </w:p>
        </w:tc>
        <w:tc>
          <w:tcPr>
            <w:tcW w:w="95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13,141,230.10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2,863,035.93</w:t>
            </w:r>
          </w:p>
        </w:tc>
      </w:tr>
      <w:tr>
        <w:trPr>
          <w:trHeight w:val="634"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收入和支出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-1,449,150.40</w:t>
            </w:r>
          </w:p>
        </w:tc>
        <w:tc>
          <w:tcPr>
            <w:tcW w:w="95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-2,211,102.51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350,126.31</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-75,252.77</w:t>
            </w:r>
          </w:p>
        </w:tc>
        <w:tc>
          <w:tcPr>
            <w:tcW w:w="95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92,918.23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-7,929.43</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-3,257,090.45</w:t>
            </w:r>
          </w:p>
        </w:tc>
        <w:tc>
          <w:tcPr>
            <w:tcW w:w="95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-2,927,582.88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-1,178,733.62</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19,406,733.85</w:t>
            </w:r>
          </w:p>
        </w:tc>
        <w:tc>
          <w:tcPr>
            <w:tcW w:w="95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17,072,332.01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5,891,106.16</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1580" w:right="1140"/>
        </w:sectPr>
      </w:pPr>
    </w:p>
    <w:p>
      <w:pPr>
        <w:pStyle w:val="Heading4"/>
        <w:tabs>
          <w:tab w:pos="1057" w:val="left" w:leader="none"/>
        </w:tabs>
        <w:spacing w:line="240" w:lineRule="auto"/>
        <w:ind w:right="-7"/>
        <w:jc w:val="left"/>
        <w:rPr>
          <w:b w:val="0"/>
          <w:bCs w:val="0"/>
        </w:rPr>
      </w:pPr>
      <w:r>
        <w:rPr/>
        <w:t>十一、</w:t>
        <w:tab/>
      </w:r>
      <w:r>
        <w:rPr>
          <w:spacing w:val="-1"/>
        </w:rPr>
        <w:t>采用公允价值计量的项目</w:t>
      </w:r>
      <w:r>
        <w:rPr>
          <w:b w:val="0"/>
          <w:bCs w:val="0"/>
          <w:spacing w:val="-1"/>
        </w:rPr>
      </w:r>
    </w:p>
    <w:p>
      <w:pPr>
        <w:pStyle w:val="BodyText"/>
        <w:spacing w:line="240" w:lineRule="auto" w:before="97"/>
        <w:ind w:right="-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140"/>
          <w:cols w:num="2" w:equalWidth="0">
            <w:col w:w="3379" w:space="3142"/>
            <w:col w:w="26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891"/>
        <w:gridCol w:w="1697"/>
        <w:gridCol w:w="1656"/>
        <w:gridCol w:w="1644"/>
        <w:gridCol w:w="1935"/>
      </w:tblGrid>
      <w:tr>
        <w:trPr>
          <w:trHeight w:val="733"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当期变动</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751" w:right="118" w:hanging="630"/>
              <w:jc w:val="left"/>
              <w:rPr>
                <w:rFonts w:ascii="宋体" w:hAnsi="宋体" w:cs="宋体" w:eastAsia="宋体" w:hint="default"/>
                <w:sz w:val="21"/>
                <w:szCs w:val="21"/>
              </w:rPr>
            </w:pPr>
            <w:r>
              <w:rPr>
                <w:rFonts w:ascii="宋体" w:hAnsi="宋体" w:cs="宋体" w:eastAsia="宋体" w:hint="default"/>
                <w:sz w:val="21"/>
                <w:szCs w:val="21"/>
              </w:rPr>
              <w:t>对当期利润的影响</w:t>
            </w:r>
            <w:r>
              <w:rPr>
                <w:rFonts w:ascii="宋体" w:hAnsi="宋体" w:cs="宋体" w:eastAsia="宋体" w:hint="default"/>
                <w:w w:val="100"/>
                <w:sz w:val="21"/>
                <w:szCs w:val="21"/>
              </w:rPr>
              <w:t> </w:t>
            </w:r>
            <w:r>
              <w:rPr>
                <w:rFonts w:ascii="宋体" w:hAnsi="宋体" w:cs="宋体" w:eastAsia="宋体" w:hint="default"/>
                <w:sz w:val="21"/>
                <w:szCs w:val="21"/>
              </w:rPr>
              <w:t>金额</w:t>
            </w:r>
          </w:p>
        </w:tc>
      </w:tr>
      <w:tr>
        <w:trPr>
          <w:trHeight w:val="370"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113,710,759.27</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21"/>
                <w:szCs w:val="21"/>
              </w:rPr>
            </w:pPr>
            <w:r>
              <w:rPr>
                <w:rFonts w:ascii="Times New Roman"/>
                <w:sz w:val="21"/>
              </w:rPr>
              <w:t>-113,710,759.27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1,123,004.13</w:t>
            </w:r>
          </w:p>
        </w:tc>
      </w:tr>
      <w:tr>
        <w:trPr>
          <w:trHeight w:val="370"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113,710,759.27</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21"/>
                <w:szCs w:val="21"/>
              </w:rPr>
            </w:pPr>
            <w:r>
              <w:rPr>
                <w:rFonts w:ascii="Times New Roman"/>
                <w:sz w:val="21"/>
              </w:rPr>
              <w:t>-113,710,759.27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1,123,004.13</w:t>
            </w:r>
          </w:p>
        </w:tc>
      </w:tr>
    </w:tbl>
    <w:p>
      <w:pPr>
        <w:spacing w:line="240" w:lineRule="auto" w:before="9"/>
        <w:rPr>
          <w:rFonts w:ascii="宋体" w:hAnsi="宋体" w:cs="宋体" w:eastAsia="宋体" w:hint="default"/>
          <w:sz w:val="24"/>
          <w:szCs w:val="24"/>
        </w:rPr>
      </w:pPr>
    </w:p>
    <w:p>
      <w:pPr>
        <w:pStyle w:val="Heading4"/>
        <w:tabs>
          <w:tab w:pos="1057" w:val="left" w:leader="none"/>
        </w:tabs>
        <w:spacing w:line="240" w:lineRule="auto"/>
        <w:ind w:right="2631"/>
        <w:jc w:val="left"/>
        <w:rPr>
          <w:b w:val="0"/>
          <w:bCs w:val="0"/>
        </w:rPr>
      </w:pPr>
      <w:r>
        <w:rPr/>
        <w:t>十二、</w:t>
        <w:tab/>
        <w:t>其他</w:t>
      </w:r>
      <w:r>
        <w:rPr>
          <w:b w:val="0"/>
          <w:bCs w:val="0"/>
        </w:rPr>
      </w:r>
    </w:p>
    <w:p>
      <w:pPr>
        <w:pStyle w:val="BodyText"/>
        <w:spacing w:line="240" w:lineRule="auto" w:before="97"/>
        <w:ind w:right="2631"/>
        <w:jc w:val="left"/>
      </w:pPr>
      <w:r>
        <w:rPr/>
        <w:t>□适用</w:t>
      </w:r>
      <w:r>
        <w:rPr>
          <w:spacing w:val="-1"/>
        </w:rPr>
        <w:t> </w:t>
      </w:r>
      <w:r>
        <w:rPr/>
        <w:t>√不适用</w:t>
      </w:r>
    </w:p>
    <w:p>
      <w:pPr>
        <w:spacing w:after="0" w:line="240" w:lineRule="auto"/>
        <w:jc w:val="left"/>
        <w:sectPr>
          <w:type w:val="continuous"/>
          <w:pgSz w:w="11910" w:h="16840"/>
          <w:pgMar w:top="1580" w:bottom="280" w:left="158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1"/>
        <w:tabs>
          <w:tab w:pos="1259" w:val="left" w:leader="none"/>
        </w:tabs>
        <w:spacing w:line="240" w:lineRule="auto"/>
        <w:ind w:right="75"/>
        <w:jc w:val="center"/>
        <w:rPr>
          <w:b w:val="0"/>
          <w:bCs w:val="0"/>
        </w:rPr>
      </w:pPr>
      <w:bookmarkStart w:name="_TOC_250009" w:id="3"/>
      <w:r>
        <w:rPr>
          <w:w w:val="95"/>
        </w:rPr>
        <w:t>第三节</w:t>
        <w:tab/>
      </w:r>
      <w:r>
        <w:rPr/>
        <w:t>公司业务概要</w:t>
      </w:r>
      <w:bookmarkEnd w:id="3"/>
      <w:r>
        <w:rPr>
          <w:b w:val="0"/>
          <w:bCs w:val="0"/>
        </w:rPr>
      </w:r>
    </w:p>
    <w:p>
      <w:pPr>
        <w:spacing w:line="372" w:lineRule="auto" w:before="219"/>
        <w:ind w:left="558" w:right="47" w:hanging="42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4"/>
          <w:sz w:val="21"/>
          <w:szCs w:val="21"/>
        </w:rPr>
        <w:t>公司是国内“互联网</w:t>
      </w:r>
      <w:r>
        <w:rPr>
          <w:rFonts w:ascii="宋体" w:hAnsi="宋体" w:cs="宋体" w:eastAsia="宋体" w:hint="default"/>
          <w:spacing w:val="-4"/>
          <w:sz w:val="21"/>
          <w:szCs w:val="21"/>
        </w:rPr>
        <w:t>+</w:t>
      </w:r>
      <w:r>
        <w:rPr>
          <w:rFonts w:ascii="宋体" w:hAnsi="宋体" w:cs="宋体" w:eastAsia="宋体" w:hint="default"/>
          <w:spacing w:val="-4"/>
          <w:sz w:val="21"/>
          <w:szCs w:val="21"/>
        </w:rPr>
        <w:t>政务”领域的龙头企业、城市公共安全管理与智慧城市建设运营领军企</w:t>
      </w:r>
    </w:p>
    <w:p>
      <w:pPr>
        <w:pStyle w:val="BodyText"/>
        <w:spacing w:line="245" w:lineRule="exact"/>
        <w:ind w:left="138" w:right="2631"/>
        <w:jc w:val="left"/>
      </w:pPr>
      <w:r>
        <w:rPr/>
        <w:t>业、行业大数据应用与服务提供商。</w:t>
      </w:r>
    </w:p>
    <w:p>
      <w:pPr>
        <w:spacing w:line="314" w:lineRule="auto" w:before="85"/>
        <w:ind w:left="558" w:right="47" w:firstLine="2"/>
        <w:jc w:val="left"/>
        <w:rPr>
          <w:rFonts w:ascii="宋体" w:hAnsi="宋体" w:cs="宋体" w:eastAsia="宋体" w:hint="default"/>
          <w:sz w:val="21"/>
          <w:szCs w:val="21"/>
        </w:rPr>
      </w:pPr>
      <w:r>
        <w:rPr>
          <w:rFonts w:ascii="宋体" w:hAnsi="宋体" w:cs="宋体" w:eastAsia="宋体" w:hint="default"/>
          <w:b/>
          <w:bCs/>
          <w:sz w:val="21"/>
          <w:szCs w:val="21"/>
        </w:rPr>
        <w:t>（一）互联网</w:t>
      </w:r>
      <w:r>
        <w:rPr>
          <w:rFonts w:ascii="宋体" w:hAnsi="宋体" w:cs="宋体" w:eastAsia="宋体" w:hint="default"/>
          <w:b/>
          <w:bCs/>
          <w:sz w:val="21"/>
          <w:szCs w:val="21"/>
        </w:rPr>
        <w:t>+</w:t>
      </w:r>
      <w:r>
        <w:rPr>
          <w:rFonts w:ascii="宋体" w:hAnsi="宋体" w:cs="宋体" w:eastAsia="宋体" w:hint="default"/>
          <w:b/>
          <w:bCs/>
          <w:sz w:val="21"/>
          <w:szCs w:val="21"/>
        </w:rPr>
        <w:t>政务领域</w:t>
      </w:r>
      <w:r>
        <w:rPr>
          <w:rFonts w:ascii="宋体" w:hAnsi="宋体" w:cs="宋体" w:eastAsia="宋体" w:hint="default"/>
          <w:b/>
          <w:bCs/>
          <w:w w:val="100"/>
          <w:sz w:val="21"/>
          <w:szCs w:val="21"/>
        </w:rPr>
        <w:t> </w:t>
      </w:r>
      <w:r>
        <w:rPr>
          <w:rFonts w:ascii="宋体" w:hAnsi="宋体" w:cs="宋体" w:eastAsia="宋体" w:hint="default"/>
          <w:spacing w:val="-4"/>
          <w:sz w:val="21"/>
          <w:szCs w:val="21"/>
        </w:rPr>
        <w:t>随着国家放管服改革的深入推进，全国各省市都在加快推进互联网</w:t>
      </w:r>
      <w:r>
        <w:rPr>
          <w:rFonts w:ascii="宋体" w:hAnsi="宋体" w:cs="宋体" w:eastAsia="宋体" w:hint="default"/>
          <w:spacing w:val="-4"/>
          <w:sz w:val="21"/>
          <w:szCs w:val="21"/>
        </w:rPr>
        <w:t>+</w:t>
      </w:r>
      <w:r>
        <w:rPr>
          <w:rFonts w:ascii="宋体" w:hAnsi="宋体" w:cs="宋体" w:eastAsia="宋体" w:hint="default"/>
          <w:spacing w:val="-4"/>
          <w:sz w:val="21"/>
          <w:szCs w:val="21"/>
        </w:rPr>
        <w:t>政务应用，从而提升政府</w:t>
      </w:r>
    </w:p>
    <w:p>
      <w:pPr>
        <w:pStyle w:val="BodyText"/>
        <w:spacing w:line="240" w:lineRule="auto" w:before="20"/>
        <w:ind w:left="138" w:right="47"/>
        <w:jc w:val="left"/>
        <w:rPr>
          <w:rFonts w:ascii="宋体" w:hAnsi="宋体" w:cs="宋体" w:eastAsia="宋体" w:hint="default"/>
        </w:rPr>
      </w:pPr>
      <w:r>
        <w:rPr/>
        <w:t>治理体系的现代化水平，提升优化营商环境，增强经济发展内生动力。预计</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年全国互联网</w:t>
      </w:r>
      <w:r>
        <w:rPr>
          <w:rFonts w:ascii="宋体" w:hAnsi="宋体" w:cs="宋体" w:eastAsia="宋体" w:hint="default"/>
        </w:rPr>
        <w:t>+</w:t>
      </w:r>
    </w:p>
    <w:p>
      <w:pPr>
        <w:pStyle w:val="BodyText"/>
        <w:spacing w:line="297" w:lineRule="auto" w:before="69"/>
        <w:ind w:left="558" w:right="47" w:hanging="420"/>
        <w:jc w:val="left"/>
      </w:pPr>
      <w:r>
        <w:rPr/>
        <w:t>政务市场规模将达到</w:t>
      </w:r>
      <w:r>
        <w:rPr>
          <w:spacing w:val="-54"/>
        </w:rPr>
        <w:t> </w:t>
      </w:r>
      <w:r>
        <w:rPr>
          <w:rFonts w:ascii="Times New Roman" w:hAnsi="Times New Roman" w:cs="Times New Roman" w:eastAsia="Times New Roman" w:hint="default"/>
        </w:rPr>
        <w:t>3,500</w:t>
      </w:r>
      <w:r>
        <w:rPr>
          <w:rFonts w:ascii="Times New Roman" w:hAnsi="Times New Roman" w:cs="Times New Roman" w:eastAsia="Times New Roman" w:hint="default"/>
          <w:spacing w:val="-1"/>
        </w:rPr>
        <w:t> </w:t>
      </w:r>
      <w:r>
        <w:rPr/>
        <w:t>亿元，而且预计未来</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年内，仍将保持</w:t>
      </w:r>
      <w:r>
        <w:rPr>
          <w:spacing w:val="-54"/>
        </w:rPr>
        <w:t> </w:t>
      </w:r>
      <w:r>
        <w:rPr>
          <w:rFonts w:ascii="Times New Roman" w:hAnsi="Times New Roman" w:cs="Times New Roman" w:eastAsia="Times New Roman" w:hint="default"/>
        </w:rPr>
        <w:t>13%</w:t>
      </w:r>
      <w:r>
        <w:rPr/>
        <w:t>左右的稳定增长。</w:t>
      </w:r>
      <w:r>
        <w:rPr>
          <w:w w:val="100"/>
        </w:rPr>
        <w:t> </w:t>
      </w:r>
      <w:r>
        <w:rPr>
          <w:spacing w:val="-1"/>
        </w:rPr>
        <w:t>公司专注于互联网</w:t>
      </w:r>
      <w:r>
        <w:rPr>
          <w:rFonts w:ascii="宋体" w:hAnsi="宋体" w:cs="宋体" w:eastAsia="宋体" w:hint="default"/>
          <w:spacing w:val="-1"/>
        </w:rPr>
        <w:t>+</w:t>
      </w:r>
      <w:r>
        <w:rPr>
          <w:spacing w:val="-1"/>
        </w:rPr>
        <w:t>政务领域十六年，基于国家政策和政府信息化的实践经验，围绕云计算、</w:t>
      </w:r>
    </w:p>
    <w:p>
      <w:pPr>
        <w:pStyle w:val="BodyText"/>
        <w:spacing w:line="314" w:lineRule="auto" w:before="34"/>
        <w:ind w:left="138" w:right="207"/>
        <w:jc w:val="both"/>
      </w:pPr>
      <w:r>
        <w:rPr>
          <w:spacing w:val="-1"/>
        </w:rPr>
        <w:t>公共服务整合、信息惠民、数据共享、网络安全、服务模式融合创新等方面，以“放、管、服”</w:t>
      </w:r>
      <w:r>
        <w:rPr>
          <w:spacing w:val="-55"/>
        </w:rPr>
        <w:t> </w:t>
      </w:r>
      <w:r>
        <w:rPr>
          <w:spacing w:val="-55"/>
        </w:rPr>
      </w:r>
      <w:r>
        <w:rPr>
          <w:spacing w:val="-1"/>
        </w:rPr>
        <w:t>为方向、以“一网、一门、一次”为架构、以“大平台、大数据、大系统”为指导，以“政府数</w:t>
      </w:r>
      <w:r>
        <w:rPr>
          <w:spacing w:val="-55"/>
        </w:rPr>
        <w:t> </w:t>
      </w:r>
      <w:r>
        <w:rPr>
          <w:spacing w:val="-55"/>
        </w:rPr>
      </w:r>
      <w:r>
        <w:rPr>
          <w:spacing w:val="-1"/>
        </w:rPr>
        <w:t>据”为核心，以“公共服务、政府治理”为主体，以大数据技术、移动互联网技术、云计算技术</w:t>
      </w:r>
      <w:r>
        <w:rPr>
          <w:spacing w:val="-55"/>
        </w:rPr>
        <w:t> </w:t>
      </w:r>
      <w:r>
        <w:rPr>
          <w:spacing w:val="-55"/>
        </w:rPr>
      </w:r>
      <w:r>
        <w:rPr>
          <w:spacing w:val="-1"/>
        </w:rPr>
        <w:t>为支撑，以“厘权、晒权、行权、质权”为主线，构建立体式、一体化政务服务平台，为政府管</w:t>
      </w:r>
      <w:r>
        <w:rPr>
          <w:spacing w:val="-55"/>
        </w:rPr>
        <w:t> </w:t>
      </w:r>
      <w:r>
        <w:rPr>
          <w:spacing w:val="-55"/>
        </w:rPr>
      </w:r>
      <w:r>
        <w:rPr>
          <w:spacing w:val="-4"/>
        </w:rPr>
        <w:t>理决策和社会公共服务提供强有力的支持。多年来，公司打造了互联网</w:t>
      </w:r>
      <w:r>
        <w:rPr>
          <w:rFonts w:ascii="宋体" w:hAnsi="宋体" w:cs="宋体" w:eastAsia="宋体" w:hint="default"/>
          <w:spacing w:val="-4"/>
        </w:rPr>
        <w:t>+</w:t>
      </w:r>
      <w:r>
        <w:rPr>
          <w:spacing w:val="-4"/>
        </w:rPr>
        <w:t>政务服务、电子证照、自</w:t>
      </w:r>
      <w:r>
        <w:rPr>
          <w:spacing w:val="-34"/>
        </w:rPr>
        <w:t> </w:t>
      </w:r>
      <w:r>
        <w:rPr>
          <w:spacing w:val="-34"/>
        </w:rPr>
      </w:r>
      <w:r>
        <w:rPr>
          <w:spacing w:val="-6"/>
        </w:rPr>
        <w:t>主可控等传统优势解决方案，奠定了行业领先地位，并在此基础上紧跟国家“放管服改革”步伐，</w:t>
      </w:r>
      <w:r>
        <w:rPr>
          <w:spacing w:val="-54"/>
        </w:rPr>
        <w:t> </w:t>
      </w:r>
      <w:r>
        <w:rPr>
          <w:spacing w:val="-54"/>
        </w:rPr>
      </w:r>
      <w:r>
        <w:rPr/>
        <w:t>加强研发，不断创新，陆续推出政务</w:t>
      </w:r>
      <w:r>
        <w:rPr>
          <w:spacing w:val="-50"/>
        </w:rPr>
        <w:t> </w:t>
      </w:r>
      <w:r>
        <w:rPr>
          <w:rFonts w:ascii="宋体" w:hAnsi="宋体" w:cs="宋体" w:eastAsia="宋体" w:hint="default"/>
        </w:rPr>
        <w:t>AI</w:t>
      </w:r>
      <w:r>
        <w:rPr>
          <w:rFonts w:ascii="宋体" w:hAnsi="宋体" w:cs="宋体" w:eastAsia="宋体" w:hint="default"/>
          <w:spacing w:val="-50"/>
        </w:rPr>
        <w:t> </w:t>
      </w:r>
      <w:r>
        <w:rPr/>
        <w:t>智能服务平台、一省一窗·异地通办、互联网</w:t>
      </w:r>
      <w:r>
        <w:rPr>
          <w:rFonts w:ascii="宋体" w:hAnsi="宋体" w:cs="宋体" w:eastAsia="宋体" w:hint="default"/>
        </w:rPr>
        <w:t>+</w:t>
      </w:r>
      <w:r>
        <w:rPr/>
        <w:t>监管、城</w:t>
      </w:r>
      <w:r>
        <w:rPr>
          <w:w w:val="100"/>
        </w:rPr>
        <w:t> </w:t>
      </w:r>
      <w:r>
        <w:rPr/>
        <w:t>市通等创新型产品。</w:t>
      </w:r>
    </w:p>
    <w:p>
      <w:pPr>
        <w:pStyle w:val="Heading4"/>
        <w:spacing w:line="240" w:lineRule="auto" w:before="20"/>
        <w:ind w:left="560" w:right="2631"/>
        <w:jc w:val="left"/>
        <w:rPr>
          <w:b w:val="0"/>
          <w:bCs w:val="0"/>
        </w:rPr>
      </w:pPr>
      <w:r>
        <w:rPr/>
        <w:t>（二）城市公共安全管理</w:t>
      </w:r>
      <w:r>
        <w:rPr>
          <w:b w:val="0"/>
          <w:bCs w:val="0"/>
        </w:rPr>
      </w:r>
    </w:p>
    <w:p>
      <w:pPr>
        <w:pStyle w:val="BodyText"/>
        <w:spacing w:line="300" w:lineRule="auto" w:before="85"/>
        <w:ind w:left="138" w:right="207" w:firstLine="41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41"/>
        </w:rPr>
        <w:t> </w:t>
      </w:r>
      <w:r>
        <w:rPr>
          <w:spacing w:val="-3"/>
        </w:rPr>
        <w:t>年公安部成立了全国公安大数据工作领导小组，大力推进实施公安大数据战略，要求各</w:t>
      </w:r>
      <w:r>
        <w:rPr>
          <w:w w:val="100"/>
        </w:rPr>
        <w:t> </w:t>
      </w:r>
      <w:r>
        <w:rPr>
          <w:spacing w:val="-1"/>
        </w:rPr>
        <w:t>级公安机关以大数据建设和应用为重点，把大数据理念贯穿于基础信息化建设全过程、各环节，</w:t>
      </w:r>
      <w:r>
        <w:rPr>
          <w:spacing w:val="-55"/>
        </w:rPr>
        <w:t> </w:t>
      </w:r>
      <w:r>
        <w:rPr>
          <w:spacing w:val="-55"/>
        </w:rPr>
      </w:r>
      <w:r>
        <w:rPr>
          <w:spacing w:val="-3"/>
        </w:rPr>
        <w:t>不断推动公安科技信息化建设提速升级。同时，</w:t>
      </w:r>
      <w:r>
        <w:rPr>
          <w:rFonts w:ascii="Times New Roman" w:hAnsi="Times New Roman" w:cs="Times New Roman" w:eastAsia="Times New Roman" w:hint="default"/>
          <w:spacing w:val="-3"/>
        </w:rPr>
        <w:t>2018 </w:t>
      </w:r>
      <w:r>
        <w:rPr/>
        <w:t>年 </w:t>
      </w:r>
      <w:r>
        <w:rPr>
          <w:rFonts w:ascii="Times New Roman" w:hAnsi="Times New Roman" w:cs="Times New Roman" w:eastAsia="Times New Roman" w:hint="default"/>
        </w:rPr>
        <w:t>1 </w:t>
      </w:r>
      <w:r>
        <w:rPr>
          <w:spacing w:val="-3"/>
        </w:rPr>
        <w:t>月份中央政法会议上，习近平总书记提</w:t>
      </w:r>
      <w:r>
        <w:rPr>
          <w:spacing w:val="-80"/>
        </w:rPr>
        <w:t> </w:t>
      </w:r>
      <w:r>
        <w:rPr>
          <w:spacing w:val="-80"/>
        </w:rPr>
      </w:r>
      <w:r>
        <w:rPr>
          <w:spacing w:val="-3"/>
        </w:rPr>
        <w:t>出深化智能化建设，把新时代政法工作提高到新水平。预计到</w:t>
      </w:r>
      <w:r>
        <w:rPr>
          <w:spacing w:val="-3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6"/>
        </w:rPr>
        <w:t> </w:t>
      </w:r>
      <w:r>
        <w:rPr>
          <w:spacing w:val="-5"/>
        </w:rPr>
        <w:t>年，在新兴技术的推动下，涉</w:t>
      </w:r>
      <w:r>
        <w:rPr>
          <w:spacing w:val="-97"/>
        </w:rPr>
        <w:t> </w:t>
      </w:r>
      <w:r>
        <w:rPr>
          <w:spacing w:val="-97"/>
        </w:rPr>
      </w:r>
      <w:r>
        <w:rPr/>
        <w:t>及城市安全领域建设的安防企业总收入将达到 </w:t>
      </w:r>
      <w:r>
        <w:rPr>
          <w:rFonts w:ascii="Times New Roman" w:hAnsi="Times New Roman" w:cs="Times New Roman" w:eastAsia="Times New Roman" w:hint="default"/>
        </w:rPr>
        <w:t>8000 </w:t>
      </w:r>
      <w:r>
        <w:rPr/>
        <w:t>亿元左右，年复合增长率在</w:t>
      </w:r>
      <w:r>
        <w:rPr>
          <w:spacing w:val="-66"/>
        </w:rPr>
        <w:t> </w:t>
      </w:r>
      <w:r>
        <w:rPr>
          <w:rFonts w:ascii="Times New Roman" w:hAnsi="Times New Roman" w:cs="Times New Roman" w:eastAsia="Times New Roman" w:hint="default"/>
        </w:rPr>
        <w:t>10%</w:t>
      </w:r>
      <w:r>
        <w:rPr/>
        <w:t>以上，按照</w:t>
      </w:r>
      <w:r>
        <w:rPr>
          <w:w w:val="100"/>
        </w:rPr>
        <w:t> </w:t>
      </w:r>
      <w:r>
        <w:rPr/>
        <w:t>规划预期，到</w:t>
      </w:r>
      <w:r>
        <w:rPr>
          <w:spacing w:val="-54"/>
        </w:rPr>
        <w:t> </w:t>
      </w:r>
      <w:r>
        <w:rPr>
          <w:rFonts w:ascii="Times New Roman" w:hAnsi="Times New Roman" w:cs="Times New Roman" w:eastAsia="Times New Roman" w:hint="default"/>
        </w:rPr>
        <w:t>2022</w:t>
      </w:r>
      <w:r>
        <w:rPr>
          <w:rFonts w:ascii="Times New Roman" w:hAnsi="Times New Roman" w:cs="Times New Roman" w:eastAsia="Times New Roman" w:hint="default"/>
          <w:spacing w:val="-4"/>
        </w:rPr>
        <w:t> </w:t>
      </w:r>
      <w:r>
        <w:rPr/>
        <w:t>年安防行业市场规模将达到近万亿。</w:t>
      </w:r>
    </w:p>
    <w:p>
      <w:pPr>
        <w:pStyle w:val="BodyText"/>
        <w:spacing w:line="314" w:lineRule="auto" w:before="11"/>
        <w:ind w:left="138" w:right="207" w:firstLine="419"/>
        <w:jc w:val="both"/>
      </w:pPr>
      <w:r>
        <w:rPr>
          <w:spacing w:val="-2"/>
        </w:rPr>
        <w:t>公司是行业领先的智慧警务解决方案提供商，重点围绕公共安全前端感知系统及后端各类实</w:t>
      </w:r>
      <w:r>
        <w:rPr>
          <w:w w:val="100"/>
        </w:rPr>
        <w:t> </w:t>
      </w:r>
      <w:r>
        <w:rPr>
          <w:spacing w:val="-1"/>
        </w:rPr>
        <w:t>战应用平台的建设。已形成的产品线有：智能感知大数据平台、城市公共安全云平台、涉车大数</w:t>
      </w:r>
      <w:r>
        <w:rPr>
          <w:spacing w:val="-55"/>
        </w:rPr>
        <w:t> </w:t>
      </w:r>
      <w:r>
        <w:rPr>
          <w:spacing w:val="-55"/>
        </w:rPr>
      </w:r>
      <w:r>
        <w:rPr>
          <w:spacing w:val="-1"/>
        </w:rPr>
        <w:t>据平台、无线终端采集大数据平台、人像大数据平台、数据汇聚传输平台、部门间信息共享服务</w:t>
      </w:r>
      <w:r>
        <w:rPr>
          <w:spacing w:val="-55"/>
        </w:rPr>
        <w:t> </w:t>
      </w:r>
      <w:r>
        <w:rPr>
          <w:spacing w:val="-55"/>
        </w:rPr>
      </w:r>
      <w:r>
        <w:rPr>
          <w:spacing w:val="-1"/>
        </w:rPr>
        <w:t>平台等。公司以智慧警务智能感知大数据平台为核心，持续加大产品研发投入，创新推出的智能</w:t>
      </w:r>
      <w:r>
        <w:rPr>
          <w:spacing w:val="-55"/>
        </w:rPr>
        <w:t> </w:t>
      </w:r>
      <w:r>
        <w:rPr>
          <w:spacing w:val="-55"/>
        </w:rPr>
      </w:r>
      <w:r>
        <w:rPr>
          <w:spacing w:val="-4"/>
        </w:rPr>
        <w:t>感知大数据平台，以公安的实战业务为导向</w:t>
      </w:r>
      <w:r>
        <w:rPr>
          <w:rFonts w:ascii="宋体" w:hAnsi="宋体" w:cs="宋体" w:eastAsia="宋体" w:hint="default"/>
          <w:spacing w:val="-4"/>
        </w:rPr>
        <w:t>,</w:t>
      </w:r>
      <w:r>
        <w:rPr>
          <w:spacing w:val="-4"/>
        </w:rPr>
        <w:t>充分应用大数据、机器学习、人工智能、物联网感知</w:t>
      </w:r>
      <w:r>
        <w:rPr>
          <w:spacing w:val="-37"/>
        </w:rPr>
        <w:t> </w:t>
      </w:r>
      <w:r>
        <w:rPr>
          <w:spacing w:val="-37"/>
        </w:rPr>
      </w:r>
      <w:r>
        <w:rPr/>
        <w:t>定位等新技术</w:t>
      </w:r>
      <w:r>
        <w:rPr>
          <w:rFonts w:ascii="宋体" w:hAnsi="宋体" w:cs="宋体" w:eastAsia="宋体" w:hint="default"/>
        </w:rPr>
        <w:t>,</w:t>
      </w:r>
      <w:r>
        <w:rPr/>
        <w:t>设计公安大脑算法引擎</w:t>
      </w:r>
      <w:r>
        <w:rPr>
          <w:rFonts w:ascii="宋体" w:hAnsi="宋体" w:cs="宋体" w:eastAsia="宋体" w:hint="default"/>
        </w:rPr>
        <w:t>,</w:t>
      </w:r>
      <w:r>
        <w:rPr/>
        <w:t>深度融合的业务模型体系</w:t>
      </w:r>
      <w:r>
        <w:rPr>
          <w:rFonts w:ascii="宋体" w:hAnsi="宋体" w:cs="宋体" w:eastAsia="宋体" w:hint="default"/>
        </w:rPr>
        <w:t>,</w:t>
      </w:r>
      <w:r>
        <w:rPr/>
        <w:t>实现对各类风险隐患的敏锐感</w:t>
      </w:r>
      <w:r>
        <w:rPr>
          <w:spacing w:val="7"/>
        </w:rPr>
        <w:t> </w:t>
      </w:r>
      <w:r>
        <w:rPr>
          <w:spacing w:val="7"/>
        </w:rPr>
      </w:r>
      <w:r>
        <w:rPr>
          <w:spacing w:val="-1"/>
        </w:rPr>
        <w:t>知、精确预警，构建立体化、动态化数字防控体系，提高公安预测、预警、预知、预判能力，实</w:t>
      </w:r>
      <w:r>
        <w:rPr>
          <w:spacing w:val="-55"/>
        </w:rPr>
        <w:t> </w:t>
      </w:r>
      <w:r>
        <w:rPr>
          <w:spacing w:val="-55"/>
        </w:rPr>
      </w:r>
      <w:r>
        <w:rPr/>
        <w:t>现精确打击、动态管控、扁平指挥。</w:t>
      </w:r>
    </w:p>
    <w:p>
      <w:pPr>
        <w:pStyle w:val="BodyText"/>
        <w:spacing w:line="314" w:lineRule="auto" w:before="20"/>
        <w:ind w:left="138" w:right="208" w:firstLine="419"/>
        <w:jc w:val="both"/>
      </w:pPr>
      <w:r>
        <w:rPr/>
        <w:t>公司自 </w:t>
      </w:r>
      <w:r>
        <w:rPr>
          <w:rFonts w:ascii="宋体" w:hAnsi="宋体" w:cs="宋体" w:eastAsia="宋体" w:hint="default"/>
        </w:rPr>
        <w:t>2015</w:t>
      </w:r>
      <w:r>
        <w:rPr>
          <w:rFonts w:ascii="宋体" w:hAnsi="宋体" w:cs="宋体" w:eastAsia="宋体" w:hint="default"/>
          <w:spacing w:val="-49"/>
        </w:rPr>
        <w:t> </w:t>
      </w:r>
      <w:r>
        <w:rPr>
          <w:spacing w:val="-5"/>
        </w:rPr>
        <w:t>年开始进入智慧政法领域。在智慧政法领域，公司主要围绕“深化社会治理，助</w:t>
      </w:r>
      <w:r>
        <w:rPr>
          <w:w w:val="100"/>
        </w:rPr>
        <w:t> </w:t>
      </w:r>
      <w:r>
        <w:rPr>
          <w:spacing w:val="-1"/>
        </w:rPr>
        <w:t>力司法改革”的业务目标，在安全自主可控基础上，结合大数据、云计算、人工智能等方面的先</w:t>
      </w:r>
      <w:r>
        <w:rPr>
          <w:spacing w:val="-55"/>
        </w:rPr>
        <w:t> </w:t>
      </w:r>
      <w:r>
        <w:rPr>
          <w:spacing w:val="-55"/>
        </w:rPr>
      </w:r>
      <w:r>
        <w:rPr>
          <w:spacing w:val="-1"/>
        </w:rPr>
        <w:t>进技术经验，创新提出“智慧政法”、“智慧法院”、“智慧检务”、“智慧司法”系列解决方</w:t>
      </w:r>
      <w:r>
        <w:rPr>
          <w:spacing w:val="-55"/>
        </w:rPr>
        <w:t> </w:t>
      </w:r>
      <w:r>
        <w:rPr>
          <w:spacing w:val="-55"/>
        </w:rPr>
      </w:r>
      <w:r>
        <w:rPr>
          <w:spacing w:val="-7"/>
        </w:rPr>
        <w:t>案，公司在政法跨部门协同、智能辅助办案、公众诉讼服务等行业细分领域已具备较强的竞争力。</w:t>
      </w:r>
    </w:p>
    <w:p>
      <w:pPr>
        <w:pStyle w:val="Heading4"/>
        <w:spacing w:line="240" w:lineRule="auto" w:before="20"/>
        <w:ind w:left="560" w:right="2631"/>
        <w:jc w:val="left"/>
        <w:rPr>
          <w:b w:val="0"/>
          <w:bCs w:val="0"/>
        </w:rPr>
      </w:pPr>
      <w:r>
        <w:rPr/>
        <w:t>（三）城市物联网应用</w:t>
      </w:r>
      <w:r>
        <w:rPr>
          <w:b w:val="0"/>
          <w:bCs w:val="0"/>
        </w:rPr>
      </w:r>
    </w:p>
    <w:p>
      <w:pPr>
        <w:spacing w:after="0" w:line="240" w:lineRule="auto"/>
        <w:jc w:val="left"/>
        <w:sectPr>
          <w:pgSz w:w="11910" w:h="16840"/>
          <w:pgMar w:header="855" w:footer="979" w:top="1120" w:bottom="1160" w:left="1660" w:right="1060"/>
        </w:sectPr>
      </w:pPr>
    </w:p>
    <w:p>
      <w:pPr>
        <w:spacing w:line="240" w:lineRule="auto" w:before="0"/>
        <w:rPr>
          <w:rFonts w:ascii="宋体" w:hAnsi="宋体" w:cs="宋体" w:eastAsia="宋体" w:hint="default"/>
          <w:b/>
          <w:bCs/>
          <w:sz w:val="20"/>
          <w:szCs w:val="20"/>
        </w:rPr>
      </w:pPr>
    </w:p>
    <w:p>
      <w:pPr>
        <w:pStyle w:val="BodyText"/>
        <w:spacing w:line="314" w:lineRule="auto" w:before="180"/>
        <w:ind w:left="177" w:right="227" w:firstLine="419"/>
        <w:jc w:val="both"/>
      </w:pPr>
      <w:r>
        <w:rPr/>
        <w:t>物联网是新一代信息技术的高度集成和综合运用，对新一轮产业变革和经济社会绿色智能、</w:t>
      </w:r>
      <w:r>
        <w:rPr>
          <w:w w:val="100"/>
        </w:rPr>
        <w:t> </w:t>
      </w:r>
      <w:r>
        <w:rPr/>
        <w:t>可持续发展具有重要意义。中国物联网发展始终保持增长的势头，据前瞻产业研究院发布的《中</w:t>
      </w:r>
      <w:r>
        <w:rPr>
          <w:spacing w:val="-48"/>
        </w:rPr>
        <w:t> </w:t>
      </w:r>
      <w:r>
        <w:rPr>
          <w:spacing w:val="-48"/>
        </w:rPr>
      </w:r>
      <w:r>
        <w:rPr>
          <w:spacing w:val="-3"/>
        </w:rPr>
        <w:t>国物联网行业应用领域市场需求与投资预测分析报告》统计数据显示，预测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年中国物联网行</w:t>
      </w:r>
    </w:p>
    <w:p>
      <w:pPr>
        <w:pStyle w:val="BodyText"/>
        <w:spacing w:line="297" w:lineRule="auto"/>
        <w:ind w:left="638" w:right="0" w:hanging="461"/>
        <w:jc w:val="left"/>
      </w:pPr>
      <w:r>
        <w:rPr/>
        <w:t>业市场规模将超</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万亿元，</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年将突破</w:t>
      </w:r>
      <w:r>
        <w:rPr>
          <w:spacing w:val="-53"/>
        </w:rPr>
        <w:t> </w:t>
      </w:r>
      <w:r>
        <w:rPr>
          <w:rFonts w:ascii="Times New Roman" w:hAnsi="Times New Roman" w:cs="Times New Roman" w:eastAsia="Times New Roman" w:hint="default"/>
        </w:rPr>
        <w:t>1.8 </w:t>
      </w:r>
      <w:r>
        <w:rPr/>
        <w:t>万亿元。</w:t>
      </w:r>
      <w:r>
        <w:rPr>
          <w:spacing w:val="-101"/>
        </w:rPr>
        <w:t> </w:t>
      </w:r>
      <w:r>
        <w:rPr>
          <w:spacing w:val="-101"/>
        </w:rPr>
      </w:r>
      <w:r>
        <w:rPr>
          <w:spacing w:val="-2"/>
        </w:rPr>
        <w:t>公司以城市级物联网运营商为定位，致力于城市物联感知平台的建设，致力于成为全国领先</w:t>
      </w:r>
    </w:p>
    <w:p>
      <w:pPr>
        <w:pStyle w:val="BodyText"/>
        <w:spacing w:line="300" w:lineRule="auto" w:before="34"/>
        <w:ind w:right="227"/>
        <w:jc w:val="both"/>
      </w:pPr>
      <w:r>
        <w:rPr>
          <w:spacing w:val="-4"/>
        </w:rPr>
        <w:t>的高频近场感知物联网运营商。公司结合智慧城市、大数据、</w:t>
      </w:r>
      <w:r>
        <w:rPr>
          <w:rFonts w:ascii="Times New Roman" w:hAnsi="Times New Roman" w:cs="Times New Roman" w:eastAsia="Times New Roman" w:hint="default"/>
          <w:spacing w:val="-4"/>
        </w:rPr>
        <w:t>AI </w:t>
      </w:r>
      <w:r>
        <w:rPr/>
        <w:t>人工智能等核心技术打造的智能</w:t>
      </w:r>
      <w:r>
        <w:rPr>
          <w:spacing w:val="-93"/>
        </w:rPr>
        <w:t> </w:t>
      </w:r>
      <w:r>
        <w:rPr>
          <w:spacing w:val="-93"/>
        </w:rPr>
      </w:r>
      <w:r>
        <w:rPr>
          <w:spacing w:val="-11"/>
        </w:rPr>
        <w:t>城市云链平台，面向城市提供“感、联、知、用”的</w:t>
      </w:r>
      <w:r>
        <w:rPr>
          <w:spacing w:val="-35"/>
        </w:rPr>
        <w:t> </w:t>
      </w:r>
      <w:r>
        <w:rPr>
          <w:rFonts w:ascii="Times New Roman" w:hAnsi="Times New Roman" w:cs="Times New Roman" w:eastAsia="Times New Roman" w:hint="default"/>
        </w:rPr>
        <w:t>AIOT</w:t>
      </w:r>
      <w:r>
        <w:rPr>
          <w:rFonts w:ascii="Times New Roman" w:hAnsi="Times New Roman" w:cs="Times New Roman" w:eastAsia="Times New Roman" w:hint="default"/>
          <w:spacing w:val="20"/>
        </w:rPr>
        <w:t> </w:t>
      </w:r>
      <w:r>
        <w:rPr>
          <w:spacing w:val="-7"/>
        </w:rPr>
        <w:t>服务，平台兼容</w:t>
      </w:r>
      <w:r>
        <w:rPr>
          <w:spacing w:val="-35"/>
        </w:rPr>
        <w:t> </w:t>
      </w:r>
      <w:r>
        <w:rPr>
          <w:rFonts w:ascii="Times New Roman" w:hAnsi="Times New Roman" w:cs="Times New Roman" w:eastAsia="Times New Roman" w:hint="default"/>
          <w:spacing w:val="-6"/>
        </w:rPr>
        <w:t>NB-IOT</w:t>
      </w:r>
      <w:r>
        <w:rPr>
          <w:spacing w:val="-6"/>
        </w:rPr>
        <w:t>、</w:t>
      </w:r>
      <w:r>
        <w:rPr>
          <w:rFonts w:ascii="Times New Roman" w:hAnsi="Times New Roman" w:cs="Times New Roman" w:eastAsia="Times New Roman" w:hint="default"/>
          <w:spacing w:val="-6"/>
        </w:rPr>
        <w:t>LORA</w:t>
      </w:r>
      <w:r>
        <w:rPr>
          <w:spacing w:val="-6"/>
        </w:rPr>
        <w:t>、</w:t>
      </w:r>
      <w:r>
        <w:rPr>
          <w:rFonts w:ascii="Times New Roman" w:hAnsi="Times New Roman" w:cs="Times New Roman" w:eastAsia="Times New Roman" w:hint="default"/>
          <w:spacing w:val="-6"/>
        </w:rPr>
        <w:t>RFID</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等各类物联网技术，通过自主研发的</w:t>
      </w:r>
      <w:r>
        <w:rPr>
          <w:spacing w:val="-42"/>
        </w:rPr>
        <w:t> </w:t>
      </w:r>
      <w:r>
        <w:rPr>
          <w:rFonts w:ascii="Times New Roman" w:hAnsi="Times New Roman" w:cs="Times New Roman" w:eastAsia="Times New Roman" w:hint="default"/>
        </w:rPr>
        <w:t>NLINKS</w:t>
      </w:r>
      <w:r>
        <w:rPr>
          <w:rFonts w:ascii="Times New Roman" w:hAnsi="Times New Roman" w:cs="Times New Roman" w:eastAsia="Times New Roman" w:hint="default"/>
          <w:spacing w:val="11"/>
        </w:rPr>
        <w:t> </w:t>
      </w:r>
      <w:r>
        <w:rPr/>
        <w:t>智能算法引擎与超</w:t>
      </w:r>
      <w:r>
        <w:rPr>
          <w:spacing w:val="-42"/>
        </w:rPr>
        <w:t> </w:t>
      </w:r>
      <w:r>
        <w:rPr>
          <w:rFonts w:ascii="Times New Roman" w:hAnsi="Times New Roman" w:cs="Times New Roman" w:eastAsia="Times New Roman" w:hint="default"/>
        </w:rPr>
        <w:t>100</w:t>
      </w:r>
      <w:r>
        <w:rPr>
          <w:rFonts w:ascii="Times New Roman" w:hAnsi="Times New Roman" w:cs="Times New Roman" w:eastAsia="Times New Roman" w:hint="default"/>
          <w:spacing w:val="8"/>
        </w:rPr>
        <w:t> </w:t>
      </w:r>
      <w:r>
        <w:rPr/>
        <w:t>类的</w:t>
      </w:r>
      <w:r>
        <w:rPr>
          <w:spacing w:val="-44"/>
        </w:rPr>
        <w:t> </w:t>
      </w:r>
      <w:r>
        <w:rPr>
          <w:rFonts w:ascii="Times New Roman" w:hAnsi="Times New Roman" w:cs="Times New Roman" w:eastAsia="Times New Roman" w:hint="default"/>
        </w:rPr>
        <w:t>AI</w:t>
      </w:r>
      <w:r>
        <w:rPr>
          <w:rFonts w:ascii="Times New Roman" w:hAnsi="Times New Roman" w:cs="Times New Roman" w:eastAsia="Times New Roman" w:hint="default"/>
          <w:spacing w:val="8"/>
        </w:rPr>
        <w:t> </w:t>
      </w:r>
      <w:r>
        <w:rPr/>
        <w:t>事件库，实现物联</w:t>
      </w:r>
      <w:r>
        <w:rPr>
          <w:w w:val="100"/>
        </w:rPr>
        <w:t> </w:t>
      </w:r>
      <w:r>
        <w:rPr>
          <w:spacing w:val="-4"/>
          <w:w w:val="100"/>
        </w:rPr>
        <w:t>感知</w:t>
      </w:r>
      <w:r>
        <w:rPr>
          <w:rFonts w:ascii="宋体" w:hAnsi="宋体" w:cs="宋体" w:eastAsia="宋体" w:hint="default"/>
          <w:spacing w:val="-4"/>
          <w:w w:val="100"/>
        </w:rPr>
        <w:t>+</w:t>
      </w:r>
      <w:r>
        <w:rPr>
          <w:spacing w:val="-4"/>
          <w:w w:val="100"/>
        </w:rPr>
        <w:t>人工智能的城市管理运营。公司打造的智能城市云链平台已实现覆盖城市运营管理全业务场</w:t>
      </w:r>
      <w:r>
        <w:rPr>
          <w:spacing w:val="-87"/>
          <w:w w:val="100"/>
        </w:rPr>
        <w:t> </w:t>
      </w:r>
      <w:r>
        <w:rPr>
          <w:spacing w:val="-87"/>
          <w:w w:val="100"/>
        </w:rPr>
      </w:r>
      <w:r>
        <w:rPr/>
        <w:t>景的</w:t>
      </w:r>
      <w:r>
        <w:rPr>
          <w:spacing w:val="-56"/>
        </w:rPr>
        <w:t> </w:t>
      </w:r>
      <w:r>
        <w:rPr>
          <w:rFonts w:ascii="Times New Roman" w:hAnsi="Times New Roman" w:cs="Times New Roman" w:eastAsia="Times New Roman" w:hint="default"/>
        </w:rPr>
        <w:t>SAAS</w:t>
      </w:r>
      <w:r>
        <w:rPr>
          <w:rFonts w:ascii="Times New Roman" w:hAnsi="Times New Roman" w:cs="Times New Roman" w:eastAsia="Times New Roman" w:hint="default"/>
          <w:spacing w:val="-5"/>
        </w:rPr>
        <w:t> </w:t>
      </w:r>
      <w:r>
        <w:rPr/>
        <w:t>服务，以社区为城市治理最小单元，通过打造“蜻蜓停车”、“小电卫士”、“红点</w:t>
      </w:r>
      <w:r>
        <w:rPr>
          <w:w w:val="100"/>
        </w:rPr>
        <w:t> </w:t>
      </w:r>
      <w:r>
        <w:rPr/>
        <w:t>社区”三大典型应用，实现智慧停车、电摩治理、智慧社区等管理与民生服务。</w:t>
      </w:r>
    </w:p>
    <w:p>
      <w:pPr>
        <w:pStyle w:val="Heading4"/>
        <w:spacing w:line="240" w:lineRule="auto" w:before="32"/>
        <w:ind w:left="640" w:right="0"/>
        <w:jc w:val="left"/>
        <w:rPr>
          <w:b w:val="0"/>
          <w:bCs w:val="0"/>
        </w:rPr>
      </w:pPr>
      <w:r>
        <w:rPr/>
        <w:t>（四）智慧城市建设</w:t>
      </w:r>
      <w:r>
        <w:rPr>
          <w:b w:val="0"/>
          <w:bCs w:val="0"/>
        </w:rPr>
      </w:r>
    </w:p>
    <w:p>
      <w:pPr>
        <w:pStyle w:val="BodyText"/>
        <w:spacing w:line="240" w:lineRule="auto" w:before="85"/>
        <w:ind w:left="638" w:right="0"/>
        <w:jc w:val="left"/>
      </w:pPr>
      <w:r>
        <w:rPr/>
        <w:t>目前智慧城市试点城市已突破</w:t>
      </w:r>
      <w:r>
        <w:rPr>
          <w:spacing w:val="-52"/>
        </w:rPr>
        <w:t> </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t>个，由国家智慧城市标准化总体组发布的《新型智慧城市</w:t>
      </w:r>
    </w:p>
    <w:p>
      <w:pPr>
        <w:pStyle w:val="BodyText"/>
        <w:spacing w:line="297" w:lineRule="auto" w:before="69"/>
        <w:ind w:right="228"/>
        <w:jc w:val="both"/>
      </w:pPr>
      <w:r>
        <w:rPr>
          <w:spacing w:val="-6"/>
        </w:rPr>
        <w:t>发展白皮书（</w:t>
      </w:r>
      <w:r>
        <w:rPr>
          <w:rFonts w:ascii="Times New Roman" w:hAnsi="Times New Roman" w:cs="Times New Roman" w:eastAsia="Times New Roman" w:hint="default"/>
          <w:spacing w:val="-6"/>
        </w:rPr>
        <w:t>2018</w:t>
      </w:r>
      <w:r>
        <w:rPr>
          <w:spacing w:val="-6"/>
        </w:rPr>
        <w:t>）》指出，根据 </w:t>
      </w:r>
      <w:r>
        <w:rPr>
          <w:rFonts w:ascii="Times New Roman" w:hAnsi="Times New Roman" w:cs="Times New Roman" w:eastAsia="Times New Roman" w:hint="default"/>
        </w:rPr>
        <w:t>2017 </w:t>
      </w:r>
      <w:r>
        <w:rPr>
          <w:spacing w:val="-3"/>
        </w:rPr>
        <w:t>年首次全国新型智慧城市评价工作得到的数据显示，参与</w:t>
      </w:r>
      <w:r>
        <w:rPr>
          <w:spacing w:val="-78"/>
        </w:rPr>
        <w:t> </w:t>
      </w:r>
      <w:r>
        <w:rPr>
          <w:spacing w:val="-78"/>
        </w:rPr>
      </w:r>
      <w:r>
        <w:rPr/>
        <w:t>评价的二百多家城市平均得分为</w:t>
      </w:r>
      <w:r>
        <w:rPr>
          <w:spacing w:val="-14"/>
        </w:rPr>
        <w:t> </w:t>
      </w:r>
      <w:r>
        <w:rPr>
          <w:rFonts w:ascii="Times New Roman" w:hAnsi="Times New Roman" w:cs="Times New Roman" w:eastAsia="Times New Roman" w:hint="default"/>
          <w:spacing w:val="-5"/>
        </w:rPr>
        <w:t>58.03</w:t>
      </w:r>
      <w:r>
        <w:rPr>
          <w:spacing w:val="-5"/>
        </w:rPr>
        <w:t>，其中超过一半的城市智慧水平亟待提高，预示着智慧城市</w:t>
      </w:r>
      <w:r>
        <w:rPr>
          <w:spacing w:val="-90"/>
        </w:rPr>
        <w:t> </w:t>
      </w:r>
      <w:r>
        <w:rPr>
          <w:spacing w:val="-90"/>
        </w:rPr>
      </w:r>
      <w:r>
        <w:rPr/>
        <w:t>发展空间仍然巨大。预计</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年中国智慧城市市场规模将突破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万亿元。</w:t>
      </w:r>
    </w:p>
    <w:p>
      <w:pPr>
        <w:pStyle w:val="BodyText"/>
        <w:spacing w:line="314" w:lineRule="auto" w:before="13"/>
        <w:ind w:left="177" w:right="0" w:firstLine="419"/>
        <w:jc w:val="left"/>
        <w:rPr>
          <w:rFonts w:ascii="宋体" w:hAnsi="宋体" w:cs="宋体" w:eastAsia="宋体" w:hint="default"/>
        </w:rPr>
      </w:pPr>
      <w:r>
        <w:rPr/>
        <w:t>公司作为智慧城市建设运营商，集中资源投资、建设、运营智慧城市、发展数字经济，不断</w:t>
      </w:r>
      <w:r>
        <w:rPr>
          <w:w w:val="100"/>
        </w:rPr>
        <w:t> </w:t>
      </w:r>
      <w:r>
        <w:rPr/>
        <w:t>加强与行业内优质伙伴以及全国智慧城市试点城市的合作，形成智慧城市生态圈，共同打造智慧</w:t>
      </w:r>
      <w:r>
        <w:rPr>
          <w:spacing w:val="-49"/>
        </w:rPr>
        <w:t> </w:t>
      </w:r>
      <w:r>
        <w:rPr>
          <w:spacing w:val="-49"/>
        </w:rPr>
      </w:r>
      <w:r>
        <w:rPr/>
        <w:t>城市示范项目，公司承建的智慧丰泽、智慧将乐已成为福建省新型智慧城市标杆项目。公司将不</w:t>
      </w:r>
      <w:r>
        <w:rPr>
          <w:spacing w:val="-48"/>
        </w:rPr>
        <w:t> </w:t>
      </w:r>
      <w:r>
        <w:rPr>
          <w:spacing w:val="-48"/>
        </w:rPr>
      </w:r>
      <w:r>
        <w:rPr/>
        <w:t>断强化在智慧城市涉及的政务、公安、物联网、互联网、大数据等主营业务领域的优势地位的同</w:t>
      </w:r>
      <w:r>
        <w:rPr>
          <w:spacing w:val="-49"/>
        </w:rPr>
        <w:t> </w:t>
      </w:r>
      <w:r>
        <w:rPr>
          <w:spacing w:val="-49"/>
        </w:rPr>
      </w:r>
      <w:r>
        <w:rPr/>
        <w:t>时，加强在智慧城市其他领域及分享经济领域的尝试和创新。</w:t>
      </w:r>
      <w:r>
        <w:rPr>
          <w:w w:val="100"/>
        </w:rPr>
        <w:t> </w:t>
      </w:r>
      <w:r>
        <w:rPr>
          <w:rFonts w:ascii="宋体" w:hAnsi="宋体" w:cs="宋体" w:eastAsia="宋体" w:hint="default"/>
          <w:b/>
          <w:bCs/>
        </w:rPr>
        <w:t>二、报告期内公司主要资产发生重大变化情况的说明</w:t>
      </w:r>
      <w:r>
        <w:rPr>
          <w:rFonts w:ascii="宋体" w:hAnsi="宋体" w:cs="宋体" w:eastAsia="宋体" w:hint="default"/>
        </w:rPr>
      </w:r>
    </w:p>
    <w:p>
      <w:pPr>
        <w:pStyle w:val="BodyText"/>
        <w:spacing w:line="240" w:lineRule="auto" w:before="32"/>
        <w:ind w:right="0"/>
        <w:jc w:val="both"/>
      </w:pPr>
      <w:r>
        <w:rPr/>
        <w:t>√适用</w:t>
      </w:r>
      <w:r>
        <w:rPr>
          <w:spacing w:val="-1"/>
        </w:rPr>
        <w:t> </w:t>
      </w:r>
      <w:r>
        <w:rPr/>
        <w:t>□不适用</w:t>
      </w: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202"/>
        <w:gridCol w:w="5847"/>
      </w:tblGrid>
      <w:tr>
        <w:trPr>
          <w:trHeight w:val="506"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 w:right="0"/>
              <w:jc w:val="center"/>
              <w:rPr>
                <w:rFonts w:ascii="宋体" w:hAnsi="宋体" w:cs="宋体" w:eastAsia="宋体" w:hint="default"/>
                <w:sz w:val="21"/>
                <w:szCs w:val="21"/>
              </w:rPr>
            </w:pPr>
            <w:r>
              <w:rPr>
                <w:rFonts w:ascii="宋体" w:hAnsi="宋体" w:cs="宋体" w:eastAsia="宋体" w:hint="default"/>
                <w:sz w:val="21"/>
                <w:szCs w:val="21"/>
              </w:rPr>
              <w:t>主要资产</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重大变化说明</w:t>
            </w:r>
          </w:p>
        </w:tc>
      </w:tr>
      <w:tr>
        <w:trPr>
          <w:trHeight w:val="638"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期损益的金融资产</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0" w:right="98"/>
              <w:jc w:val="left"/>
              <w:rPr>
                <w:rFonts w:ascii="宋体" w:hAnsi="宋体" w:cs="宋体" w:eastAsia="宋体" w:hint="default"/>
                <w:sz w:val="21"/>
                <w:szCs w:val="21"/>
              </w:rPr>
            </w:pPr>
            <w:r>
              <w:rPr>
                <w:rFonts w:ascii="宋体" w:hAnsi="宋体" w:cs="宋体" w:eastAsia="宋体" w:hint="default"/>
                <w:sz w:val="21"/>
                <w:szCs w:val="21"/>
              </w:rPr>
              <w:t>期末金额较上期减少</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，主要系报告期公司赎回理财产品</w:t>
            </w:r>
            <w:r>
              <w:rPr>
                <w:rFonts w:ascii="宋体" w:hAnsi="宋体" w:cs="宋体" w:eastAsia="宋体" w:hint="default"/>
                <w:w w:val="100"/>
                <w:sz w:val="21"/>
                <w:szCs w:val="21"/>
              </w:rPr>
              <w:t> </w:t>
            </w:r>
            <w:r>
              <w:rPr>
                <w:rFonts w:ascii="宋体" w:hAnsi="宋体" w:cs="宋体" w:eastAsia="宋体" w:hint="default"/>
                <w:sz w:val="21"/>
                <w:szCs w:val="21"/>
              </w:rPr>
              <w:t>所致。</w:t>
            </w:r>
          </w:p>
        </w:tc>
      </w:tr>
      <w:tr>
        <w:trPr>
          <w:trHeight w:val="637"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0" w:right="96"/>
              <w:jc w:val="left"/>
              <w:rPr>
                <w:rFonts w:ascii="宋体" w:hAnsi="宋体" w:cs="宋体" w:eastAsia="宋体" w:hint="default"/>
                <w:sz w:val="21"/>
                <w:szCs w:val="21"/>
              </w:rPr>
            </w:pPr>
            <w:r>
              <w:rPr>
                <w:rFonts w:ascii="宋体" w:hAnsi="宋体" w:cs="宋体" w:eastAsia="宋体" w:hint="default"/>
                <w:sz w:val="21"/>
                <w:szCs w:val="21"/>
              </w:rPr>
              <w:t>期末金额较上期减少</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10.68%</w:t>
            </w:r>
            <w:r>
              <w:rPr>
                <w:rFonts w:ascii="宋体" w:hAnsi="宋体" w:cs="宋体" w:eastAsia="宋体" w:hint="default"/>
                <w:sz w:val="21"/>
                <w:szCs w:val="21"/>
              </w:rPr>
              <w:t>，主要系报告期内项目应收款项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及时收回所致。</w:t>
            </w:r>
          </w:p>
        </w:tc>
      </w:tr>
      <w:tr>
        <w:trPr>
          <w:trHeight w:val="63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0" w:right="103"/>
              <w:jc w:val="left"/>
              <w:rPr>
                <w:rFonts w:ascii="宋体" w:hAnsi="宋体" w:cs="宋体" w:eastAsia="宋体" w:hint="default"/>
                <w:sz w:val="21"/>
                <w:szCs w:val="21"/>
              </w:rPr>
            </w:pPr>
            <w:r>
              <w:rPr>
                <w:rFonts w:ascii="宋体" w:hAnsi="宋体" w:cs="宋体" w:eastAsia="宋体" w:hint="default"/>
                <w:sz w:val="21"/>
                <w:szCs w:val="21"/>
              </w:rPr>
              <w:t>期末金额较上期增长</w:t>
            </w:r>
            <w:r>
              <w:rPr>
                <w:rFonts w:ascii="宋体" w:hAnsi="宋体" w:cs="宋体" w:eastAsia="宋体" w:hint="default"/>
                <w:spacing w:val="-46"/>
                <w:sz w:val="21"/>
                <w:szCs w:val="21"/>
              </w:rPr>
              <w:t> </w:t>
            </w:r>
            <w:r>
              <w:rPr>
                <w:rFonts w:ascii="Times New Roman" w:hAnsi="Times New Roman" w:cs="Times New Roman" w:eastAsia="Times New Roman" w:hint="default"/>
                <w:spacing w:val="-4"/>
                <w:sz w:val="21"/>
                <w:szCs w:val="21"/>
              </w:rPr>
              <w:t>239.48%</w:t>
            </w:r>
            <w:r>
              <w:rPr>
                <w:rFonts w:ascii="宋体" w:hAnsi="宋体" w:cs="宋体" w:eastAsia="宋体" w:hint="default"/>
                <w:spacing w:val="-4"/>
                <w:sz w:val="21"/>
                <w:szCs w:val="21"/>
              </w:rPr>
              <w:t>，主要系新增的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PPP</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项目与政府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购买服务类项目结转确认收入所致。</w:t>
            </w:r>
          </w:p>
        </w:tc>
      </w:tr>
      <w:tr>
        <w:trPr>
          <w:trHeight w:val="50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0" w:right="0"/>
              <w:jc w:val="left"/>
              <w:rPr>
                <w:rFonts w:ascii="宋体" w:hAnsi="宋体" w:cs="宋体" w:eastAsia="宋体" w:hint="default"/>
                <w:sz w:val="21"/>
                <w:szCs w:val="21"/>
              </w:rPr>
            </w:pPr>
            <w:r>
              <w:rPr>
                <w:rFonts w:ascii="宋体" w:hAnsi="宋体" w:cs="宋体" w:eastAsia="宋体" w:hint="default"/>
                <w:sz w:val="21"/>
                <w:szCs w:val="21"/>
              </w:rPr>
              <w:t>期末金额较上期增长</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10.74%</w:t>
            </w:r>
            <w:r>
              <w:rPr>
                <w:rFonts w:ascii="宋体" w:hAnsi="宋体" w:cs="宋体" w:eastAsia="宋体" w:hint="default"/>
                <w:sz w:val="21"/>
                <w:szCs w:val="21"/>
              </w:rPr>
              <w:t>，主要系购置房产增加所致。</w:t>
            </w:r>
          </w:p>
        </w:tc>
      </w:tr>
      <w:tr>
        <w:trPr>
          <w:trHeight w:val="63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0" w:right="98"/>
              <w:jc w:val="left"/>
              <w:rPr>
                <w:rFonts w:ascii="宋体" w:hAnsi="宋体" w:cs="宋体" w:eastAsia="宋体" w:hint="default"/>
                <w:sz w:val="21"/>
                <w:szCs w:val="21"/>
              </w:rPr>
            </w:pPr>
            <w:r>
              <w:rPr>
                <w:rFonts w:ascii="宋体" w:hAnsi="宋体" w:cs="宋体" w:eastAsia="宋体" w:hint="default"/>
                <w:sz w:val="21"/>
                <w:szCs w:val="21"/>
              </w:rPr>
              <w:t>期末金额较上期减少</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，主要系本年度完成福建神威股权</w:t>
            </w:r>
            <w:r>
              <w:rPr>
                <w:rFonts w:ascii="宋体" w:hAnsi="宋体" w:cs="宋体" w:eastAsia="宋体" w:hint="default"/>
                <w:w w:val="100"/>
                <w:sz w:val="21"/>
                <w:szCs w:val="21"/>
              </w:rPr>
              <w:t> </w:t>
            </w:r>
            <w:r>
              <w:rPr>
                <w:rFonts w:ascii="宋体" w:hAnsi="宋体" w:cs="宋体" w:eastAsia="宋体" w:hint="default"/>
                <w:sz w:val="21"/>
                <w:szCs w:val="21"/>
              </w:rPr>
              <w:t>转让手续所致。</w:t>
            </w:r>
          </w:p>
        </w:tc>
      </w:tr>
      <w:tr>
        <w:trPr>
          <w:trHeight w:val="636"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0" w:right="101"/>
              <w:jc w:val="left"/>
              <w:rPr>
                <w:rFonts w:ascii="宋体" w:hAnsi="宋体" w:cs="宋体" w:eastAsia="宋体" w:hint="default"/>
                <w:sz w:val="21"/>
                <w:szCs w:val="21"/>
              </w:rPr>
            </w:pPr>
            <w:r>
              <w:rPr>
                <w:rFonts w:ascii="宋体" w:hAnsi="宋体" w:cs="宋体" w:eastAsia="宋体" w:hint="default"/>
                <w:sz w:val="21"/>
                <w:szCs w:val="21"/>
              </w:rPr>
              <w:t>期末金额较上期增长</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122.74%</w:t>
            </w:r>
            <w:r>
              <w:rPr>
                <w:rFonts w:ascii="宋体" w:hAnsi="宋体" w:cs="宋体" w:eastAsia="宋体" w:hint="default"/>
                <w:sz w:val="21"/>
                <w:szCs w:val="21"/>
              </w:rPr>
              <w:t>，主要系完成非同一控制下企业</w:t>
            </w:r>
            <w:r>
              <w:rPr>
                <w:rFonts w:ascii="宋体" w:hAnsi="宋体" w:cs="宋体" w:eastAsia="宋体" w:hint="default"/>
                <w:w w:val="100"/>
                <w:sz w:val="21"/>
                <w:szCs w:val="21"/>
              </w:rPr>
              <w:t> </w:t>
            </w:r>
            <w:r>
              <w:rPr>
                <w:rFonts w:ascii="宋体" w:hAnsi="宋体" w:cs="宋体" w:eastAsia="宋体" w:hint="default"/>
                <w:sz w:val="21"/>
                <w:szCs w:val="21"/>
              </w:rPr>
              <w:t>的并购所致。</w:t>
            </w:r>
          </w:p>
        </w:tc>
      </w:tr>
      <w:tr>
        <w:trPr>
          <w:trHeight w:val="63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0" w:right="101"/>
              <w:jc w:val="left"/>
              <w:rPr>
                <w:rFonts w:ascii="宋体" w:hAnsi="宋体" w:cs="宋体" w:eastAsia="宋体" w:hint="default"/>
                <w:sz w:val="21"/>
                <w:szCs w:val="21"/>
              </w:rPr>
            </w:pPr>
            <w:r>
              <w:rPr>
                <w:rFonts w:ascii="宋体" w:hAnsi="宋体" w:cs="宋体" w:eastAsia="宋体" w:hint="default"/>
                <w:sz w:val="21"/>
                <w:szCs w:val="21"/>
              </w:rPr>
              <w:t>期末金额较上期增</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18.15%</w:t>
            </w:r>
            <w:r>
              <w:rPr>
                <w:rFonts w:ascii="宋体" w:hAnsi="宋体" w:cs="宋体" w:eastAsia="宋体" w:hint="default"/>
                <w:sz w:val="21"/>
                <w:szCs w:val="21"/>
              </w:rPr>
              <w:t>，主要系报告期内开发成果转化增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多所致。</w:t>
            </w:r>
          </w:p>
        </w:tc>
      </w:tr>
    </w:tbl>
    <w:p>
      <w:pPr>
        <w:spacing w:after="0" w:line="256" w:lineRule="auto"/>
        <w:jc w:val="left"/>
        <w:rPr>
          <w:rFonts w:ascii="宋体" w:hAnsi="宋体" w:cs="宋体" w:eastAsia="宋体" w:hint="default"/>
          <w:sz w:val="21"/>
          <w:szCs w:val="21"/>
        </w:rPr>
        <w:sectPr>
          <w:pgSz w:w="11910" w:h="16840"/>
          <w:pgMar w:header="855" w:footer="979"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02"/>
        <w:gridCol w:w="5847"/>
      </w:tblGrid>
      <w:tr>
        <w:trPr>
          <w:trHeight w:val="636"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0" w:right="96"/>
              <w:jc w:val="left"/>
              <w:rPr>
                <w:rFonts w:ascii="宋体" w:hAnsi="宋体" w:cs="宋体" w:eastAsia="宋体" w:hint="default"/>
                <w:sz w:val="21"/>
                <w:szCs w:val="21"/>
              </w:rPr>
            </w:pPr>
            <w:r>
              <w:rPr>
                <w:rFonts w:ascii="宋体" w:hAnsi="宋体" w:cs="宋体" w:eastAsia="宋体" w:hint="default"/>
                <w:sz w:val="21"/>
                <w:szCs w:val="21"/>
              </w:rPr>
              <w:t>期末金额较上期增</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112.53%</w:t>
            </w:r>
            <w:r>
              <w:rPr>
                <w:rFonts w:ascii="宋体" w:hAnsi="宋体" w:cs="宋体" w:eastAsia="宋体" w:hint="default"/>
                <w:sz w:val="21"/>
                <w:szCs w:val="21"/>
              </w:rPr>
              <w:t>，主要系报告期内新业态业务投入</w:t>
            </w:r>
            <w:r>
              <w:rPr>
                <w:rFonts w:ascii="宋体" w:hAnsi="宋体" w:cs="宋体" w:eastAsia="宋体" w:hint="default"/>
                <w:w w:val="100"/>
                <w:sz w:val="21"/>
                <w:szCs w:val="21"/>
              </w:rPr>
              <w:t> </w:t>
            </w:r>
            <w:r>
              <w:rPr>
                <w:rFonts w:ascii="宋体" w:hAnsi="宋体" w:cs="宋体" w:eastAsia="宋体" w:hint="default"/>
                <w:sz w:val="21"/>
                <w:szCs w:val="21"/>
              </w:rPr>
              <w:t>的设备增加所致。</w:t>
            </w:r>
          </w:p>
        </w:tc>
      </w:tr>
    </w:tbl>
    <w:p>
      <w:pPr>
        <w:spacing w:line="240" w:lineRule="auto" w:before="10"/>
        <w:rPr>
          <w:rFonts w:ascii="宋体" w:hAnsi="宋体" w:cs="宋体" w:eastAsia="宋体" w:hint="default"/>
          <w:sz w:val="18"/>
          <w:szCs w:val="18"/>
        </w:rPr>
      </w:pPr>
    </w:p>
    <w:p>
      <w:pPr>
        <w:tabs>
          <w:tab w:pos="3168" w:val="left" w:leader="none"/>
        </w:tabs>
        <w:spacing w:line="295" w:lineRule="auto" w:before="26"/>
        <w:ind w:left="218" w:right="2211" w:firstLine="0"/>
        <w:jc w:val="left"/>
        <w:rPr>
          <w:rFonts w:ascii="宋体" w:hAnsi="宋体" w:cs="宋体" w:eastAsia="宋体" w:hint="default"/>
          <w:sz w:val="21"/>
          <w:szCs w:val="21"/>
        </w:rPr>
      </w:pPr>
      <w:r>
        <w:rPr>
          <w:rFonts w:ascii="宋体" w:hAnsi="宋体" w:cs="宋体" w:eastAsia="宋体" w:hint="default"/>
          <w:sz w:val="24"/>
          <w:szCs w:val="24"/>
        </w:rPr>
        <w:t>其中</w:t>
      </w:r>
      <w:r>
        <w:rPr>
          <w:rFonts w:ascii="宋体" w:hAnsi="宋体" w:cs="宋体" w:eastAsia="宋体" w:hint="default"/>
          <w:sz w:val="21"/>
          <w:szCs w:val="21"/>
        </w:rPr>
        <w:t>：境外资产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w:t>
      </w:r>
      <w:r>
        <w:rPr>
          <w:rFonts w:ascii="宋体" w:hAnsi="宋体" w:cs="宋体" w:eastAsia="宋体" w:hint="default"/>
          <w:sz w:val="21"/>
          <w:szCs w:val="21"/>
        </w:rPr>
        <w:t>（单位：元</w:t>
        <w:tab/>
        <w:t>币种：人民币），占总资产的比例为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sz w:val="21"/>
          <w:szCs w:val="21"/>
        </w:rPr>
      </w:r>
    </w:p>
    <w:p>
      <w:pPr>
        <w:pStyle w:val="BodyText"/>
        <w:spacing w:line="240" w:lineRule="auto" w:before="49"/>
        <w:ind w:right="0"/>
        <w:jc w:val="both"/>
      </w:pPr>
      <w:r>
        <w:rPr/>
        <w:t>√适用</w:t>
      </w:r>
      <w:r>
        <w:rPr>
          <w:spacing w:val="-1"/>
        </w:rPr>
        <w:t> </w:t>
      </w:r>
      <w:r>
        <w:rPr/>
        <w:t>□不适用</w:t>
      </w:r>
    </w:p>
    <w:p>
      <w:pPr>
        <w:spacing w:line="314" w:lineRule="auto" w:before="92"/>
        <w:ind w:left="638" w:right="0" w:firstLine="0"/>
        <w:jc w:val="left"/>
        <w:rPr>
          <w:rFonts w:ascii="宋体" w:hAnsi="宋体" w:cs="宋体" w:eastAsia="宋体" w:hint="default"/>
          <w:sz w:val="21"/>
          <w:szCs w:val="21"/>
        </w:rPr>
      </w:pPr>
      <w:r>
        <w:rPr>
          <w:rFonts w:ascii="宋体" w:hAnsi="宋体" w:cs="宋体" w:eastAsia="宋体" w:hint="default"/>
          <w:b/>
          <w:bCs/>
          <w:sz w:val="21"/>
          <w:szCs w:val="21"/>
        </w:rPr>
        <w:t>（一）技术领先，持续创新引领</w:t>
      </w:r>
      <w:r>
        <w:rPr>
          <w:rFonts w:ascii="宋体" w:hAnsi="宋体" w:cs="宋体" w:eastAsia="宋体" w:hint="default"/>
          <w:b/>
          <w:bCs/>
          <w:w w:val="100"/>
          <w:sz w:val="21"/>
          <w:szCs w:val="21"/>
        </w:rPr>
        <w:t> </w:t>
      </w:r>
      <w:r>
        <w:rPr>
          <w:rFonts w:ascii="宋体" w:hAnsi="宋体" w:cs="宋体" w:eastAsia="宋体" w:hint="default"/>
          <w:spacing w:val="-2"/>
          <w:sz w:val="21"/>
          <w:szCs w:val="21"/>
        </w:rPr>
        <w:t>公司坚持技术创新，设立院士专家工作站、博士后科研工作站、福建省工程技术研究中心、</w:t>
      </w:r>
    </w:p>
    <w:p>
      <w:pPr>
        <w:pStyle w:val="BodyText"/>
        <w:spacing w:line="314" w:lineRule="auto" w:before="20"/>
        <w:ind w:right="228"/>
        <w:jc w:val="both"/>
      </w:pPr>
      <w:r>
        <w:rPr>
          <w:spacing w:val="-1"/>
        </w:rPr>
        <w:t>福建省企业技术中心和福建省电子证照化（泛）在共享技术与应用工程研究中心、福建省自主可</w:t>
      </w:r>
      <w:r>
        <w:rPr>
          <w:spacing w:val="-55"/>
        </w:rPr>
        <w:t> </w:t>
      </w:r>
      <w:r>
        <w:rPr>
          <w:spacing w:val="-55"/>
        </w:rPr>
      </w:r>
      <w:r>
        <w:rPr>
          <w:spacing w:val="-1"/>
        </w:rPr>
        <w:t>控软件重点实验室，并承担了国家科技支撑计划、国家电子信息产业发展基金、国家信息安全专</w:t>
      </w:r>
      <w:r>
        <w:rPr>
          <w:spacing w:val="-55"/>
        </w:rPr>
        <w:t> </w:t>
      </w:r>
      <w:r>
        <w:rPr>
          <w:spacing w:val="-55"/>
        </w:rPr>
      </w:r>
      <w:r>
        <w:rPr/>
        <w:t>项等超 </w:t>
      </w:r>
      <w:r>
        <w:rPr>
          <w:rFonts w:ascii="Times New Roman" w:hAnsi="Times New Roman" w:cs="Times New Roman" w:eastAsia="Times New Roman" w:hint="default"/>
        </w:rPr>
        <w:t>50 </w:t>
      </w:r>
      <w:r>
        <w:rPr>
          <w:spacing w:val="-4"/>
        </w:rPr>
        <w:t>项科研课题，获得中国智慧城市规划与建设优秀解决方案大奖 </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spacing w:val="-7"/>
        </w:rPr>
        <w:t>项、国家级和省市科技</w:t>
      </w:r>
    </w:p>
    <w:p>
      <w:pPr>
        <w:pStyle w:val="BodyText"/>
        <w:spacing w:line="288" w:lineRule="exact"/>
        <w:ind w:right="0"/>
        <w:jc w:val="both"/>
      </w:pPr>
      <w:r>
        <w:rPr/>
        <w:t>进步奖超</w:t>
      </w:r>
      <w:r>
        <w:rPr>
          <w:spacing w:val="-52"/>
        </w:rPr>
        <w:t> </w:t>
      </w:r>
      <w:r>
        <w:rPr>
          <w:rFonts w:ascii="Times New Roman" w:hAnsi="Times New Roman" w:cs="Times New Roman" w:eastAsia="Times New Roman" w:hint="default"/>
        </w:rPr>
        <w:t>30 </w:t>
      </w:r>
      <w:r>
        <w:rPr/>
        <w:t>项、发明专利超</w:t>
      </w:r>
      <w:r>
        <w:rPr>
          <w:spacing w:val="-52"/>
        </w:rPr>
        <w:t> </w:t>
      </w:r>
      <w:r>
        <w:rPr>
          <w:rFonts w:ascii="宋体" w:hAnsi="宋体" w:cs="宋体" w:eastAsia="宋体" w:hint="default"/>
        </w:rPr>
        <w:t>25</w:t>
      </w:r>
      <w:r>
        <w:rPr>
          <w:rFonts w:ascii="宋体" w:hAnsi="宋体" w:cs="宋体" w:eastAsia="宋体" w:hint="default"/>
          <w:spacing w:val="-55"/>
        </w:rPr>
        <w:t> </w:t>
      </w:r>
      <w:r>
        <w:rPr/>
        <w:t>项、自主知识产权软件产品超</w:t>
      </w:r>
      <w:r>
        <w:rPr>
          <w:spacing w:val="-52"/>
        </w:rPr>
        <w:t> </w:t>
      </w:r>
      <w:r>
        <w:rPr>
          <w:rFonts w:ascii="Times New Roman" w:hAnsi="Times New Roman" w:cs="Times New Roman" w:eastAsia="Times New Roman" w:hint="default"/>
        </w:rPr>
        <w:t>800</w:t>
      </w:r>
      <w:r>
        <w:rPr>
          <w:rFonts w:ascii="Times New Roman" w:hAnsi="Times New Roman" w:cs="Times New Roman" w:eastAsia="Times New Roman" w:hint="default"/>
          <w:spacing w:val="-2"/>
        </w:rPr>
        <w:t> </w:t>
      </w:r>
      <w:r>
        <w:rPr/>
        <w:t>项、中国国际软件博览会金奖</w:t>
      </w:r>
    </w:p>
    <w:p>
      <w:pPr>
        <w:pStyle w:val="BodyText"/>
        <w:spacing w:line="297" w:lineRule="auto" w:before="69"/>
        <w:ind w:left="638" w:right="0" w:hanging="42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项，在重要核心刊物发表论文超百篇，综合研发能力处于全国软件业的前列水平。</w:t>
      </w:r>
      <w:r>
        <w:rPr>
          <w:w w:val="100"/>
        </w:rPr>
        <w:t> </w:t>
      </w:r>
      <w:r>
        <w:rPr>
          <w:spacing w:val="-4"/>
        </w:rPr>
        <w:t>公司一直以创新引领互联网</w:t>
      </w:r>
      <w:r>
        <w:rPr>
          <w:rFonts w:ascii="宋体" w:hAnsi="宋体" w:cs="宋体" w:eastAsia="宋体" w:hint="default"/>
          <w:spacing w:val="-4"/>
        </w:rPr>
        <w:t>+</w:t>
      </w:r>
      <w:r>
        <w:rPr>
          <w:spacing w:val="-4"/>
        </w:rPr>
        <w:t>政务服务的行业发展，是电子证照国家标准制定的组长单位，公</w:t>
      </w:r>
    </w:p>
    <w:p>
      <w:pPr>
        <w:pStyle w:val="BodyText"/>
        <w:spacing w:line="304" w:lineRule="auto" w:before="34"/>
        <w:ind w:right="227"/>
        <w:jc w:val="both"/>
      </w:pPr>
      <w:r>
        <w:rPr/>
        <w:t>司主导制定的电子证照六项国家标准于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spacing w:val="-7"/>
        </w:rPr>
        <w:t>日正式发布。在公安领域，南威打造以智</w:t>
      </w:r>
      <w:r>
        <w:rPr>
          <w:spacing w:val="-103"/>
        </w:rPr>
        <w:t> </w:t>
      </w:r>
      <w:r>
        <w:rPr>
          <w:spacing w:val="-103"/>
        </w:rPr>
      </w:r>
      <w:r>
        <w:rPr>
          <w:spacing w:val="-1"/>
        </w:rPr>
        <w:t>能感知大数据平台为核心，构建集实战警务、民生警务、规范警务、人文警务为一体的智慧公安</w:t>
      </w:r>
      <w:r>
        <w:rPr>
          <w:spacing w:val="-55"/>
        </w:rPr>
        <w:t> </w:t>
      </w:r>
      <w:r>
        <w:rPr>
          <w:spacing w:val="-55"/>
        </w:rPr>
      </w:r>
      <w:r>
        <w:rPr>
          <w:spacing w:val="-7"/>
        </w:rPr>
        <w:t>综合解决方案，在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spacing w:val="-3"/>
        </w:rPr>
        <w:t>中国国际大数据产业博览会上，该成果入选国家工信部发布的全国大数据</w:t>
      </w:r>
    </w:p>
    <w:p>
      <w:pPr>
        <w:pStyle w:val="BodyText"/>
        <w:spacing w:line="240" w:lineRule="auto" w:before="6"/>
        <w:ind w:right="0"/>
        <w:jc w:val="both"/>
      </w:pPr>
      <w:r>
        <w:rPr/>
        <w:t>优秀解决方案</w:t>
      </w:r>
      <w:r>
        <w:rPr>
          <w:spacing w:val="-53"/>
        </w:rPr>
        <w:t> </w:t>
      </w:r>
      <w:r>
        <w:rPr>
          <w:rFonts w:ascii="Times New Roman" w:hAnsi="Times New Roman" w:cs="Times New Roman" w:eastAsia="Times New Roman" w:hint="default"/>
        </w:rPr>
        <w:t>30 </w:t>
      </w:r>
      <w:r>
        <w:rPr>
          <w:spacing w:val="-3"/>
        </w:rPr>
        <w:t>强。</w:t>
      </w:r>
      <w:r>
        <w:rPr/>
      </w:r>
    </w:p>
    <w:p>
      <w:pPr>
        <w:spacing w:line="314" w:lineRule="auto" w:before="69"/>
        <w:ind w:left="638" w:right="0" w:firstLine="2"/>
        <w:jc w:val="left"/>
        <w:rPr>
          <w:rFonts w:ascii="宋体" w:hAnsi="宋体" w:cs="宋体" w:eastAsia="宋体" w:hint="default"/>
          <w:sz w:val="21"/>
          <w:szCs w:val="21"/>
        </w:rPr>
      </w:pPr>
      <w:r>
        <w:rPr>
          <w:rFonts w:ascii="宋体" w:hAnsi="宋体" w:cs="宋体" w:eastAsia="宋体" w:hint="default"/>
          <w:b/>
          <w:bCs/>
          <w:sz w:val="21"/>
          <w:szCs w:val="21"/>
        </w:rPr>
        <w:t>（二）品牌美誉度、影响力不断提升</w:t>
      </w:r>
      <w:r>
        <w:rPr>
          <w:rFonts w:ascii="宋体" w:hAnsi="宋体" w:cs="宋体" w:eastAsia="宋体" w:hint="default"/>
          <w:b/>
          <w:bCs/>
          <w:w w:val="100"/>
          <w:sz w:val="21"/>
          <w:szCs w:val="21"/>
        </w:rPr>
        <w:t> </w:t>
      </w:r>
      <w:r>
        <w:rPr>
          <w:rFonts w:ascii="宋体" w:hAnsi="宋体" w:cs="宋体" w:eastAsia="宋体" w:hint="default"/>
          <w:spacing w:val="-2"/>
          <w:sz w:val="21"/>
          <w:szCs w:val="21"/>
        </w:rPr>
        <w:t>公司作为智慧城市、数字经济、分享经济平台建设运营的综合性科技企业，拥有国家信息系</w:t>
      </w:r>
    </w:p>
    <w:p>
      <w:pPr>
        <w:pStyle w:val="BodyText"/>
        <w:spacing w:line="314" w:lineRule="auto" w:before="20"/>
        <w:ind w:right="228"/>
        <w:jc w:val="both"/>
      </w:pPr>
      <w:r>
        <w:rPr>
          <w:spacing w:val="-1"/>
        </w:rPr>
        <w:t>统集成及服务壹级资质、涉及国家秘密的计算机信息系统集成甲级资质、国家建筑智能化系统设</w:t>
      </w:r>
      <w:r>
        <w:rPr>
          <w:spacing w:val="-55"/>
        </w:rPr>
        <w:t> </w:t>
      </w:r>
      <w:r>
        <w:rPr>
          <w:spacing w:val="-55"/>
        </w:rPr>
      </w:r>
      <w:r>
        <w:rPr>
          <w:spacing w:val="-1"/>
        </w:rPr>
        <w:t>计专项甲级资质、电子与智能化工程专业承包壹级、国家安防工程企业设计施工维护能力一级、</w:t>
      </w:r>
      <w:r>
        <w:rPr>
          <w:spacing w:val="-55"/>
        </w:rPr>
        <w:t> </w:t>
      </w:r>
      <w:r>
        <w:rPr>
          <w:spacing w:val="-55"/>
        </w:rPr>
      </w:r>
      <w:r>
        <w:rPr>
          <w:rFonts w:ascii="Times New Roman" w:hAnsi="Times New Roman" w:cs="Times New Roman" w:eastAsia="Times New Roman" w:hint="default"/>
          <w:spacing w:val="-2"/>
        </w:rPr>
        <w:t>CMMI-5</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spacing w:val="-2"/>
        </w:rPr>
        <w:t>国际认证等业内六甲顶级资质，综合竞争力处于全国前列水平。</w:t>
      </w:r>
    </w:p>
    <w:p>
      <w:pPr>
        <w:pStyle w:val="BodyText"/>
        <w:spacing w:line="312" w:lineRule="auto"/>
        <w:ind w:right="227" w:firstLine="419"/>
        <w:jc w:val="both"/>
      </w:pPr>
      <w:r>
        <w:rPr>
          <w:spacing w:val="-2"/>
        </w:rPr>
        <w:t>公司承担中共中央办公厅、国务院办公厅、中央组织部、国家发改委、公安部等国家核心机</w:t>
      </w:r>
      <w:r>
        <w:rPr>
          <w:w w:val="100"/>
        </w:rPr>
        <w:t> </w:t>
      </w:r>
      <w:r>
        <w:rPr>
          <w:spacing w:val="-1"/>
        </w:rPr>
        <w:t>关信息化建设项目，案例已覆盖全国，产品及售后服务得到了客户的高度认可，品牌美誉度持续</w:t>
      </w:r>
      <w:r>
        <w:rPr>
          <w:spacing w:val="-55"/>
        </w:rPr>
        <w:t> </w:t>
      </w:r>
      <w:r>
        <w:rPr>
          <w:spacing w:val="-55"/>
        </w:rPr>
      </w:r>
      <w:r>
        <w:rPr>
          <w:spacing w:val="-1"/>
        </w:rPr>
        <w:t>提升。公司举办了“最多跑一次”创新实践升级暨智慧城市、数字经济生态合作大会，与会嘉宾</w:t>
      </w:r>
      <w:r>
        <w:rPr>
          <w:spacing w:val="-55"/>
        </w:rPr>
        <w:t> </w:t>
      </w:r>
      <w:r>
        <w:rPr>
          <w:spacing w:val="-55"/>
        </w:rPr>
      </w:r>
      <w:r>
        <w:rPr/>
        <w:t>超</w:t>
      </w:r>
      <w:r>
        <w:rPr>
          <w:spacing w:val="-52"/>
        </w:rPr>
        <w:t> </w:t>
      </w:r>
      <w:r>
        <w:rPr>
          <w:rFonts w:ascii="Times New Roman" w:hAnsi="Times New Roman" w:cs="Times New Roman" w:eastAsia="Times New Roman" w:hint="default"/>
        </w:rPr>
        <w:t>800 </w:t>
      </w:r>
      <w:r>
        <w:rPr/>
        <w:t>人，参与媒体</w:t>
      </w:r>
      <w:r>
        <w:rPr>
          <w:spacing w:val="-53"/>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家以上，同时在河南、江苏、海南等省份举办多场省级互联网</w:t>
      </w:r>
      <w:r>
        <w:rPr>
          <w:rFonts w:ascii="宋体" w:hAnsi="宋体" w:cs="宋体" w:eastAsia="宋体" w:hint="default"/>
        </w:rPr>
        <w:t>+</w:t>
      </w:r>
      <w:r>
        <w:rPr/>
        <w:t>政务行业</w:t>
      </w:r>
      <w:r>
        <w:rPr>
          <w:w w:val="100"/>
        </w:rPr>
        <w:t> </w:t>
      </w:r>
      <w:r>
        <w:rPr>
          <w:spacing w:val="-1"/>
        </w:rPr>
        <w:t>营销会议，积极参加首届数字中国峰会、大数据博览会、中国国际智能产业博览会以及世界互联</w:t>
      </w:r>
      <w:r>
        <w:rPr>
          <w:spacing w:val="-55"/>
        </w:rPr>
        <w:t> </w:t>
      </w:r>
      <w:r>
        <w:rPr>
          <w:spacing w:val="-55"/>
        </w:rPr>
      </w:r>
      <w:r>
        <w:rPr/>
        <w:t>网大会等八场国家级盛会，获得</w:t>
      </w:r>
      <w:r>
        <w:rPr>
          <w:spacing w:val="-56"/>
        </w:rPr>
        <w:t> </w:t>
      </w:r>
      <w:r>
        <w:rPr>
          <w:rFonts w:ascii="Times New Roman" w:hAnsi="Times New Roman" w:cs="Times New Roman" w:eastAsia="Times New Roman" w:hint="default"/>
        </w:rPr>
        <w:t>48</w:t>
      </w:r>
      <w:r>
        <w:rPr>
          <w:rFonts w:ascii="Times New Roman" w:hAnsi="Times New Roman" w:cs="Times New Roman" w:eastAsia="Times New Roman" w:hint="default"/>
          <w:spacing w:val="-5"/>
        </w:rPr>
        <w:t> </w:t>
      </w:r>
      <w:r>
        <w:rPr/>
        <w:t>个国家级奖项，公司主营业务及品牌影响力不断增强。</w:t>
      </w:r>
    </w:p>
    <w:p>
      <w:pPr>
        <w:spacing w:line="314" w:lineRule="auto" w:before="0"/>
        <w:ind w:left="638" w:right="0" w:firstLine="2"/>
        <w:jc w:val="left"/>
        <w:rPr>
          <w:rFonts w:ascii="宋体" w:hAnsi="宋体" w:cs="宋体" w:eastAsia="宋体" w:hint="default"/>
          <w:sz w:val="21"/>
          <w:szCs w:val="21"/>
        </w:rPr>
      </w:pPr>
      <w:r>
        <w:rPr>
          <w:rFonts w:ascii="宋体" w:hAnsi="宋体" w:cs="宋体" w:eastAsia="宋体" w:hint="default"/>
          <w:b/>
          <w:bCs/>
          <w:sz w:val="21"/>
          <w:szCs w:val="21"/>
        </w:rPr>
        <w:t>（三）领先的人力资源体系</w:t>
      </w:r>
      <w:r>
        <w:rPr>
          <w:rFonts w:ascii="宋体" w:hAnsi="宋体" w:cs="宋体" w:eastAsia="宋体" w:hint="default"/>
          <w:b/>
          <w:bCs/>
          <w:w w:val="100"/>
          <w:sz w:val="21"/>
          <w:szCs w:val="21"/>
        </w:rPr>
        <w:t> </w:t>
      </w:r>
      <w:r>
        <w:rPr>
          <w:rFonts w:ascii="宋体" w:hAnsi="宋体" w:cs="宋体" w:eastAsia="宋体" w:hint="default"/>
          <w:spacing w:val="-2"/>
          <w:sz w:val="21"/>
          <w:szCs w:val="21"/>
        </w:rPr>
        <w:t>公司多渠道引进高素质人才，加强核心人才储备，同时持续完善人才培养体系，通过总裁百</w:t>
      </w:r>
    </w:p>
    <w:p>
      <w:pPr>
        <w:pStyle w:val="BodyText"/>
        <w:spacing w:line="314" w:lineRule="auto" w:before="20"/>
        <w:ind w:right="228"/>
        <w:jc w:val="both"/>
      </w:pPr>
      <w:r>
        <w:rPr>
          <w:spacing w:val="-1"/>
        </w:rPr>
        <w:t>人计划加快人才培养，组建更具创造力的专业团队，为公司发展提供持续的创新动力。公司建立</w:t>
      </w:r>
      <w:r>
        <w:rPr>
          <w:spacing w:val="-55"/>
        </w:rPr>
        <w:t> </w:t>
      </w:r>
      <w:r>
        <w:rPr>
          <w:spacing w:val="-55"/>
        </w:rPr>
      </w:r>
      <w:r>
        <w:rPr>
          <w:spacing w:val="-1"/>
        </w:rPr>
        <w:t>了科学的人力资源体系，具有良好的人才激励机制，通过制定合理的薪酬方案和绩效考核制度，</w:t>
      </w:r>
      <w:r>
        <w:rPr>
          <w:spacing w:val="-55"/>
        </w:rPr>
        <w:t> </w:t>
      </w:r>
      <w:r>
        <w:rPr>
          <w:spacing w:val="-55"/>
        </w:rPr>
      </w:r>
      <w:r>
        <w:rPr>
          <w:spacing w:val="-1"/>
        </w:rPr>
        <w:t>营造良好的企业文化，增强团队凝聚力和企业归属感，吸引和保有各类高素质人才，为公司发展</w:t>
      </w:r>
      <w:r>
        <w:rPr>
          <w:spacing w:val="-55"/>
        </w:rPr>
        <w:t> </w:t>
      </w:r>
      <w:r>
        <w:rPr>
          <w:spacing w:val="-55"/>
        </w:rPr>
      </w:r>
      <w:r>
        <w:rPr/>
        <w:t>奠定了人才优势。</w:t>
      </w:r>
    </w:p>
    <w:p>
      <w:pPr>
        <w:spacing w:after="0" w:line="314" w:lineRule="auto"/>
        <w:jc w:val="both"/>
        <w:sectPr>
          <w:pgSz w:w="11910" w:h="16840"/>
          <w:pgMar w:header="855" w:footer="979" w:top="1120" w:bottom="116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1"/>
        <w:tabs>
          <w:tab w:pos="3918" w:val="left" w:leader="none"/>
        </w:tabs>
        <w:spacing w:line="240" w:lineRule="auto"/>
        <w:ind w:left="2658" w:right="2631"/>
        <w:jc w:val="left"/>
        <w:rPr>
          <w:b w:val="0"/>
          <w:bCs w:val="0"/>
        </w:rPr>
      </w:pPr>
      <w:bookmarkStart w:name="_TOC_250008" w:id="4"/>
      <w:r>
        <w:rPr>
          <w:w w:val="95"/>
        </w:rPr>
        <w:t>第四节</w:t>
        <w:tab/>
      </w:r>
      <w:r>
        <w:rPr/>
        <w:t>经营情况讨论与分析</w:t>
      </w:r>
      <w:bookmarkEnd w:id="4"/>
      <w:r>
        <w:rPr>
          <w:b w:val="0"/>
          <w:bCs w:val="0"/>
        </w:rPr>
      </w:r>
    </w:p>
    <w:p>
      <w:pPr>
        <w:spacing w:line="240" w:lineRule="auto" w:before="13"/>
        <w:rPr>
          <w:rFonts w:ascii="黑体" w:hAnsi="黑体" w:cs="黑体" w:eastAsia="黑体" w:hint="default"/>
          <w:b/>
          <w:bCs/>
          <w:sz w:val="13"/>
          <w:szCs w:val="13"/>
        </w:rPr>
      </w:pPr>
    </w:p>
    <w:p>
      <w:pPr>
        <w:pStyle w:val="Heading4"/>
        <w:spacing w:line="240" w:lineRule="auto"/>
        <w:ind w:left="138" w:right="0"/>
        <w:jc w:val="both"/>
        <w:rPr>
          <w:b w:val="0"/>
          <w:bCs w:val="0"/>
        </w:rPr>
      </w:pPr>
      <w:r>
        <w:rPr/>
        <w:t>一、经营情况讨论与分析</w:t>
      </w:r>
      <w:r>
        <w:rPr>
          <w:b w:val="0"/>
          <w:bCs w:val="0"/>
        </w:rPr>
      </w:r>
    </w:p>
    <w:p>
      <w:pPr>
        <w:pStyle w:val="Heading4"/>
        <w:spacing w:line="240" w:lineRule="auto" w:before="152"/>
        <w:ind w:left="558" w:right="2631"/>
        <w:jc w:val="left"/>
        <w:rPr>
          <w:b w:val="0"/>
          <w:bCs w:val="0"/>
        </w:rPr>
      </w:pPr>
      <w:r>
        <w:rPr/>
        <w:t>（一）报告期内公司经营概述</w:t>
      </w:r>
      <w:r>
        <w:rPr>
          <w:b w:val="0"/>
          <w:bCs w:val="0"/>
        </w:rPr>
      </w:r>
    </w:p>
    <w:p>
      <w:pPr>
        <w:pStyle w:val="BodyText"/>
        <w:spacing w:line="304" w:lineRule="auto" w:before="85"/>
        <w:ind w:left="138" w:right="47" w:firstLine="419"/>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6"/>
        </w:rPr>
        <w:t> </w:t>
      </w:r>
      <w:r>
        <w:rPr>
          <w:spacing w:val="-3"/>
        </w:rPr>
        <w:t>年是公司深化管理改革与创新驱动发展的一年。这一年，在董事会的正确领导及全体员</w:t>
      </w:r>
      <w:r>
        <w:rPr>
          <w:w w:val="100"/>
        </w:rPr>
        <w:t> </w:t>
      </w:r>
      <w:r>
        <w:rPr/>
        <w:t>工的共同努力下，公司继续深化改革，找准战略定位，加大研发投入，提高全国市场营销覆盖，</w:t>
      </w:r>
      <w:r>
        <w:rPr>
          <w:spacing w:val="-98"/>
        </w:rPr>
        <w:t> </w:t>
      </w:r>
      <w:r>
        <w:rPr>
          <w:spacing w:val="-98"/>
        </w:rPr>
      </w:r>
      <w:r>
        <w:rPr>
          <w:spacing w:val="-1"/>
        </w:rPr>
        <w:t>坚持以互联网</w:t>
      </w:r>
      <w:r>
        <w:rPr>
          <w:rFonts w:ascii="宋体" w:hAnsi="宋体" w:cs="宋体" w:eastAsia="宋体" w:hint="default"/>
          <w:spacing w:val="-1"/>
        </w:rPr>
        <w:t>+</w:t>
      </w:r>
      <w:r>
        <w:rPr>
          <w:spacing w:val="-1"/>
        </w:rPr>
        <w:t>政务、城市公共安全管理与智慧城市业务为主线，加大分享经济业务的推广力度，</w:t>
      </w:r>
      <w:r>
        <w:rPr>
          <w:spacing w:val="-54"/>
        </w:rPr>
        <w:t> </w:t>
      </w:r>
      <w:r>
        <w:rPr>
          <w:spacing w:val="-54"/>
        </w:rPr>
      </w:r>
      <w:r>
        <w:rPr/>
        <w:t>深耕行业技术与应用，创新行业运营服务模式，取得了可喜的阶段性成果。报告期内，公司实现</w:t>
      </w:r>
      <w:r>
        <w:rPr>
          <w:spacing w:val="-97"/>
        </w:rPr>
        <w:t> </w:t>
      </w:r>
      <w:r>
        <w:rPr>
          <w:spacing w:val="-97"/>
        </w:rPr>
      </w:r>
      <w:r>
        <w:rPr/>
        <w:t>营业收入</w:t>
      </w:r>
      <w:r>
        <w:rPr>
          <w:spacing w:val="-51"/>
        </w:rPr>
        <w:t> </w:t>
      </w:r>
      <w:r>
        <w:rPr>
          <w:rFonts w:ascii="Times New Roman" w:hAnsi="Times New Roman" w:cs="Times New Roman" w:eastAsia="Times New Roman" w:hint="default"/>
        </w:rPr>
        <w:t>97,904.39</w:t>
      </w:r>
      <w:r>
        <w:rPr>
          <w:rFonts w:ascii="Times New Roman" w:hAnsi="Times New Roman" w:cs="Times New Roman" w:eastAsia="Times New Roman" w:hint="default"/>
          <w:spacing w:val="-1"/>
        </w:rPr>
        <w:t> </w:t>
      </w:r>
      <w:r>
        <w:rPr>
          <w:spacing w:val="-9"/>
        </w:rPr>
        <w:t>万元，同比增长</w:t>
      </w:r>
      <w:r>
        <w:rPr>
          <w:spacing w:val="-50"/>
        </w:rPr>
        <w:t> </w:t>
      </w:r>
      <w:r>
        <w:rPr>
          <w:rFonts w:ascii="Times New Roman" w:hAnsi="Times New Roman" w:cs="Times New Roman" w:eastAsia="Times New Roman" w:hint="default"/>
          <w:spacing w:val="-6"/>
        </w:rPr>
        <w:t>21.27%</w:t>
      </w:r>
      <w:r>
        <w:rPr>
          <w:spacing w:val="-6"/>
        </w:rPr>
        <w:t>。</w:t>
      </w:r>
      <w:r>
        <w:rPr>
          <w:rFonts w:ascii="Times New Roman" w:hAnsi="Times New Roman" w:cs="Times New Roman" w:eastAsia="Times New Roman" w:hint="default"/>
          <w:spacing w:val="-6"/>
        </w:rPr>
        <w:t>2018</w:t>
      </w:r>
      <w:r>
        <w:rPr>
          <w:rFonts w:ascii="Times New Roman" w:hAnsi="Times New Roman" w:cs="Times New Roman" w:eastAsia="Times New Roman" w:hint="default"/>
          <w:spacing w:val="2"/>
        </w:rPr>
        <w:t> </w:t>
      </w:r>
      <w:r>
        <w:rPr/>
        <w:t>年归属于上市股东的净利润为</w:t>
      </w:r>
      <w:r>
        <w:rPr>
          <w:spacing w:val="-50"/>
        </w:rPr>
        <w:t> </w:t>
      </w:r>
      <w:r>
        <w:rPr>
          <w:rFonts w:ascii="Times New Roman" w:hAnsi="Times New Roman" w:cs="Times New Roman" w:eastAsia="Times New Roman" w:hint="default"/>
        </w:rPr>
        <w:t>17,252.33</w:t>
      </w:r>
      <w:r>
        <w:rPr>
          <w:rFonts w:ascii="Times New Roman" w:hAnsi="Times New Roman" w:cs="Times New Roman" w:eastAsia="Times New Roman" w:hint="default"/>
          <w:spacing w:val="2"/>
        </w:rPr>
        <w:t> </w:t>
      </w:r>
      <w:r>
        <w:rPr>
          <w:spacing w:val="-3"/>
        </w:rPr>
        <w:t>万元，</w:t>
      </w:r>
      <w:r>
        <w:rPr>
          <w:spacing w:val="-100"/>
        </w:rPr>
        <w:t> </w:t>
      </w:r>
      <w:r>
        <w:rPr/>
        <w:t>较去年增长</w:t>
      </w:r>
      <w:r>
        <w:rPr>
          <w:spacing w:val="-38"/>
        </w:rPr>
        <w:t> </w:t>
      </w:r>
      <w:r>
        <w:rPr>
          <w:rFonts w:ascii="Times New Roman" w:hAnsi="Times New Roman" w:cs="Times New Roman" w:eastAsia="Times New Roman" w:hint="default"/>
        </w:rPr>
        <w:t>67.46%</w:t>
      </w:r>
      <w:r>
        <w:rPr/>
        <w:t>，归属于上市公司股东的扣除非经常性损益的净利润为</w:t>
      </w:r>
      <w:r>
        <w:rPr>
          <w:spacing w:val="-40"/>
        </w:rPr>
        <w:t> </w:t>
      </w:r>
      <w:r>
        <w:rPr>
          <w:rFonts w:ascii="Times New Roman" w:hAnsi="Times New Roman" w:cs="Times New Roman" w:eastAsia="Times New Roman" w:hint="default"/>
        </w:rPr>
        <w:t>15,311.66</w:t>
      </w:r>
      <w:r>
        <w:rPr>
          <w:rFonts w:ascii="Times New Roman" w:hAnsi="Times New Roman" w:cs="Times New Roman" w:eastAsia="Times New Roman" w:hint="default"/>
          <w:spacing w:val="15"/>
        </w:rPr>
        <w:t> </w:t>
      </w:r>
      <w:r>
        <w:rPr/>
        <w:t>万元，较去</w:t>
      </w:r>
      <w:r>
        <w:rPr>
          <w:w w:val="100"/>
        </w:rPr>
        <w:t> </w:t>
      </w:r>
      <w:r>
        <w:rPr/>
        <w:t>年增长</w:t>
      </w:r>
      <w:r>
        <w:rPr>
          <w:spacing w:val="-51"/>
        </w:rPr>
        <w:t> </w:t>
      </w:r>
      <w:r>
        <w:rPr>
          <w:rFonts w:ascii="Times New Roman" w:hAnsi="Times New Roman" w:cs="Times New Roman" w:eastAsia="Times New Roman" w:hint="default"/>
        </w:rPr>
        <w:t>78.14%</w:t>
      </w:r>
      <w:r>
        <w:rPr/>
        <w:t>。截止</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日，公司总资产</w:t>
      </w:r>
      <w:r>
        <w:rPr>
          <w:spacing w:val="-51"/>
        </w:rPr>
        <w:t> </w:t>
      </w:r>
      <w:r>
        <w:rPr>
          <w:rFonts w:ascii="Times New Roman" w:hAnsi="Times New Roman" w:cs="Times New Roman" w:eastAsia="Times New Roman" w:hint="default"/>
        </w:rPr>
        <w:t>299,725.32</w:t>
      </w:r>
      <w:r>
        <w:rPr>
          <w:rFonts w:ascii="Times New Roman" w:hAnsi="Times New Roman" w:cs="Times New Roman" w:eastAsia="Times New Roman" w:hint="default"/>
          <w:spacing w:val="-2"/>
        </w:rPr>
        <w:t> </w:t>
      </w:r>
      <w:r>
        <w:rPr>
          <w:spacing w:val="-3"/>
        </w:rPr>
        <w:t>万元，较年初增长</w:t>
      </w:r>
      <w:r>
        <w:rPr>
          <w:spacing w:val="-50"/>
        </w:rPr>
        <w:t> </w:t>
      </w:r>
      <w:r>
        <w:rPr>
          <w:rFonts w:ascii="Times New Roman" w:hAnsi="Times New Roman" w:cs="Times New Roman" w:eastAsia="Times New Roman" w:hint="default"/>
          <w:spacing w:val="-3"/>
        </w:rPr>
        <w:t>52.57%</w:t>
      </w:r>
      <w:r>
        <w:rPr>
          <w:spacing w:val="-3"/>
        </w:rPr>
        <w:t>；归</w:t>
      </w:r>
      <w:r>
        <w:rPr>
          <w:spacing w:val="-100"/>
        </w:rPr>
        <w:t> </w:t>
      </w:r>
      <w:r>
        <w:rPr/>
        <w:t>属于上市股东的所有者权益为</w:t>
      </w:r>
      <w:r>
        <w:rPr>
          <w:spacing w:val="-54"/>
        </w:rPr>
        <w:t> </w:t>
      </w:r>
      <w:r>
        <w:rPr>
          <w:rFonts w:ascii="Times New Roman" w:hAnsi="Times New Roman" w:cs="Times New Roman" w:eastAsia="Times New Roman" w:hint="default"/>
        </w:rPr>
        <w:t>174,775.75</w:t>
      </w:r>
      <w:r>
        <w:rPr>
          <w:rFonts w:ascii="Times New Roman" w:hAnsi="Times New Roman" w:cs="Times New Roman" w:eastAsia="Times New Roman" w:hint="default"/>
          <w:spacing w:val="-4"/>
        </w:rPr>
        <w:t> </w:t>
      </w:r>
      <w:r>
        <w:rPr/>
        <w:t>万元，较年初增长</w:t>
      </w:r>
      <w:r>
        <w:rPr>
          <w:spacing w:val="-54"/>
        </w:rPr>
        <w:t> </w:t>
      </w:r>
      <w:r>
        <w:rPr>
          <w:rFonts w:ascii="Times New Roman" w:hAnsi="Times New Roman" w:cs="Times New Roman" w:eastAsia="Times New Roman" w:hint="default"/>
        </w:rPr>
        <w:t>73.20%</w:t>
      </w:r>
      <w:r>
        <w:rPr/>
        <w:t>。</w:t>
      </w:r>
    </w:p>
    <w:p>
      <w:pPr>
        <w:spacing w:line="314" w:lineRule="auto" w:before="6"/>
        <w:ind w:left="560" w:right="2631" w:hanging="3"/>
        <w:jc w:val="left"/>
        <w:rPr>
          <w:rFonts w:ascii="宋体" w:hAnsi="宋体" w:cs="宋体" w:eastAsia="宋体" w:hint="default"/>
          <w:sz w:val="21"/>
          <w:szCs w:val="21"/>
        </w:rPr>
      </w:pPr>
      <w:r>
        <w:rPr>
          <w:rFonts w:ascii="宋体" w:hAnsi="宋体" w:cs="宋体" w:eastAsia="宋体" w:hint="default"/>
          <w:spacing w:val="-2"/>
          <w:sz w:val="21"/>
          <w:szCs w:val="21"/>
        </w:rPr>
        <w:t>报告期内，公司重点完成以下工作：</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、持续投入研发，加强技术创新</w:t>
      </w:r>
      <w:r>
        <w:rPr>
          <w:rFonts w:ascii="宋体" w:hAnsi="宋体" w:cs="宋体" w:eastAsia="宋体" w:hint="default"/>
          <w:sz w:val="21"/>
          <w:szCs w:val="21"/>
        </w:rPr>
      </w:r>
    </w:p>
    <w:p>
      <w:pPr>
        <w:pStyle w:val="BodyText"/>
        <w:spacing w:line="309" w:lineRule="auto" w:before="20"/>
        <w:ind w:left="138" w:right="208" w:firstLine="419"/>
        <w:jc w:val="both"/>
      </w:pPr>
      <w:r>
        <w:rPr>
          <w:spacing w:val="-2"/>
        </w:rPr>
        <w:t>公司致力于成为拥有重大、关键、核心技术的世界级科技集团，公司软件技术中心建设面积</w:t>
      </w:r>
      <w:r>
        <w:rPr>
          <w:w w:val="100"/>
        </w:rPr>
        <w:t> 约</w:t>
      </w:r>
      <w:r>
        <w:rPr>
          <w:spacing w:val="-55"/>
          <w:w w:val="100"/>
        </w:rPr>
        <w:t> </w:t>
      </w:r>
      <w:r>
        <w:rPr>
          <w:rFonts w:ascii="Times New Roman" w:hAnsi="Times New Roman" w:cs="Times New Roman" w:eastAsia="Times New Roman" w:hint="default"/>
          <w:spacing w:val="-1"/>
          <w:w w:val="100"/>
        </w:rPr>
        <w:t>3000 </w:t>
      </w:r>
      <w:r>
        <w:rPr>
          <w:spacing w:val="-9"/>
          <w:w w:val="100"/>
        </w:rPr>
        <w:t>平方米，研发投入逐年增加，中心设有国家级博士后科研工作站、福建省院士专家工作站、</w:t>
      </w:r>
      <w:r>
        <w:rPr>
          <w:w w:val="100"/>
        </w:rPr>
        <w:t> </w:t>
      </w:r>
      <w:r>
        <w:rPr>
          <w:spacing w:val="-1"/>
        </w:rPr>
        <w:t>福建省自主可控软件重点实验室、福建省工程研究中心、福建省工程技术研究中心、福建省软件</w:t>
      </w:r>
      <w:r>
        <w:rPr>
          <w:spacing w:val="-56"/>
        </w:rPr>
        <w:t> </w:t>
      </w:r>
      <w:r>
        <w:rPr>
          <w:spacing w:val="-56"/>
        </w:rPr>
      </w:r>
      <w:r>
        <w:rPr>
          <w:spacing w:val="-4"/>
        </w:rPr>
        <w:t>技术研发中心等创新平台，并通过国际</w:t>
      </w:r>
      <w:r>
        <w:rPr>
          <w:spacing w:val="-41"/>
        </w:rPr>
        <w:t> </w:t>
      </w:r>
      <w:r>
        <w:rPr>
          <w:rFonts w:ascii="Times New Roman" w:hAnsi="Times New Roman" w:cs="Times New Roman" w:eastAsia="Times New Roman" w:hint="default"/>
        </w:rPr>
        <w:t>CMMI5</w:t>
      </w:r>
      <w:r>
        <w:rPr>
          <w:rFonts w:ascii="Times New Roman" w:hAnsi="Times New Roman" w:cs="Times New Roman" w:eastAsia="Times New Roman" w:hint="default"/>
          <w:spacing w:val="12"/>
        </w:rPr>
        <w:t> </w:t>
      </w:r>
      <w:r>
        <w:rPr>
          <w:spacing w:val="-6"/>
        </w:rPr>
        <w:t>认证。</w:t>
      </w:r>
      <w:r>
        <w:rPr>
          <w:rFonts w:ascii="Times New Roman" w:hAnsi="Times New Roman" w:cs="Times New Roman" w:eastAsia="Times New Roman" w:hint="default"/>
          <w:spacing w:val="-6"/>
        </w:rPr>
        <w:t>2018</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spacing w:val="-4"/>
        </w:rPr>
        <w:t>月，公司技术中心被认定为国家</w:t>
      </w:r>
      <w:r>
        <w:rPr>
          <w:spacing w:val="-100"/>
        </w:rPr>
        <w:t> </w:t>
      </w:r>
      <w:r>
        <w:rPr>
          <w:spacing w:val="-100"/>
        </w:rPr>
      </w:r>
      <w:r>
        <w:rPr>
          <w:spacing w:val="-7"/>
        </w:rPr>
        <w:t>企业技术中心。公司持续优化研发管理流程，研发工作成效显著。通过研发管理体系的深入建设，</w:t>
      </w:r>
      <w:r>
        <w:rPr>
          <w:spacing w:val="-12"/>
        </w:rPr>
        <w:t> </w:t>
      </w:r>
      <w:r>
        <w:rPr>
          <w:spacing w:val="-12"/>
        </w:rPr>
      </w:r>
      <w:r>
        <w:rPr>
          <w:spacing w:val="-1"/>
        </w:rPr>
        <w:t>有效整合了集团与行业子公司的研发资源，资源共享，形成研发合力，有效提升了公司的研发水</w:t>
      </w:r>
      <w:r>
        <w:rPr>
          <w:spacing w:val="-55"/>
        </w:rPr>
        <w:t> </w:t>
      </w:r>
      <w:r>
        <w:rPr>
          <w:spacing w:val="-55"/>
        </w:rPr>
      </w:r>
      <w:r>
        <w:rPr/>
        <w:t>平。</w:t>
      </w:r>
    </w:p>
    <w:p>
      <w:pPr>
        <w:pStyle w:val="BodyText"/>
        <w:spacing w:line="300" w:lineRule="auto" w:before="24"/>
        <w:ind w:left="138" w:right="207" w:firstLine="41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36"/>
        </w:rPr>
        <w:t> </w:t>
      </w:r>
      <w:r>
        <w:rPr>
          <w:spacing w:val="-8"/>
        </w:rPr>
        <w:t>年，公司创新推出“一省一窗、异地通办”政务一体化平台、公安智能感知大数据平台、</w:t>
      </w:r>
      <w:r>
        <w:rPr>
          <w:w w:val="100"/>
        </w:rPr>
        <w:t> </w:t>
      </w:r>
      <w:r>
        <w:rPr>
          <w:spacing w:val="-8"/>
        </w:rPr>
        <w:t>“城市通”</w:t>
      </w:r>
      <w:r>
        <w:rPr>
          <w:rFonts w:ascii="Times New Roman" w:hAnsi="Times New Roman" w:cs="Times New Roman" w:eastAsia="Times New Roman" w:hint="default"/>
          <w:spacing w:val="-8"/>
        </w:rPr>
        <w:t>APP </w:t>
      </w:r>
      <w:r>
        <w:rPr>
          <w:spacing w:val="-9"/>
        </w:rPr>
        <w:t>和“天河大数据”系列产品；设立数字政府研究中心，研发政务 </w:t>
      </w:r>
      <w:r>
        <w:rPr>
          <w:rFonts w:ascii="Times New Roman" w:hAnsi="Times New Roman" w:cs="Times New Roman" w:eastAsia="Times New Roman" w:hint="default"/>
          <w:spacing w:val="-7"/>
        </w:rPr>
        <w:t>AI</w:t>
      </w:r>
      <w:r>
        <w:rPr>
          <w:spacing w:val="-7"/>
        </w:rPr>
        <w:t>、政务大数据、</w:t>
      </w:r>
      <w:r>
        <w:rPr>
          <w:spacing w:val="-97"/>
        </w:rPr>
        <w:t> </w:t>
      </w:r>
      <w:r>
        <w:rPr>
          <w:spacing w:val="-97"/>
        </w:rPr>
      </w:r>
      <w:r>
        <w:rPr>
          <w:spacing w:val="-1"/>
        </w:rPr>
        <w:t>证照区块链技术等产品；加强自主可控重点实验室力量，研究安全可控技术产品；城市安全云平</w:t>
      </w:r>
      <w:r>
        <w:rPr>
          <w:spacing w:val="-55"/>
        </w:rPr>
        <w:t> </w:t>
      </w:r>
      <w:r>
        <w:rPr>
          <w:spacing w:val="-55"/>
        </w:rPr>
      </w:r>
      <w:r>
        <w:rPr/>
        <w:t>台、省市公安一体化大数据平台、警务通平台进入研发关键阶段。公司</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个项目入选中央网信办</w:t>
      </w:r>
      <w:r>
        <w:rPr>
          <w:w w:val="100"/>
        </w:rPr>
        <w:t> </w:t>
      </w:r>
      <w:r>
        <w:rPr/>
        <w:t>发布的数字中国建设最佳典型实践案例，天河大数据获得 </w:t>
      </w:r>
      <w:r>
        <w:rPr>
          <w:rFonts w:ascii="Times New Roman" w:hAnsi="Times New Roman" w:cs="Times New Roman" w:eastAsia="Times New Roman" w:hint="default"/>
        </w:rPr>
        <w:t>DCA</w:t>
      </w:r>
      <w:r>
        <w:rPr>
          <w:rFonts w:ascii="Times New Roman" w:hAnsi="Times New Roman" w:cs="Times New Roman" w:eastAsia="Times New Roman" w:hint="default"/>
          <w:spacing w:val="33"/>
        </w:rPr>
        <w:t> </w:t>
      </w:r>
      <w:r>
        <w:rPr/>
        <w:t>国际公认的权威认证，公安智能</w:t>
      </w:r>
      <w:r>
        <w:rPr>
          <w:w w:val="100"/>
        </w:rPr>
        <w:t> </w:t>
      </w:r>
      <w:r>
        <w:rPr/>
        <w:t>感知大数据获得工信部全国大数据</w:t>
      </w:r>
      <w:r>
        <w:rPr>
          <w:spacing w:val="-53"/>
        </w:rPr>
        <w:t> </w:t>
      </w:r>
      <w:r>
        <w:rPr>
          <w:rFonts w:ascii="Times New Roman" w:hAnsi="Times New Roman" w:cs="Times New Roman" w:eastAsia="Times New Roman" w:hint="default"/>
        </w:rPr>
        <w:t>30 </w:t>
      </w:r>
      <w:r>
        <w:rPr>
          <w:spacing w:val="-3"/>
        </w:rPr>
        <w:t>强。</w:t>
      </w:r>
      <w:r>
        <w:rPr/>
      </w:r>
    </w:p>
    <w:p>
      <w:pPr>
        <w:spacing w:line="314" w:lineRule="auto" w:before="11"/>
        <w:ind w:left="558" w:right="47"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、行业影响力及品牌形象持续提升</w:t>
      </w:r>
      <w:r>
        <w:rPr>
          <w:rFonts w:ascii="宋体" w:hAnsi="宋体" w:cs="宋体" w:eastAsia="宋体" w:hint="default"/>
          <w:b/>
          <w:bCs/>
          <w:w w:val="100"/>
          <w:sz w:val="21"/>
          <w:szCs w:val="21"/>
        </w:rPr>
        <w:t> </w:t>
      </w:r>
      <w:r>
        <w:rPr>
          <w:rFonts w:ascii="宋体" w:hAnsi="宋体" w:cs="宋体" w:eastAsia="宋体" w:hint="default"/>
          <w:spacing w:val="-2"/>
          <w:sz w:val="21"/>
          <w:szCs w:val="21"/>
        </w:rPr>
        <w:t>公司承担中共中央办公厅、国务院办公厅、中央组织部、国家发改委、公安部等国家核心机</w:t>
      </w:r>
    </w:p>
    <w:p>
      <w:pPr>
        <w:pStyle w:val="BodyText"/>
        <w:spacing w:line="304" w:lineRule="auto" w:before="20"/>
        <w:ind w:left="138" w:right="207"/>
        <w:jc w:val="both"/>
      </w:pPr>
      <w:r>
        <w:rPr>
          <w:spacing w:val="-3"/>
        </w:rPr>
        <w:t>关信息化建设项目，案例已覆盖全国。</w:t>
      </w:r>
      <w:r>
        <w:rPr>
          <w:rFonts w:ascii="Times New Roman" w:hAnsi="Times New Roman" w:cs="Times New Roman" w:eastAsia="Times New Roman" w:hint="default"/>
          <w:spacing w:val="-3"/>
        </w:rPr>
        <w:t>2018 </w:t>
      </w:r>
      <w:r>
        <w:rPr>
          <w:spacing w:val="-3"/>
        </w:rPr>
        <w:t>年，公司举办了“最多跑一次”创新实践升级暨智慧</w:t>
      </w:r>
      <w:r>
        <w:rPr>
          <w:spacing w:val="-70"/>
        </w:rPr>
        <w:t> </w:t>
      </w:r>
      <w:r>
        <w:rPr>
          <w:spacing w:val="-70"/>
        </w:rPr>
      </w:r>
      <w:r>
        <w:rPr>
          <w:spacing w:val="-3"/>
        </w:rPr>
        <w:t>城市、数字经济生态合作大会，与会嘉宾超</w:t>
      </w:r>
      <w:r>
        <w:rPr>
          <w:spacing w:val="-44"/>
        </w:rPr>
        <w:t> </w:t>
      </w:r>
      <w:r>
        <w:rPr>
          <w:rFonts w:ascii="Times New Roman" w:hAnsi="Times New Roman" w:cs="Times New Roman" w:eastAsia="Times New Roman" w:hint="default"/>
        </w:rPr>
        <w:t>800</w:t>
      </w:r>
      <w:r>
        <w:rPr>
          <w:rFonts w:ascii="Times New Roman" w:hAnsi="Times New Roman" w:cs="Times New Roman" w:eastAsia="Times New Roman" w:hint="default"/>
          <w:spacing w:val="8"/>
        </w:rPr>
        <w:t> </w:t>
      </w:r>
      <w:r>
        <w:rPr>
          <w:spacing w:val="-4"/>
        </w:rPr>
        <w:t>人，参与媒体</w:t>
      </w:r>
      <w:r>
        <w:rPr>
          <w:spacing w:val="-42"/>
        </w:rPr>
        <w:t> </w:t>
      </w:r>
      <w:r>
        <w:rPr>
          <w:rFonts w:ascii="Times New Roman" w:hAnsi="Times New Roman" w:cs="Times New Roman" w:eastAsia="Times New Roman" w:hint="default"/>
        </w:rPr>
        <w:t>50</w:t>
      </w:r>
      <w:r>
        <w:rPr>
          <w:rFonts w:ascii="Times New Roman" w:hAnsi="Times New Roman" w:cs="Times New Roman" w:eastAsia="Times New Roman" w:hint="default"/>
          <w:spacing w:val="11"/>
        </w:rPr>
        <w:t> </w:t>
      </w:r>
      <w:r>
        <w:rPr>
          <w:spacing w:val="-5"/>
        </w:rPr>
        <w:t>家以上，同时在河南、江苏、海</w:t>
      </w:r>
      <w:r>
        <w:rPr>
          <w:spacing w:val="-100"/>
        </w:rPr>
        <w:t> </w:t>
      </w:r>
      <w:r>
        <w:rPr>
          <w:spacing w:val="-100"/>
        </w:rPr>
      </w:r>
      <w:r>
        <w:rPr>
          <w:spacing w:val="-4"/>
        </w:rPr>
        <w:t>南等省份举办多场省级互联网</w:t>
      </w:r>
      <w:r>
        <w:rPr>
          <w:rFonts w:ascii="宋体" w:hAnsi="宋体" w:cs="宋体" w:eastAsia="宋体" w:hint="default"/>
          <w:spacing w:val="-4"/>
        </w:rPr>
        <w:t>+</w:t>
      </w:r>
      <w:r>
        <w:rPr>
          <w:spacing w:val="-4"/>
        </w:rPr>
        <w:t>政务行业营销会议。积极参加首届数字中国峰会、数博会、智博会</w:t>
      </w:r>
      <w:r>
        <w:rPr>
          <w:spacing w:val="-34"/>
        </w:rPr>
        <w:t> </w:t>
      </w:r>
      <w:r>
        <w:rPr>
          <w:spacing w:val="-34"/>
        </w:rPr>
      </w:r>
      <w:r>
        <w:rPr/>
        <w:t>以及世界互联网大会等八场国家级盛会。</w:t>
      </w:r>
      <w:r>
        <w:rPr>
          <w:rFonts w:ascii="Times New Roman" w:hAnsi="Times New Roman" w:cs="Times New Roman" w:eastAsia="Times New Roman" w:hint="default"/>
        </w:rPr>
        <w:t>2018 </w:t>
      </w:r>
      <w:r>
        <w:rPr/>
        <w:t>年，公司共获得 </w:t>
      </w:r>
      <w:r>
        <w:rPr>
          <w:rFonts w:ascii="Times New Roman" w:hAnsi="Times New Roman" w:cs="Times New Roman" w:eastAsia="Times New Roman" w:hint="default"/>
        </w:rPr>
        <w:t>48</w:t>
      </w:r>
      <w:r>
        <w:rPr>
          <w:rFonts w:ascii="Times New Roman" w:hAnsi="Times New Roman" w:cs="Times New Roman" w:eastAsia="Times New Roman" w:hint="default"/>
          <w:spacing w:val="6"/>
        </w:rPr>
        <w:t> </w:t>
      </w:r>
      <w:r>
        <w:rPr/>
        <w:t>个权威奖项，凭借在数字经济</w:t>
      </w:r>
      <w:r>
        <w:rPr>
          <w:w w:val="100"/>
        </w:rPr>
        <w:t> </w:t>
      </w:r>
      <w:r>
        <w:rPr>
          <w:spacing w:val="-1"/>
        </w:rPr>
        <w:t>领域的突出成就，公司与阿里云、微软（中国）、思科（中国）、腾讯等企业一道被授予“亚太</w:t>
      </w:r>
      <w:r>
        <w:rPr>
          <w:spacing w:val="-55"/>
        </w:rPr>
        <w:t> </w:t>
      </w:r>
      <w:r>
        <w:rPr>
          <w:spacing w:val="-55"/>
        </w:rPr>
      </w:r>
      <w:r>
        <w:rPr/>
        <w:t>数字经济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年度行业十大领军企业奖”，公司行业影响力及品牌形象不断增强。</w:t>
      </w:r>
    </w:p>
    <w:p>
      <w:pPr>
        <w:pStyle w:val="BodyText"/>
        <w:spacing w:line="240" w:lineRule="auto" w:before="6"/>
        <w:ind w:left="558" w:right="47"/>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18</w:t>
      </w:r>
      <w:r>
        <w:rPr>
          <w:rFonts w:ascii="Times New Roman" w:hAnsi="Times New Roman" w:cs="Times New Roman" w:eastAsia="Times New Roman" w:hint="default"/>
          <w:spacing w:val="11"/>
        </w:rPr>
        <w:t> </w:t>
      </w:r>
      <w:r>
        <w:rPr>
          <w:spacing w:val="-3"/>
        </w:rPr>
        <w:t>日，公司董事长吴志雄先生作为中国软件与信息技术服务业领军企业代表受</w:t>
      </w:r>
    </w:p>
    <w:p>
      <w:pPr>
        <w:pStyle w:val="BodyText"/>
        <w:spacing w:line="297" w:lineRule="auto" w:before="69"/>
        <w:ind w:left="138" w:right="208"/>
        <w:jc w:val="both"/>
      </w:pPr>
      <w:r>
        <w:rPr/>
        <w:t>邀出席</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年亚太经合组织（</w:t>
      </w:r>
      <w:r>
        <w:rPr>
          <w:rFonts w:ascii="Times New Roman" w:hAnsi="Times New Roman" w:cs="Times New Roman" w:eastAsia="Times New Roman" w:hint="default"/>
        </w:rPr>
        <w:t>APEC</w:t>
      </w:r>
      <w:r>
        <w:rPr/>
        <w:t>）峰会，为公司“走出去”，布局“一带一路”乃至全球的</w:t>
      </w:r>
      <w:r>
        <w:rPr>
          <w:w w:val="100"/>
        </w:rPr>
        <w:t> </w:t>
      </w:r>
      <w:r>
        <w:rPr/>
        <w:t>发展战略提供了时代机遇。</w:t>
      </w:r>
    </w:p>
    <w:p>
      <w:pPr>
        <w:spacing w:after="0" w:line="297" w:lineRule="auto"/>
        <w:jc w:val="both"/>
        <w:sectPr>
          <w:pgSz w:w="11910" w:h="16840"/>
          <w:pgMar w:header="855" w:footer="979" w:top="1120" w:bottom="1160" w:left="1660" w:right="1060"/>
        </w:sectPr>
      </w:pPr>
    </w:p>
    <w:p>
      <w:pPr>
        <w:spacing w:line="240" w:lineRule="auto" w:before="0"/>
        <w:rPr>
          <w:rFonts w:ascii="宋体" w:hAnsi="宋体" w:cs="宋体" w:eastAsia="宋体" w:hint="default"/>
          <w:sz w:val="20"/>
          <w:szCs w:val="20"/>
        </w:rPr>
      </w:pPr>
    </w:p>
    <w:p>
      <w:pPr>
        <w:spacing w:line="314" w:lineRule="auto" w:before="180"/>
        <w:ind w:left="558" w:right="47" w:firstLine="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、资本工作初显成效</w:t>
      </w:r>
      <w:r>
        <w:rPr>
          <w:rFonts w:ascii="宋体" w:hAnsi="宋体" w:cs="宋体" w:eastAsia="宋体" w:hint="default"/>
          <w:b/>
          <w:bCs/>
          <w:w w:val="100"/>
          <w:sz w:val="21"/>
          <w:szCs w:val="21"/>
        </w:rPr>
        <w:t> </w:t>
      </w:r>
      <w:r>
        <w:rPr>
          <w:rFonts w:ascii="宋体" w:hAnsi="宋体" w:cs="宋体" w:eastAsia="宋体" w:hint="default"/>
          <w:spacing w:val="-7"/>
          <w:sz w:val="21"/>
          <w:szCs w:val="21"/>
        </w:rPr>
        <w:t>公司充分利用资本工具，加快资本运作，投资、并购产业链企业，进行产业链垂直整合。</w:t>
      </w:r>
      <w:r>
        <w:rPr>
          <w:rFonts w:ascii="Times New Roman" w:hAnsi="Times New Roman" w:cs="Times New Roman" w:eastAsia="Times New Roman" w:hint="default"/>
          <w:spacing w:val="-7"/>
          <w:sz w:val="21"/>
          <w:szCs w:val="21"/>
        </w:rPr>
        <w:t>2018</w:t>
      </w:r>
    </w:p>
    <w:p>
      <w:pPr>
        <w:pStyle w:val="BodyText"/>
        <w:spacing w:line="272" w:lineRule="exact"/>
        <w:ind w:left="138" w:right="0"/>
        <w:jc w:val="both"/>
      </w:pPr>
      <w:r>
        <w:rPr/>
        <w:t>年</w:t>
      </w:r>
      <w:r>
        <w:rPr>
          <w:spacing w:val="-54"/>
        </w:rPr>
        <w:t> </w:t>
      </w:r>
      <w:r>
        <w:rPr>
          <w:rFonts w:ascii="宋体" w:hAnsi="宋体" w:cs="宋体" w:eastAsia="宋体" w:hint="default"/>
        </w:rPr>
        <w:t>3</w:t>
      </w:r>
      <w:r>
        <w:rPr>
          <w:rFonts w:ascii="宋体" w:hAnsi="宋体" w:cs="宋体" w:eastAsia="宋体" w:hint="default"/>
          <w:spacing w:val="-54"/>
        </w:rPr>
        <w:t> </w:t>
      </w:r>
      <w:r>
        <w:rPr/>
        <w:t>月，公司完成配股公开发行，募集资金净额为</w:t>
      </w:r>
      <w:r>
        <w:rPr>
          <w:spacing w:val="-56"/>
        </w:rPr>
        <w:t> </w:t>
      </w:r>
      <w:r>
        <w:rPr>
          <w:rFonts w:ascii="宋体" w:hAnsi="宋体" w:cs="宋体" w:eastAsia="宋体" w:hint="default"/>
        </w:rPr>
        <w:t>6.51</w:t>
      </w:r>
      <w:r>
        <w:rPr>
          <w:rFonts w:ascii="宋体" w:hAnsi="宋体" w:cs="宋体" w:eastAsia="宋体" w:hint="default"/>
          <w:spacing w:val="-56"/>
        </w:rPr>
        <w:t> </w:t>
      </w:r>
      <w:r>
        <w:rPr/>
        <w:t>亿元。</w:t>
      </w:r>
    </w:p>
    <w:p>
      <w:pPr>
        <w:pStyle w:val="BodyText"/>
        <w:spacing w:line="297" w:lineRule="auto" w:before="85"/>
        <w:ind w:left="138" w:right="207" w:firstLine="419"/>
        <w:jc w:val="both"/>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6 </w:t>
      </w:r>
      <w:r>
        <w:rPr>
          <w:spacing w:val="-6"/>
        </w:rPr>
        <w:t>月，公司完成对大数据公司成都四方伟业软件股份有限公司的战略投资，投资</w:t>
      </w:r>
      <w:r>
        <w:rPr>
          <w:spacing w:val="-61"/>
        </w:rPr>
        <w:t> </w:t>
      </w:r>
      <w:r>
        <w:rPr>
          <w:rFonts w:ascii="Times New Roman" w:hAnsi="Times New Roman" w:cs="Times New Roman" w:eastAsia="Times New Roman" w:hint="default"/>
        </w:rPr>
        <w:t>8,000</w:t>
      </w:r>
      <w:r>
        <w:rPr>
          <w:rFonts w:ascii="Times New Roman" w:hAnsi="Times New Roman" w:cs="Times New Roman" w:eastAsia="Times New Roman" w:hint="default"/>
          <w:w w:val="100"/>
        </w:rPr>
        <w:t> </w:t>
      </w:r>
      <w:r>
        <w:rPr/>
        <w:t>万元持有其</w:t>
      </w:r>
      <w:r>
        <w:rPr>
          <w:spacing w:val="-55"/>
        </w:rPr>
        <w:t> </w:t>
      </w:r>
      <w:r>
        <w:rPr>
          <w:rFonts w:ascii="Times New Roman" w:hAnsi="Times New Roman" w:cs="Times New Roman" w:eastAsia="Times New Roman" w:hint="default"/>
        </w:rPr>
        <w:t>10%</w:t>
      </w:r>
      <w:r>
        <w:rPr/>
        <w:t>的股权；</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月，公司再次以</w:t>
      </w:r>
      <w:r>
        <w:rPr>
          <w:spacing w:val="-5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
        </w:rPr>
        <w:t> </w:t>
      </w:r>
      <w:r>
        <w:rPr/>
        <w:t>万元向其增资扩股，目前公司持有四方</w:t>
      </w:r>
      <w:r>
        <w:rPr>
          <w:w w:val="100"/>
        </w:rPr>
        <w:t> </w:t>
      </w:r>
      <w:r>
        <w:rPr/>
        <w:t>伟业 </w:t>
      </w:r>
      <w:r>
        <w:rPr>
          <w:rFonts w:ascii="Times New Roman" w:hAnsi="Times New Roman" w:cs="Times New Roman" w:eastAsia="Times New Roman" w:hint="default"/>
          <w:spacing w:val="-3"/>
        </w:rPr>
        <w:t>15.29%</w:t>
      </w:r>
      <w:r>
        <w:rPr>
          <w:spacing w:val="-3"/>
        </w:rPr>
        <w:t>的股份。公司通过加强与四方伟业在大数据产品研发合作，提高了公司在大数据领域</w:t>
      </w:r>
      <w:r>
        <w:rPr>
          <w:spacing w:val="-94"/>
        </w:rPr>
        <w:t> </w:t>
      </w:r>
      <w:r>
        <w:rPr>
          <w:spacing w:val="-94"/>
        </w:rPr>
      </w:r>
      <w:r>
        <w:rPr/>
        <w:t>的竞争力。</w:t>
      </w:r>
    </w:p>
    <w:p>
      <w:pPr>
        <w:pStyle w:val="BodyText"/>
        <w:spacing w:line="302" w:lineRule="auto" w:before="34"/>
        <w:ind w:left="138" w:right="207" w:firstLine="41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月公司完成对太极云软的并购重组持有其</w:t>
      </w:r>
      <w:r>
        <w:rPr>
          <w:spacing w:val="-52"/>
        </w:rPr>
        <w:t> </w:t>
      </w:r>
      <w:r>
        <w:rPr>
          <w:rFonts w:ascii="Times New Roman" w:hAnsi="Times New Roman" w:cs="Times New Roman" w:eastAsia="Times New Roman" w:hint="default"/>
        </w:rPr>
        <w:t>61%</w:t>
      </w:r>
      <w:r>
        <w:rPr/>
        <w:t>股权，交易对价为</w:t>
      </w:r>
      <w:r>
        <w:rPr>
          <w:spacing w:val="-54"/>
        </w:rPr>
        <w:t> </w:t>
      </w:r>
      <w:r>
        <w:rPr>
          <w:rFonts w:ascii="Times New Roman" w:hAnsi="Times New Roman" w:cs="Times New Roman" w:eastAsia="Times New Roman" w:hint="default"/>
        </w:rPr>
        <w:t>2.13</w:t>
      </w:r>
      <w:r>
        <w:rPr>
          <w:rFonts w:ascii="Times New Roman" w:hAnsi="Times New Roman" w:cs="Times New Roman" w:eastAsia="Times New Roman" w:hint="default"/>
          <w:spacing w:val="1"/>
        </w:rPr>
        <w:t> </w:t>
      </w:r>
      <w:r>
        <w:rPr>
          <w:spacing w:val="-3"/>
        </w:rPr>
        <w:t>亿元。本次</w:t>
      </w:r>
      <w:r>
        <w:rPr>
          <w:w w:val="100"/>
        </w:rPr>
        <w:t> </w:t>
      </w:r>
      <w:r>
        <w:rPr>
          <w:spacing w:val="-1"/>
        </w:rPr>
        <w:t>并购将为公司注入优质的资产，完善公司的产业布局，增加相关产业协同性，有利于促进公司主</w:t>
      </w:r>
      <w:r>
        <w:rPr>
          <w:spacing w:val="-56"/>
        </w:rPr>
        <w:t> </w:t>
      </w:r>
      <w:r>
        <w:rPr>
          <w:spacing w:val="-56"/>
        </w:rPr>
      </w:r>
      <w:r>
        <w:rPr>
          <w:spacing w:val="-3"/>
        </w:rPr>
        <w:t>营业务的快速发展。</w:t>
      </w:r>
      <w:r>
        <w:rPr>
          <w:rFonts w:ascii="Times New Roman" w:hAnsi="Times New Roman" w:cs="Times New Roman" w:eastAsia="Times New Roman" w:hint="default"/>
          <w:spacing w:val="-3"/>
        </w:rPr>
        <w:t>2019 </w:t>
      </w:r>
      <w:r>
        <w:rPr>
          <w:spacing w:val="-3"/>
        </w:rPr>
        <w:t>年公司将紧密结合市场动态，用好资本工具实施投资并购，提升公司核</w:t>
      </w:r>
      <w:r>
        <w:rPr>
          <w:spacing w:val="-67"/>
        </w:rPr>
        <w:t> </w:t>
      </w:r>
      <w:r>
        <w:rPr>
          <w:spacing w:val="-67"/>
        </w:rPr>
      </w:r>
      <w:r>
        <w:rPr/>
        <w:t>心技术竞争力，助力公司</w:t>
      </w:r>
      <w:r>
        <w:rPr>
          <w:spacing w:val="-56"/>
        </w:rPr>
        <w:t> </w:t>
      </w:r>
      <w:r>
        <w:rPr>
          <w:rFonts w:ascii="Times New Roman" w:hAnsi="Times New Roman" w:cs="Times New Roman" w:eastAsia="Times New Roman" w:hint="default"/>
        </w:rPr>
        <w:t>2025</w:t>
      </w:r>
      <w:r>
        <w:rPr>
          <w:rFonts w:ascii="Times New Roman" w:hAnsi="Times New Roman" w:cs="Times New Roman" w:eastAsia="Times New Roman" w:hint="default"/>
          <w:spacing w:val="-5"/>
        </w:rPr>
        <w:t> </w:t>
      </w:r>
      <w:r>
        <w:rPr/>
        <w:t>年战略规划的逐步实现。</w:t>
      </w:r>
    </w:p>
    <w:p>
      <w:pPr>
        <w:spacing w:line="314" w:lineRule="auto" w:before="9"/>
        <w:ind w:left="558" w:right="47"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、发挥红色引擎战略优势，打造党建新名片</w:t>
      </w:r>
      <w:r>
        <w:rPr>
          <w:rFonts w:ascii="宋体" w:hAnsi="宋体" w:cs="宋体" w:eastAsia="宋体" w:hint="default"/>
          <w:b/>
          <w:bCs/>
          <w:w w:val="100"/>
          <w:sz w:val="21"/>
          <w:szCs w:val="21"/>
        </w:rPr>
        <w:t> </w:t>
      </w:r>
      <w:r>
        <w:rPr>
          <w:rFonts w:ascii="宋体" w:hAnsi="宋体" w:cs="宋体" w:eastAsia="宋体" w:hint="default"/>
          <w:spacing w:val="-2"/>
          <w:sz w:val="21"/>
          <w:szCs w:val="21"/>
        </w:rPr>
        <w:t>公司持续坚持红色引擎战略，在把党的建设融入非公企业治理的过程中，公司牢牢把握住以</w:t>
      </w:r>
    </w:p>
    <w:p>
      <w:pPr>
        <w:pStyle w:val="BodyText"/>
        <w:spacing w:line="312" w:lineRule="auto" w:before="20"/>
        <w:ind w:left="138" w:right="208"/>
        <w:jc w:val="both"/>
      </w:pPr>
      <w:r>
        <w:rPr>
          <w:spacing w:val="-1"/>
        </w:rPr>
        <w:t>“党建强”促“发展强”的实践经验，坚持党的建设与企业经营管理同频共振、互融共进；坚持</w:t>
      </w:r>
      <w:r>
        <w:rPr>
          <w:spacing w:val="-55"/>
        </w:rPr>
        <w:t> </w:t>
      </w:r>
      <w:r>
        <w:rPr>
          <w:spacing w:val="-55"/>
        </w:rPr>
      </w:r>
      <w:r>
        <w:rPr>
          <w:spacing w:val="-1"/>
        </w:rPr>
        <w:t>红色文化引领企业文化，通过抓理想信念，坚守共产党人精神追求，激发企业内在活力；坚持强</w:t>
      </w:r>
      <w:r>
        <w:rPr>
          <w:spacing w:val="-55"/>
        </w:rPr>
        <w:t> </w:t>
      </w:r>
      <w:r>
        <w:rPr>
          <w:spacing w:val="-55"/>
        </w:rPr>
      </w:r>
      <w:r>
        <w:rPr>
          <w:spacing w:val="-3"/>
        </w:rPr>
        <w:t>化企业党组织的政治功能和服务功能</w:t>
      </w:r>
      <w:r>
        <w:rPr>
          <w:rFonts w:ascii="Times New Roman" w:hAnsi="Times New Roman" w:cs="Times New Roman" w:eastAsia="Times New Roman" w:hint="default"/>
          <w:spacing w:val="-3"/>
        </w:rPr>
        <w:t>,</w:t>
      </w:r>
      <w:r>
        <w:rPr>
          <w:spacing w:val="-3"/>
        </w:rPr>
        <w:t>以党组织的坚强有力引领带动群团组织，夯实企业政治基础</w:t>
      </w:r>
      <w:r>
        <w:rPr>
          <w:spacing w:val="-25"/>
        </w:rPr>
        <w:t> </w:t>
      </w:r>
      <w:r>
        <w:rPr>
          <w:spacing w:val="-25"/>
        </w:rPr>
      </w:r>
      <w:r>
        <w:rPr>
          <w:spacing w:val="-1"/>
        </w:rPr>
        <w:t>和群众基础；坚持党组织在职工群众中发挥政治核心作用，在企业发展中发挥政治引领作用，让</w:t>
      </w:r>
      <w:r>
        <w:rPr>
          <w:spacing w:val="-55"/>
        </w:rPr>
        <w:t> </w:t>
      </w:r>
      <w:r>
        <w:rPr>
          <w:spacing w:val="-55"/>
        </w:rPr>
      </w:r>
      <w:r>
        <w:rPr>
          <w:spacing w:val="-1"/>
        </w:rPr>
        <w:t>党组织的政治优势转化为企业发展优势，让党建工作成果转化为企业的生产力，形成了党建引领</w:t>
      </w:r>
      <w:r>
        <w:rPr>
          <w:spacing w:val="-55"/>
        </w:rPr>
        <w:t> </w:t>
      </w:r>
      <w:r>
        <w:rPr>
          <w:spacing w:val="-55"/>
        </w:rPr>
      </w:r>
      <w:r>
        <w:rPr/>
        <w:t>与公司发展的良性循环。</w:t>
      </w:r>
    </w:p>
    <w:p>
      <w:pPr>
        <w:pStyle w:val="BodyText"/>
        <w:spacing w:line="297" w:lineRule="auto" w:before="22"/>
        <w:ind w:left="138" w:right="47" w:firstLine="419"/>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spacing w:val="-6"/>
        </w:rPr>
        <w:t>年，公司党建工作卓有成效，公司先后被授予福建省互联网企业非公党建示范标杆单位、</w:t>
      </w:r>
      <w:r>
        <w:rPr>
          <w:w w:val="100"/>
        </w:rPr>
        <w:t> </w:t>
      </w:r>
      <w:r>
        <w:rPr/>
        <w:t>福建省非公企业和社会组织党建工作实训基地，党建工作已然成为公司对外的一张新名片。</w:t>
      </w:r>
    </w:p>
    <w:p>
      <w:pPr>
        <w:pStyle w:val="Heading4"/>
        <w:spacing w:line="393" w:lineRule="auto" w:before="34"/>
        <w:ind w:left="560" w:right="4552"/>
        <w:jc w:val="left"/>
        <w:rPr>
          <w:b w:val="0"/>
          <w:bCs w:val="0"/>
        </w:rPr>
      </w:pPr>
      <w:r>
        <w:rPr>
          <w:spacing w:val="-1"/>
        </w:rPr>
        <w:t>（二）报告期内公司各项业务发展情况</w:t>
      </w:r>
      <w:r>
        <w:rPr>
          <w:spacing w:val="-89"/>
        </w:rPr>
        <w:t> </w:t>
      </w:r>
      <w:r>
        <w:rPr>
          <w:spacing w:val="-89"/>
        </w:rPr>
      </w:r>
      <w:r>
        <w:rPr>
          <w:rFonts w:ascii="宋体" w:hAnsi="宋体" w:cs="宋体" w:eastAsia="宋体" w:hint="default"/>
        </w:rPr>
        <w:t>1.</w:t>
      </w:r>
      <w:r>
        <w:rPr/>
        <w:t>互联网</w:t>
      </w:r>
      <w:r>
        <w:rPr>
          <w:rFonts w:ascii="宋体" w:hAnsi="宋体" w:cs="宋体" w:eastAsia="宋体" w:hint="default"/>
        </w:rPr>
        <w:t>+</w:t>
      </w:r>
      <w:r>
        <w:rPr/>
        <w:t>政务</w:t>
      </w:r>
      <w:r>
        <w:rPr>
          <w:b w:val="0"/>
          <w:bCs w:val="0"/>
        </w:rPr>
      </w:r>
    </w:p>
    <w:p>
      <w:pPr>
        <w:pStyle w:val="BodyText"/>
        <w:spacing w:line="304" w:lineRule="auto" w:before="46"/>
        <w:ind w:left="138" w:right="207" w:firstLine="419"/>
        <w:jc w:val="both"/>
      </w:pPr>
      <w:r>
        <w:rPr/>
        <w:t>截至目前，公司互联网</w:t>
      </w:r>
      <w:r>
        <w:rPr>
          <w:rFonts w:ascii="宋体" w:hAnsi="宋体" w:cs="宋体" w:eastAsia="宋体" w:hint="default"/>
        </w:rPr>
        <w:t>+</w:t>
      </w:r>
      <w:r>
        <w:rPr/>
        <w:t>政务的产品解决方案已在全国 </w:t>
      </w:r>
      <w:r>
        <w:rPr>
          <w:rFonts w:ascii="Times New Roman" w:hAnsi="Times New Roman" w:cs="Times New Roman" w:eastAsia="Times New Roman" w:hint="default"/>
        </w:rPr>
        <w:t>31 </w:t>
      </w:r>
      <w:r>
        <w:rPr/>
        <w:t>个省份、</w:t>
      </w:r>
      <w:r>
        <w:rPr>
          <w:rFonts w:ascii="Times New Roman" w:hAnsi="Times New Roman" w:cs="Times New Roman" w:eastAsia="Times New Roman" w:hint="default"/>
        </w:rPr>
        <w:t>160</w:t>
      </w:r>
      <w:r>
        <w:rPr>
          <w:rFonts w:ascii="Times New Roman" w:hAnsi="Times New Roman" w:cs="Times New Roman" w:eastAsia="Times New Roman" w:hint="default"/>
          <w:spacing w:val="3"/>
        </w:rPr>
        <w:t> </w:t>
      </w:r>
      <w:r>
        <w:rPr/>
        <w:t>多个地市以及众多县</w:t>
      </w:r>
      <w:r>
        <w:rPr>
          <w:w w:val="100"/>
        </w:rPr>
        <w:t> </w:t>
      </w:r>
      <w:r>
        <w:rPr>
          <w:spacing w:val="-1"/>
        </w:rPr>
        <w:t>区和基层政府得到深入且广泛的应用，为各地“放管服改革”工作的推进提供了强有力的支撑和</w:t>
      </w:r>
      <w:r>
        <w:rPr>
          <w:spacing w:val="-55"/>
        </w:rPr>
        <w:t> </w:t>
      </w:r>
      <w:r>
        <w:rPr>
          <w:spacing w:val="-55"/>
        </w:rPr>
      </w:r>
      <w:r>
        <w:rPr>
          <w:spacing w:val="-4"/>
        </w:rPr>
        <w:t>保障。公司深度参与浙江、江苏、河南、福建、河北等省市互联网</w:t>
      </w:r>
      <w:r>
        <w:rPr>
          <w:rFonts w:ascii="宋体" w:hAnsi="宋体" w:cs="宋体" w:eastAsia="宋体" w:hint="default"/>
          <w:spacing w:val="-4"/>
        </w:rPr>
        <w:t>+</w:t>
      </w:r>
      <w:r>
        <w:rPr>
          <w:spacing w:val="-4"/>
        </w:rPr>
        <w:t>政务服务建设，其中浙江省建</w:t>
      </w:r>
      <w:r>
        <w:rPr>
          <w:spacing w:val="-40"/>
        </w:rPr>
        <w:t> </w:t>
      </w:r>
      <w:r>
        <w:rPr>
          <w:spacing w:val="-40"/>
        </w:rPr>
      </w:r>
      <w:r>
        <w:rPr/>
        <w:t>设项目涉及</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个地市</w:t>
      </w:r>
      <w:r>
        <w:rPr>
          <w:spacing w:val="-52"/>
        </w:rPr>
        <w:t> </w:t>
      </w:r>
      <w:r>
        <w:rPr>
          <w:rFonts w:ascii="Times New Roman" w:hAnsi="Times New Roman" w:cs="Times New Roman" w:eastAsia="Times New Roman" w:hint="default"/>
        </w:rPr>
        <w:t>83</w:t>
      </w:r>
      <w:r>
        <w:rPr>
          <w:rFonts w:ascii="Times New Roman" w:hAnsi="Times New Roman" w:cs="Times New Roman" w:eastAsia="Times New Roman" w:hint="default"/>
          <w:spacing w:val="-3"/>
        </w:rPr>
        <w:t> </w:t>
      </w:r>
      <w:r>
        <w:rPr/>
        <w:t>个区县，地市覆盖率达</w:t>
      </w:r>
      <w:r>
        <w:rPr>
          <w:spacing w:val="-53"/>
        </w:rPr>
        <w:t> </w:t>
      </w:r>
      <w:r>
        <w:rPr>
          <w:rFonts w:ascii="Times New Roman" w:hAnsi="Times New Roman" w:cs="Times New Roman" w:eastAsia="Times New Roman" w:hint="default"/>
          <w:spacing w:val="-3"/>
        </w:rPr>
        <w:t>91%</w:t>
      </w:r>
      <w:r>
        <w:rPr>
          <w:spacing w:val="-3"/>
        </w:rPr>
        <w:t>、区县覆盖率达</w:t>
      </w:r>
      <w:r>
        <w:rPr>
          <w:spacing w:val="-53"/>
        </w:rPr>
        <w:t> </w:t>
      </w:r>
      <w:r>
        <w:rPr>
          <w:rFonts w:ascii="Times New Roman" w:hAnsi="Times New Roman" w:cs="Times New Roman" w:eastAsia="Times New Roman" w:hint="default"/>
        </w:rPr>
        <w:t>93%</w:t>
      </w:r>
      <w:r>
        <w:rPr/>
        <w:t>；服务浙江省客户总数</w:t>
      </w:r>
      <w:r>
        <w:rPr>
          <w:w w:val="100"/>
        </w:rPr>
        <w:t> </w:t>
      </w:r>
      <w:r>
        <w:rPr/>
        <w:t>超</w:t>
      </w:r>
      <w:r>
        <w:rPr>
          <w:spacing w:val="-53"/>
        </w:rPr>
        <w:t> </w:t>
      </w:r>
      <w:r>
        <w:rPr>
          <w:rFonts w:ascii="Times New Roman" w:hAnsi="Times New Roman" w:cs="Times New Roman" w:eastAsia="Times New Roman" w:hint="default"/>
        </w:rPr>
        <w:t>300</w:t>
      </w:r>
      <w:r>
        <w:rPr>
          <w:rFonts w:ascii="Times New Roman" w:hAnsi="Times New Roman" w:cs="Times New Roman" w:eastAsia="Times New Roman" w:hint="default"/>
          <w:spacing w:val="-3"/>
        </w:rPr>
        <w:t> </w:t>
      </w:r>
      <w:r>
        <w:rPr/>
        <w:t>家，累计签订项目合同超</w:t>
      </w:r>
      <w:r>
        <w:rPr>
          <w:spacing w:val="-52"/>
        </w:rPr>
        <w:t> </w:t>
      </w:r>
      <w:r>
        <w:rPr>
          <w:rFonts w:ascii="Times New Roman" w:hAnsi="Times New Roman" w:cs="Times New Roman" w:eastAsia="Times New Roman" w:hint="default"/>
        </w:rPr>
        <w:t>300</w:t>
      </w:r>
      <w:r>
        <w:rPr>
          <w:rFonts w:ascii="Times New Roman" w:hAnsi="Times New Roman" w:cs="Times New Roman" w:eastAsia="Times New Roman" w:hint="default"/>
          <w:spacing w:val="-3"/>
        </w:rPr>
        <w:t> </w:t>
      </w:r>
      <w:r>
        <w:rPr/>
        <w:t>份，累计软件合同金额超</w:t>
      </w:r>
      <w:r>
        <w:rPr>
          <w:spacing w:val="-53"/>
        </w:rPr>
        <w:t> </w:t>
      </w:r>
      <w:r>
        <w:rPr>
          <w:rFonts w:ascii="Times New Roman" w:hAnsi="Times New Roman" w:cs="Times New Roman" w:eastAsia="Times New Roman" w:hint="default"/>
        </w:rPr>
        <w:t>2 </w:t>
      </w:r>
      <w:r>
        <w:rPr/>
        <w:t>亿元。</w:t>
      </w:r>
    </w:p>
    <w:p>
      <w:pPr>
        <w:pStyle w:val="BodyText"/>
        <w:spacing w:line="312" w:lineRule="auto" w:before="6"/>
        <w:ind w:left="138" w:right="207" w:firstLine="419"/>
        <w:jc w:val="both"/>
      </w:pPr>
      <w:r>
        <w:rPr>
          <w:spacing w:val="-2"/>
        </w:rPr>
        <w:t>报告期内，公司实现对深圳太极云软的并购重组，拓宽了集团在政务行业产品的广度、深度</w:t>
      </w:r>
      <w:r>
        <w:rPr>
          <w:w w:val="100"/>
        </w:rPr>
        <w:t> </w:t>
      </w:r>
      <w:r>
        <w:rPr/>
        <w:t>及全国业务覆盖范围，为公司巩固行业龙头地位发挥了重要作用。</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0"/>
        </w:rPr>
        <w:t> </w:t>
      </w:r>
      <w:r>
        <w:rPr>
          <w:rFonts w:ascii="宋体" w:hAnsi="宋体" w:cs="宋体" w:eastAsia="宋体" w:hint="default"/>
        </w:rPr>
        <w:t>11</w:t>
      </w:r>
      <w:r>
        <w:rPr>
          <w:rFonts w:ascii="宋体" w:hAnsi="宋体" w:cs="宋体" w:eastAsia="宋体" w:hint="default"/>
          <w:spacing w:val="-41"/>
        </w:rPr>
        <w:t> </w:t>
      </w:r>
      <w:r>
        <w:rPr/>
        <w:t>日，公司获得</w:t>
      </w:r>
      <w:r>
        <w:rPr>
          <w:w w:val="100"/>
        </w:rPr>
        <w:t> </w:t>
      </w:r>
      <w:r>
        <w:rPr>
          <w:spacing w:val="-1"/>
        </w:rPr>
        <w:t>浙江蚂蚁小微金融服务集团股份有限公司（以下简称“蚂蚁金服”）全资子公司上海云鑫创业投</w:t>
      </w:r>
      <w:r>
        <w:rPr>
          <w:spacing w:val="-55"/>
        </w:rPr>
        <w:t> </w:t>
      </w:r>
      <w:r>
        <w:rPr>
          <w:spacing w:val="-55"/>
        </w:rPr>
      </w:r>
      <w:r>
        <w:rPr>
          <w:spacing w:val="-5"/>
        </w:rPr>
        <w:t>资有限公司的战略投资入股。同日，蚂蚁金服、 </w:t>
      </w:r>
      <w:r>
        <w:rPr/>
        <w:t>北京蚂蚁云金融信息服务有限公司与公司及公司</w:t>
      </w:r>
      <w:r>
        <w:rPr>
          <w:spacing w:val="-98"/>
        </w:rPr>
        <w:t> </w:t>
      </w:r>
      <w:r>
        <w:rPr>
          <w:spacing w:val="-98"/>
        </w:rPr>
      </w:r>
      <w:r>
        <w:rPr>
          <w:spacing w:val="-1"/>
        </w:rPr>
        <w:t>控股子公司福建南威软件有限公司签署了《业务合作协议》，约定各方在数字政务平台的共同研</w:t>
      </w:r>
      <w:r>
        <w:rPr>
          <w:spacing w:val="-56"/>
        </w:rPr>
        <w:t> </w:t>
      </w:r>
      <w:r>
        <w:rPr>
          <w:spacing w:val="-56"/>
        </w:rPr>
      </w:r>
      <w:r>
        <w:rPr/>
        <w:t>发、创新行业标准与联合市场推广等方面展开深度合作。</w:t>
      </w:r>
    </w:p>
    <w:p>
      <w:pPr>
        <w:pStyle w:val="Heading4"/>
        <w:spacing w:line="240" w:lineRule="auto" w:before="22"/>
        <w:ind w:left="560" w:right="2631"/>
        <w:jc w:val="left"/>
        <w:rPr>
          <w:b w:val="0"/>
          <w:bCs w:val="0"/>
        </w:rPr>
      </w:pPr>
      <w:r>
        <w:rPr/>
        <w:t>（</w:t>
      </w:r>
      <w:r>
        <w:rPr>
          <w:rFonts w:ascii="Times New Roman" w:hAnsi="Times New Roman" w:cs="Times New Roman" w:eastAsia="Times New Roman" w:hint="default"/>
        </w:rPr>
        <w:t>1</w:t>
      </w:r>
      <w:r>
        <w:rPr/>
        <w:t>）深化“互联网</w:t>
      </w:r>
      <w:r>
        <w:rPr>
          <w:rFonts w:ascii="宋体" w:hAnsi="宋体" w:cs="宋体" w:eastAsia="宋体" w:hint="default"/>
        </w:rPr>
        <w:t>+</w:t>
      </w:r>
      <w:r>
        <w:rPr/>
        <w:t>政务服务”，行业龙头地位加强</w:t>
      </w:r>
      <w:r>
        <w:rPr>
          <w:b w:val="0"/>
          <w:bCs w:val="0"/>
        </w:rPr>
      </w:r>
    </w:p>
    <w:p>
      <w:pPr>
        <w:pStyle w:val="BodyText"/>
        <w:spacing w:line="240" w:lineRule="auto" w:before="69"/>
        <w:ind w:left="663" w:right="47"/>
        <w:jc w:val="left"/>
      </w:pPr>
      <w:r>
        <w:rPr>
          <w:rFonts w:ascii="Times New Roman" w:hAnsi="Times New Roman" w:cs="Times New Roman" w:eastAsia="Times New Roman" w:hint="default"/>
        </w:rPr>
        <w:t>2018 </w:t>
      </w:r>
      <w:r>
        <w:rPr>
          <w:rFonts w:ascii="Times New Roman" w:hAnsi="Times New Roman" w:cs="Times New Roman" w:eastAsia="Times New Roman" w:hint="default"/>
          <w:spacing w:val="5"/>
        </w:rPr>
        <w:t> </w:t>
      </w:r>
      <w:r>
        <w:rPr/>
        <w:t>年公司加强推动与各省市政府的战略合作，先后与河南、重庆、武汉等各级政府签订</w:t>
      </w:r>
    </w:p>
    <w:p>
      <w:pPr>
        <w:pStyle w:val="BodyText"/>
        <w:spacing w:line="297" w:lineRule="auto" w:before="69"/>
        <w:ind w:left="138" w:right="208"/>
        <w:jc w:val="both"/>
      </w:pPr>
      <w:r>
        <w:rPr>
          <w:spacing w:val="-4"/>
        </w:rPr>
        <w:t>战略合作协议，共同推动数字政府的建设。公司创新的浙江“最多跑一次”模式写入了 </w:t>
      </w:r>
      <w:r>
        <w:rPr>
          <w:rFonts w:ascii="Times New Roman" w:hAnsi="Times New Roman" w:cs="Times New Roman" w:eastAsia="Times New Roman" w:hint="default"/>
        </w:rPr>
        <w:t>2018 </w:t>
      </w:r>
      <w:r>
        <w:rPr>
          <w:spacing w:val="-3"/>
        </w:rPr>
        <w:t>年国</w:t>
      </w:r>
      <w:r>
        <w:rPr>
          <w:spacing w:val="-102"/>
        </w:rPr>
        <w:t> </w:t>
      </w:r>
      <w:r>
        <w:rPr/>
        <w:t>务院政府工作报告。</w:t>
      </w:r>
      <w:r>
        <w:rPr>
          <w:rFonts w:ascii="宋体" w:hAnsi="宋体" w:cs="宋体" w:eastAsia="宋体" w:hint="default"/>
        </w:rPr>
        <w:t>2018</w:t>
      </w:r>
      <w:r>
        <w:rPr>
          <w:rFonts w:ascii="宋体" w:hAnsi="宋体" w:cs="宋体" w:eastAsia="宋体" w:hint="default"/>
          <w:spacing w:val="-34"/>
        </w:rPr>
        <w:t> </w:t>
      </w:r>
      <w:r>
        <w:rPr/>
        <w:t>年首届数字中国建设峰会，中央网信办推介</w:t>
      </w:r>
      <w:r>
        <w:rPr>
          <w:spacing w:val="-32"/>
        </w:rPr>
        <w:t> </w:t>
      </w:r>
      <w:r>
        <w:rPr>
          <w:rFonts w:ascii="Times New Roman" w:hAnsi="Times New Roman" w:cs="Times New Roman" w:eastAsia="Times New Roman" w:hint="default"/>
        </w:rPr>
        <w:t>30</w:t>
      </w:r>
      <w:r>
        <w:rPr>
          <w:rFonts w:ascii="Times New Roman" w:hAnsi="Times New Roman" w:cs="Times New Roman" w:eastAsia="Times New Roman" w:hint="default"/>
          <w:spacing w:val="18"/>
        </w:rPr>
        <w:t> </w:t>
      </w:r>
      <w:r>
        <w:rPr/>
        <w:t>个“数字中国”标杆建</w:t>
      </w:r>
    </w:p>
    <w:p>
      <w:pPr>
        <w:spacing w:after="0" w:line="297" w:lineRule="auto"/>
        <w:jc w:val="both"/>
        <w:sectPr>
          <w:pgSz w:w="11910" w:h="16840"/>
          <w:pgMar w:header="855" w:footer="979" w:top="1120" w:bottom="1160" w:left="1660" w:right="1060"/>
        </w:sectPr>
      </w:pPr>
    </w:p>
    <w:p>
      <w:pPr>
        <w:spacing w:line="240" w:lineRule="auto" w:before="0"/>
        <w:rPr>
          <w:rFonts w:ascii="宋体" w:hAnsi="宋体" w:cs="宋体" w:eastAsia="宋体" w:hint="default"/>
          <w:sz w:val="20"/>
          <w:szCs w:val="20"/>
        </w:rPr>
      </w:pPr>
    </w:p>
    <w:p>
      <w:pPr>
        <w:pStyle w:val="BodyText"/>
        <w:spacing w:line="304" w:lineRule="auto" w:before="180"/>
        <w:ind w:left="138" w:right="127"/>
        <w:jc w:val="both"/>
      </w:pPr>
      <w:r>
        <w:rPr>
          <w:spacing w:val="-7"/>
        </w:rPr>
        <w:t>设案例，其中由公司承担建设的浙江“最多跑一次”改革实践项目、江苏政务服务宿迁“一张网”</w:t>
      </w:r>
      <w:r>
        <w:rPr>
          <w:spacing w:val="-13"/>
        </w:rPr>
        <w:t> </w:t>
      </w:r>
      <w:r>
        <w:rPr>
          <w:spacing w:val="-13"/>
        </w:rPr>
      </w:r>
      <w:r>
        <w:rPr/>
        <w:t>和国家发改委四大平台之一的</w:t>
      </w:r>
      <w:r>
        <w:rPr>
          <w:spacing w:val="-50"/>
        </w:rPr>
        <w:t> </w:t>
      </w:r>
      <w:r>
        <w:rPr>
          <w:rFonts w:ascii="Times New Roman" w:hAnsi="Times New Roman" w:cs="Times New Roman" w:eastAsia="Times New Roman" w:hint="default"/>
        </w:rPr>
        <w:t>12358</w:t>
      </w:r>
      <w:r>
        <w:rPr>
          <w:rFonts w:ascii="Times New Roman" w:hAnsi="Times New Roman" w:cs="Times New Roman" w:eastAsia="Times New Roman" w:hint="default"/>
          <w:spacing w:val="-1"/>
        </w:rPr>
        <w:t> </w:t>
      </w:r>
      <w:r>
        <w:rPr/>
        <w:t>全国价格监管平台等</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6"/>
        </w:rPr>
        <w:t>个项目上榜。</w:t>
      </w:r>
      <w:r>
        <w:rPr>
          <w:rFonts w:ascii="Times New Roman" w:hAnsi="Times New Roman" w:cs="Times New Roman" w:eastAsia="Times New Roman" w:hint="default"/>
          <w:spacing w:val="-6"/>
        </w:rPr>
        <w:t>2018</w:t>
      </w:r>
      <w:r>
        <w:rPr>
          <w:rFonts w:ascii="Times New Roman" w:hAnsi="Times New Roman" w:cs="Times New Roman" w:eastAsia="Times New Roman" w:hint="default"/>
          <w:spacing w:val="2"/>
        </w:rPr>
        <w:t> </w:t>
      </w:r>
      <w:r>
        <w:rPr/>
        <w:t>年第三届中国信息</w:t>
      </w:r>
      <w:r>
        <w:rPr>
          <w:w w:val="100"/>
        </w:rPr>
        <w:t> </w:t>
      </w:r>
      <w:r>
        <w:rPr>
          <w:spacing w:val="-1"/>
        </w:rPr>
        <w:t>化融合发展创新大会，公司旨在提高窗口工作人员办事效率、提升企业群众办事获得感的“一窗</w:t>
      </w:r>
      <w:r>
        <w:rPr>
          <w:spacing w:val="-55"/>
        </w:rPr>
        <w:t> </w:t>
      </w:r>
      <w:r>
        <w:rPr>
          <w:spacing w:val="-55"/>
        </w:rPr>
      </w:r>
      <w:r>
        <w:rPr/>
        <w:t>受理云平台”荣获“</w:t>
      </w:r>
      <w:r>
        <w:rPr>
          <w:rFonts w:ascii="Times New Roman" w:hAnsi="Times New Roman" w:cs="Times New Roman" w:eastAsia="Times New Roman" w:hint="default"/>
        </w:rPr>
        <w:t>2018 </w:t>
      </w:r>
      <w:r>
        <w:rPr/>
        <w:t>年度中国信息化（智慧政务）最佳实践奖”。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中国国际大数据博</w:t>
      </w:r>
      <w:r>
        <w:rPr>
          <w:w w:val="100"/>
        </w:rPr>
        <w:t> </w:t>
      </w:r>
      <w:r>
        <w:rPr>
          <w:spacing w:val="-3"/>
        </w:rPr>
        <w:t>览会，公司承建的“南平市重点工作责任清单与问题清单督查平台”荣获“</w:t>
      </w:r>
      <w:r>
        <w:rPr>
          <w:rFonts w:ascii="Times New Roman" w:hAnsi="Times New Roman" w:cs="Times New Roman" w:eastAsia="Times New Roman" w:hint="default"/>
          <w:spacing w:val="-3"/>
        </w:rPr>
        <w:t>2018 </w:t>
      </w:r>
      <w:r>
        <w:rPr/>
        <w:t>年中国政府信息</w:t>
      </w:r>
      <w:r>
        <w:rPr>
          <w:spacing w:val="-91"/>
        </w:rPr>
        <w:t> </w:t>
      </w:r>
      <w:r>
        <w:rPr>
          <w:spacing w:val="-91"/>
        </w:rPr>
      </w:r>
      <w:r>
        <w:rPr>
          <w:spacing w:val="-3"/>
        </w:rPr>
        <w:t>化管理创新奖”。</w:t>
      </w:r>
      <w:r>
        <w:rPr>
          <w:rFonts w:ascii="Times New Roman" w:hAnsi="Times New Roman" w:cs="Times New Roman" w:eastAsia="Times New Roman" w:hint="default"/>
          <w:spacing w:val="-3"/>
        </w:rPr>
        <w:t>2019 </w:t>
      </w:r>
      <w:r>
        <w:rPr>
          <w:spacing w:val="-3"/>
        </w:rPr>
        <w:t>年，紧跟国家政策要求，深化行业战略合作，构建行业合作生态，公司将</w:t>
      </w:r>
      <w:r>
        <w:rPr>
          <w:spacing w:val="-69"/>
        </w:rPr>
        <w:t> </w:t>
      </w:r>
      <w:r>
        <w:rPr>
          <w:spacing w:val="-69"/>
        </w:rPr>
      </w:r>
      <w:r>
        <w:rPr>
          <w:spacing w:val="-1"/>
        </w:rPr>
        <w:t>在“一网通办”、“一窗受理”、智能审批、工程建设项目审批等方面，进一步深挖推广，行业</w:t>
      </w:r>
      <w:r>
        <w:rPr>
          <w:spacing w:val="-55"/>
        </w:rPr>
        <w:t> </w:t>
      </w:r>
      <w:r>
        <w:rPr>
          <w:spacing w:val="-55"/>
        </w:rPr>
      </w:r>
      <w:r>
        <w:rPr/>
        <w:t>市场具备较大的发展空间。</w:t>
      </w:r>
    </w:p>
    <w:p>
      <w:pPr>
        <w:pStyle w:val="Heading4"/>
        <w:spacing w:line="240" w:lineRule="auto" w:before="28"/>
        <w:ind w:left="560" w:right="0"/>
        <w:jc w:val="left"/>
        <w:rPr>
          <w:b w:val="0"/>
          <w:bCs w:val="0"/>
        </w:rPr>
      </w:pPr>
      <w:r>
        <w:rPr/>
        <w:t>（</w:t>
      </w:r>
      <w:r>
        <w:rPr>
          <w:rFonts w:ascii="Times New Roman" w:hAnsi="Times New Roman" w:cs="Times New Roman" w:eastAsia="Times New Roman" w:hint="default"/>
        </w:rPr>
        <w:t>2</w:t>
      </w:r>
      <w:r>
        <w:rPr/>
        <w:t>）主导制定电子证照行业标准，深化证照产品应用</w:t>
      </w:r>
      <w:r>
        <w:rPr>
          <w:b w:val="0"/>
          <w:bCs w:val="0"/>
        </w:rPr>
      </w:r>
    </w:p>
    <w:p>
      <w:pPr>
        <w:pStyle w:val="BodyText"/>
        <w:spacing w:line="240" w:lineRule="auto" w:before="70"/>
        <w:ind w:left="558" w:right="0"/>
        <w:jc w:val="left"/>
      </w:pPr>
      <w:r>
        <w:rPr>
          <w:rFonts w:ascii="宋体" w:hAnsi="宋体" w:cs="宋体" w:eastAsia="宋体" w:hint="default"/>
        </w:rPr>
        <w:t>2018</w:t>
      </w:r>
      <w:r>
        <w:rPr>
          <w:rFonts w:ascii="宋体" w:hAnsi="宋体" w:cs="宋体" w:eastAsia="宋体" w:hint="default"/>
          <w:spacing w:val="-45"/>
        </w:rPr>
        <w:t> </w:t>
      </w:r>
      <w:r>
        <w:rPr/>
        <w:t>年</w:t>
      </w:r>
      <w:r>
        <w:rPr>
          <w:spacing w:val="-42"/>
        </w:rPr>
        <w:t> </w:t>
      </w:r>
      <w:r>
        <w:rPr>
          <w:rFonts w:ascii="宋体" w:hAnsi="宋体" w:cs="宋体" w:eastAsia="宋体" w:hint="default"/>
        </w:rPr>
        <w:t>11</w:t>
      </w:r>
      <w:r>
        <w:rPr>
          <w:rFonts w:ascii="宋体" w:hAnsi="宋体" w:cs="宋体" w:eastAsia="宋体" w:hint="default"/>
          <w:spacing w:val="-45"/>
        </w:rPr>
        <w:t> </w:t>
      </w:r>
      <w:r>
        <w:rPr/>
        <w:t>月</w:t>
      </w:r>
      <w:r>
        <w:rPr>
          <w:spacing w:val="-42"/>
        </w:rPr>
        <w:t> </w:t>
      </w:r>
      <w:r>
        <w:rPr>
          <w:rFonts w:ascii="宋体" w:hAnsi="宋体" w:cs="宋体" w:eastAsia="宋体" w:hint="default"/>
        </w:rPr>
        <w:t>15</w:t>
      </w:r>
      <w:r>
        <w:rPr>
          <w:rFonts w:ascii="宋体" w:hAnsi="宋体" w:cs="宋体" w:eastAsia="宋体" w:hint="default"/>
          <w:spacing w:val="-42"/>
        </w:rPr>
        <w:t> </w:t>
      </w:r>
      <w:r>
        <w:rPr>
          <w:spacing w:val="-3"/>
        </w:rPr>
        <w:t>日，国家市场监督管理总局、国家标准化管理委员会发布了《中华人民共和</w:t>
      </w:r>
    </w:p>
    <w:p>
      <w:pPr>
        <w:pStyle w:val="BodyText"/>
        <w:spacing w:line="240" w:lineRule="auto" w:before="85"/>
        <w:ind w:left="138" w:right="0"/>
        <w:jc w:val="both"/>
      </w:pPr>
      <w:r>
        <w:rPr/>
        <w:t>国国家标准公告》，公司主导制定的《电子证照总体技术架构》等</w:t>
      </w:r>
      <w:r>
        <w:rPr>
          <w:spacing w:val="-51"/>
        </w:rPr>
        <w:t> </w:t>
      </w:r>
      <w:r>
        <w:rPr>
          <w:rFonts w:ascii="宋体" w:hAnsi="宋体" w:cs="宋体" w:eastAsia="宋体" w:hint="default"/>
        </w:rPr>
        <w:t>6</w:t>
      </w:r>
      <w:r>
        <w:rPr>
          <w:rFonts w:ascii="宋体" w:hAnsi="宋体" w:cs="宋体" w:eastAsia="宋体" w:hint="default"/>
          <w:spacing w:val="-49"/>
        </w:rPr>
        <w:t> </w:t>
      </w:r>
      <w:r>
        <w:rPr/>
        <w:t>项国家标准获得批准发布，</w:t>
      </w:r>
    </w:p>
    <w:p>
      <w:pPr>
        <w:pStyle w:val="BodyText"/>
        <w:spacing w:line="297" w:lineRule="auto" w:before="85"/>
        <w:ind w:left="138" w:right="128"/>
        <w:jc w:val="both"/>
      </w:pPr>
      <w:r>
        <w:rPr/>
        <w:t>标准的发布进一步奠定公司在电子证照领域的地位和影响力。公司电子证照平台现已应用到</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个</w:t>
      </w:r>
      <w:r>
        <w:rPr>
          <w:w w:val="100"/>
        </w:rPr>
        <w:t> </w:t>
      </w:r>
      <w:r>
        <w:rPr/>
        <w:t>部级单位、</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个省级</w:t>
      </w:r>
      <w:r>
        <w:rPr>
          <w:rFonts w:ascii="宋体" w:hAnsi="宋体" w:cs="宋体" w:eastAsia="宋体" w:hint="default"/>
        </w:rPr>
        <w:t>/</w:t>
      </w:r>
      <w:r>
        <w:rPr/>
        <w:t>副省级、</w:t>
      </w:r>
      <w:r>
        <w:rPr>
          <w:rFonts w:ascii="Times New Roman" w:hAnsi="Times New Roman" w:cs="Times New Roman" w:eastAsia="Times New Roman" w:hint="default"/>
        </w:rPr>
        <w:t>47</w:t>
      </w:r>
      <w:r>
        <w:rPr>
          <w:rFonts w:ascii="Times New Roman" w:hAnsi="Times New Roman" w:cs="Times New Roman" w:eastAsia="Times New Roman" w:hint="default"/>
          <w:spacing w:val="-2"/>
        </w:rPr>
        <w:t> </w:t>
      </w:r>
      <w:r>
        <w:rPr/>
        <w:t>个地级市，覆盖省份数达</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个。</w:t>
      </w:r>
    </w:p>
    <w:p>
      <w:pPr>
        <w:pStyle w:val="BodyText"/>
        <w:spacing w:line="309" w:lineRule="auto" w:before="13"/>
        <w:ind w:left="138" w:right="128" w:firstLine="419"/>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43"/>
        </w:rPr>
        <w:t> </w:t>
      </w:r>
      <w:r>
        <w:rPr>
          <w:spacing w:val="-3"/>
        </w:rPr>
        <w:t>年，公司紧跟政策，主动出击，利用在政务服务领域丰富的经验及国家电子证照标准制</w:t>
      </w:r>
      <w:r>
        <w:rPr>
          <w:w w:val="100"/>
        </w:rPr>
        <w:t> </w:t>
      </w:r>
      <w:r>
        <w:rPr>
          <w:spacing w:val="-1"/>
        </w:rPr>
        <w:t>定优势，以证照、证明、卡、可信材料在社会生活、政务服务等场景中应用为核心，积极在全国</w:t>
      </w:r>
      <w:r>
        <w:rPr>
          <w:spacing w:val="-55"/>
        </w:rPr>
        <w:t> </w:t>
      </w:r>
      <w:r>
        <w:rPr>
          <w:spacing w:val="-55"/>
        </w:rPr>
      </w:r>
      <w:r>
        <w:rPr>
          <w:spacing w:val="-5"/>
        </w:rPr>
        <w:t>多个省市推广“一证一码”、“一码通扫”、</w:t>
      </w:r>
      <w:r>
        <w:rPr>
          <w:spacing w:val="40"/>
        </w:rPr>
        <w:t> </w:t>
      </w:r>
      <w:r>
        <w:rPr>
          <w:spacing w:val="-3"/>
        </w:rPr>
        <w:t>“一码通办”等电子证照应用，从之前的电子证照</w:t>
      </w:r>
      <w:r>
        <w:rPr>
          <w:spacing w:val="-87"/>
        </w:rPr>
        <w:t> </w:t>
      </w:r>
      <w:r>
        <w:rPr>
          <w:spacing w:val="-87"/>
        </w:rPr>
      </w:r>
      <w:r>
        <w:rPr/>
        <w:t>信息平台建设证照资源中心转向基于区块链证照通的电子证照深化应用。</w:t>
      </w:r>
    </w:p>
    <w:p>
      <w:pPr>
        <w:spacing w:line="297" w:lineRule="auto" w:before="24"/>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）推广“互联网</w:t>
      </w:r>
      <w:r>
        <w:rPr>
          <w:rFonts w:ascii="宋体" w:hAnsi="宋体" w:cs="宋体" w:eastAsia="宋体" w:hint="default"/>
          <w:b/>
          <w:bCs/>
          <w:sz w:val="21"/>
          <w:szCs w:val="21"/>
        </w:rPr>
        <w:t>+</w:t>
      </w:r>
      <w:r>
        <w:rPr>
          <w:rFonts w:ascii="宋体" w:hAnsi="宋体" w:cs="宋体" w:eastAsia="宋体" w:hint="default"/>
          <w:b/>
          <w:bCs/>
          <w:sz w:val="21"/>
          <w:szCs w:val="21"/>
        </w:rPr>
        <w:t>监管平台”，拓宽政务领域市场</w:t>
      </w:r>
      <w:r>
        <w:rPr>
          <w:rFonts w:ascii="宋体" w:hAnsi="宋体" w:cs="宋体" w:eastAsia="宋体" w:hint="default"/>
          <w:b/>
          <w:bCs/>
          <w:w w:val="100"/>
          <w:sz w:val="21"/>
          <w:szCs w:val="21"/>
        </w:rPr>
        <w:t> </w:t>
      </w:r>
      <w:r>
        <w:rPr>
          <w:rFonts w:ascii="宋体" w:hAnsi="宋体" w:cs="宋体" w:eastAsia="宋体" w:hint="default"/>
          <w:sz w:val="21"/>
          <w:szCs w:val="21"/>
        </w:rPr>
        <w:t>公司积极参与了江西、天津、湖南、河南、贵州、福建、浙江、四川、宁夏等地的互联网</w:t>
      </w:r>
      <w:r>
        <w:rPr>
          <w:rFonts w:ascii="宋体" w:hAnsi="宋体" w:cs="宋体" w:eastAsia="宋体" w:hint="default"/>
          <w:sz w:val="21"/>
          <w:szCs w:val="21"/>
        </w:rPr>
        <w:t>+</w:t>
      </w:r>
    </w:p>
    <w:p>
      <w:pPr>
        <w:pStyle w:val="BodyText"/>
        <w:spacing w:line="309" w:lineRule="auto" w:before="34"/>
        <w:ind w:left="138" w:right="127"/>
        <w:jc w:val="both"/>
      </w:pPr>
      <w:r>
        <w:rPr>
          <w:spacing w:val="-1"/>
        </w:rPr>
        <w:t>监管项目，涉及民生资金、信用服务、投资项目、工程建设项目、行政处罚、行政检查、精准扶</w:t>
      </w:r>
      <w:r>
        <w:rPr>
          <w:spacing w:val="-55"/>
        </w:rPr>
        <w:t> </w:t>
      </w:r>
      <w:r>
        <w:rPr>
          <w:spacing w:val="-55"/>
        </w:rPr>
      </w:r>
      <w:r>
        <w:rPr/>
        <w:t>贫、物价领域、两法衔接等多个监管领域。</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月，公司中标了全国首个省级互联网</w:t>
      </w:r>
      <w:r>
        <w:rPr>
          <w:rFonts w:ascii="宋体" w:hAnsi="宋体" w:cs="宋体" w:eastAsia="宋体" w:hint="default"/>
        </w:rPr>
        <w:t>+</w:t>
      </w:r>
      <w:r>
        <w:rPr/>
        <w:t>监管</w:t>
      </w:r>
      <w:r>
        <w:rPr>
          <w:spacing w:val="-3"/>
          <w:w w:val="100"/>
        </w:rPr>
        <w:t> </w:t>
      </w:r>
      <w:r>
        <w:rPr>
          <w:spacing w:val="-4"/>
        </w:rPr>
        <w:t>平台项目“广西自治区互联网</w:t>
      </w:r>
      <w:r>
        <w:rPr>
          <w:rFonts w:ascii="宋体" w:hAnsi="宋体" w:cs="宋体" w:eastAsia="宋体" w:hint="default"/>
          <w:spacing w:val="-4"/>
        </w:rPr>
        <w:t>+</w:t>
      </w:r>
      <w:r>
        <w:rPr>
          <w:spacing w:val="-4"/>
        </w:rPr>
        <w:t>监管平台”。 </w:t>
      </w:r>
      <w:r>
        <w:rPr>
          <w:spacing w:val="-3"/>
        </w:rPr>
        <w:t>“互联网</w:t>
      </w:r>
      <w:r>
        <w:rPr>
          <w:rFonts w:ascii="宋体" w:hAnsi="宋体" w:cs="宋体" w:eastAsia="宋体" w:hint="default"/>
          <w:spacing w:val="-3"/>
        </w:rPr>
        <w:t>+</w:t>
      </w:r>
      <w:r>
        <w:rPr>
          <w:spacing w:val="-3"/>
        </w:rPr>
        <w:t>监管平台”按照国家顶层业务设计和总体</w:t>
      </w:r>
      <w:r>
        <w:rPr>
          <w:spacing w:val="-53"/>
        </w:rPr>
        <w:t> </w:t>
      </w:r>
      <w:r>
        <w:rPr>
          <w:spacing w:val="-53"/>
        </w:rPr>
      </w:r>
      <w:r>
        <w:rPr>
          <w:spacing w:val="-1"/>
        </w:rPr>
        <w:t>技术要求，充分运用互联网、大数据等信息技术手段，汇聚地方有关监管数据，实现监管事项全</w:t>
      </w:r>
      <w:r>
        <w:rPr>
          <w:spacing w:val="-55"/>
        </w:rPr>
        <w:t> </w:t>
      </w:r>
      <w:r>
        <w:rPr>
          <w:spacing w:val="-55"/>
        </w:rPr>
      </w:r>
      <w:r>
        <w:rPr>
          <w:spacing w:val="-1"/>
        </w:rPr>
        <w:t>覆盖、监管过程全记录、监管数据可共享，为重点监管、信用监管和综合监管、协同监管、智慧</w:t>
      </w:r>
      <w:r>
        <w:rPr>
          <w:spacing w:val="-55"/>
        </w:rPr>
        <w:t> </w:t>
      </w:r>
      <w:r>
        <w:rPr>
          <w:spacing w:val="-55"/>
        </w:rPr>
      </w:r>
      <w:r>
        <w:rPr/>
        <w:t>监管提供有力支撑。</w:t>
      </w:r>
      <w:r>
        <w:rPr>
          <w:rFonts w:ascii="Times New Roman" w:hAnsi="Times New Roman" w:cs="Times New Roman" w:eastAsia="Times New Roman" w:hint="default"/>
        </w:rPr>
        <w:t>2019 </w:t>
      </w:r>
      <w:r>
        <w:rPr>
          <w:spacing w:val="-3"/>
        </w:rPr>
        <w:t>年，公司将继续通过抢占省级制高点，强化对地市、区县以及行业线的</w:t>
      </w:r>
      <w:r>
        <w:rPr>
          <w:spacing w:val="-67"/>
        </w:rPr>
        <w:t> </w:t>
      </w:r>
      <w:r>
        <w:rPr>
          <w:spacing w:val="-67"/>
        </w:rPr>
      </w:r>
      <w:r>
        <w:rPr/>
        <w:t>统筹，快速抢占市县和行业市场，构建统一规范、信息共享、协同联动的区域一体化“互联网</w:t>
      </w:r>
      <w:r>
        <w:rPr>
          <w:rFonts w:ascii="宋体" w:hAnsi="宋体" w:cs="宋体" w:eastAsia="宋体" w:hint="default"/>
        </w:rPr>
        <w:t>+</w:t>
      </w:r>
      <w:r>
        <w:rPr>
          <w:rFonts w:ascii="宋体" w:hAnsi="宋体" w:cs="宋体" w:eastAsia="宋体" w:hint="default"/>
          <w:spacing w:val="14"/>
        </w:rPr>
        <w:t> </w:t>
      </w:r>
      <w:r>
        <w:rPr/>
        <w:t>监管”体系。</w:t>
      </w:r>
    </w:p>
    <w:p>
      <w:pPr>
        <w:pStyle w:val="Heading4"/>
        <w:spacing w:line="240" w:lineRule="auto" w:before="25"/>
        <w:ind w:left="560" w:right="0"/>
        <w:jc w:val="left"/>
        <w:rPr>
          <w:b w:val="0"/>
          <w:bCs w:val="0"/>
        </w:rPr>
      </w:pPr>
      <w:r>
        <w:rPr/>
        <w:t>（</w:t>
      </w:r>
      <w:r>
        <w:rPr>
          <w:rFonts w:ascii="宋体" w:hAnsi="宋体" w:cs="宋体" w:eastAsia="宋体" w:hint="default"/>
        </w:rPr>
        <w:t>4</w:t>
      </w:r>
      <w:r>
        <w:rPr/>
        <w:t>）城市通平台统一掌上城市服务入口，提升市民服务水平</w:t>
      </w:r>
      <w:r>
        <w:rPr>
          <w:b w:val="0"/>
          <w:bCs w:val="0"/>
        </w:rPr>
      </w:r>
    </w:p>
    <w:p>
      <w:pPr>
        <w:pStyle w:val="BodyText"/>
        <w:spacing w:line="240" w:lineRule="auto" w:before="85"/>
        <w:ind w:left="558" w:right="0"/>
        <w:jc w:val="left"/>
      </w:pPr>
      <w:r>
        <w:rPr>
          <w:rFonts w:ascii="宋体" w:hAnsi="宋体" w:cs="宋体" w:eastAsia="宋体" w:hint="default"/>
        </w:rPr>
        <w:t>2018</w:t>
      </w:r>
      <w:r>
        <w:rPr>
          <w:rFonts w:ascii="宋体" w:hAnsi="宋体" w:cs="宋体" w:eastAsia="宋体" w:hint="default"/>
          <w:spacing w:val="-33"/>
        </w:rPr>
        <w:t> </w:t>
      </w:r>
      <w:r>
        <w:rPr/>
        <w:t>年</w:t>
      </w:r>
      <w:r>
        <w:rPr>
          <w:spacing w:val="-33"/>
        </w:rPr>
        <w:t> </w:t>
      </w:r>
      <w:r>
        <w:rPr>
          <w:rFonts w:ascii="宋体" w:hAnsi="宋体" w:cs="宋体" w:eastAsia="宋体" w:hint="default"/>
        </w:rPr>
        <w:t>6</w:t>
      </w:r>
      <w:r>
        <w:rPr>
          <w:rFonts w:ascii="宋体" w:hAnsi="宋体" w:cs="宋体" w:eastAsia="宋体" w:hint="default"/>
          <w:spacing w:val="-36"/>
        </w:rPr>
        <w:t> </w:t>
      </w:r>
      <w:r>
        <w:rPr/>
        <w:t>月，公司正式发布自主研发的移动端政务产品“城市通”平台，以“一个</w:t>
      </w:r>
      <w:r>
        <w:rPr>
          <w:spacing w:val="-36"/>
        </w:rPr>
        <w:t> </w:t>
      </w:r>
      <w:r>
        <w:rPr>
          <w:rFonts w:ascii="Times New Roman" w:hAnsi="Times New Roman" w:cs="Times New Roman" w:eastAsia="Times New Roman" w:hint="default"/>
        </w:rPr>
        <w:t>APP</w:t>
      </w:r>
      <w:r>
        <w:rPr>
          <w:rFonts w:ascii="Times New Roman" w:hAnsi="Times New Roman" w:cs="Times New Roman" w:eastAsia="Times New Roman" w:hint="default"/>
          <w:spacing w:val="19"/>
        </w:rPr>
        <w:t> </w:t>
      </w:r>
      <w:r>
        <w:rPr/>
        <w:t>即</w:t>
      </w:r>
    </w:p>
    <w:p>
      <w:pPr>
        <w:pStyle w:val="BodyText"/>
        <w:spacing w:line="302" w:lineRule="auto" w:before="69"/>
        <w:ind w:left="138" w:right="127"/>
        <w:jc w:val="both"/>
      </w:pPr>
      <w:r>
        <w:rPr/>
        <w:t>可畅享城市所有服务”为目标，通过建设</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大能力平台，构建城市高频使用的统一入口，城市数</w:t>
      </w:r>
      <w:r>
        <w:rPr>
          <w:w w:val="100"/>
        </w:rPr>
        <w:t> </w:t>
      </w:r>
      <w:r>
        <w:rPr>
          <w:spacing w:val="-1"/>
        </w:rPr>
        <w:t>据服务的统一出口。该平台汇聚政务、公安、交通、医疗、教育、社区、民生等城市服务，提供</w:t>
      </w:r>
      <w:r>
        <w:rPr>
          <w:spacing w:val="-56"/>
        </w:rPr>
        <w:t> </w:t>
      </w:r>
      <w:r>
        <w:rPr>
          <w:spacing w:val="-56"/>
        </w:rPr>
      </w:r>
      <w:r>
        <w:rPr/>
        <w:t>城市综合服务的移动端服务，以一个</w:t>
      </w:r>
      <w:r>
        <w:rPr>
          <w:spacing w:val="-48"/>
        </w:rPr>
        <w:t> </w:t>
      </w:r>
      <w:r>
        <w:rPr>
          <w:rFonts w:ascii="Times New Roman" w:hAnsi="Times New Roman" w:cs="Times New Roman" w:eastAsia="Times New Roman" w:hint="default"/>
        </w:rPr>
        <w:t>BIG</w:t>
      </w:r>
      <w:r>
        <w:rPr>
          <w:rFonts w:ascii="Times New Roman" w:hAnsi="Times New Roman" w:cs="Times New Roman" w:eastAsia="Times New Roman" w:hint="default"/>
          <w:spacing w:val="8"/>
        </w:rPr>
        <w:t> </w:t>
      </w:r>
      <w:r>
        <w:rPr>
          <w:rFonts w:ascii="Times New Roman" w:hAnsi="Times New Roman" w:cs="Times New Roman" w:eastAsia="Times New Roman" w:hint="default"/>
        </w:rPr>
        <w:t>APP</w:t>
      </w:r>
      <w:r>
        <w:rPr>
          <w:rFonts w:ascii="Times New Roman" w:hAnsi="Times New Roman" w:cs="Times New Roman" w:eastAsia="Times New Roman" w:hint="default"/>
          <w:spacing w:val="7"/>
        </w:rPr>
        <w:t> </w:t>
      </w:r>
      <w:r>
        <w:rPr>
          <w:spacing w:val="-4"/>
        </w:rPr>
        <w:t>实现业务通、数据通、证照通、支付通、便民服务</w:t>
      </w:r>
      <w:r>
        <w:rPr>
          <w:spacing w:val="-102"/>
        </w:rPr>
        <w:t> </w:t>
      </w:r>
      <w:r>
        <w:rPr>
          <w:spacing w:val="-102"/>
        </w:rPr>
      </w:r>
      <w:r>
        <w:rPr>
          <w:spacing w:val="-1"/>
        </w:rPr>
        <w:t>通，构建城市高频服务的统一入口和城市数据服务的统一出口，为市民打造指尖上的智慧生活。</w:t>
      </w:r>
      <w:r>
        <w:rPr>
          <w:spacing w:val="-56"/>
        </w:rPr>
        <w:t> </w:t>
      </w:r>
      <w:r>
        <w:rPr>
          <w:spacing w:val="-56"/>
        </w:rPr>
      </w:r>
      <w:r>
        <w:rPr>
          <w:rFonts w:ascii="Times New Roman" w:hAnsi="Times New Roman" w:cs="Times New Roman" w:eastAsia="Times New Roman" w:hint="default"/>
        </w:rPr>
        <w:t>2018 </w:t>
      </w:r>
      <w:r>
        <w:rPr>
          <w:spacing w:val="-3"/>
        </w:rPr>
        <w:t>年公司积极推进“城市通”平台的建设及运营，目前已经成功应用到多个城市，为各地的数</w:t>
      </w:r>
      <w:r>
        <w:rPr>
          <w:spacing w:val="-93"/>
        </w:rPr>
        <w:t> </w:t>
      </w:r>
      <w:r>
        <w:rPr>
          <w:spacing w:val="-93"/>
        </w:rPr>
      </w:r>
      <w:r>
        <w:rPr>
          <w:spacing w:val="-4"/>
        </w:rPr>
        <w:t>字政府建设提供了有力支撑。报告期内，“城市通”平台荣获“</w:t>
      </w:r>
      <w:r>
        <w:rPr>
          <w:rFonts w:ascii="Times New Roman" w:hAnsi="Times New Roman" w:cs="Times New Roman" w:eastAsia="Times New Roman" w:hint="default"/>
          <w:spacing w:val="-4"/>
        </w:rPr>
        <w:t>2018 </w:t>
      </w:r>
      <w:r>
        <w:rPr/>
        <w:t>年度中国 </w:t>
      </w:r>
      <w:r>
        <w:rPr>
          <w:rFonts w:ascii="Times New Roman" w:hAnsi="Times New Roman" w:cs="Times New Roman" w:eastAsia="Times New Roman" w:hint="default"/>
        </w:rPr>
        <w:t>ICT </w:t>
      </w:r>
      <w:r>
        <w:rPr/>
        <w:t>产业最佳解决</w:t>
      </w:r>
      <w:r>
        <w:rPr>
          <w:spacing w:val="-99"/>
        </w:rPr>
        <w:t> </w:t>
      </w:r>
      <w:r>
        <w:rPr>
          <w:spacing w:val="-99"/>
        </w:rPr>
      </w:r>
      <w:r>
        <w:rPr>
          <w:spacing w:val="-7"/>
        </w:rPr>
        <w:t>方案”、“</w:t>
      </w:r>
      <w:r>
        <w:rPr>
          <w:rFonts w:ascii="Times New Roman" w:hAnsi="Times New Roman" w:cs="Times New Roman" w:eastAsia="Times New Roman" w:hint="default"/>
          <w:spacing w:val="-7"/>
        </w:rPr>
        <w:t>2018 </w:t>
      </w:r>
      <w:r>
        <w:rPr>
          <w:spacing w:val="-3"/>
        </w:rPr>
        <w:t>中国智慧城市建设首选解决方案”等奖项。</w:t>
      </w:r>
      <w:r>
        <w:rPr>
          <w:rFonts w:ascii="Times New Roman" w:hAnsi="Times New Roman" w:cs="Times New Roman" w:eastAsia="Times New Roman" w:hint="default"/>
          <w:spacing w:val="-3"/>
        </w:rPr>
        <w:t>2019 </w:t>
      </w:r>
      <w:r>
        <w:rPr>
          <w:spacing w:val="-3"/>
        </w:rPr>
        <w:t>年，城市通将加大力度落实合作</w:t>
      </w:r>
      <w:r>
        <w:rPr>
          <w:spacing w:val="-67"/>
        </w:rPr>
        <w:t> </w:t>
      </w:r>
      <w:r>
        <w:rPr>
          <w:spacing w:val="-67"/>
        </w:rPr>
      </w:r>
      <w:r>
        <w:rPr>
          <w:spacing w:val="-2"/>
        </w:rPr>
        <w:t>意向城市的转化，同时重点开拓城市通平台在行业领域的应用，如政企通、政务通、商务通等。</w:t>
      </w:r>
    </w:p>
    <w:p>
      <w:pPr>
        <w:pStyle w:val="Heading4"/>
        <w:spacing w:line="240" w:lineRule="auto" w:before="30"/>
        <w:ind w:left="560" w:right="0"/>
        <w:jc w:val="left"/>
        <w:rPr>
          <w:b w:val="0"/>
          <w:bCs w:val="0"/>
        </w:rPr>
      </w:pPr>
      <w:r>
        <w:rPr/>
        <w:t>（</w:t>
      </w:r>
      <w:r>
        <w:rPr>
          <w:rFonts w:ascii="宋体" w:hAnsi="宋体" w:cs="宋体" w:eastAsia="宋体" w:hint="default"/>
        </w:rPr>
        <w:t>5</w:t>
      </w:r>
      <w:r>
        <w:rPr/>
        <w:t>）加强自主可控软件关键技术研究，落地“安可国家试点”项目</w:t>
      </w:r>
      <w:r>
        <w:rPr>
          <w:b w:val="0"/>
          <w:bCs w:val="0"/>
        </w:rPr>
      </w:r>
    </w:p>
    <w:p>
      <w:pPr>
        <w:spacing w:after="0" w:line="240" w:lineRule="auto"/>
        <w:jc w:val="left"/>
        <w:sectPr>
          <w:pgSz w:w="11910" w:h="16840"/>
          <w:pgMar w:header="855" w:footer="979" w:top="1120" w:bottom="1160" w:left="1660" w:right="1140"/>
        </w:sectPr>
      </w:pPr>
    </w:p>
    <w:p>
      <w:pPr>
        <w:spacing w:line="240" w:lineRule="auto" w:before="0"/>
        <w:rPr>
          <w:rFonts w:ascii="宋体" w:hAnsi="宋体" w:cs="宋体" w:eastAsia="宋体" w:hint="default"/>
          <w:b/>
          <w:bCs/>
          <w:sz w:val="20"/>
          <w:szCs w:val="20"/>
        </w:rPr>
      </w:pPr>
    </w:p>
    <w:p>
      <w:pPr>
        <w:pStyle w:val="BodyText"/>
        <w:spacing w:line="309" w:lineRule="auto" w:before="180"/>
        <w:ind w:left="138" w:right="47" w:firstLine="419"/>
        <w:jc w:val="left"/>
      </w:pPr>
      <w:r>
        <w:rPr/>
        <w:t>公司从 </w:t>
      </w:r>
      <w:r>
        <w:rPr>
          <w:rFonts w:ascii="Times New Roman" w:hAnsi="Times New Roman" w:cs="Times New Roman" w:eastAsia="Times New Roman" w:hint="default"/>
        </w:rPr>
        <w:t>2011</w:t>
      </w:r>
      <w:r>
        <w:rPr>
          <w:rFonts w:ascii="Times New Roman" w:hAnsi="Times New Roman" w:cs="Times New Roman" w:eastAsia="Times New Roman" w:hint="default"/>
          <w:spacing w:val="-21"/>
        </w:rPr>
        <w:t> </w:t>
      </w:r>
      <w:r>
        <w:rPr>
          <w:spacing w:val="-5"/>
        </w:rPr>
        <w:t>年开始进行安全可靠、自主可控关键信息部件产品的集成应用服务，设立了专门</w:t>
      </w:r>
      <w:r>
        <w:rPr>
          <w:w w:val="100"/>
        </w:rPr>
        <w:t> </w:t>
      </w:r>
      <w:r>
        <w:rPr/>
        <w:t>的安全可靠产品研发团队，成立了专业的“自主可控软件实验室”，该实验室被认定为福建省重</w:t>
      </w:r>
      <w:r>
        <w:rPr>
          <w:spacing w:val="-97"/>
        </w:rPr>
        <w:t> </w:t>
      </w:r>
      <w:r>
        <w:rPr>
          <w:spacing w:val="-97"/>
        </w:rPr>
      </w:r>
      <w:r>
        <w:rPr>
          <w:spacing w:val="-4"/>
          <w:w w:val="100"/>
        </w:rPr>
        <w:t>点实验室，研发的安全可靠电子公文处理系统和安全可靠电子公文交换系统高分通过工信部测评。</w:t>
      </w:r>
      <w:r>
        <w:rPr>
          <w:spacing w:val="-86"/>
          <w:w w:val="100"/>
        </w:rPr>
        <w:t> </w:t>
      </w:r>
      <w:r>
        <w:rPr>
          <w:spacing w:val="-86"/>
          <w:w w:val="100"/>
        </w:rPr>
      </w:r>
      <w:r>
        <w:rPr/>
        <w:t>公司现已全面完成自主可控基础产品适配工作，具备整机系统替代能力，同时积累了大量自主可</w:t>
      </w:r>
      <w:r>
        <w:rPr>
          <w:spacing w:val="-97"/>
        </w:rPr>
        <w:t> </w:t>
      </w:r>
      <w:r>
        <w:rPr>
          <w:spacing w:val="-97"/>
        </w:rPr>
      </w:r>
      <w:r>
        <w:rPr/>
        <w:t>控环境下的软件产品，构建了从服务端到客户端全链条、全覆盖、多版本的完整适配解决方案。</w:t>
      </w:r>
      <w:r>
        <w:rPr>
          <w:spacing w:val="-97"/>
        </w:rPr>
        <w:t> </w:t>
      </w:r>
      <w:r>
        <w:rPr>
          <w:spacing w:val="-97"/>
        </w:rPr>
      </w:r>
      <w:r>
        <w:rPr/>
        <w:t>公司自主可控产品已应用到中央办公厅、国家发改委、海南省委、浙江省委、福建省政府、新疆</w:t>
      </w:r>
      <w:r>
        <w:rPr>
          <w:spacing w:val="-97"/>
        </w:rPr>
        <w:t> </w:t>
      </w:r>
      <w:r>
        <w:rPr>
          <w:spacing w:val="-97"/>
        </w:rPr>
      </w:r>
      <w:r>
        <w:rPr/>
        <w:t>自治区党委和新疆建设兵团党委等多个重大国家级、省级平台项目，打造国产自主可控核心技术</w:t>
      </w:r>
      <w:r>
        <w:rPr>
          <w:spacing w:val="-97"/>
        </w:rPr>
        <w:t> </w:t>
      </w:r>
      <w:r>
        <w:rPr>
          <w:spacing w:val="-97"/>
        </w:rPr>
      </w:r>
      <w:r>
        <w:rPr>
          <w:spacing w:val="-3"/>
        </w:rPr>
        <w:t>能力，在兼容性、高效性、稳定性方面都取得了突破性进展。</w:t>
      </w:r>
      <w:r>
        <w:rPr>
          <w:rFonts w:ascii="Times New Roman" w:hAnsi="Times New Roman" w:cs="Times New Roman" w:eastAsia="Times New Roman" w:hint="default"/>
          <w:spacing w:val="-3"/>
        </w:rPr>
        <w:t>2019 </w:t>
      </w:r>
      <w:r>
        <w:rPr/>
        <w:t>年，公司将利用成功的实践经</w:t>
      </w:r>
      <w:r>
        <w:rPr>
          <w:spacing w:val="-61"/>
        </w:rPr>
        <w:t> </w:t>
      </w:r>
      <w:r>
        <w:rPr>
          <w:spacing w:val="-61"/>
        </w:rPr>
      </w:r>
      <w:r>
        <w:rPr/>
        <w:t>验，积极落地“安可国家试点”项目，扩大产品的市场占有率。</w:t>
      </w:r>
    </w:p>
    <w:p>
      <w:pPr>
        <w:spacing w:line="398" w:lineRule="auto" w:before="116"/>
        <w:ind w:left="558" w:right="47"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城市公共安全管理</w:t>
      </w:r>
      <w:r>
        <w:rPr>
          <w:rFonts w:ascii="宋体" w:hAnsi="宋体" w:cs="宋体" w:eastAsia="宋体" w:hint="default"/>
          <w:b/>
          <w:bCs/>
          <w:w w:val="100"/>
          <w:sz w:val="21"/>
          <w:szCs w:val="21"/>
        </w:rPr>
        <w:t> </w:t>
      </w:r>
      <w:r>
        <w:rPr>
          <w:rFonts w:ascii="宋体" w:hAnsi="宋体" w:cs="宋体" w:eastAsia="宋体" w:hint="default"/>
          <w:spacing w:val="-2"/>
          <w:sz w:val="21"/>
          <w:szCs w:val="21"/>
        </w:rPr>
        <w:t>公司城市公共安全管理系列产品主要围绕智慧公安与智慧政法这两块领域，建设目标是覆盖</w:t>
      </w:r>
      <w:r>
        <w:rPr>
          <w:rFonts w:ascii="宋体" w:hAnsi="宋体" w:cs="宋体" w:eastAsia="宋体" w:hint="default"/>
          <w:sz w:val="21"/>
          <w:szCs w:val="21"/>
        </w:rPr>
      </w:r>
    </w:p>
    <w:p>
      <w:pPr>
        <w:pStyle w:val="BodyText"/>
        <w:spacing w:line="221" w:lineRule="exact"/>
        <w:ind w:left="138" w:right="0"/>
        <w:jc w:val="both"/>
      </w:pPr>
      <w:r>
        <w:rPr/>
        <w:t>公检法领域，形成横向集成、纵向贯通的情报信息网络，提高相关机构在维护稳定、打击犯罪、</w:t>
      </w:r>
    </w:p>
    <w:p>
      <w:pPr>
        <w:pStyle w:val="BodyText"/>
        <w:spacing w:line="297" w:lineRule="auto" w:before="85"/>
        <w:ind w:left="138" w:right="207"/>
        <w:jc w:val="both"/>
      </w:pPr>
      <w:r>
        <w:rPr>
          <w:spacing w:val="-5"/>
          <w:w w:val="100"/>
        </w:rPr>
        <w:t>行政管理和服务群众的能力。公司的城市公共安全管理类产品现已覆盖全国</w:t>
      </w:r>
      <w:r>
        <w:rPr>
          <w:spacing w:val="-62"/>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10"/>
          <w:w w:val="100"/>
        </w:rPr>
        <w:t> </w:t>
      </w:r>
      <w:r>
        <w:rPr>
          <w:spacing w:val="-19"/>
          <w:w w:val="100"/>
        </w:rPr>
        <w:t>个省份，</w:t>
      </w:r>
      <w:r>
        <w:rPr>
          <w:rFonts w:ascii="Times New Roman" w:hAnsi="Times New Roman" w:cs="Times New Roman" w:eastAsia="Times New Roman" w:hint="default"/>
          <w:spacing w:val="-19"/>
          <w:w w:val="100"/>
        </w:rPr>
        <w:t>25</w:t>
      </w:r>
      <w:r>
        <w:rPr>
          <w:rFonts w:ascii="Times New Roman" w:hAnsi="Times New Roman" w:cs="Times New Roman" w:eastAsia="Times New Roman" w:hint="default"/>
          <w:spacing w:val="-10"/>
          <w:w w:val="100"/>
        </w:rPr>
        <w:t> </w:t>
      </w:r>
      <w:r>
        <w:rPr>
          <w:spacing w:val="-2"/>
          <w:w w:val="100"/>
        </w:rPr>
        <w:t>个地市，</w:t>
      </w:r>
      <w:r>
        <w:rPr>
          <w:spacing w:val="-103"/>
          <w:w w:val="100"/>
        </w:rPr>
        <w:t> </w:t>
      </w:r>
      <w:r>
        <w:rPr>
          <w:spacing w:val="-103"/>
          <w:w w:val="100"/>
        </w:rPr>
      </w:r>
      <w:r>
        <w:rPr/>
        <w:t>主要包括福建、浙江、海南、山东、河南、安徽等省市和地区，正在履行的项目金额约 </w:t>
      </w:r>
      <w:r>
        <w:rPr>
          <w:rFonts w:ascii="Times New Roman" w:hAnsi="Times New Roman" w:cs="Times New Roman" w:eastAsia="Times New Roman" w:hint="default"/>
        </w:rPr>
        <w:t>16.06</w:t>
      </w:r>
      <w:r>
        <w:rPr>
          <w:rFonts w:ascii="Times New Roman" w:hAnsi="Times New Roman" w:cs="Times New Roman" w:eastAsia="Times New Roman" w:hint="default"/>
          <w:spacing w:val="5"/>
        </w:rPr>
        <w:t> </w:t>
      </w:r>
      <w:r>
        <w:rPr/>
        <w:t>亿</w:t>
      </w:r>
      <w:r>
        <w:rPr>
          <w:w w:val="100"/>
        </w:rPr>
        <w:t> </w:t>
      </w:r>
      <w:r>
        <w:rPr/>
        <w:t>元。</w:t>
      </w:r>
    </w:p>
    <w:p>
      <w:pPr>
        <w:spacing w:line="314" w:lineRule="auto" w:before="34"/>
        <w:ind w:left="558" w:right="4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）智慧警务，打造“感、传、管、用”一体化治安防控体系</w:t>
      </w:r>
      <w:r>
        <w:rPr>
          <w:rFonts w:ascii="宋体" w:hAnsi="宋体" w:cs="宋体" w:eastAsia="宋体" w:hint="default"/>
          <w:b/>
          <w:bCs/>
          <w:w w:val="100"/>
          <w:sz w:val="21"/>
          <w:szCs w:val="21"/>
        </w:rPr>
        <w:t> </w:t>
      </w:r>
      <w:r>
        <w:rPr>
          <w:rFonts w:ascii="宋体" w:hAnsi="宋体" w:cs="宋体" w:eastAsia="宋体" w:hint="default"/>
          <w:spacing w:val="-2"/>
          <w:sz w:val="21"/>
          <w:szCs w:val="21"/>
        </w:rPr>
        <w:t>公司作为国内领先的平安城市和智慧警务解决方案提供商，凭借自身丰富的项目实施经验和</w:t>
      </w:r>
    </w:p>
    <w:p>
      <w:pPr>
        <w:pStyle w:val="BodyText"/>
        <w:spacing w:line="304" w:lineRule="auto" w:before="20"/>
        <w:ind w:left="138" w:right="208"/>
        <w:jc w:val="both"/>
      </w:pPr>
      <w:r>
        <w:rPr>
          <w:spacing w:val="-1"/>
        </w:rPr>
        <w:t>过硬的公安业务理解优势，主动拥抱技术革命，与国内多家龙头企业展开生态合作，为公司在公</w:t>
      </w:r>
      <w:r>
        <w:rPr>
          <w:spacing w:val="-55"/>
        </w:rPr>
        <w:t> </w:t>
      </w:r>
      <w:r>
        <w:rPr>
          <w:spacing w:val="-55"/>
        </w:rPr>
      </w:r>
      <w:r>
        <w:rPr>
          <w:spacing w:val="-1"/>
        </w:rPr>
        <w:t>安领域的技术研发和业务创新注入源源不断的活力，推动公安业务持续稳步向上发展。公司公安</w:t>
      </w:r>
      <w:r>
        <w:rPr>
          <w:spacing w:val="-55"/>
        </w:rPr>
        <w:t> </w:t>
      </w:r>
      <w:r>
        <w:rPr>
          <w:spacing w:val="-55"/>
        </w:rPr>
      </w:r>
      <w:r>
        <w:rPr>
          <w:spacing w:val="-5"/>
          <w:w w:val="100"/>
        </w:rPr>
        <w:t>领域产品主要围绕实战应用，公司自主研发的智慧警务智能感知大数据平台自</w:t>
      </w:r>
      <w:r>
        <w:rPr>
          <w:spacing w:val="-40"/>
          <w:w w:val="100"/>
        </w:rPr>
        <w:t> </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11"/>
          <w:w w:val="100"/>
        </w:rPr>
        <w:t> </w:t>
      </w:r>
      <w:r>
        <w:rPr>
          <w:spacing w:val="-2"/>
          <w:w w:val="100"/>
        </w:rPr>
        <w:t>年正式发布上</w:t>
      </w:r>
      <w:r>
        <w:rPr>
          <w:spacing w:val="-100"/>
          <w:w w:val="100"/>
        </w:rPr>
        <w:t> </w:t>
      </w:r>
      <w:r>
        <w:rPr>
          <w:spacing w:val="-100"/>
          <w:w w:val="100"/>
        </w:rPr>
      </w:r>
      <w:r>
        <w:rPr>
          <w:spacing w:val="-1"/>
        </w:rPr>
        <w:t>线运行后，现已在北京、福建、广西、西藏拉萨等多个地区得到实战应用，取得了良好的成效。</w:t>
      </w:r>
      <w:r>
        <w:rPr>
          <w:spacing w:val="-56"/>
        </w:rPr>
        <w:t> </w:t>
      </w:r>
      <w:r>
        <w:rPr>
          <w:spacing w:val="-56"/>
        </w:rPr>
      </w:r>
      <w:r>
        <w:rPr>
          <w:spacing w:val="-5"/>
        </w:rPr>
        <w:t>报告期内，智慧警务智能感知大数据平台获得了“</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9"/>
        </w:rPr>
        <w:t> </w:t>
      </w:r>
      <w:r>
        <w:rPr/>
        <w:t>数博会全国百强大数据优秀产品</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spacing w:val="-17"/>
        </w:rPr>
        <w:t>强”、</w:t>
      </w:r>
      <w:r>
        <w:rPr>
          <w:spacing w:val="-102"/>
        </w:rPr>
        <w:t> </w:t>
      </w:r>
      <w:r>
        <w:rPr>
          <w:spacing w:val="-102"/>
        </w:rPr>
      </w:r>
      <w:r>
        <w:rPr/>
        <w:t>“</w:t>
      </w:r>
      <w:r>
        <w:rPr>
          <w:rFonts w:ascii="Times New Roman" w:hAnsi="Times New Roman" w:cs="Times New Roman" w:eastAsia="Times New Roman" w:hint="default"/>
        </w:rPr>
        <w:t>2018 </w:t>
      </w:r>
      <w:r>
        <w:rPr>
          <w:spacing w:val="-3"/>
        </w:rPr>
        <w:t>年度中国信息化（智慧公安）最佳实践奖”、“首届中国警务信息化建设成果推介活动最</w:t>
      </w:r>
      <w:r>
        <w:rPr>
          <w:spacing w:val="-90"/>
        </w:rPr>
        <w:t> </w:t>
      </w:r>
      <w:r>
        <w:rPr>
          <w:spacing w:val="-90"/>
        </w:rPr>
      </w:r>
      <w:r>
        <w:rPr/>
        <w:t>佳大数据解决方案”等奖项。</w:t>
      </w:r>
    </w:p>
    <w:p>
      <w:pPr>
        <w:spacing w:line="314" w:lineRule="auto" w:before="28"/>
        <w:ind w:left="558" w:right="4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）智慧政法，深化社会治理，助力司法改革</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报告期内，公司加快在智慧政法领域的市场布局，专注于政法委、检察院、法院、司法信息</w:t>
      </w:r>
    </w:p>
    <w:p>
      <w:pPr>
        <w:pStyle w:val="BodyText"/>
        <w:spacing w:line="314" w:lineRule="auto" w:before="20"/>
        <w:ind w:left="138" w:right="208"/>
        <w:jc w:val="both"/>
      </w:pPr>
      <w:r>
        <w:rPr>
          <w:spacing w:val="-7"/>
        </w:rPr>
        <w:t>化建设领域，重点开发创新型智慧政法解决方案。公司创新“智慧政法”平台，构建内、外、纵、</w:t>
      </w:r>
      <w:r>
        <w:rPr>
          <w:spacing w:val="-13"/>
        </w:rPr>
        <w:t> </w:t>
      </w:r>
      <w:r>
        <w:rPr>
          <w:spacing w:val="-13"/>
        </w:rPr>
      </w:r>
      <w:r>
        <w:rPr>
          <w:spacing w:val="-1"/>
        </w:rPr>
        <w:t>横多个维度的信息共享平台，打造政法工作“全数据流转、全流程覆盖、全业务协同、全过程监</w:t>
      </w:r>
      <w:r>
        <w:rPr>
          <w:spacing w:val="-55"/>
        </w:rPr>
        <w:t> </w:t>
      </w:r>
      <w:r>
        <w:rPr>
          <w:spacing w:val="-55"/>
        </w:rPr>
      </w:r>
      <w:r>
        <w:rPr>
          <w:spacing w:val="-1"/>
        </w:rPr>
        <w:t>督、全方位预警”的新模式，助力政法系统实现科技创新与体制变革的融合，提高政法工作智能</w:t>
      </w:r>
      <w:r>
        <w:rPr>
          <w:spacing w:val="-55"/>
        </w:rPr>
        <w:t> </w:t>
      </w:r>
      <w:r>
        <w:rPr>
          <w:spacing w:val="-55"/>
        </w:rPr>
      </w:r>
      <w:r>
        <w:rPr>
          <w:spacing w:val="-7"/>
        </w:rPr>
        <w:t>化建设水平。公司承建的济宁市智慧政法大数据平台项目已上线运行，成为全国首个打通公、检、</w:t>
      </w:r>
      <w:r>
        <w:rPr>
          <w:spacing w:val="-12"/>
        </w:rPr>
        <w:t> </w:t>
      </w:r>
      <w:r>
        <w:rPr>
          <w:spacing w:val="-12"/>
        </w:rPr>
      </w:r>
      <w:r>
        <w:rPr>
          <w:spacing w:val="-1"/>
        </w:rPr>
        <w:t>法、司全办案流程的智慧政法项目。报告期内，公司荣获“全国政法智能化建设优秀解决方案提</w:t>
      </w:r>
      <w:r>
        <w:rPr>
          <w:spacing w:val="-55"/>
        </w:rPr>
        <w:t> </w:t>
      </w:r>
      <w:r>
        <w:rPr>
          <w:spacing w:val="-55"/>
        </w:rPr>
      </w:r>
      <w:r>
        <w:rPr/>
        <w:t>供商”荣誉称号、诉服通</w:t>
      </w:r>
      <w:r>
        <w:rPr>
          <w:spacing w:val="-57"/>
        </w:rPr>
        <w:t> </w:t>
      </w:r>
      <w:r>
        <w:rPr>
          <w:rFonts w:ascii="宋体" w:hAnsi="宋体" w:cs="宋体" w:eastAsia="宋体" w:hint="default"/>
        </w:rPr>
        <w:t>APP</w:t>
      </w:r>
      <w:r>
        <w:rPr>
          <w:rFonts w:ascii="宋体" w:hAnsi="宋体" w:cs="宋体" w:eastAsia="宋体" w:hint="default"/>
          <w:spacing w:val="-56"/>
        </w:rPr>
        <w:t> </w:t>
      </w:r>
      <w:r>
        <w:rPr/>
        <w:t>产品荣获“全国政法智能化建设智慧法院优秀创新案例”等奖项。</w:t>
      </w:r>
    </w:p>
    <w:p>
      <w:pPr>
        <w:pStyle w:val="BodyText"/>
        <w:spacing w:line="396" w:lineRule="auto" w:before="111"/>
        <w:ind w:left="558" w:right="47" w:firstLine="2"/>
        <w:jc w:val="left"/>
      </w:pPr>
      <w:r>
        <w:rPr>
          <w:rFonts w:ascii="宋体" w:hAnsi="宋体" w:cs="宋体" w:eastAsia="宋体" w:hint="default"/>
          <w:b/>
          <w:bCs/>
        </w:rPr>
        <w:t>3.</w:t>
      </w:r>
      <w:r>
        <w:rPr>
          <w:rFonts w:ascii="宋体" w:hAnsi="宋体" w:cs="宋体" w:eastAsia="宋体" w:hint="default"/>
          <w:b/>
          <w:bCs/>
        </w:rPr>
        <w:t>城市物联网</w:t>
      </w:r>
      <w:r>
        <w:rPr>
          <w:rFonts w:ascii="宋体" w:hAnsi="宋体" w:cs="宋体" w:eastAsia="宋体" w:hint="default"/>
          <w:b/>
          <w:bCs/>
          <w:w w:val="100"/>
        </w:rPr>
        <w:t> </w:t>
      </w:r>
      <w:r>
        <w:rPr>
          <w:spacing w:val="-7"/>
          <w:w w:val="100"/>
        </w:rPr>
        <w:t>公司打造的城市级物联感知平台“智能云链平台”已形成城市级产品系列及完善的运营体系，</w:t>
      </w:r>
    </w:p>
    <w:p>
      <w:pPr>
        <w:pStyle w:val="BodyText"/>
        <w:spacing w:line="239" w:lineRule="exact"/>
        <w:ind w:left="138" w:right="0"/>
        <w:jc w:val="both"/>
      </w:pPr>
      <w:r>
        <w:rPr/>
        <w:t>公司业务现已覆盖福建、浙江、海南等</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个省份，</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多个地市，业务规模逐步扩大。</w:t>
      </w:r>
    </w:p>
    <w:p>
      <w:pPr>
        <w:pStyle w:val="BodyText"/>
        <w:spacing w:line="314" w:lineRule="auto" w:before="69"/>
        <w:ind w:left="138" w:right="205" w:firstLine="419"/>
        <w:jc w:val="left"/>
      </w:pPr>
      <w:r>
        <w:rPr>
          <w:spacing w:val="-2"/>
        </w:rPr>
        <w:t>智能城市云链平台已在智慧停车、城市电摩治理、智慧社区等领域广泛落地与应用，三线业</w:t>
      </w:r>
      <w:r>
        <w:rPr>
          <w:w w:val="100"/>
        </w:rPr>
        <w:t> </w:t>
      </w:r>
      <w:r>
        <w:rPr/>
        <w:t>务齐发，打造城市标杆，服务覆盖超</w:t>
      </w:r>
      <w:r>
        <w:rPr>
          <w:spacing w:val="-51"/>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万用户，数据汇聚累计超</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亿规模。智慧停车业务已</w:t>
      </w:r>
    </w:p>
    <w:p>
      <w:pPr>
        <w:spacing w:after="0" w:line="314" w:lineRule="auto"/>
        <w:jc w:val="left"/>
        <w:sectPr>
          <w:pgSz w:w="11910" w:h="16840"/>
          <w:pgMar w:header="855" w:footer="979" w:top="1120" w:bottom="1160" w:left="1660" w:right="1060"/>
        </w:sectPr>
      </w:pPr>
    </w:p>
    <w:p>
      <w:pPr>
        <w:spacing w:line="240" w:lineRule="auto" w:before="0"/>
        <w:rPr>
          <w:rFonts w:ascii="宋体" w:hAnsi="宋体" w:cs="宋体" w:eastAsia="宋体" w:hint="default"/>
          <w:sz w:val="20"/>
          <w:szCs w:val="20"/>
        </w:rPr>
      </w:pPr>
    </w:p>
    <w:p>
      <w:pPr>
        <w:pStyle w:val="BodyText"/>
        <w:spacing w:line="300" w:lineRule="auto" w:before="180"/>
        <w:ind w:right="99"/>
        <w:jc w:val="left"/>
      </w:pPr>
      <w:r>
        <w:rPr/>
        <w:t>覆盖泉州、福州、三明、莆田、杭州、台州、路桥、吉安、昆明等多个城市超 </w:t>
      </w:r>
      <w:r>
        <w:rPr>
          <w:rFonts w:ascii="Times New Roman" w:hAnsi="Times New Roman" w:cs="Times New Roman" w:eastAsia="Times New Roman" w:hint="default"/>
        </w:rPr>
        <w:t>1,000</w:t>
      </w:r>
      <w:r>
        <w:rPr>
          <w:rFonts w:ascii="Times New Roman" w:hAnsi="Times New Roman" w:cs="Times New Roman" w:eastAsia="Times New Roman" w:hint="default"/>
          <w:spacing w:val="8"/>
        </w:rPr>
        <w:t> </w:t>
      </w:r>
      <w:r>
        <w:rPr/>
        <w:t>个停车场，</w:t>
      </w:r>
      <w:r>
        <w:rPr>
          <w:w w:val="100"/>
        </w:rPr>
        <w:t> </w:t>
      </w:r>
      <w:r>
        <w:rPr/>
        <w:t>超十万个停车泊位，累计汇聚超亿条过车数据；电摩治理业务已覆盖福建省福州市、泉州市及海</w:t>
      </w:r>
      <w:r>
        <w:rPr>
          <w:spacing w:val="-97"/>
        </w:rPr>
        <w:t> </w:t>
      </w:r>
      <w:r>
        <w:rPr>
          <w:spacing w:val="-97"/>
        </w:rPr>
      </w:r>
      <w:r>
        <w:rPr/>
        <w:t>南省琼海市，服务超</w:t>
      </w:r>
      <w:r>
        <w:rPr>
          <w:spacing w:val="-48"/>
        </w:rPr>
        <w:t> </w:t>
      </w:r>
      <w:r>
        <w:rPr>
          <w:rFonts w:ascii="Times New Roman" w:hAnsi="Times New Roman" w:cs="Times New Roman" w:eastAsia="Times New Roman" w:hint="default"/>
        </w:rPr>
        <w:t>300</w:t>
      </w:r>
      <w:r>
        <w:rPr>
          <w:rFonts w:ascii="Times New Roman" w:hAnsi="Times New Roman" w:cs="Times New Roman" w:eastAsia="Times New Roman" w:hint="default"/>
          <w:spacing w:val="3"/>
        </w:rPr>
        <w:t> </w:t>
      </w:r>
      <w:r>
        <w:rPr/>
        <w:t>万电摩车主；智慧社区业务已在武汉市硚口区、泉州市丰泽区等落地，</w:t>
      </w:r>
      <w:r>
        <w:rPr>
          <w:w w:val="100"/>
        </w:rPr>
        <w:t> </w:t>
      </w:r>
      <w:r>
        <w:rPr/>
        <w:t>覆盖超</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多个社区，</w:t>
      </w:r>
      <w:r>
        <w:rPr>
          <w:rFonts w:ascii="Times New Roman" w:hAnsi="Times New Roman" w:cs="Times New Roman" w:eastAsia="Times New Roman" w:hint="default"/>
        </w:rPr>
        <w:t>100 </w:t>
      </w:r>
      <w:r>
        <w:rPr/>
        <w:t>多个物业单位。</w:t>
      </w:r>
      <w:r>
        <w:rPr>
          <w:rFonts w:ascii="宋体" w:hAnsi="宋体" w:cs="宋体" w:eastAsia="宋体" w:hint="default"/>
        </w:rPr>
        <w:t>2019</w:t>
      </w:r>
      <w:r>
        <w:rPr>
          <w:rFonts w:ascii="宋体" w:hAnsi="宋体" w:cs="宋体" w:eastAsia="宋体" w:hint="default"/>
          <w:spacing w:val="-53"/>
        </w:rPr>
        <w:t> </w:t>
      </w:r>
      <w:r>
        <w:rPr/>
        <w:t>年，公司将大力发展物联网中国芯，基于大数据、</w:t>
      </w:r>
      <w:r>
        <w:rPr>
          <w:w w:val="100"/>
        </w:rPr>
        <w:t> </w:t>
      </w:r>
      <w:r>
        <w:rPr>
          <w:rFonts w:ascii="Times New Roman" w:hAnsi="Times New Roman" w:cs="Times New Roman" w:eastAsia="Times New Roman" w:hint="default"/>
        </w:rPr>
        <w:t>AI </w:t>
      </w:r>
      <w:r>
        <w:rPr>
          <w:spacing w:val="-6"/>
        </w:rPr>
        <w:t>人工智能及“云</w:t>
      </w:r>
      <w:r>
        <w:rPr>
          <w:rFonts w:ascii="宋体" w:hAnsi="宋体" w:cs="宋体" w:eastAsia="宋体" w:hint="default"/>
          <w:spacing w:val="-6"/>
        </w:rPr>
        <w:t>+</w:t>
      </w:r>
      <w:r>
        <w:rPr>
          <w:spacing w:val="-6"/>
        </w:rPr>
        <w:t>端”核心技术，实现基于智慧停车、电摩治理、红点社区等民生物联网场景，</w:t>
      </w:r>
      <w:r>
        <w:rPr>
          <w:spacing w:val="-19"/>
        </w:rPr>
        <w:t> </w:t>
      </w:r>
      <w:r>
        <w:rPr>
          <w:spacing w:val="-19"/>
        </w:rPr>
      </w:r>
      <w:r>
        <w:rPr/>
        <w:t>向城市其他物联网应用领域延伸，打造城市级的物联网生态平台。</w:t>
      </w:r>
    </w:p>
    <w:p>
      <w:pPr>
        <w:pStyle w:val="BodyText"/>
        <w:spacing w:line="398" w:lineRule="auto" w:before="124"/>
        <w:ind w:left="597" w:right="99" w:firstLine="43"/>
        <w:jc w:val="left"/>
      </w:pPr>
      <w:r>
        <w:rPr>
          <w:rFonts w:ascii="宋体" w:hAnsi="宋体" w:cs="宋体" w:eastAsia="宋体" w:hint="default"/>
          <w:b/>
          <w:bCs/>
        </w:rPr>
        <w:t>4.</w:t>
      </w:r>
      <w:r>
        <w:rPr>
          <w:rFonts w:ascii="宋体" w:hAnsi="宋体" w:cs="宋体" w:eastAsia="宋体" w:hint="default"/>
          <w:b/>
          <w:bCs/>
        </w:rPr>
        <w:t>智慧城市领域</w:t>
      </w:r>
      <w:r>
        <w:rPr>
          <w:rFonts w:ascii="宋体" w:hAnsi="宋体" w:cs="宋体" w:eastAsia="宋体" w:hint="default"/>
          <w:b/>
          <w:bCs/>
          <w:w w:val="100"/>
        </w:rPr>
        <w:t> </w:t>
      </w:r>
      <w:r>
        <w:rPr/>
        <w:t>在智慧城市领域，公司作为国家智慧城市标准化总体组十大理事单位之一，为各地方政府提</w:t>
      </w:r>
    </w:p>
    <w:p>
      <w:pPr>
        <w:pStyle w:val="BodyText"/>
        <w:spacing w:line="237" w:lineRule="exact"/>
        <w:ind w:left="177" w:right="99"/>
        <w:jc w:val="left"/>
      </w:pPr>
      <w:r>
        <w:rPr/>
        <w:t>供整体规划、统筹建设、综合运营的新型智慧城市解决方案。公司先后中标智慧丰泽</w:t>
      </w:r>
      <w:r>
        <w:rPr>
          <w:spacing w:val="-46"/>
        </w:rPr>
        <w:t> </w:t>
      </w:r>
      <w:r>
        <w:rPr>
          <w:rFonts w:ascii="Times New Roman" w:hAnsi="Times New Roman" w:cs="Times New Roman" w:eastAsia="Times New Roman" w:hint="default"/>
        </w:rPr>
        <w:t>PPP</w:t>
      </w:r>
      <w:r>
        <w:rPr>
          <w:rFonts w:ascii="Times New Roman" w:hAnsi="Times New Roman" w:cs="Times New Roman" w:eastAsia="Times New Roman" w:hint="default"/>
          <w:spacing w:val="9"/>
        </w:rPr>
        <w:t> </w:t>
      </w:r>
      <w:r>
        <w:rPr>
          <w:spacing w:val="-3"/>
        </w:rPr>
        <w:t>一期项</w:t>
      </w:r>
      <w:r>
        <w:rPr/>
      </w:r>
    </w:p>
    <w:p>
      <w:pPr>
        <w:pStyle w:val="BodyText"/>
        <w:spacing w:line="309" w:lineRule="auto" w:before="70"/>
        <w:ind w:left="177" w:right="207"/>
        <w:jc w:val="both"/>
      </w:pPr>
      <w:r>
        <w:rPr/>
        <w:t>目、智慧将乐</w:t>
      </w:r>
      <w:r>
        <w:rPr>
          <w:spacing w:val="-24"/>
        </w:rPr>
        <w:t> </w:t>
      </w:r>
      <w:r>
        <w:rPr>
          <w:rFonts w:ascii="Times New Roman" w:hAnsi="Times New Roman" w:cs="Times New Roman" w:eastAsia="Times New Roman" w:hint="default"/>
        </w:rPr>
        <w:t>EPC</w:t>
      </w:r>
      <w:r>
        <w:rPr/>
        <w:t>（一期）、智慧安溪县域医疗卫生信息一体化建设项目等多个智慧城市项目，</w:t>
      </w:r>
      <w:r>
        <w:rPr>
          <w:w w:val="100"/>
        </w:rPr>
        <w:t> </w:t>
      </w:r>
      <w:r>
        <w:rPr>
          <w:spacing w:val="-4"/>
        </w:rPr>
        <w:t>其中智慧丰泽已竣工并投入运行，成为了新型智慧城市的示范项目。</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12"/>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12"/>
        </w:rPr>
        <w:t> </w:t>
      </w:r>
      <w:r>
        <w:rPr>
          <w:spacing w:val="-7"/>
        </w:rPr>
        <w:t>日，公司在总</w:t>
      </w:r>
      <w:r>
        <w:rPr>
          <w:spacing w:val="-100"/>
        </w:rPr>
        <w:t> </w:t>
      </w:r>
      <w:r>
        <w:rPr>
          <w:spacing w:val="-100"/>
        </w:rPr>
      </w:r>
      <w:r>
        <w:rPr/>
        <w:t>部南威科技园召开全国“最多跑一次”创新实践升级暨智慧城市、数字经济生态合作大会，联合</w:t>
      </w:r>
      <w:r>
        <w:rPr>
          <w:spacing w:val="-49"/>
        </w:rPr>
        <w:t> </w:t>
      </w:r>
      <w:r>
        <w:rPr>
          <w:spacing w:val="-49"/>
        </w:rPr>
      </w:r>
      <w:r>
        <w:rPr/>
        <w:t>华为、新华三、阿里等优质合作伙伴，秉承优势互补、合作共赢理念，共同构建南威智慧城市生</w:t>
      </w:r>
      <w:r>
        <w:rPr>
          <w:spacing w:val="-47"/>
        </w:rPr>
        <w:t> </w:t>
      </w:r>
      <w:r>
        <w:rPr>
          <w:spacing w:val="-47"/>
        </w:rPr>
      </w:r>
      <w:r>
        <w:rPr/>
        <w:t>态体系。同时，公司深入梳理和整合智慧水利及智能家居的行业应用，新增设立智慧文旅、智慧</w:t>
      </w:r>
      <w:r>
        <w:rPr>
          <w:spacing w:val="-50"/>
        </w:rPr>
        <w:t> </w:t>
      </w:r>
      <w:r>
        <w:rPr>
          <w:spacing w:val="-50"/>
        </w:rPr>
      </w:r>
      <w:r>
        <w:rPr/>
        <w:t>军营、智慧海洋等行业公司，结合公司优势资源进行产品开发及技术成果转化，行成智慧城市链</w:t>
      </w:r>
      <w:r>
        <w:rPr>
          <w:spacing w:val="-49"/>
        </w:rPr>
        <w:t> </w:t>
      </w:r>
      <w:r>
        <w:rPr>
          <w:spacing w:val="-49"/>
        </w:rPr>
      </w:r>
      <w:r>
        <w:rPr/>
        <w:t>的产业协同效应，增强公司在智慧城市领域的竞争优势。</w:t>
      </w:r>
    </w:p>
    <w:p>
      <w:pPr>
        <w:pStyle w:val="Heading4"/>
        <w:spacing w:line="240" w:lineRule="auto" w:before="29"/>
        <w:ind w:right="99"/>
        <w:jc w:val="left"/>
        <w:rPr>
          <w:b w:val="0"/>
          <w:bCs w:val="0"/>
        </w:rPr>
      </w:pPr>
      <w:r>
        <w:rPr/>
        <w:t>二、报告期内主要经营情况</w:t>
      </w:r>
      <w:r>
        <w:rPr>
          <w:b w:val="0"/>
          <w:bCs w:val="0"/>
        </w:rPr>
      </w:r>
    </w:p>
    <w:p>
      <w:pPr>
        <w:pStyle w:val="BodyText"/>
        <w:spacing w:line="297" w:lineRule="auto" w:before="152"/>
        <w:ind w:right="207" w:firstLine="479"/>
        <w:jc w:val="both"/>
        <w:rPr>
          <w:rFonts w:ascii="宋体" w:hAnsi="宋体" w:cs="宋体" w:eastAsia="宋体" w:hint="default"/>
        </w:rPr>
      </w:pPr>
      <w:r>
        <w:rPr>
          <w:spacing w:val="-3"/>
        </w:rPr>
        <w:t>报告期内，公司实现营业收入</w:t>
      </w:r>
      <w:r>
        <w:rPr>
          <w:spacing w:val="-44"/>
        </w:rPr>
        <w:t> </w:t>
      </w:r>
      <w:r>
        <w:rPr>
          <w:rFonts w:ascii="Times New Roman" w:hAnsi="Times New Roman" w:cs="Times New Roman" w:eastAsia="Times New Roman" w:hint="default"/>
        </w:rPr>
        <w:t>97,904.39</w:t>
      </w:r>
      <w:r>
        <w:rPr>
          <w:rFonts w:ascii="Times New Roman" w:hAnsi="Times New Roman" w:cs="Times New Roman" w:eastAsia="Times New Roman" w:hint="default"/>
          <w:spacing w:val="4"/>
        </w:rPr>
        <w:t> </w:t>
      </w:r>
      <w:r>
        <w:rPr>
          <w:spacing w:val="-5"/>
        </w:rPr>
        <w:t>万元，同比增长</w:t>
      </w:r>
      <w:r>
        <w:rPr>
          <w:spacing w:val="-46"/>
        </w:rPr>
        <w:t> </w:t>
      </w:r>
      <w:r>
        <w:rPr>
          <w:rFonts w:ascii="Times New Roman" w:hAnsi="Times New Roman" w:cs="Times New Roman" w:eastAsia="Times New Roman" w:hint="default"/>
          <w:spacing w:val="-3"/>
        </w:rPr>
        <w:t>21.2</w:t>
      </w:r>
      <w:r>
        <w:rPr>
          <w:rFonts w:ascii="宋体" w:hAnsi="宋体" w:cs="宋体" w:eastAsia="宋体" w:hint="default"/>
          <w:spacing w:val="-3"/>
        </w:rPr>
        <w:t>7</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8"/>
        </w:rPr>
        <w:t> </w:t>
      </w:r>
      <w:r>
        <w:rPr/>
        <w:t>年归属于上市股东的</w:t>
      </w:r>
      <w:r>
        <w:rPr>
          <w:w w:val="100"/>
        </w:rPr>
        <w:t> </w:t>
      </w:r>
      <w:r>
        <w:rPr/>
        <w:t>净利润为 </w:t>
      </w:r>
      <w:r>
        <w:rPr>
          <w:rFonts w:ascii="Times New Roman" w:hAnsi="Times New Roman" w:cs="Times New Roman" w:eastAsia="Times New Roman" w:hint="default"/>
        </w:rPr>
        <w:t>17,252.33 </w:t>
      </w:r>
      <w:r>
        <w:rPr/>
        <w:t>万元，较去年增长</w:t>
      </w:r>
      <w:r>
        <w:rPr>
          <w:spacing w:val="-70"/>
        </w:rPr>
        <w:t> </w:t>
      </w:r>
      <w:r>
        <w:rPr>
          <w:rFonts w:ascii="Times New Roman" w:hAnsi="Times New Roman" w:cs="Times New Roman" w:eastAsia="Times New Roman" w:hint="default"/>
        </w:rPr>
        <w:t>67.46%</w:t>
      </w:r>
      <w:r>
        <w:rPr/>
        <w:t>，归属于上市公司股东的扣除非经常性损益后的净</w:t>
      </w:r>
      <w:r>
        <w:rPr>
          <w:spacing w:val="-3"/>
          <w:w w:val="100"/>
        </w:rPr>
        <w:t> </w:t>
      </w:r>
      <w:r>
        <w:rPr/>
        <w:t>利润为</w:t>
      </w:r>
      <w:r>
        <w:rPr>
          <w:spacing w:val="-37"/>
        </w:rPr>
        <w:t> </w:t>
      </w:r>
      <w:r>
        <w:rPr>
          <w:rFonts w:ascii="Times New Roman" w:hAnsi="Times New Roman" w:cs="Times New Roman" w:eastAsia="Times New Roman" w:hint="default"/>
        </w:rPr>
        <w:t>15,311.66</w:t>
      </w:r>
      <w:r>
        <w:rPr>
          <w:rFonts w:ascii="Times New Roman" w:hAnsi="Times New Roman" w:cs="Times New Roman" w:eastAsia="Times New Roman" w:hint="default"/>
          <w:spacing w:val="15"/>
        </w:rPr>
        <w:t> </w:t>
      </w:r>
      <w:r>
        <w:rPr/>
        <w:t>万元，较去年增长</w:t>
      </w:r>
      <w:r>
        <w:rPr>
          <w:spacing w:val="-37"/>
        </w:rPr>
        <w:t> </w:t>
      </w:r>
      <w:r>
        <w:rPr>
          <w:rFonts w:ascii="Times New Roman" w:hAnsi="Times New Roman" w:cs="Times New Roman" w:eastAsia="Times New Roman" w:hint="default"/>
        </w:rPr>
        <w:t>78.14%</w:t>
      </w:r>
      <w:r>
        <w:rPr/>
        <w:t>。截止</w:t>
      </w:r>
      <w:r>
        <w:rPr>
          <w:spacing w:val="-3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0"/>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37"/>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日，公司总资产</w:t>
      </w:r>
      <w:r>
        <w:rPr>
          <w:spacing w:val="-37"/>
        </w:rPr>
        <w:t> </w:t>
      </w:r>
      <w:r>
        <w:rPr>
          <w:rFonts w:ascii="Times New Roman" w:hAnsi="Times New Roman" w:cs="Times New Roman" w:eastAsia="Times New Roman" w:hint="default"/>
        </w:rPr>
        <w:t>299,725.32</w:t>
      </w:r>
      <w:r>
        <w:rPr>
          <w:rFonts w:ascii="Times New Roman" w:hAnsi="Times New Roman" w:cs="Times New Roman" w:eastAsia="Times New Roman" w:hint="default"/>
          <w:w w:val="100"/>
        </w:rPr>
        <w:t> </w:t>
      </w:r>
      <w:r>
        <w:rPr>
          <w:spacing w:val="-15"/>
          <w:w w:val="100"/>
        </w:rPr>
        <w:t>万元，较年初增长</w:t>
      </w:r>
      <w:r>
        <w:rPr>
          <w:spacing w:val="-74"/>
          <w:w w:val="100"/>
        </w:rPr>
        <w:t> </w:t>
      </w:r>
      <w:r>
        <w:rPr>
          <w:rFonts w:ascii="Times New Roman" w:hAnsi="Times New Roman" w:cs="Times New Roman" w:eastAsia="Times New Roman" w:hint="default"/>
          <w:spacing w:val="-7"/>
          <w:w w:val="100"/>
        </w:rPr>
        <w:t>52.57%</w:t>
      </w:r>
      <w:r>
        <w:rPr>
          <w:spacing w:val="-7"/>
          <w:w w:val="100"/>
        </w:rPr>
        <w:t>；归属于上市股东的所有者权益为</w:t>
      </w:r>
      <w:r>
        <w:rPr>
          <w:spacing w:val="-74"/>
          <w:w w:val="100"/>
        </w:rPr>
        <w:t> </w:t>
      </w:r>
      <w:r>
        <w:rPr>
          <w:rFonts w:ascii="Times New Roman" w:hAnsi="Times New Roman" w:cs="Times New Roman" w:eastAsia="Times New Roman" w:hint="default"/>
          <w:spacing w:val="-1"/>
          <w:w w:val="100"/>
        </w:rPr>
        <w:t>174,775.75</w:t>
      </w:r>
      <w:r>
        <w:rPr>
          <w:rFonts w:ascii="Times New Roman" w:hAnsi="Times New Roman" w:cs="Times New Roman" w:eastAsia="Times New Roman" w:hint="default"/>
          <w:spacing w:val="-21"/>
          <w:w w:val="100"/>
        </w:rPr>
        <w:t> </w:t>
      </w:r>
      <w:r>
        <w:rPr>
          <w:spacing w:val="-15"/>
          <w:w w:val="100"/>
        </w:rPr>
        <w:t>万元，较年初增长</w:t>
      </w:r>
      <w:r>
        <w:rPr>
          <w:spacing w:val="13"/>
          <w:w w:val="100"/>
        </w:rPr>
        <w:t> </w:t>
      </w:r>
      <w:r>
        <w:rPr>
          <w:rFonts w:ascii="Times New Roman" w:hAnsi="Times New Roman" w:cs="Times New Roman" w:eastAsia="Times New Roman" w:hint="default"/>
          <w:spacing w:val="-2"/>
          <w:w w:val="100"/>
        </w:rPr>
        <w:t>73.20%</w:t>
      </w:r>
      <w:r>
        <w:rPr>
          <w:spacing w:val="-2"/>
          <w:w w:val="100"/>
        </w:rPr>
        <w:t>。</w:t>
      </w:r>
      <w:r>
        <w:rPr>
          <w:spacing w:val="-103"/>
          <w:w w:val="100"/>
        </w:rPr>
        <w:t> </w:t>
      </w:r>
      <w:r>
        <w:rPr>
          <w:rFonts w:ascii="宋体" w:hAnsi="宋体" w:cs="宋体" w:eastAsia="宋体" w:hint="default"/>
          <w:b/>
          <w:bCs/>
        </w:rPr>
        <w:t>(</w:t>
      </w:r>
      <w:r>
        <w:rPr>
          <w:rFonts w:ascii="宋体" w:hAnsi="宋体" w:cs="宋体" w:eastAsia="宋体" w:hint="default"/>
          <w:b/>
          <w:bCs/>
        </w:rPr>
        <w:t>一</w:t>
      </w:r>
      <w:r>
        <w:rPr>
          <w:rFonts w:ascii="宋体" w:hAnsi="宋体" w:cs="宋体" w:eastAsia="宋体" w:hint="default"/>
          <w:b/>
          <w:bCs/>
        </w:rPr>
        <w:t>)  </w:t>
      </w:r>
      <w:r>
        <w:rPr>
          <w:rFonts w:ascii="宋体" w:hAnsi="宋体" w:cs="宋体" w:eastAsia="宋体" w:hint="default"/>
          <w:b/>
          <w:bCs/>
          <w:spacing w:val="101"/>
        </w:rPr>
        <w:t> </w:t>
      </w:r>
      <w:r>
        <w:rPr>
          <w:rFonts w:ascii="宋体" w:hAnsi="宋体" w:cs="宋体" w:eastAsia="宋体" w:hint="default"/>
          <w:b/>
          <w:bCs/>
        </w:rPr>
        <w:t>主营业务分析</w:t>
      </w:r>
      <w:r>
        <w:rPr>
          <w:rFonts w:ascii="宋体" w:hAnsi="宋体" w:cs="宋体" w:eastAsia="宋体" w:hint="default"/>
        </w:rPr>
      </w:r>
    </w:p>
    <w:p>
      <w:pPr>
        <w:pStyle w:val="Heading4"/>
        <w:tabs>
          <w:tab w:pos="637" w:val="left" w:leader="none"/>
        </w:tabs>
        <w:spacing w:line="240" w:lineRule="auto" w:before="46"/>
        <w:ind w:right="99"/>
        <w:jc w:val="left"/>
        <w:rPr>
          <w:b w:val="0"/>
          <w:bCs w:val="0"/>
        </w:rPr>
      </w:pPr>
      <w:r>
        <w:rPr>
          <w:rFonts w:ascii="Times New Roman" w:hAnsi="Times New Roman" w:cs="Times New Roman" w:eastAsia="Times New Roman" w:hint="default"/>
        </w:rPr>
        <w:t>1.</w:t>
        <w:tab/>
      </w:r>
      <w:r>
        <w:rPr/>
        <w:t>利润表及现金流量表相关科目变动分析表</w:t>
      </w:r>
      <w:r>
        <w:rPr>
          <w:b w:val="0"/>
          <w:bCs w:val="0"/>
        </w:rPr>
      </w:r>
    </w:p>
    <w:p>
      <w:pPr>
        <w:spacing w:line="240" w:lineRule="auto" w:before="9"/>
        <w:rPr>
          <w:rFonts w:ascii="宋体" w:hAnsi="宋体" w:cs="宋体" w:eastAsia="宋体" w:hint="default"/>
          <w:b/>
          <w:bCs/>
          <w:sz w:val="7"/>
          <w:szCs w:val="7"/>
        </w:rPr>
      </w:pPr>
    </w:p>
    <w:p>
      <w:pPr>
        <w:pStyle w:val="BodyText"/>
        <w:tabs>
          <w:tab w:pos="946" w:val="left" w:leader="none"/>
        </w:tabs>
        <w:spacing w:line="240" w:lineRule="auto" w:before="36"/>
        <w:ind w:left="0" w:right="21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87"/>
        <w:gridCol w:w="1738"/>
        <w:gridCol w:w="1735"/>
        <w:gridCol w:w="1964"/>
      </w:tblGrid>
      <w:tr>
        <w:trPr>
          <w:trHeight w:val="370"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4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33"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70"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979,043,905.27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807,313,135.82</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21.27</w:t>
            </w:r>
          </w:p>
        </w:tc>
      </w:tr>
      <w:tr>
        <w:trPr>
          <w:trHeight w:val="370"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535,668,213.24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538,273,165.94</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-0.48</w:t>
            </w:r>
          </w:p>
        </w:tc>
      </w:tr>
      <w:tr>
        <w:trPr>
          <w:trHeight w:val="372"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56,974,256.64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40,945,076.88</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39.15</w:t>
            </w:r>
          </w:p>
        </w:tc>
      </w:tr>
      <w:tr>
        <w:trPr>
          <w:trHeight w:val="370"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158,473,036.62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102,564,905.34</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54.51</w:t>
            </w:r>
          </w:p>
        </w:tc>
      </w:tr>
      <w:tr>
        <w:trPr>
          <w:trHeight w:val="370"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22,221,838.94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2"/>
                <w:sz w:val="21"/>
              </w:rPr>
              <w:t>16,656,111.55</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33.42</w:t>
            </w:r>
          </w:p>
        </w:tc>
      </w:tr>
      <w:tr>
        <w:trPr>
          <w:trHeight w:val="370"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2"/>
                <w:sz w:val="21"/>
              </w:rPr>
              <w:t>-2,711,834.95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581,958.82</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-565.98</w:t>
            </w:r>
          </w:p>
        </w:tc>
      </w:tr>
      <w:tr>
        <w:trPr>
          <w:trHeight w:val="370"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-269,780,968.06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138,408,077.65</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-294.92</w:t>
            </w:r>
          </w:p>
        </w:tc>
      </w:tr>
      <w:tr>
        <w:trPr>
          <w:trHeight w:val="370"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37,001,695.69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-199,976,307.26</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2"/>
                <w:sz w:val="21"/>
              </w:rPr>
              <w:t>118.50</w:t>
            </w:r>
          </w:p>
        </w:tc>
      </w:tr>
      <w:tr>
        <w:trPr>
          <w:trHeight w:val="372"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568,812,078.50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-39,020,805.70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1,557.71</w:t>
            </w:r>
          </w:p>
        </w:tc>
      </w:tr>
    </w:tbl>
    <w:p>
      <w:pPr>
        <w:spacing w:line="240" w:lineRule="auto" w:before="10"/>
        <w:rPr>
          <w:rFonts w:ascii="宋体" w:hAnsi="宋体" w:cs="宋体" w:eastAsia="宋体" w:hint="default"/>
          <w:sz w:val="24"/>
          <w:szCs w:val="24"/>
        </w:rPr>
      </w:pPr>
    </w:p>
    <w:p>
      <w:pPr>
        <w:pStyle w:val="Heading4"/>
        <w:tabs>
          <w:tab w:pos="637" w:val="left" w:leader="none"/>
        </w:tabs>
        <w:spacing w:line="240" w:lineRule="auto"/>
        <w:ind w:right="99"/>
        <w:jc w:val="left"/>
        <w:rPr>
          <w:b w:val="0"/>
          <w:bCs w:val="0"/>
        </w:rPr>
      </w:pPr>
      <w:r>
        <w:rPr>
          <w:rFonts w:ascii="Times New Roman" w:hAnsi="Times New Roman" w:cs="Times New Roman" w:eastAsia="Times New Roman" w:hint="default"/>
        </w:rPr>
        <w:t>2.</w:t>
        <w:tab/>
      </w:r>
      <w:r>
        <w:rPr/>
        <w:t>收入和成本分析</w:t>
      </w:r>
      <w:r>
        <w:rPr>
          <w:b w:val="0"/>
          <w:bCs w:val="0"/>
        </w:rPr>
      </w:r>
    </w:p>
    <w:p>
      <w:pPr>
        <w:pStyle w:val="BodyText"/>
        <w:spacing w:line="240" w:lineRule="auto" w:before="81"/>
        <w:ind w:right="99"/>
        <w:jc w:val="left"/>
      </w:pPr>
      <w:r>
        <w:rPr/>
        <w:t>√适用</w:t>
      </w:r>
      <w:r>
        <w:rPr>
          <w:spacing w:val="-1"/>
        </w:rPr>
        <w:t> </w:t>
      </w:r>
      <w:r>
        <w:rPr/>
        <w:t>□不适用</w:t>
      </w:r>
    </w:p>
    <w:p>
      <w:pPr>
        <w:spacing w:after="0" w:line="240" w:lineRule="auto"/>
        <w:jc w:val="left"/>
        <w:sectPr>
          <w:pgSz w:w="11910" w:h="16840"/>
          <w:pgMar w:header="855" w:footer="979" w:top="1120" w:bottom="1160" w:left="1580" w:right="1060"/>
        </w:sectPr>
      </w:pPr>
    </w:p>
    <w:p>
      <w:pPr>
        <w:spacing w:line="240" w:lineRule="auto" w:before="0"/>
        <w:rPr>
          <w:rFonts w:ascii="宋体" w:hAnsi="宋体" w:cs="宋体" w:eastAsia="宋体" w:hint="default"/>
          <w:sz w:val="20"/>
          <w:szCs w:val="20"/>
        </w:rPr>
      </w:pPr>
    </w:p>
    <w:p>
      <w:pPr>
        <w:pStyle w:val="BodyText"/>
        <w:spacing w:line="302" w:lineRule="auto" w:before="180"/>
        <w:ind w:right="127" w:firstLine="479"/>
        <w:jc w:val="both"/>
      </w:pPr>
      <w:r>
        <w:rPr/>
        <w:t>报告期内，公司主营业务收入比上年同期增长 </w:t>
      </w:r>
      <w:r>
        <w:rPr>
          <w:rFonts w:ascii="Times New Roman" w:hAnsi="Times New Roman" w:cs="Times New Roman" w:eastAsia="Times New Roman" w:hint="default"/>
        </w:rPr>
        <w:t>21.35%</w:t>
      </w:r>
      <w:r>
        <w:rPr/>
        <w:t>，成本同期下降</w:t>
      </w:r>
      <w:r>
        <w:rPr>
          <w:spacing w:val="20"/>
        </w:rPr>
        <w:t> </w:t>
      </w:r>
      <w:r>
        <w:rPr>
          <w:rFonts w:ascii="Times New Roman" w:hAnsi="Times New Roman" w:cs="Times New Roman" w:eastAsia="Times New Roman" w:hint="default"/>
        </w:rPr>
        <w:t>0.41%</w:t>
      </w:r>
      <w:r>
        <w:rPr/>
        <w:t>，毛利率提高</w:t>
      </w:r>
      <w:r>
        <w:rPr>
          <w:w w:val="100"/>
        </w:rPr>
        <w:t> </w:t>
      </w:r>
      <w:r>
        <w:rPr>
          <w:rFonts w:ascii="Times New Roman" w:hAnsi="Times New Roman" w:cs="Times New Roman" w:eastAsia="Times New Roman" w:hint="default"/>
        </w:rPr>
        <w:t>11.96 </w:t>
      </w:r>
      <w:r>
        <w:rPr>
          <w:spacing w:val="-2"/>
        </w:rPr>
        <w:t>个百分点，主要系公司的互联网</w:t>
      </w:r>
      <w:r>
        <w:rPr>
          <w:rFonts w:ascii="Times New Roman" w:hAnsi="Times New Roman" w:cs="Times New Roman" w:eastAsia="Times New Roman" w:hint="default"/>
          <w:spacing w:val="-2"/>
        </w:rPr>
        <w:t>+</w:t>
      </w:r>
      <w:r>
        <w:rPr>
          <w:spacing w:val="-2"/>
        </w:rPr>
        <w:t>政务领域的收入增长较快；随着公司研发成果的深化推广</w:t>
      </w:r>
      <w:r>
        <w:rPr>
          <w:spacing w:val="-91"/>
        </w:rPr>
        <w:t> </w:t>
      </w:r>
      <w:r>
        <w:rPr>
          <w:spacing w:val="-91"/>
        </w:rPr>
      </w:r>
      <w:r>
        <w:rPr>
          <w:spacing w:val="-1"/>
        </w:rPr>
        <w:t>应用，自主软件产品收入占比逐年提高；同时公司不断优化采购管理，有效降低采购成本，故报</w:t>
      </w:r>
      <w:r>
        <w:rPr>
          <w:spacing w:val="-54"/>
        </w:rPr>
        <w:t> </w:t>
      </w:r>
      <w:r>
        <w:rPr>
          <w:spacing w:val="-54"/>
        </w:rPr>
      </w:r>
      <w:r>
        <w:rPr/>
        <w:t>告期毛利率实现有效提升。</w:t>
      </w:r>
    </w:p>
    <w:p>
      <w:pPr>
        <w:pStyle w:val="Heading4"/>
        <w:tabs>
          <w:tab w:pos="784" w:val="left" w:leader="none"/>
        </w:tabs>
        <w:spacing w:line="240" w:lineRule="auto" w:before="30"/>
        <w:ind w:right="2631"/>
        <w:jc w:val="left"/>
        <w:rPr>
          <w:b w:val="0"/>
          <w:bCs w:val="0"/>
        </w:rPr>
      </w:pPr>
      <w:r>
        <w:rPr>
          <w:rFonts w:ascii="Times New Roman" w:hAnsi="Times New Roman" w:cs="Times New Roman" w:eastAsia="Times New Roman" w:hint="default"/>
          <w:spacing w:val="-1"/>
        </w:rPr>
        <w:t>(1).</w:t>
        <w:tab/>
      </w:r>
      <w:r>
        <w:rPr>
          <w:spacing w:val="-1"/>
        </w:rPr>
        <w:t>主营业务分行业、分产品、分地区情况</w:t>
      </w:r>
      <w:r>
        <w:rPr>
          <w:b w:val="0"/>
          <w:bCs w:val="0"/>
          <w:spacing w:val="-1"/>
        </w:rPr>
      </w:r>
    </w:p>
    <w:p>
      <w:pPr>
        <w:pStyle w:val="BodyText"/>
        <w:tabs>
          <w:tab w:pos="946" w:val="left" w:leader="none"/>
        </w:tabs>
        <w:spacing w:line="240" w:lineRule="auto" w:before="14"/>
        <w:ind w:left="0" w:right="1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3"/>
        <w:gridCol w:w="1015"/>
        <w:gridCol w:w="120"/>
        <w:gridCol w:w="1575"/>
        <w:gridCol w:w="1567"/>
        <w:gridCol w:w="118"/>
        <w:gridCol w:w="874"/>
        <w:gridCol w:w="120"/>
        <w:gridCol w:w="1083"/>
        <w:gridCol w:w="1182"/>
        <w:gridCol w:w="1198"/>
      </w:tblGrid>
      <w:tr>
        <w:trPr>
          <w:trHeight w:val="372" w:hRule="exact"/>
        </w:trPr>
        <w:tc>
          <w:tcPr>
            <w:tcW w:w="89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090" w:hRule="exact"/>
        </w:trPr>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4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36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85"/>
              <w:ind w:left="19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63" w:right="185"/>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52" w:right="175"/>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73" w:right="170" w:hanging="1"/>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730" w:hRule="exact"/>
        </w:trPr>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公安行业</w:t>
            </w:r>
          </w:p>
        </w:tc>
        <w:tc>
          <w:tcPr>
            <w:tcW w:w="1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303,854,109.25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214,531,827.97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29.40</w:t>
            </w:r>
          </w:p>
        </w:tc>
        <w:tc>
          <w:tcPr>
            <w:tcW w:w="1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23" w:right="0"/>
              <w:jc w:val="left"/>
              <w:rPr>
                <w:rFonts w:ascii="Times New Roman" w:hAnsi="Times New Roman" w:cs="Times New Roman" w:eastAsia="Times New Roman" w:hint="default"/>
                <w:sz w:val="21"/>
                <w:szCs w:val="21"/>
              </w:rPr>
            </w:pPr>
            <w:r>
              <w:rPr>
                <w:rFonts w:ascii="Times New Roman"/>
                <w:sz w:val="21"/>
              </w:rPr>
              <w:t>-43.62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-43.41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Times New Roman" w:hAnsi="Times New Roman" w:cs="Times New Roman" w:eastAsia="Times New Roman" w:hint="default"/>
                <w:sz w:val="21"/>
                <w:szCs w:val="21"/>
              </w:rPr>
            </w:pPr>
            <w:r>
              <w:rPr>
                <w:rFonts w:ascii="宋体" w:hAnsi="宋体" w:cs="宋体" w:eastAsia="宋体" w:hint="default"/>
                <w:spacing w:val="22"/>
                <w:sz w:val="21"/>
                <w:szCs w:val="21"/>
              </w:rPr>
              <w:t>减少</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0.25</w:t>
            </w:r>
          </w:p>
          <w:p>
            <w:pPr>
              <w:pStyle w:val="TableParagraph"/>
              <w:spacing w:line="240" w:lineRule="auto" w:before="69"/>
              <w:ind w:left="10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730" w:hRule="exact"/>
        </w:trPr>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政务行业</w:t>
            </w:r>
          </w:p>
        </w:tc>
        <w:tc>
          <w:tcPr>
            <w:tcW w:w="1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520,439,665.61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233,395,342.95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55.15</w:t>
            </w:r>
          </w:p>
        </w:tc>
        <w:tc>
          <w:tcPr>
            <w:tcW w:w="1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87" w:right="0"/>
              <w:jc w:val="left"/>
              <w:rPr>
                <w:rFonts w:ascii="Times New Roman" w:hAnsi="Times New Roman" w:cs="Times New Roman" w:eastAsia="Times New Roman" w:hint="default"/>
                <w:sz w:val="21"/>
                <w:szCs w:val="21"/>
              </w:rPr>
            </w:pPr>
            <w:r>
              <w:rPr>
                <w:rFonts w:ascii="Times New Roman"/>
                <w:sz w:val="21"/>
              </w:rPr>
              <w:t>120.33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73.95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11.95</w:t>
            </w:r>
          </w:p>
          <w:p>
            <w:pPr>
              <w:pStyle w:val="TableParagraph"/>
              <w:spacing w:line="240" w:lineRule="auto" w:before="69"/>
              <w:ind w:left="10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730" w:hRule="exact"/>
        </w:trPr>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民生行业</w:t>
            </w:r>
          </w:p>
        </w:tc>
        <w:tc>
          <w:tcPr>
            <w:tcW w:w="1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147,971,627.45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84,253,905.68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43.06</w:t>
            </w:r>
          </w:p>
        </w:tc>
        <w:tc>
          <w:tcPr>
            <w:tcW w:w="1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87" w:right="0"/>
              <w:jc w:val="left"/>
              <w:rPr>
                <w:rFonts w:ascii="Times New Roman" w:hAnsi="Times New Roman" w:cs="Times New Roman" w:eastAsia="Times New Roman" w:hint="default"/>
                <w:sz w:val="21"/>
                <w:szCs w:val="21"/>
              </w:rPr>
            </w:pPr>
            <w:r>
              <w:rPr>
                <w:rFonts w:ascii="Times New Roman"/>
                <w:sz w:val="21"/>
              </w:rPr>
              <w:t>416.43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263.52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23.95</w:t>
            </w:r>
          </w:p>
          <w:p>
            <w:pPr>
              <w:pStyle w:val="TableParagraph"/>
              <w:spacing w:line="240" w:lineRule="auto" w:before="69"/>
              <w:ind w:left="10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730" w:hRule="exact"/>
        </w:trPr>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其他行业</w:t>
            </w:r>
          </w:p>
        </w:tc>
        <w:tc>
          <w:tcPr>
            <w:tcW w:w="1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87" w:right="0"/>
              <w:jc w:val="left"/>
              <w:rPr>
                <w:rFonts w:ascii="Times New Roman" w:hAnsi="Times New Roman" w:cs="Times New Roman" w:eastAsia="Times New Roman" w:hint="default"/>
                <w:sz w:val="21"/>
                <w:szCs w:val="21"/>
              </w:rPr>
            </w:pPr>
            <w:r>
              <w:rPr>
                <w:rFonts w:ascii="Times New Roman"/>
                <w:sz w:val="21"/>
              </w:rPr>
              <w:t>5,387,226.27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3,154,178.99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41.45</w:t>
            </w:r>
          </w:p>
        </w:tc>
        <w:tc>
          <w:tcPr>
            <w:tcW w:w="1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87" w:right="0"/>
              <w:jc w:val="left"/>
              <w:rPr>
                <w:rFonts w:ascii="Times New Roman" w:hAnsi="Times New Roman" w:cs="Times New Roman" w:eastAsia="Times New Roman" w:hint="default"/>
                <w:sz w:val="21"/>
                <w:szCs w:val="21"/>
              </w:rPr>
            </w:pPr>
            <w:r>
              <w:rPr>
                <w:rFonts w:ascii="Times New Roman"/>
                <w:sz w:val="21"/>
              </w:rPr>
              <w:t>193.92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200.28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Times New Roman" w:hAnsi="Times New Roman" w:cs="Times New Roman" w:eastAsia="Times New Roman" w:hint="default"/>
                <w:sz w:val="21"/>
                <w:szCs w:val="21"/>
              </w:rPr>
            </w:pPr>
            <w:r>
              <w:rPr>
                <w:rFonts w:ascii="宋体" w:hAnsi="宋体" w:cs="宋体" w:eastAsia="宋体" w:hint="default"/>
                <w:spacing w:val="22"/>
                <w:sz w:val="21"/>
                <w:szCs w:val="21"/>
              </w:rPr>
              <w:t>减少</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1.24</w:t>
            </w:r>
          </w:p>
          <w:p>
            <w:pPr>
              <w:pStyle w:val="TableParagraph"/>
              <w:spacing w:line="240" w:lineRule="auto" w:before="69"/>
              <w:ind w:left="10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732" w:hRule="exact"/>
        </w:trPr>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977,652,628.58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535,335,255.60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45.24</w:t>
            </w:r>
          </w:p>
        </w:tc>
        <w:tc>
          <w:tcPr>
            <w:tcW w:w="1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92" w:right="0"/>
              <w:jc w:val="left"/>
              <w:rPr>
                <w:rFonts w:ascii="Times New Roman" w:hAnsi="Times New Roman" w:cs="Times New Roman" w:eastAsia="Times New Roman" w:hint="default"/>
                <w:sz w:val="21"/>
                <w:szCs w:val="21"/>
              </w:rPr>
            </w:pPr>
            <w:r>
              <w:rPr>
                <w:rFonts w:ascii="Times New Roman"/>
                <w:sz w:val="21"/>
              </w:rPr>
              <w:t>21.35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11.96</w:t>
            </w:r>
          </w:p>
          <w:p>
            <w:pPr>
              <w:pStyle w:val="TableParagraph"/>
              <w:spacing w:line="240" w:lineRule="auto" w:before="69"/>
              <w:ind w:left="10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370" w:hRule="exact"/>
        </w:trPr>
        <w:tc>
          <w:tcPr>
            <w:tcW w:w="89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090" w:hRule="exact"/>
        </w:trPr>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4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36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85"/>
              <w:ind w:left="19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63" w:right="185"/>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52" w:right="175"/>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73" w:right="170" w:hanging="1"/>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730" w:hRule="exact"/>
        </w:trPr>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Calibri" w:hAnsi="Calibri" w:cs="Calibri" w:eastAsia="Calibri" w:hint="default"/>
                <w:sz w:val="21"/>
                <w:szCs w:val="21"/>
              </w:rPr>
            </w:pPr>
            <w:r>
              <w:rPr>
                <w:rFonts w:ascii="宋体" w:hAnsi="宋体" w:cs="宋体" w:eastAsia="宋体" w:hint="default"/>
                <w:sz w:val="21"/>
                <w:szCs w:val="21"/>
              </w:rPr>
              <w:t>互</w:t>
            </w:r>
            <w:r>
              <w:rPr>
                <w:rFonts w:ascii="宋体" w:hAnsi="宋体" w:cs="宋体" w:eastAsia="宋体" w:hint="default"/>
                <w:spacing w:val="-45"/>
                <w:sz w:val="21"/>
                <w:szCs w:val="21"/>
              </w:rPr>
              <w:t> </w:t>
            </w:r>
            <w:r>
              <w:rPr>
                <w:rFonts w:ascii="宋体" w:hAnsi="宋体" w:cs="宋体" w:eastAsia="宋体" w:hint="default"/>
                <w:sz w:val="21"/>
                <w:szCs w:val="21"/>
              </w:rPr>
              <w:t>联</w:t>
            </w:r>
            <w:r>
              <w:rPr>
                <w:rFonts w:ascii="宋体" w:hAnsi="宋体" w:cs="宋体" w:eastAsia="宋体" w:hint="default"/>
                <w:spacing w:val="-47"/>
                <w:sz w:val="21"/>
                <w:szCs w:val="21"/>
              </w:rPr>
              <w:t> </w:t>
            </w:r>
            <w:r>
              <w:rPr>
                <w:rFonts w:ascii="宋体" w:hAnsi="宋体" w:cs="宋体" w:eastAsia="宋体" w:hint="default"/>
                <w:sz w:val="21"/>
                <w:szCs w:val="21"/>
              </w:rPr>
              <w:t>网</w:t>
            </w:r>
            <w:r>
              <w:rPr>
                <w:rFonts w:ascii="宋体" w:hAnsi="宋体" w:cs="宋体" w:eastAsia="宋体" w:hint="default"/>
                <w:spacing w:val="-47"/>
                <w:sz w:val="21"/>
                <w:szCs w:val="21"/>
              </w:rPr>
              <w:t> </w:t>
            </w:r>
            <w:r>
              <w:rPr>
                <w:rFonts w:ascii="Calibri" w:hAnsi="Calibri" w:cs="Calibri" w:eastAsia="Calibri" w:hint="default"/>
                <w:sz w:val="21"/>
                <w:szCs w:val="21"/>
              </w:rPr>
              <w:t>+</w:t>
            </w:r>
          </w:p>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政务</w:t>
            </w:r>
          </w:p>
        </w:tc>
        <w:tc>
          <w:tcPr>
            <w:tcW w:w="1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438,718,187.57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194,682,754.37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55.62</w:t>
            </w:r>
          </w:p>
        </w:tc>
        <w:tc>
          <w:tcPr>
            <w:tcW w:w="1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92" w:right="0"/>
              <w:jc w:val="left"/>
              <w:rPr>
                <w:rFonts w:ascii="Times New Roman" w:hAnsi="Times New Roman" w:cs="Times New Roman" w:eastAsia="Times New Roman" w:hint="default"/>
                <w:sz w:val="21"/>
                <w:szCs w:val="21"/>
              </w:rPr>
            </w:pPr>
            <w:r>
              <w:rPr>
                <w:rFonts w:ascii="Times New Roman"/>
                <w:sz w:val="21"/>
              </w:rPr>
              <w:t>42.99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-0.81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5"/>
                <w:sz w:val="21"/>
                <w:szCs w:val="21"/>
              </w:rPr>
              <w:t> </w:t>
            </w:r>
            <w:r>
              <w:rPr>
                <w:rFonts w:ascii="宋体" w:hAnsi="宋体" w:cs="宋体" w:eastAsia="宋体" w:hint="default"/>
                <w:sz w:val="21"/>
                <w:szCs w:val="21"/>
              </w:rPr>
              <w:t>19.59</w:t>
            </w:r>
          </w:p>
          <w:p>
            <w:pPr>
              <w:pStyle w:val="TableParagraph"/>
              <w:spacing w:line="240" w:lineRule="auto" w:before="85"/>
              <w:ind w:left="10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730" w:hRule="exact"/>
        </w:trPr>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pacing w:val="16"/>
                <w:sz w:val="21"/>
                <w:szCs w:val="21"/>
              </w:rPr>
              <w:t>城市公共</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安全</w:t>
            </w:r>
          </w:p>
        </w:tc>
        <w:tc>
          <w:tcPr>
            <w:tcW w:w="1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324,042,866.15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199,146,259.55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38.54</w:t>
            </w:r>
          </w:p>
        </w:tc>
        <w:tc>
          <w:tcPr>
            <w:tcW w:w="1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23" w:right="0"/>
              <w:jc w:val="left"/>
              <w:rPr>
                <w:rFonts w:ascii="Times New Roman" w:hAnsi="Times New Roman" w:cs="Times New Roman" w:eastAsia="Times New Roman" w:hint="default"/>
                <w:sz w:val="21"/>
                <w:szCs w:val="21"/>
              </w:rPr>
            </w:pPr>
            <w:r>
              <w:rPr>
                <w:rFonts w:ascii="Times New Roman"/>
                <w:sz w:val="21"/>
              </w:rPr>
              <w:t>-27.27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-32.38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Times New Roman" w:hAnsi="Times New Roman" w:cs="Times New Roman" w:eastAsia="Times New Roman" w:hint="default"/>
                <w:sz w:val="21"/>
                <w:szCs w:val="21"/>
              </w:rPr>
            </w:pPr>
            <w:r>
              <w:rPr>
                <w:rFonts w:ascii="宋体" w:hAnsi="宋体" w:cs="宋体" w:eastAsia="宋体" w:hint="default"/>
                <w:spacing w:val="22"/>
                <w:sz w:val="21"/>
                <w:szCs w:val="21"/>
              </w:rPr>
              <w:t>增加</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4.64</w:t>
            </w:r>
          </w:p>
          <w:p>
            <w:pPr>
              <w:pStyle w:val="TableParagraph"/>
              <w:spacing w:line="240" w:lineRule="auto" w:before="70"/>
              <w:ind w:left="10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730" w:hRule="exact"/>
        </w:trPr>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1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194,511,112.55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128,497,955.53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33.94</w:t>
            </w:r>
          </w:p>
        </w:tc>
        <w:tc>
          <w:tcPr>
            <w:tcW w:w="1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87" w:right="0"/>
              <w:jc w:val="left"/>
              <w:rPr>
                <w:rFonts w:ascii="Times New Roman" w:hAnsi="Times New Roman" w:cs="Times New Roman" w:eastAsia="Times New Roman" w:hint="default"/>
                <w:sz w:val="21"/>
                <w:szCs w:val="21"/>
              </w:rPr>
            </w:pPr>
            <w:r>
              <w:rPr>
                <w:rFonts w:ascii="Times New Roman"/>
                <w:sz w:val="21"/>
              </w:rPr>
              <w:t>457.11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319.42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21.69</w:t>
            </w:r>
          </w:p>
          <w:p>
            <w:pPr>
              <w:pStyle w:val="TableParagraph"/>
              <w:spacing w:line="240" w:lineRule="auto" w:before="69"/>
              <w:ind w:left="10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732" w:hRule="exact"/>
        </w:trPr>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left="103" w:right="0"/>
              <w:jc w:val="left"/>
              <w:rPr>
                <w:rFonts w:ascii="宋体" w:hAnsi="宋体" w:cs="宋体" w:eastAsia="宋体" w:hint="default"/>
                <w:sz w:val="24"/>
                <w:szCs w:val="24"/>
              </w:rPr>
            </w:pPr>
            <w:r>
              <w:rPr>
                <w:rFonts w:ascii="宋体" w:hAnsi="宋体" w:cs="宋体" w:eastAsia="宋体" w:hint="default"/>
                <w:sz w:val="24"/>
                <w:szCs w:val="24"/>
              </w:rPr>
              <w:t>物联网</w:t>
            </w:r>
          </w:p>
        </w:tc>
        <w:tc>
          <w:tcPr>
            <w:tcW w:w="1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81" w:right="0"/>
              <w:jc w:val="left"/>
              <w:rPr>
                <w:rFonts w:ascii="Times New Roman" w:hAnsi="Times New Roman" w:cs="Times New Roman" w:eastAsia="Times New Roman" w:hint="default"/>
                <w:sz w:val="21"/>
                <w:szCs w:val="21"/>
              </w:rPr>
            </w:pPr>
            <w:r>
              <w:rPr>
                <w:rFonts w:ascii="Times New Roman"/>
                <w:sz w:val="21"/>
              </w:rPr>
              <w:t>12,400,408.87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5,803,624.45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53.20</w:t>
            </w:r>
          </w:p>
        </w:tc>
        <w:tc>
          <w:tcPr>
            <w:tcW w:w="1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92" w:right="0"/>
              <w:jc w:val="left"/>
              <w:rPr>
                <w:rFonts w:ascii="Times New Roman" w:hAnsi="Times New Roman" w:cs="Times New Roman" w:eastAsia="Times New Roman" w:hint="default"/>
                <w:sz w:val="21"/>
                <w:szCs w:val="21"/>
              </w:rPr>
            </w:pPr>
            <w:r>
              <w:rPr>
                <w:rFonts w:ascii="Times New Roman"/>
                <w:sz w:val="21"/>
              </w:rPr>
              <w:t>39.06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-22.5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37.18</w:t>
            </w:r>
          </w:p>
          <w:p>
            <w:pPr>
              <w:pStyle w:val="TableParagraph"/>
              <w:spacing w:line="240" w:lineRule="auto" w:before="69"/>
              <w:ind w:left="10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730" w:hRule="exact"/>
        </w:trPr>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34" w:right="0"/>
              <w:jc w:val="left"/>
              <w:rPr>
                <w:rFonts w:ascii="Times New Roman" w:hAnsi="Times New Roman" w:cs="Times New Roman" w:eastAsia="Times New Roman" w:hint="default"/>
                <w:sz w:val="22"/>
                <w:szCs w:val="22"/>
              </w:rPr>
            </w:pPr>
            <w:r>
              <w:rPr>
                <w:rFonts w:ascii="Times New Roman"/>
                <w:sz w:val="22"/>
              </w:rPr>
              <w:t>7,980,053.44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pacing w:val="-1"/>
                <w:sz w:val="22"/>
              </w:rPr>
              <w:t>7,204,661.70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94" w:right="0"/>
              <w:jc w:val="left"/>
              <w:rPr>
                <w:rFonts w:ascii="Times New Roman" w:hAnsi="Times New Roman" w:cs="Times New Roman" w:eastAsia="Times New Roman" w:hint="default"/>
                <w:sz w:val="22"/>
                <w:szCs w:val="22"/>
              </w:rPr>
            </w:pPr>
            <w:r>
              <w:rPr>
                <w:rFonts w:ascii="Times New Roman"/>
                <w:sz w:val="22"/>
              </w:rPr>
              <w:t>9.72</w:t>
            </w:r>
          </w:p>
        </w:tc>
        <w:tc>
          <w:tcPr>
            <w:tcW w:w="1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07" w:right="0"/>
              <w:jc w:val="left"/>
              <w:rPr>
                <w:rFonts w:ascii="Times New Roman" w:hAnsi="Times New Roman" w:cs="Times New Roman" w:eastAsia="Times New Roman" w:hint="default"/>
                <w:sz w:val="22"/>
                <w:szCs w:val="22"/>
              </w:rPr>
            </w:pPr>
            <w:r>
              <w:rPr>
                <w:rFonts w:ascii="Times New Roman"/>
                <w:sz w:val="22"/>
              </w:rPr>
              <w:t>-15.4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2"/>
                <w:szCs w:val="22"/>
              </w:rPr>
            </w:pPr>
            <w:r>
              <w:rPr>
                <w:rFonts w:ascii="Times New Roman"/>
                <w:spacing w:val="-1"/>
                <w:sz w:val="22"/>
              </w:rPr>
              <w:t>-16.34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Times New Roman" w:hAnsi="Times New Roman" w:cs="Times New Roman" w:eastAsia="Times New Roman" w:hint="default"/>
                <w:sz w:val="21"/>
                <w:szCs w:val="21"/>
              </w:rPr>
            </w:pPr>
            <w:r>
              <w:rPr>
                <w:rFonts w:ascii="宋体" w:hAnsi="宋体" w:cs="宋体" w:eastAsia="宋体" w:hint="default"/>
                <w:spacing w:val="22"/>
                <w:sz w:val="21"/>
                <w:szCs w:val="21"/>
              </w:rPr>
              <w:t>增加</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1.01</w:t>
            </w:r>
          </w:p>
          <w:p>
            <w:pPr>
              <w:pStyle w:val="TableParagraph"/>
              <w:spacing w:line="240" w:lineRule="auto" w:before="69"/>
              <w:ind w:left="10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730" w:hRule="exact"/>
        </w:trPr>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977,652,628.58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535,335,255.60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45.24</w:t>
            </w:r>
          </w:p>
        </w:tc>
        <w:tc>
          <w:tcPr>
            <w:tcW w:w="1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92" w:right="0"/>
              <w:jc w:val="left"/>
              <w:rPr>
                <w:rFonts w:ascii="Times New Roman" w:hAnsi="Times New Roman" w:cs="Times New Roman" w:eastAsia="Times New Roman" w:hint="default"/>
                <w:sz w:val="21"/>
                <w:szCs w:val="21"/>
              </w:rPr>
            </w:pPr>
            <w:r>
              <w:rPr>
                <w:rFonts w:ascii="Times New Roman"/>
                <w:sz w:val="21"/>
              </w:rPr>
              <w:t>21.35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11.96</w:t>
            </w:r>
          </w:p>
          <w:p>
            <w:pPr>
              <w:pStyle w:val="TableParagraph"/>
              <w:spacing w:line="240" w:lineRule="auto" w:before="69"/>
              <w:ind w:left="10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370" w:hRule="exact"/>
        </w:trPr>
        <w:tc>
          <w:tcPr>
            <w:tcW w:w="89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382" w:hRule="exact"/>
        </w:trPr>
        <w:tc>
          <w:tcPr>
            <w:tcW w:w="113" w:type="dxa"/>
            <w:tcBorders>
              <w:top w:val="nil" w:sz="6" w:space="0" w:color="auto"/>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9"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分产品</w:t>
            </w:r>
          </w:p>
        </w:tc>
        <w:tc>
          <w:tcPr>
            <w:tcW w:w="1575"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7"/>
              <w:ind w:left="292"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685" w:type="dxa"/>
            <w:gridSpan w:val="2"/>
            <w:tcBorders>
              <w:top w:val="single" w:sz="4" w:space="0" w:color="000000"/>
              <w:left w:val="single" w:sz="4" w:space="0" w:color="000000"/>
              <w:bottom w:val="single" w:sz="9" w:space="0" w:color="000000"/>
              <w:right w:val="single" w:sz="4" w:space="0" w:color="000000"/>
            </w:tcBorders>
          </w:tcPr>
          <w:p>
            <w:pPr>
              <w:pStyle w:val="TableParagraph"/>
              <w:spacing w:line="240" w:lineRule="auto" w:before="7"/>
              <w:ind w:left="86"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994" w:type="dxa"/>
            <w:gridSpan w:val="2"/>
            <w:tcBorders>
              <w:top w:val="single" w:sz="4" w:space="0" w:color="000000"/>
              <w:left w:val="single" w:sz="4" w:space="0" w:color="000000"/>
              <w:bottom w:val="single" w:sz="9"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毛利率</w:t>
            </w:r>
          </w:p>
        </w:tc>
        <w:tc>
          <w:tcPr>
            <w:tcW w:w="1083"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营业收</w:t>
            </w:r>
          </w:p>
        </w:tc>
        <w:tc>
          <w:tcPr>
            <w:tcW w:w="1182"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7"/>
              <w:ind w:left="152" w:right="0"/>
              <w:jc w:val="left"/>
              <w:rPr>
                <w:rFonts w:ascii="宋体" w:hAnsi="宋体" w:cs="宋体" w:eastAsia="宋体" w:hint="default"/>
                <w:sz w:val="24"/>
                <w:szCs w:val="24"/>
              </w:rPr>
            </w:pPr>
            <w:r>
              <w:rPr>
                <w:rFonts w:ascii="宋体" w:hAnsi="宋体" w:cs="宋体" w:eastAsia="宋体" w:hint="default"/>
                <w:sz w:val="24"/>
                <w:szCs w:val="24"/>
              </w:rPr>
              <w:t>营业成</w:t>
            </w:r>
          </w:p>
        </w:tc>
        <w:tc>
          <w:tcPr>
            <w:tcW w:w="1198"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24"/>
                <w:szCs w:val="24"/>
              </w:rPr>
            </w:pPr>
            <w:r>
              <w:rPr>
                <w:rFonts w:ascii="宋体" w:hAnsi="宋体" w:cs="宋体" w:eastAsia="宋体" w:hint="default"/>
                <w:sz w:val="24"/>
                <w:szCs w:val="24"/>
              </w:rPr>
              <w:t>毛利率比</w:t>
            </w:r>
          </w:p>
        </w:tc>
      </w:tr>
    </w:tbl>
    <w:p>
      <w:pPr>
        <w:spacing w:after="0" w:line="240" w:lineRule="auto"/>
        <w:jc w:val="left"/>
        <w:rPr>
          <w:rFonts w:ascii="宋体" w:hAnsi="宋体" w:cs="宋体" w:eastAsia="宋体" w:hint="default"/>
          <w:sz w:val="24"/>
          <w:szCs w:val="24"/>
        </w:rPr>
        <w:sectPr>
          <w:pgSz w:w="11910" w:h="16840"/>
          <w:pgMar w:header="855" w:footer="979" w:top="1120" w:bottom="1160" w:left="1580" w:right="1140"/>
        </w:sectPr>
      </w:pPr>
    </w:p>
    <w:p>
      <w:pPr>
        <w:spacing w:line="240" w:lineRule="auto" w:before="13"/>
        <w:rPr>
          <w:rFonts w:ascii="宋体" w:hAnsi="宋体" w:cs="宋体" w:eastAsia="宋体"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113"/>
        <w:gridCol w:w="1015"/>
        <w:gridCol w:w="120"/>
        <w:gridCol w:w="1571"/>
        <w:gridCol w:w="1571"/>
        <w:gridCol w:w="118"/>
        <w:gridCol w:w="874"/>
        <w:gridCol w:w="120"/>
        <w:gridCol w:w="1096"/>
        <w:gridCol w:w="1171"/>
        <w:gridCol w:w="1198"/>
      </w:tblGrid>
      <w:tr>
        <w:trPr>
          <w:trHeight w:val="1102" w:hRule="exact"/>
        </w:trPr>
        <w:tc>
          <w:tcPr>
            <w:tcW w:w="113" w:type="dxa"/>
            <w:tcBorders>
              <w:top w:val="single" w:sz="4" w:space="0" w:color="000000"/>
              <w:left w:val="single" w:sz="4" w:space="0" w:color="000000"/>
              <w:bottom w:val="nil" w:sz="6" w:space="0" w:color="auto"/>
              <w:right w:val="single" w:sz="4" w:space="0" w:color="000000"/>
            </w:tcBorders>
          </w:tcPr>
          <w:p>
            <w:pPr/>
          </w:p>
        </w:tc>
        <w:tc>
          <w:tcPr>
            <w:tcW w:w="1135" w:type="dxa"/>
            <w:gridSpan w:val="2"/>
            <w:tcBorders>
              <w:top w:val="single" w:sz="9" w:space="0" w:color="000000"/>
              <w:left w:val="single" w:sz="4" w:space="0" w:color="000000"/>
              <w:bottom w:val="single" w:sz="4" w:space="0" w:color="000000"/>
              <w:right w:val="single" w:sz="4" w:space="0" w:color="000000"/>
            </w:tcBorders>
          </w:tcPr>
          <w:p>
            <w:pPr/>
          </w:p>
        </w:tc>
        <w:tc>
          <w:tcPr>
            <w:tcW w:w="1571" w:type="dxa"/>
            <w:tcBorders>
              <w:top w:val="single" w:sz="9" w:space="0" w:color="000000"/>
              <w:left w:val="single" w:sz="4" w:space="0" w:color="000000"/>
              <w:bottom w:val="single" w:sz="4" w:space="0" w:color="000000"/>
              <w:right w:val="single" w:sz="4" w:space="0" w:color="000000"/>
            </w:tcBorders>
          </w:tcPr>
          <w:p>
            <w:pPr/>
          </w:p>
        </w:tc>
        <w:tc>
          <w:tcPr>
            <w:tcW w:w="1688" w:type="dxa"/>
            <w:gridSpan w:val="2"/>
            <w:tcBorders>
              <w:top w:val="single" w:sz="9" w:space="0" w:color="000000"/>
              <w:left w:val="single" w:sz="4" w:space="0" w:color="000000"/>
              <w:bottom w:val="single" w:sz="4" w:space="0" w:color="000000"/>
              <w:right w:val="single" w:sz="4" w:space="0" w:color="000000"/>
            </w:tcBorders>
          </w:tcPr>
          <w:p>
            <w:pPr/>
          </w:p>
        </w:tc>
        <w:tc>
          <w:tcPr>
            <w:tcW w:w="994" w:type="dxa"/>
            <w:gridSpan w:val="2"/>
            <w:tcBorders>
              <w:top w:val="single" w:sz="9"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c>
          <w:tcPr>
            <w:tcW w:w="1096" w:type="dxa"/>
            <w:tcBorders>
              <w:top w:val="single" w:sz="9" w:space="0" w:color="000000"/>
              <w:left w:val="single" w:sz="4" w:space="0" w:color="000000"/>
              <w:bottom w:val="single" w:sz="4" w:space="0" w:color="000000"/>
              <w:right w:val="single" w:sz="4" w:space="0" w:color="000000"/>
            </w:tcBorders>
          </w:tcPr>
          <w:p>
            <w:pPr>
              <w:pStyle w:val="TableParagraph"/>
              <w:spacing w:line="276" w:lineRule="auto" w:before="14"/>
              <w:ind w:left="100" w:right="263"/>
              <w:jc w:val="left"/>
              <w:rPr>
                <w:rFonts w:ascii="宋体" w:hAnsi="宋体" w:cs="宋体" w:eastAsia="宋体" w:hint="default"/>
                <w:sz w:val="24"/>
                <w:szCs w:val="24"/>
              </w:rPr>
            </w:pPr>
            <w:r>
              <w:rPr>
                <w:rFonts w:ascii="宋体" w:hAnsi="宋体" w:cs="宋体" w:eastAsia="宋体" w:hint="default"/>
                <w:sz w:val="24"/>
                <w:szCs w:val="24"/>
              </w:rPr>
              <w:t>入比上 年增减</w:t>
            </w:r>
          </w:p>
          <w:p>
            <w:pPr>
              <w:pStyle w:val="TableParagraph"/>
              <w:spacing w:line="240" w:lineRule="auto" w:before="10"/>
              <w:ind w:left="100"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c>
          <w:tcPr>
            <w:tcW w:w="1171" w:type="dxa"/>
            <w:tcBorders>
              <w:top w:val="single" w:sz="9" w:space="0" w:color="000000"/>
              <w:left w:val="single" w:sz="4" w:space="0" w:color="000000"/>
              <w:bottom w:val="single" w:sz="4" w:space="0" w:color="000000"/>
              <w:right w:val="single" w:sz="4" w:space="0" w:color="000000"/>
            </w:tcBorders>
          </w:tcPr>
          <w:p>
            <w:pPr>
              <w:pStyle w:val="TableParagraph"/>
              <w:spacing w:line="276" w:lineRule="auto" w:before="14"/>
              <w:ind w:left="140" w:right="298"/>
              <w:jc w:val="left"/>
              <w:rPr>
                <w:rFonts w:ascii="宋体" w:hAnsi="宋体" w:cs="宋体" w:eastAsia="宋体" w:hint="default"/>
                <w:sz w:val="24"/>
                <w:szCs w:val="24"/>
              </w:rPr>
            </w:pPr>
            <w:r>
              <w:rPr>
                <w:rFonts w:ascii="宋体" w:hAnsi="宋体" w:cs="宋体" w:eastAsia="宋体" w:hint="default"/>
                <w:sz w:val="24"/>
                <w:szCs w:val="24"/>
              </w:rPr>
              <w:t>本比上 年增减</w:t>
            </w:r>
          </w:p>
          <w:p>
            <w:pPr>
              <w:pStyle w:val="TableParagraph"/>
              <w:spacing w:line="240" w:lineRule="auto" w:before="10"/>
              <w:ind w:left="140"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c>
          <w:tcPr>
            <w:tcW w:w="1198" w:type="dxa"/>
            <w:tcBorders>
              <w:top w:val="single" w:sz="9" w:space="0" w:color="000000"/>
              <w:left w:val="single" w:sz="4" w:space="0" w:color="000000"/>
              <w:bottom w:val="single" w:sz="4" w:space="0" w:color="000000"/>
              <w:right w:val="single" w:sz="9" w:space="0" w:color="000000"/>
            </w:tcBorders>
          </w:tcPr>
          <w:p>
            <w:pPr>
              <w:pStyle w:val="TableParagraph"/>
              <w:spacing w:line="240" w:lineRule="auto" w:before="14"/>
              <w:ind w:left="103" w:right="0"/>
              <w:jc w:val="left"/>
              <w:rPr>
                <w:rFonts w:ascii="宋体" w:hAnsi="宋体" w:cs="宋体" w:eastAsia="宋体" w:hint="default"/>
                <w:sz w:val="24"/>
                <w:szCs w:val="24"/>
              </w:rPr>
            </w:pPr>
            <w:r>
              <w:rPr>
                <w:rFonts w:ascii="宋体" w:hAnsi="宋体" w:cs="宋体" w:eastAsia="宋体" w:hint="default"/>
                <w:sz w:val="24"/>
                <w:szCs w:val="24"/>
              </w:rPr>
              <w:t>上年增减</w:t>
            </w:r>
          </w:p>
          <w:p>
            <w:pPr>
              <w:pStyle w:val="TableParagraph"/>
              <w:spacing w:line="240" w:lineRule="auto" w:before="46"/>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r>
      <w:tr>
        <w:trPr>
          <w:trHeight w:val="730" w:hRule="exact"/>
        </w:trPr>
        <w:tc>
          <w:tcPr>
            <w:tcW w:w="113" w:type="dxa"/>
            <w:tcBorders>
              <w:top w:val="nil" w:sz="6" w:space="0" w:color="auto"/>
              <w:left w:val="single" w:sz="4" w:space="0" w:color="000000"/>
              <w:bottom w:val="nil" w:sz="6" w:space="0" w:color="auto"/>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7" w:right="0"/>
              <w:jc w:val="center"/>
              <w:rPr>
                <w:rFonts w:ascii="Times New Roman" w:hAnsi="Times New Roman" w:cs="Times New Roman" w:eastAsia="Times New Roman" w:hint="default"/>
                <w:sz w:val="21"/>
                <w:szCs w:val="21"/>
              </w:rPr>
            </w:pPr>
            <w:r>
              <w:rPr>
                <w:rFonts w:ascii="Times New Roman"/>
                <w:sz w:val="21"/>
              </w:rPr>
              <w:t>405,828,033.23</w:t>
            </w:r>
          </w:p>
        </w:tc>
        <w:tc>
          <w:tcPr>
            <w:tcW w:w="16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2" w:right="0"/>
              <w:jc w:val="left"/>
              <w:rPr>
                <w:rFonts w:ascii="Times New Roman" w:hAnsi="Times New Roman" w:cs="Times New Roman" w:eastAsia="Times New Roman" w:hint="default"/>
                <w:sz w:val="21"/>
                <w:szCs w:val="21"/>
              </w:rPr>
            </w:pPr>
            <w:r>
              <w:rPr>
                <w:rFonts w:ascii="Times New Roman"/>
                <w:sz w:val="21"/>
              </w:rPr>
              <w:t>151,822,428.04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06" w:right="0"/>
              <w:jc w:val="left"/>
              <w:rPr>
                <w:rFonts w:ascii="Times New Roman" w:hAnsi="Times New Roman" w:cs="Times New Roman" w:eastAsia="Times New Roman" w:hint="default"/>
                <w:sz w:val="21"/>
                <w:szCs w:val="21"/>
              </w:rPr>
            </w:pPr>
            <w:r>
              <w:rPr>
                <w:rFonts w:ascii="Times New Roman"/>
                <w:sz w:val="21"/>
              </w:rPr>
              <w:t>62.59</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65"/>
              <w:jc w:val="right"/>
              <w:rPr>
                <w:rFonts w:ascii="Times New Roman" w:hAnsi="Times New Roman" w:cs="Times New Roman" w:eastAsia="Times New Roman" w:hint="default"/>
                <w:sz w:val="21"/>
                <w:szCs w:val="21"/>
              </w:rPr>
            </w:pPr>
            <w:r>
              <w:rPr>
                <w:rFonts w:ascii="Times New Roman"/>
                <w:sz w:val="21"/>
              </w:rPr>
              <w:t>80.36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91.16</w:t>
            </w:r>
          </w:p>
        </w:tc>
        <w:tc>
          <w:tcPr>
            <w:tcW w:w="1198" w:type="dxa"/>
            <w:tcBorders>
              <w:top w:val="single" w:sz="4" w:space="0" w:color="000000"/>
              <w:left w:val="single" w:sz="4" w:space="0" w:color="000000"/>
              <w:bottom w:val="single" w:sz="4" w:space="0" w:color="000000"/>
              <w:right w:val="single" w:sz="9" w:space="0" w:color="000000"/>
            </w:tcBorders>
          </w:tcPr>
          <w:p>
            <w:pPr>
              <w:pStyle w:val="TableParagraph"/>
              <w:spacing w:line="240" w:lineRule="auto" w:before="42"/>
              <w:ind w:left="103" w:right="0"/>
              <w:jc w:val="left"/>
              <w:rPr>
                <w:rFonts w:ascii="Times New Roman" w:hAnsi="Times New Roman" w:cs="Times New Roman" w:eastAsia="Times New Roman" w:hint="default"/>
                <w:sz w:val="21"/>
                <w:szCs w:val="21"/>
              </w:rPr>
            </w:pPr>
            <w:r>
              <w:rPr>
                <w:rFonts w:ascii="宋体" w:hAnsi="宋体" w:cs="宋体" w:eastAsia="宋体" w:hint="default"/>
                <w:spacing w:val="24"/>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2.11</w:t>
            </w:r>
          </w:p>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730" w:hRule="exact"/>
        </w:trPr>
        <w:tc>
          <w:tcPr>
            <w:tcW w:w="113" w:type="dxa"/>
            <w:tcBorders>
              <w:top w:val="nil" w:sz="6" w:space="0" w:color="auto"/>
              <w:left w:val="single" w:sz="4" w:space="0" w:color="000000"/>
              <w:bottom w:val="nil" w:sz="6" w:space="0" w:color="auto"/>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7" w:right="0"/>
              <w:jc w:val="center"/>
              <w:rPr>
                <w:rFonts w:ascii="Times New Roman" w:hAnsi="Times New Roman" w:cs="Times New Roman" w:eastAsia="Times New Roman" w:hint="default"/>
                <w:sz w:val="21"/>
                <w:szCs w:val="21"/>
              </w:rPr>
            </w:pPr>
            <w:r>
              <w:rPr>
                <w:rFonts w:ascii="Times New Roman"/>
                <w:sz w:val="21"/>
              </w:rPr>
              <w:t>520,691,839.58</w:t>
            </w:r>
          </w:p>
        </w:tc>
        <w:tc>
          <w:tcPr>
            <w:tcW w:w="16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2" w:right="0"/>
              <w:jc w:val="left"/>
              <w:rPr>
                <w:rFonts w:ascii="Times New Roman" w:hAnsi="Times New Roman" w:cs="Times New Roman" w:eastAsia="Times New Roman" w:hint="default"/>
                <w:sz w:val="21"/>
                <w:szCs w:val="21"/>
              </w:rPr>
            </w:pPr>
            <w:r>
              <w:rPr>
                <w:rFonts w:ascii="Times New Roman"/>
                <w:sz w:val="21"/>
              </w:rPr>
              <w:t>373,840,523.90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06" w:right="0"/>
              <w:jc w:val="left"/>
              <w:rPr>
                <w:rFonts w:ascii="Times New Roman" w:hAnsi="Times New Roman" w:cs="Times New Roman" w:eastAsia="Times New Roman" w:hint="default"/>
                <w:sz w:val="21"/>
                <w:szCs w:val="21"/>
              </w:rPr>
            </w:pPr>
            <w:r>
              <w:rPr>
                <w:rFonts w:ascii="Times New Roman"/>
                <w:sz w:val="21"/>
              </w:rPr>
              <w:t>28.20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spacing w:val="-1"/>
                <w:sz w:val="21"/>
              </w:rPr>
              <w:t>-8.58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-18.28</w:t>
            </w:r>
          </w:p>
        </w:tc>
        <w:tc>
          <w:tcPr>
            <w:tcW w:w="1198" w:type="dxa"/>
            <w:tcBorders>
              <w:top w:val="single" w:sz="4" w:space="0" w:color="000000"/>
              <w:left w:val="single" w:sz="4" w:space="0" w:color="000000"/>
              <w:bottom w:val="single" w:sz="4" w:space="0" w:color="000000"/>
              <w:right w:val="single" w:sz="9" w:space="0" w:color="000000"/>
            </w:tcBorders>
          </w:tcPr>
          <w:p>
            <w:pPr>
              <w:pStyle w:val="TableParagraph"/>
              <w:spacing w:line="240" w:lineRule="auto" w:before="42"/>
              <w:ind w:left="103" w:right="0"/>
              <w:jc w:val="left"/>
              <w:rPr>
                <w:rFonts w:ascii="Times New Roman" w:hAnsi="Times New Roman" w:cs="Times New Roman" w:eastAsia="Times New Roman" w:hint="default"/>
                <w:sz w:val="21"/>
                <w:szCs w:val="21"/>
              </w:rPr>
            </w:pPr>
            <w:r>
              <w:rPr>
                <w:rFonts w:ascii="宋体" w:hAnsi="宋体" w:cs="宋体" w:eastAsia="宋体" w:hint="default"/>
                <w:spacing w:val="24"/>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8.51</w:t>
            </w:r>
          </w:p>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730" w:hRule="exact"/>
        </w:trPr>
        <w:tc>
          <w:tcPr>
            <w:tcW w:w="113" w:type="dxa"/>
            <w:tcBorders>
              <w:top w:val="nil" w:sz="6" w:space="0" w:color="auto"/>
              <w:left w:val="single" w:sz="4" w:space="0" w:color="000000"/>
              <w:bottom w:val="nil" w:sz="6" w:space="0" w:color="auto"/>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3" w:right="0"/>
              <w:jc w:val="center"/>
              <w:rPr>
                <w:rFonts w:ascii="Times New Roman" w:hAnsi="Times New Roman" w:cs="Times New Roman" w:eastAsia="Times New Roman" w:hint="default"/>
                <w:sz w:val="21"/>
                <w:szCs w:val="21"/>
              </w:rPr>
            </w:pPr>
            <w:r>
              <w:rPr>
                <w:rFonts w:ascii="Times New Roman"/>
                <w:sz w:val="21"/>
              </w:rPr>
              <w:t>51,132,755.77</w:t>
            </w:r>
          </w:p>
        </w:tc>
        <w:tc>
          <w:tcPr>
            <w:tcW w:w="16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73" w:right="0"/>
              <w:jc w:val="left"/>
              <w:rPr>
                <w:rFonts w:ascii="Times New Roman" w:hAnsi="Times New Roman" w:cs="Times New Roman" w:eastAsia="Times New Roman" w:hint="default"/>
                <w:sz w:val="21"/>
                <w:szCs w:val="21"/>
              </w:rPr>
            </w:pPr>
            <w:r>
              <w:rPr>
                <w:rFonts w:ascii="Times New Roman"/>
                <w:sz w:val="21"/>
              </w:rPr>
              <w:t>9,672,303.66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06" w:right="0"/>
              <w:jc w:val="left"/>
              <w:rPr>
                <w:rFonts w:ascii="Times New Roman" w:hAnsi="Times New Roman" w:cs="Times New Roman" w:eastAsia="Times New Roman" w:hint="default"/>
                <w:sz w:val="21"/>
                <w:szCs w:val="21"/>
              </w:rPr>
            </w:pPr>
            <w:r>
              <w:rPr>
                <w:rFonts w:ascii="Times New Roman"/>
                <w:sz w:val="21"/>
              </w:rPr>
              <w:t>81.08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65"/>
              <w:jc w:val="right"/>
              <w:rPr>
                <w:rFonts w:ascii="Times New Roman" w:hAnsi="Times New Roman" w:cs="Times New Roman" w:eastAsia="Times New Roman" w:hint="default"/>
                <w:sz w:val="21"/>
                <w:szCs w:val="21"/>
              </w:rPr>
            </w:pPr>
            <w:r>
              <w:rPr>
                <w:rFonts w:ascii="Times New Roman"/>
                <w:sz w:val="21"/>
              </w:rPr>
              <w:t>362.53</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1385.76</w:t>
            </w:r>
          </w:p>
        </w:tc>
        <w:tc>
          <w:tcPr>
            <w:tcW w:w="1198" w:type="dxa"/>
            <w:tcBorders>
              <w:top w:val="single" w:sz="4" w:space="0" w:color="000000"/>
              <w:left w:val="single" w:sz="4" w:space="0" w:color="000000"/>
              <w:bottom w:val="single" w:sz="4" w:space="0" w:color="000000"/>
              <w:right w:val="single" w:sz="9" w:space="0" w:color="000000"/>
            </w:tcBorders>
          </w:tcPr>
          <w:p>
            <w:pPr>
              <w:pStyle w:val="TableParagraph"/>
              <w:spacing w:line="240" w:lineRule="auto" w:before="42"/>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13.03</w:t>
            </w:r>
          </w:p>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742" w:hRule="exact"/>
        </w:trPr>
        <w:tc>
          <w:tcPr>
            <w:tcW w:w="113" w:type="dxa"/>
            <w:tcBorders>
              <w:top w:val="nil" w:sz="6" w:space="0" w:color="auto"/>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7" w:right="0"/>
              <w:jc w:val="center"/>
              <w:rPr>
                <w:rFonts w:ascii="Times New Roman" w:hAnsi="Times New Roman" w:cs="Times New Roman" w:eastAsia="Times New Roman" w:hint="default"/>
                <w:sz w:val="21"/>
                <w:szCs w:val="21"/>
              </w:rPr>
            </w:pPr>
            <w:r>
              <w:rPr>
                <w:rFonts w:ascii="Times New Roman"/>
                <w:sz w:val="21"/>
              </w:rPr>
              <w:t>977,652,628.58</w:t>
            </w:r>
          </w:p>
        </w:tc>
        <w:tc>
          <w:tcPr>
            <w:tcW w:w="16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62" w:right="0"/>
              <w:jc w:val="left"/>
              <w:rPr>
                <w:rFonts w:ascii="Times New Roman" w:hAnsi="Times New Roman" w:cs="Times New Roman" w:eastAsia="Times New Roman" w:hint="default"/>
                <w:sz w:val="21"/>
                <w:szCs w:val="21"/>
              </w:rPr>
            </w:pPr>
            <w:r>
              <w:rPr>
                <w:rFonts w:ascii="Times New Roman"/>
                <w:sz w:val="21"/>
              </w:rPr>
              <w:t>535,335,255.60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06" w:right="0"/>
              <w:jc w:val="left"/>
              <w:rPr>
                <w:rFonts w:ascii="Times New Roman" w:hAnsi="Times New Roman" w:cs="Times New Roman" w:eastAsia="Times New Roman" w:hint="default"/>
                <w:sz w:val="21"/>
                <w:szCs w:val="21"/>
              </w:rPr>
            </w:pPr>
            <w:r>
              <w:rPr>
                <w:rFonts w:ascii="Times New Roman"/>
                <w:sz w:val="21"/>
              </w:rPr>
              <w:t>45.24</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65"/>
              <w:jc w:val="right"/>
              <w:rPr>
                <w:rFonts w:ascii="Times New Roman" w:hAnsi="Times New Roman" w:cs="Times New Roman" w:eastAsia="Times New Roman" w:hint="default"/>
                <w:sz w:val="21"/>
                <w:szCs w:val="21"/>
              </w:rPr>
            </w:pPr>
            <w:r>
              <w:rPr>
                <w:rFonts w:ascii="Times New Roman"/>
                <w:sz w:val="21"/>
              </w:rPr>
              <w:t>21.35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-0.41</w:t>
            </w:r>
          </w:p>
        </w:tc>
        <w:tc>
          <w:tcPr>
            <w:tcW w:w="1198" w:type="dxa"/>
            <w:tcBorders>
              <w:top w:val="single" w:sz="4" w:space="0" w:color="000000"/>
              <w:left w:val="single" w:sz="4" w:space="0" w:color="000000"/>
              <w:bottom w:val="single" w:sz="4" w:space="0" w:color="000000"/>
              <w:right w:val="single" w:sz="9" w:space="0" w:color="000000"/>
            </w:tcBorders>
          </w:tcPr>
          <w:p>
            <w:pPr>
              <w:pStyle w:val="TableParagraph"/>
              <w:spacing w:line="240" w:lineRule="auto" w:before="43"/>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11.96</w:t>
            </w:r>
          </w:p>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370" w:hRule="exact"/>
        </w:trPr>
        <w:tc>
          <w:tcPr>
            <w:tcW w:w="89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090" w:hRule="exact"/>
        </w:trPr>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4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36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85"/>
              <w:ind w:left="19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63" w:right="198"/>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40" w:right="176"/>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72" w:right="170" w:hanging="1"/>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730" w:hRule="exact"/>
        </w:trPr>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华南区</w:t>
            </w:r>
          </w:p>
        </w:tc>
        <w:tc>
          <w:tcPr>
            <w:tcW w:w="1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811,162,208.72</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460,702,909.65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43.20</w:t>
            </w:r>
          </w:p>
        </w:tc>
        <w:tc>
          <w:tcPr>
            <w:tcW w:w="1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92" w:right="0"/>
              <w:jc w:val="left"/>
              <w:rPr>
                <w:rFonts w:ascii="Times New Roman" w:hAnsi="Times New Roman" w:cs="Times New Roman" w:eastAsia="Times New Roman" w:hint="default"/>
                <w:sz w:val="21"/>
                <w:szCs w:val="21"/>
              </w:rPr>
            </w:pPr>
            <w:r>
              <w:rPr>
                <w:rFonts w:ascii="Times New Roman"/>
                <w:sz w:val="21"/>
              </w:rPr>
              <w:t>17.15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-4.04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12.54</w:t>
            </w:r>
          </w:p>
          <w:p>
            <w:pPr>
              <w:pStyle w:val="TableParagraph"/>
              <w:spacing w:line="240" w:lineRule="auto" w:before="69"/>
              <w:ind w:left="10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730" w:hRule="exact"/>
        </w:trPr>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81" w:right="0"/>
              <w:jc w:val="left"/>
              <w:rPr>
                <w:rFonts w:ascii="Times New Roman" w:hAnsi="Times New Roman" w:cs="Times New Roman" w:eastAsia="Times New Roman" w:hint="default"/>
                <w:sz w:val="21"/>
                <w:szCs w:val="21"/>
              </w:rPr>
            </w:pPr>
            <w:r>
              <w:rPr>
                <w:rFonts w:ascii="Times New Roman"/>
                <w:sz w:val="21"/>
              </w:rPr>
              <w:t>56,071,203.38</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19,350,485.37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65.49</w:t>
            </w:r>
          </w:p>
        </w:tc>
        <w:tc>
          <w:tcPr>
            <w:tcW w:w="1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92" w:right="0"/>
              <w:jc w:val="left"/>
              <w:rPr>
                <w:rFonts w:ascii="Times New Roman" w:hAnsi="Times New Roman" w:cs="Times New Roman" w:eastAsia="Times New Roman" w:hint="default"/>
                <w:sz w:val="21"/>
                <w:szCs w:val="21"/>
              </w:rPr>
            </w:pPr>
            <w:r>
              <w:rPr>
                <w:rFonts w:ascii="Times New Roman"/>
                <w:sz w:val="21"/>
              </w:rPr>
              <w:t>23.02</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17.78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Times New Roman" w:hAnsi="Times New Roman" w:cs="Times New Roman" w:eastAsia="Times New Roman" w:hint="default"/>
                <w:sz w:val="21"/>
                <w:szCs w:val="21"/>
              </w:rPr>
            </w:pPr>
            <w:r>
              <w:rPr>
                <w:rFonts w:ascii="宋体" w:hAnsi="宋体" w:cs="宋体" w:eastAsia="宋体" w:hint="default"/>
                <w:spacing w:val="22"/>
                <w:sz w:val="21"/>
                <w:szCs w:val="21"/>
              </w:rPr>
              <w:t>增加</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1.54</w:t>
            </w:r>
          </w:p>
          <w:p>
            <w:pPr>
              <w:pStyle w:val="TableParagraph"/>
              <w:spacing w:line="240" w:lineRule="auto" w:before="69"/>
              <w:ind w:left="10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730" w:hRule="exact"/>
        </w:trPr>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华北区</w:t>
            </w:r>
          </w:p>
        </w:tc>
        <w:tc>
          <w:tcPr>
            <w:tcW w:w="1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81" w:right="0"/>
              <w:jc w:val="left"/>
              <w:rPr>
                <w:rFonts w:ascii="Times New Roman" w:hAnsi="Times New Roman" w:cs="Times New Roman" w:eastAsia="Times New Roman" w:hint="default"/>
                <w:sz w:val="21"/>
                <w:szCs w:val="21"/>
              </w:rPr>
            </w:pPr>
            <w:r>
              <w:rPr>
                <w:rFonts w:ascii="Times New Roman"/>
                <w:sz w:val="21"/>
              </w:rPr>
              <w:t>68,969,102.69</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38,049,009.10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44.83</w:t>
            </w:r>
          </w:p>
        </w:tc>
        <w:tc>
          <w:tcPr>
            <w:tcW w:w="1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87" w:right="0"/>
              <w:jc w:val="left"/>
              <w:rPr>
                <w:rFonts w:ascii="Times New Roman" w:hAnsi="Times New Roman" w:cs="Times New Roman" w:eastAsia="Times New Roman" w:hint="default"/>
                <w:sz w:val="21"/>
                <w:szCs w:val="21"/>
              </w:rPr>
            </w:pPr>
            <w:r>
              <w:rPr>
                <w:rFonts w:ascii="Times New Roman"/>
                <w:sz w:val="21"/>
              </w:rPr>
              <w:t>202.54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861.86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37.82</w:t>
            </w:r>
          </w:p>
          <w:p>
            <w:pPr>
              <w:pStyle w:val="TableParagraph"/>
              <w:spacing w:line="240" w:lineRule="auto" w:before="69"/>
              <w:ind w:left="10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732" w:hRule="exact"/>
        </w:trPr>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西部区</w:t>
            </w:r>
          </w:p>
        </w:tc>
        <w:tc>
          <w:tcPr>
            <w:tcW w:w="1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81" w:right="0"/>
              <w:jc w:val="left"/>
              <w:rPr>
                <w:rFonts w:ascii="Times New Roman" w:hAnsi="Times New Roman" w:cs="Times New Roman" w:eastAsia="Times New Roman" w:hint="default"/>
                <w:sz w:val="21"/>
                <w:szCs w:val="21"/>
              </w:rPr>
            </w:pPr>
            <w:r>
              <w:rPr>
                <w:rFonts w:ascii="Times New Roman"/>
                <w:sz w:val="21"/>
              </w:rPr>
              <w:t>41,450,113.79</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17,232,851.47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58.43</w:t>
            </w:r>
          </w:p>
        </w:tc>
        <w:tc>
          <w:tcPr>
            <w:tcW w:w="1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28" w:right="0"/>
              <w:jc w:val="left"/>
              <w:rPr>
                <w:rFonts w:ascii="Times New Roman" w:hAnsi="Times New Roman" w:cs="Times New Roman" w:eastAsia="Times New Roman" w:hint="default"/>
                <w:sz w:val="21"/>
                <w:szCs w:val="21"/>
              </w:rPr>
            </w:pPr>
            <w:r>
              <w:rPr>
                <w:rFonts w:ascii="Times New Roman"/>
                <w:sz w:val="21"/>
              </w:rPr>
              <w:t>-7.54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-53.44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5"/>
              <w:ind w:left="100" w:right="98"/>
              <w:jc w:val="left"/>
              <w:rPr>
                <w:rFonts w:ascii="宋体" w:hAnsi="宋体" w:cs="宋体" w:eastAsia="宋体" w:hint="default"/>
                <w:sz w:val="21"/>
                <w:szCs w:val="21"/>
              </w:rPr>
            </w:pPr>
            <w:r>
              <w:rPr>
                <w:rFonts w:ascii="宋体" w:hAnsi="宋体" w:cs="宋体" w:eastAsia="宋体" w:hint="default"/>
                <w:sz w:val="21"/>
                <w:szCs w:val="21"/>
              </w:rPr>
              <w:t>增加 </w:t>
            </w:r>
            <w:r>
              <w:rPr>
                <w:rFonts w:ascii="Times New Roman" w:hAnsi="Times New Roman" w:cs="Times New Roman" w:eastAsia="Times New Roman" w:hint="default"/>
                <w:sz w:val="21"/>
                <w:szCs w:val="21"/>
              </w:rPr>
              <w:t>41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730" w:hRule="exact"/>
        </w:trPr>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977,652,628.58</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535,335,255.60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45.24</w:t>
            </w:r>
          </w:p>
        </w:tc>
        <w:tc>
          <w:tcPr>
            <w:tcW w:w="1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92" w:right="0"/>
              <w:jc w:val="left"/>
              <w:rPr>
                <w:rFonts w:ascii="Times New Roman" w:hAnsi="Times New Roman" w:cs="Times New Roman" w:eastAsia="Times New Roman" w:hint="default"/>
                <w:sz w:val="21"/>
                <w:szCs w:val="21"/>
              </w:rPr>
            </w:pPr>
            <w:r>
              <w:rPr>
                <w:rFonts w:ascii="Times New Roman"/>
                <w:sz w:val="21"/>
              </w:rPr>
              <w:t>21.35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-0.41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11.96</w:t>
            </w:r>
          </w:p>
          <w:p>
            <w:pPr>
              <w:pStyle w:val="TableParagraph"/>
              <w:spacing w:line="240" w:lineRule="auto" w:before="69"/>
              <w:ind w:left="100"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2"/>
        <w:rPr>
          <w:rFonts w:ascii="宋体" w:hAnsi="宋体" w:cs="宋体" w:eastAsia="宋体" w:hint="default"/>
          <w:sz w:val="20"/>
          <w:szCs w:val="20"/>
        </w:rPr>
      </w:pPr>
    </w:p>
    <w:p>
      <w:pPr>
        <w:pStyle w:val="BodyText"/>
        <w:spacing w:line="240" w:lineRule="auto" w:before="36"/>
        <w:ind w:right="0"/>
        <w:jc w:val="both"/>
      </w:pPr>
      <w:r>
        <w:rPr/>
        <w:t>主营业务分行业、分产品、分地区情况的说明</w:t>
      </w:r>
    </w:p>
    <w:p>
      <w:pPr>
        <w:pStyle w:val="BodyText"/>
        <w:spacing w:line="321" w:lineRule="auto" w:before="37"/>
        <w:ind w:left="698" w:right="0"/>
        <w:jc w:val="left"/>
      </w:pPr>
      <w:r>
        <w:rPr/>
        <w:t>√适用</w:t>
      </w:r>
      <w:r>
        <w:rPr>
          <w:spacing w:val="-2"/>
        </w:rPr>
        <w:t> </w:t>
      </w:r>
      <w:r>
        <w:rPr/>
        <w:t>□不适用</w:t>
      </w:r>
      <w:r>
        <w:rPr>
          <w:spacing w:val="-103"/>
        </w:rPr>
        <w:t> </w:t>
      </w:r>
      <w:r>
        <w:rPr>
          <w:spacing w:val="-103"/>
        </w:rPr>
      </w:r>
      <w:r>
        <w:rPr>
          <w:spacing w:val="-3"/>
        </w:rPr>
        <w:t>公司是国内“互联网</w:t>
      </w:r>
      <w:r>
        <w:rPr>
          <w:rFonts w:ascii="Times New Roman" w:hAnsi="Times New Roman" w:cs="Times New Roman" w:eastAsia="Times New Roman" w:hint="default"/>
          <w:spacing w:val="-3"/>
        </w:rPr>
        <w:t>+</w:t>
      </w:r>
      <w:r>
        <w:rPr>
          <w:spacing w:val="-3"/>
        </w:rPr>
        <w:t>政务</w:t>
      </w:r>
      <w:r>
        <w:rPr>
          <w:rFonts w:ascii="Times New Roman" w:hAnsi="Times New Roman" w:cs="Times New Roman" w:eastAsia="Times New Roman" w:hint="default"/>
          <w:spacing w:val="-3"/>
        </w:rPr>
        <w:t>”</w:t>
      </w:r>
      <w:r>
        <w:rPr>
          <w:spacing w:val="-3"/>
        </w:rPr>
        <w:t>行业领军企业、城市安全与智慧城市产业链资源整合运营商、行</w:t>
      </w:r>
    </w:p>
    <w:p>
      <w:pPr>
        <w:pStyle w:val="BodyText"/>
        <w:spacing w:line="314" w:lineRule="auto"/>
        <w:ind w:left="638" w:right="0" w:hanging="420"/>
        <w:jc w:val="left"/>
      </w:pPr>
      <w:r>
        <w:rPr/>
        <w:t>业大数据应用与服务提供商，是电子政务、城市安全、智慧城市领域的整体解决方案提供商。</w:t>
      </w:r>
      <w:r>
        <w:rPr>
          <w:w w:val="100"/>
        </w:rPr>
        <w:t> </w:t>
      </w:r>
      <w:r>
        <w:rPr/>
        <w:t>报告期内，公司主营业务结构持续优化，盈利能力不断增强，互联网</w:t>
      </w:r>
      <w:r>
        <w:rPr>
          <w:rFonts w:ascii="Times New Roman" w:hAnsi="Times New Roman" w:cs="Times New Roman" w:eastAsia="Times New Roman" w:hint="default"/>
        </w:rPr>
        <w:t>+</w:t>
      </w:r>
      <w:r>
        <w:rPr/>
        <w:t>政务服务和智慧城市</w:t>
      </w:r>
    </w:p>
    <w:p>
      <w:pPr>
        <w:pStyle w:val="BodyText"/>
        <w:spacing w:line="297" w:lineRule="auto"/>
        <w:ind w:right="148"/>
        <w:jc w:val="both"/>
      </w:pPr>
      <w:r>
        <w:rPr/>
        <w:t>业务收入快速增长，对公司业绩的贡献不断提升，其中互联网</w:t>
      </w:r>
      <w:r>
        <w:rPr>
          <w:rFonts w:ascii="Times New Roman" w:hAnsi="Times New Roman" w:cs="Times New Roman" w:eastAsia="Times New Roman" w:hint="default"/>
        </w:rPr>
        <w:t>+</w:t>
      </w:r>
      <w:r>
        <w:rPr/>
        <w:t>政务业务收入增长</w:t>
      </w:r>
      <w:r>
        <w:rPr>
          <w:spacing w:val="-27"/>
        </w:rPr>
        <w:t> </w:t>
      </w:r>
      <w:r>
        <w:rPr>
          <w:rFonts w:ascii="Times New Roman" w:hAnsi="Times New Roman" w:cs="Times New Roman" w:eastAsia="Times New Roman" w:hint="default"/>
        </w:rPr>
        <w:t>42.99%</w:t>
      </w:r>
      <w:r>
        <w:rPr/>
        <w:t>，智慧</w:t>
      </w:r>
      <w:r>
        <w:rPr>
          <w:spacing w:val="-3"/>
          <w:w w:val="100"/>
        </w:rPr>
        <w:t> </w:t>
      </w:r>
      <w:r>
        <w:rPr/>
        <w:t>城市业务实现增长 </w:t>
      </w:r>
      <w:r>
        <w:rPr>
          <w:rFonts w:ascii="Times New Roman" w:hAnsi="Times New Roman" w:cs="Times New Roman" w:eastAsia="Times New Roman" w:hint="default"/>
          <w:spacing w:val="-4"/>
        </w:rPr>
        <w:t>457.11%</w:t>
      </w:r>
      <w:r>
        <w:rPr>
          <w:spacing w:val="-4"/>
        </w:rPr>
        <w:t>；高毛利的互联网</w:t>
      </w:r>
      <w:r>
        <w:rPr>
          <w:rFonts w:ascii="Times New Roman" w:hAnsi="Times New Roman" w:cs="Times New Roman" w:eastAsia="Times New Roman" w:hint="default"/>
          <w:spacing w:val="-4"/>
        </w:rPr>
        <w:t>+</w:t>
      </w:r>
      <w:r>
        <w:rPr>
          <w:spacing w:val="-4"/>
        </w:rPr>
        <w:t>政务服务占比持续提升，提高公司整体毛利率，公</w:t>
      </w:r>
      <w:r>
        <w:rPr>
          <w:spacing w:val="-87"/>
        </w:rPr>
        <w:t> </w:t>
      </w:r>
      <w:r>
        <w:rPr>
          <w:spacing w:val="-87"/>
        </w:rPr>
      </w:r>
      <w:r>
        <w:rPr/>
        <w:t>司综合毛利率从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33.28%</w:t>
      </w:r>
      <w:r>
        <w:rPr/>
        <w:t>增加至</w:t>
      </w:r>
      <w:r>
        <w:rPr>
          <w:spacing w:val="-54"/>
        </w:rPr>
        <w:t> </w:t>
      </w:r>
      <w:r>
        <w:rPr>
          <w:rFonts w:ascii="Times New Roman" w:hAnsi="Times New Roman" w:cs="Times New Roman" w:eastAsia="Times New Roman" w:hint="default"/>
        </w:rPr>
        <w:t>45.24%</w:t>
      </w:r>
      <w:r>
        <w:rPr/>
        <w:t>，同比增加</w:t>
      </w:r>
      <w:r>
        <w:rPr>
          <w:spacing w:val="-54"/>
        </w:rPr>
        <w:t> </w:t>
      </w:r>
      <w:r>
        <w:rPr>
          <w:rFonts w:ascii="Times New Roman" w:hAnsi="Times New Roman" w:cs="Times New Roman" w:eastAsia="Times New Roman" w:hint="default"/>
        </w:rPr>
        <w:t>11.96</w:t>
      </w:r>
      <w:r>
        <w:rPr>
          <w:rFonts w:ascii="Times New Roman" w:hAnsi="Times New Roman" w:cs="Times New Roman" w:eastAsia="Times New Roman" w:hint="default"/>
          <w:spacing w:val="-2"/>
        </w:rPr>
        <w:t> </w:t>
      </w:r>
      <w:r>
        <w:rPr/>
        <w:t>个百分点。</w:t>
      </w:r>
    </w:p>
    <w:p>
      <w:pPr>
        <w:pStyle w:val="BodyText"/>
        <w:spacing w:line="297" w:lineRule="auto" w:before="13"/>
        <w:ind w:right="0" w:firstLine="419"/>
        <w:jc w:val="left"/>
      </w:pPr>
      <w:r>
        <w:rPr>
          <w:spacing w:val="-3"/>
        </w:rPr>
        <w:t>报告期内，华南地区收入占比</w:t>
      </w:r>
      <w:r>
        <w:rPr>
          <w:spacing w:val="-6"/>
        </w:rPr>
        <w:t> </w:t>
      </w:r>
      <w:r>
        <w:rPr>
          <w:rFonts w:ascii="Times New Roman" w:hAnsi="Times New Roman" w:cs="Times New Roman" w:eastAsia="Times New Roman" w:hint="default"/>
          <w:spacing w:val="-3"/>
        </w:rPr>
        <w:t>82.97%</w:t>
      </w:r>
      <w:r>
        <w:rPr>
          <w:spacing w:val="-3"/>
        </w:rPr>
        <w:t>，业务相对较集中，随着业务扩张，华北地区收入逐步</w:t>
      </w:r>
      <w:r>
        <w:rPr>
          <w:w w:val="100"/>
        </w:rPr>
        <w:t> </w:t>
      </w:r>
      <w:r>
        <w:rPr/>
        <w:t>迅速快速提高，华东地区保持平稳增长。</w:t>
      </w:r>
    </w:p>
    <w:p>
      <w:pPr>
        <w:pStyle w:val="BodyText"/>
        <w:spacing w:line="314" w:lineRule="auto" w:before="35"/>
        <w:ind w:right="0" w:firstLine="419"/>
        <w:jc w:val="left"/>
      </w:pPr>
      <w:r>
        <w:rPr>
          <w:spacing w:val="-7"/>
        </w:rPr>
        <w:t>注：华南区主要为福建省、广东省、广西省、海南省、湖南省、湖北省、贵州省、云南省等；</w:t>
      </w:r>
      <w:r>
        <w:rPr>
          <w:w w:val="100"/>
        </w:rPr>
        <w:t> </w:t>
      </w:r>
      <w:r>
        <w:rPr>
          <w:spacing w:val="-1"/>
        </w:rPr>
        <w:t>华东区要为上海市、江苏省、浙江省、江西省、安徽省等；华北区为北京市、河北省、河南省、</w:t>
      </w:r>
    </w:p>
    <w:p>
      <w:pPr>
        <w:spacing w:after="0" w:line="314" w:lineRule="auto"/>
        <w:jc w:val="left"/>
        <w:sectPr>
          <w:pgSz w:w="11910" w:h="16840"/>
          <w:pgMar w:header="855" w:footer="979" w:top="1120" w:bottom="1160" w:left="1580" w:right="1120"/>
        </w:sectPr>
      </w:pPr>
    </w:p>
    <w:p>
      <w:pPr>
        <w:spacing w:line="240" w:lineRule="auto" w:before="0"/>
        <w:rPr>
          <w:rFonts w:ascii="宋体" w:hAnsi="宋体" w:cs="宋体" w:eastAsia="宋体" w:hint="default"/>
          <w:sz w:val="20"/>
          <w:szCs w:val="20"/>
        </w:rPr>
      </w:pPr>
    </w:p>
    <w:p>
      <w:pPr>
        <w:pStyle w:val="BodyText"/>
        <w:spacing w:line="314" w:lineRule="auto" w:before="180"/>
        <w:ind w:left="638" w:right="0"/>
        <w:jc w:val="left"/>
      </w:pPr>
      <w:r>
        <w:rPr>
          <w:spacing w:val="-1"/>
        </w:rPr>
        <w:t>山东省、辽宁省、黑龙江、吉林省、内蒙自治区等；西部区为四川省、重庆市、陕西省、宁夏、</w:t>
      </w:r>
      <w:r>
        <w:rPr>
          <w:spacing w:val="-55"/>
        </w:rPr>
        <w:t> </w:t>
      </w:r>
      <w:r>
        <w:rPr>
          <w:spacing w:val="-55"/>
        </w:rPr>
      </w:r>
      <w:r>
        <w:rPr/>
        <w:t>甘肃省和新疆自治区、四川省、西藏自治区等。</w:t>
      </w:r>
    </w:p>
    <w:p>
      <w:pPr>
        <w:pStyle w:val="Heading4"/>
        <w:tabs>
          <w:tab w:pos="1204" w:val="left" w:leader="none"/>
        </w:tabs>
        <w:spacing w:line="240" w:lineRule="auto" w:before="25"/>
        <w:ind w:left="638" w:right="0"/>
        <w:jc w:val="left"/>
        <w:rPr>
          <w:b w:val="0"/>
          <w:bCs w:val="0"/>
        </w:rPr>
      </w:pPr>
      <w:r>
        <w:rPr>
          <w:rFonts w:ascii="Times New Roman" w:hAnsi="Times New Roman" w:cs="Times New Roman" w:eastAsia="Times New Roman" w:hint="default"/>
          <w:spacing w:val="-1"/>
        </w:rPr>
        <w:t>(2).</w:t>
        <w:tab/>
      </w:r>
      <w:r>
        <w:rPr/>
        <w:t>产销量情况分析表</w:t>
      </w:r>
      <w:r>
        <w:rPr>
          <w:b w:val="0"/>
          <w:bCs w:val="0"/>
        </w:rPr>
      </w:r>
    </w:p>
    <w:p>
      <w:pPr>
        <w:pStyle w:val="BodyText"/>
        <w:spacing w:line="240" w:lineRule="auto" w:before="81"/>
        <w:ind w:left="638" w:right="0"/>
        <w:jc w:val="left"/>
      </w:pPr>
      <w:r>
        <w:rPr/>
        <w:t>□适用</w:t>
      </w:r>
      <w:r>
        <w:rPr>
          <w:spacing w:val="-1"/>
        </w:rPr>
        <w:t> </w:t>
      </w:r>
      <w:r>
        <w:rPr/>
        <w:t>√不适用</w:t>
      </w:r>
    </w:p>
    <w:p>
      <w:pPr>
        <w:pStyle w:val="Heading4"/>
        <w:tabs>
          <w:tab w:pos="1204" w:val="left" w:leader="none"/>
        </w:tabs>
        <w:spacing w:line="240" w:lineRule="auto" w:before="97"/>
        <w:ind w:left="638" w:right="0"/>
        <w:jc w:val="left"/>
        <w:rPr>
          <w:b w:val="0"/>
          <w:bCs w:val="0"/>
        </w:rPr>
      </w:pPr>
      <w:r>
        <w:rPr>
          <w:rFonts w:ascii="Times New Roman" w:hAnsi="Times New Roman" w:cs="Times New Roman" w:eastAsia="Times New Roman" w:hint="default"/>
          <w:spacing w:val="-1"/>
        </w:rPr>
        <w:t>(3).</w:t>
        <w:tab/>
      </w:r>
      <w:r>
        <w:rPr/>
        <w:t>成本分析表</w:t>
      </w:r>
      <w:r>
        <w:rPr>
          <w:b w:val="0"/>
          <w:bCs w:val="0"/>
        </w:rPr>
      </w:r>
    </w:p>
    <w:p>
      <w:pPr>
        <w:pStyle w:val="BodyText"/>
        <w:spacing w:line="240" w:lineRule="auto" w:before="81"/>
        <w:ind w:left="0" w:right="63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414"/>
        <w:gridCol w:w="730"/>
        <w:gridCol w:w="1529"/>
        <w:gridCol w:w="1152"/>
        <w:gridCol w:w="1529"/>
        <w:gridCol w:w="1273"/>
        <w:gridCol w:w="1529"/>
        <w:gridCol w:w="727"/>
      </w:tblGrid>
      <w:tr>
        <w:trPr>
          <w:trHeight w:val="372" w:hRule="exact"/>
        </w:trPr>
        <w:tc>
          <w:tcPr>
            <w:tcW w:w="98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09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386"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48" w:right="146"/>
              <w:jc w:val="both"/>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构成</w:t>
            </w:r>
            <w:r>
              <w:rPr>
                <w:rFonts w:ascii="宋体" w:hAnsi="宋体" w:cs="宋体" w:eastAsia="宋体" w:hint="default"/>
                <w:spacing w:val="-103"/>
                <w:sz w:val="21"/>
                <w:szCs w:val="21"/>
              </w:rPr>
              <w:t> </w:t>
            </w:r>
            <w:r>
              <w:rPr>
                <w:rFonts w:ascii="宋体" w:hAnsi="宋体" w:cs="宋体" w:eastAsia="宋体" w:hint="default"/>
                <w:sz w:val="21"/>
                <w:szCs w:val="21"/>
              </w:rPr>
              <w:t>项目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33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48" w:right="149"/>
              <w:jc w:val="center"/>
              <w:rPr>
                <w:rFonts w:ascii="宋体" w:hAnsi="宋体" w:cs="宋体" w:eastAsia="宋体"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127"/>
              <w:jc w:val="right"/>
              <w:rPr>
                <w:rFonts w:ascii="宋体" w:hAnsi="宋体" w:cs="宋体" w:eastAsia="宋体" w:hint="default"/>
                <w:sz w:val="21"/>
                <w:szCs w:val="21"/>
              </w:rPr>
            </w:pPr>
            <w:r>
              <w:rPr>
                <w:rFonts w:ascii="宋体" w:hAnsi="宋体" w:cs="宋体" w:eastAsia="宋体" w:hint="default"/>
                <w:spacing w:val="-1"/>
                <w:sz w:val="21"/>
                <w:szCs w:val="21"/>
              </w:rPr>
              <w:t>上年同期金额</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4"/>
              <w:jc w:val="center"/>
              <w:rPr>
                <w:rFonts w:ascii="宋体" w:hAnsi="宋体" w:cs="宋体" w:eastAsia="宋体" w:hint="default"/>
                <w:sz w:val="21"/>
                <w:szCs w:val="21"/>
              </w:rPr>
            </w:pPr>
            <w:r>
              <w:rPr>
                <w:rFonts w:ascii="宋体" w:hAnsi="宋体" w:cs="宋体" w:eastAsia="宋体" w:hint="default"/>
                <w:sz w:val="21"/>
                <w:szCs w:val="21"/>
              </w:rPr>
              <w:t>上年同期占</w:t>
            </w:r>
            <w:r>
              <w:rPr>
                <w:rFonts w:ascii="宋体" w:hAnsi="宋体" w:cs="宋体" w:eastAsia="宋体" w:hint="default"/>
                <w:w w:val="100"/>
                <w:sz w:val="21"/>
                <w:szCs w:val="21"/>
              </w:rPr>
              <w:t> </w:t>
            </w:r>
            <w:r>
              <w:rPr>
                <w:rFonts w:ascii="宋体" w:hAnsi="宋体" w:cs="宋体" w:eastAsia="宋体" w:hint="default"/>
                <w:sz w:val="21"/>
                <w:szCs w:val="21"/>
              </w:rPr>
              <w:t>总成本比例</w:t>
            </w:r>
            <w:r>
              <w:rPr>
                <w:rFonts w:ascii="宋体" w:hAnsi="宋体" w:cs="宋体" w:eastAsia="宋体" w:hint="default"/>
                <w:w w:val="100"/>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27" w:right="127"/>
              <w:jc w:val="center"/>
              <w:rPr>
                <w:rFonts w:ascii="宋体" w:hAnsi="宋体" w:cs="宋体" w:eastAsia="宋体" w:hint="default"/>
                <w:sz w:val="21"/>
                <w:szCs w:val="21"/>
              </w:rPr>
            </w:pPr>
            <w:r>
              <w:rPr>
                <w:rFonts w:ascii="宋体" w:hAnsi="宋体" w:cs="宋体" w:eastAsia="宋体" w:hint="default"/>
                <w:spacing w:val="-1"/>
                <w:sz w:val="21"/>
                <w:szCs w:val="21"/>
              </w:rPr>
              <w:t>本期金额较上</w:t>
            </w:r>
            <w:r>
              <w:rPr>
                <w:rFonts w:ascii="宋体" w:hAnsi="宋体" w:cs="宋体" w:eastAsia="宋体" w:hint="default"/>
                <w:w w:val="100"/>
                <w:sz w:val="21"/>
                <w:szCs w:val="21"/>
              </w:rPr>
              <w:t> </w:t>
            </w:r>
            <w:r>
              <w:rPr>
                <w:rFonts w:ascii="宋体" w:hAnsi="宋体" w:cs="宋体" w:eastAsia="宋体" w:hint="default"/>
                <w:spacing w:val="-1"/>
                <w:sz w:val="21"/>
                <w:szCs w:val="21"/>
              </w:rPr>
              <w:t>年同期变动比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48" w:right="144"/>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公安行业</w:t>
            </w:r>
          </w:p>
        </w:tc>
        <w:tc>
          <w:tcPr>
            <w:tcW w:w="73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214,531,827.97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40.07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379,109,248.00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70.53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-43.41</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政务行业</w:t>
            </w:r>
          </w:p>
        </w:tc>
        <w:tc>
          <w:tcPr>
            <w:tcW w:w="73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233,395,342.95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43.6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134,175,694.63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24.96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73.95</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民生行业</w:t>
            </w:r>
          </w:p>
        </w:tc>
        <w:tc>
          <w:tcPr>
            <w:tcW w:w="73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84,253,905.68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15.74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23,177,390.65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4.31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263.52</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其他行业</w:t>
            </w:r>
          </w:p>
        </w:tc>
        <w:tc>
          <w:tcPr>
            <w:tcW w:w="73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3,154,178.99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0.59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1,050,401.20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200.28</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总计</w:t>
            </w:r>
          </w:p>
        </w:tc>
        <w:tc>
          <w:tcPr>
            <w:tcW w:w="73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535,335,255.60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z w:val="21"/>
              </w:rPr>
              <w:t>100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537,512,734.48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z w:val="21"/>
              </w:rPr>
              <w:t>100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-0.41</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98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09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386"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48" w:right="146"/>
              <w:jc w:val="both"/>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构成</w:t>
            </w:r>
            <w:r>
              <w:rPr>
                <w:rFonts w:ascii="宋体" w:hAnsi="宋体" w:cs="宋体" w:eastAsia="宋体" w:hint="default"/>
                <w:spacing w:val="-103"/>
                <w:sz w:val="21"/>
                <w:szCs w:val="21"/>
              </w:rPr>
              <w:t> </w:t>
            </w:r>
            <w:r>
              <w:rPr>
                <w:rFonts w:ascii="宋体" w:hAnsi="宋体" w:cs="宋体" w:eastAsia="宋体" w:hint="default"/>
                <w:sz w:val="21"/>
                <w:szCs w:val="21"/>
              </w:rPr>
              <w:t>项目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33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48" w:right="149"/>
              <w:jc w:val="center"/>
              <w:rPr>
                <w:rFonts w:ascii="宋体" w:hAnsi="宋体" w:cs="宋体" w:eastAsia="宋体"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127"/>
              <w:jc w:val="right"/>
              <w:rPr>
                <w:rFonts w:ascii="宋体" w:hAnsi="宋体" w:cs="宋体" w:eastAsia="宋体" w:hint="default"/>
                <w:sz w:val="21"/>
                <w:szCs w:val="21"/>
              </w:rPr>
            </w:pPr>
            <w:r>
              <w:rPr>
                <w:rFonts w:ascii="宋体" w:hAnsi="宋体" w:cs="宋体" w:eastAsia="宋体" w:hint="default"/>
                <w:spacing w:val="-1"/>
                <w:sz w:val="21"/>
                <w:szCs w:val="21"/>
              </w:rPr>
              <w:t>上年同期金额</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4"/>
              <w:jc w:val="center"/>
              <w:rPr>
                <w:rFonts w:ascii="宋体" w:hAnsi="宋体" w:cs="宋体" w:eastAsia="宋体" w:hint="default"/>
                <w:sz w:val="21"/>
                <w:szCs w:val="21"/>
              </w:rPr>
            </w:pPr>
            <w:r>
              <w:rPr>
                <w:rFonts w:ascii="宋体" w:hAnsi="宋体" w:cs="宋体" w:eastAsia="宋体" w:hint="default"/>
                <w:sz w:val="21"/>
                <w:szCs w:val="21"/>
              </w:rPr>
              <w:t>上年同期占</w:t>
            </w:r>
            <w:r>
              <w:rPr>
                <w:rFonts w:ascii="宋体" w:hAnsi="宋体" w:cs="宋体" w:eastAsia="宋体" w:hint="default"/>
                <w:w w:val="100"/>
                <w:sz w:val="21"/>
                <w:szCs w:val="21"/>
              </w:rPr>
              <w:t> </w:t>
            </w:r>
            <w:r>
              <w:rPr>
                <w:rFonts w:ascii="宋体" w:hAnsi="宋体" w:cs="宋体" w:eastAsia="宋体" w:hint="default"/>
                <w:sz w:val="21"/>
                <w:szCs w:val="21"/>
              </w:rPr>
              <w:t>总成本比例</w:t>
            </w:r>
            <w:r>
              <w:rPr>
                <w:rFonts w:ascii="宋体" w:hAnsi="宋体" w:cs="宋体" w:eastAsia="宋体" w:hint="default"/>
                <w:w w:val="100"/>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27" w:right="127"/>
              <w:jc w:val="center"/>
              <w:rPr>
                <w:rFonts w:ascii="宋体" w:hAnsi="宋体" w:cs="宋体" w:eastAsia="宋体" w:hint="default"/>
                <w:sz w:val="21"/>
                <w:szCs w:val="21"/>
              </w:rPr>
            </w:pPr>
            <w:r>
              <w:rPr>
                <w:rFonts w:ascii="宋体" w:hAnsi="宋体" w:cs="宋体" w:eastAsia="宋体" w:hint="default"/>
                <w:spacing w:val="-1"/>
                <w:sz w:val="21"/>
                <w:szCs w:val="21"/>
              </w:rPr>
              <w:t>本期金额较上</w:t>
            </w:r>
            <w:r>
              <w:rPr>
                <w:rFonts w:ascii="宋体" w:hAnsi="宋体" w:cs="宋体" w:eastAsia="宋体" w:hint="default"/>
                <w:w w:val="100"/>
                <w:sz w:val="21"/>
                <w:szCs w:val="21"/>
              </w:rPr>
              <w:t> </w:t>
            </w:r>
            <w:r>
              <w:rPr>
                <w:rFonts w:ascii="宋体" w:hAnsi="宋体" w:cs="宋体" w:eastAsia="宋体" w:hint="default"/>
                <w:spacing w:val="-1"/>
                <w:sz w:val="21"/>
                <w:szCs w:val="21"/>
              </w:rPr>
              <w:t>年同期变动比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48" w:right="144"/>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互联网</w:t>
            </w:r>
            <w:r>
              <w:rPr>
                <w:rFonts w:ascii="Calibri" w:hAnsi="Calibri" w:cs="Calibri" w:eastAsia="Calibri" w:hint="default"/>
                <w:sz w:val="21"/>
                <w:szCs w:val="21"/>
              </w:rPr>
              <w:t>+</w:t>
            </w:r>
            <w:r>
              <w:rPr>
                <w:rFonts w:ascii="宋体" w:hAnsi="宋体" w:cs="宋体" w:eastAsia="宋体" w:hint="default"/>
                <w:sz w:val="21"/>
                <w:szCs w:val="21"/>
              </w:rPr>
              <w:t>政务</w:t>
            </w:r>
          </w:p>
        </w:tc>
        <w:tc>
          <w:tcPr>
            <w:tcW w:w="73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194,682,754.37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36.37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196,267,535.97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36.51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-0.81</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62"/>
              <w:jc w:val="left"/>
              <w:rPr>
                <w:rFonts w:ascii="宋体" w:hAnsi="宋体" w:cs="宋体" w:eastAsia="宋体" w:hint="default"/>
                <w:sz w:val="21"/>
                <w:szCs w:val="21"/>
              </w:rPr>
            </w:pPr>
            <w:r>
              <w:rPr>
                <w:rFonts w:ascii="宋体" w:hAnsi="宋体" w:cs="宋体" w:eastAsia="宋体" w:hint="default"/>
                <w:spacing w:val="17"/>
                <w:sz w:val="21"/>
                <w:szCs w:val="21"/>
              </w:rPr>
              <w:t>城市</w:t>
            </w:r>
            <w:r>
              <w:rPr>
                <w:rFonts w:ascii="宋体" w:hAnsi="宋体" w:cs="宋体" w:eastAsia="宋体" w:hint="default"/>
                <w:spacing w:val="-65"/>
                <w:sz w:val="21"/>
                <w:szCs w:val="21"/>
              </w:rPr>
              <w:t> </w:t>
            </w:r>
            <w:r>
              <w:rPr>
                <w:rFonts w:ascii="宋体" w:hAnsi="宋体" w:cs="宋体" w:eastAsia="宋体" w:hint="default"/>
                <w:spacing w:val="23"/>
                <w:sz w:val="21"/>
                <w:szCs w:val="21"/>
              </w:rPr>
              <w:t>公共安</w:t>
            </w:r>
            <w:r>
              <w:rPr>
                <w:rFonts w:ascii="宋体" w:hAnsi="宋体" w:cs="宋体" w:eastAsia="宋体" w:hint="default"/>
                <w:spacing w:val="-99"/>
                <w:sz w:val="21"/>
                <w:szCs w:val="21"/>
              </w:rPr>
              <w:t> </w:t>
            </w:r>
            <w:r>
              <w:rPr>
                <w:rFonts w:ascii="宋体" w:hAnsi="宋体" w:cs="宋体" w:eastAsia="宋体" w:hint="default"/>
                <w:sz w:val="21"/>
                <w:szCs w:val="21"/>
              </w:rPr>
              <w:t>全</w:t>
            </w:r>
          </w:p>
        </w:tc>
        <w:tc>
          <w:tcPr>
            <w:tcW w:w="73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199,146,259.55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37.2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294,508,466.62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54.79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-32.38</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73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128,497,955.53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z w:val="21"/>
              </w:rPr>
              <w:t>24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30,637,012.56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5.70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319.42</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物联网</w:t>
            </w:r>
          </w:p>
        </w:tc>
        <w:tc>
          <w:tcPr>
            <w:tcW w:w="73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5,803,624.45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z w:val="21"/>
              </w:rPr>
              <w:t>1.08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7,488,218.89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z w:val="21"/>
              </w:rPr>
              <w:t>1.39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-22.5</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3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7,204,661.70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1.35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8,611,500.37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1.61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-16.34</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总计</w:t>
            </w:r>
          </w:p>
        </w:tc>
        <w:tc>
          <w:tcPr>
            <w:tcW w:w="73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535,335,255.60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100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537,512,734.48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100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-0.41</w:t>
            </w:r>
          </w:p>
        </w:tc>
        <w:tc>
          <w:tcPr>
            <w:tcW w:w="7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638" w:right="0"/>
        <w:jc w:val="both"/>
      </w:pPr>
      <w:r>
        <w:rPr/>
        <w:t>成本分析其他情况说明</w:t>
      </w:r>
    </w:p>
    <w:p>
      <w:pPr>
        <w:pStyle w:val="BodyText"/>
        <w:spacing w:line="321" w:lineRule="auto" w:before="37"/>
        <w:ind w:left="1118" w:right="0"/>
        <w:jc w:val="left"/>
      </w:pPr>
      <w:r>
        <w:rPr/>
        <w:t>√适用</w:t>
      </w:r>
      <w:r>
        <w:rPr>
          <w:spacing w:val="-2"/>
        </w:rPr>
        <w:t> </w:t>
      </w:r>
      <w:r>
        <w:rPr/>
        <w:t>□不适用</w:t>
      </w:r>
      <w:r>
        <w:rPr>
          <w:spacing w:val="-103"/>
        </w:rPr>
        <w:t> </w:t>
      </w:r>
      <w:r>
        <w:rPr>
          <w:spacing w:val="-103"/>
        </w:rPr>
      </w:r>
      <w:r>
        <w:rPr>
          <w:spacing w:val="-3"/>
        </w:rPr>
        <w:t>公司主要为客户提供软件开发、系统集成和技术服务等的综合型项目服务。报告期内，随着</w:t>
      </w:r>
      <w:r>
        <w:rPr/>
      </w:r>
    </w:p>
    <w:p>
      <w:pPr>
        <w:pStyle w:val="BodyText"/>
        <w:spacing w:line="314" w:lineRule="auto" w:before="13"/>
        <w:ind w:left="638" w:right="628"/>
        <w:jc w:val="both"/>
      </w:pPr>
      <w:r>
        <w:rPr>
          <w:spacing w:val="-4"/>
          <w:w w:val="100"/>
        </w:rPr>
        <w:t>公司自主软件产品成熟度及公司技术能力的不断提升，公司在互联网</w:t>
      </w:r>
      <w:r>
        <w:rPr>
          <w:rFonts w:ascii="宋体" w:hAnsi="宋体" w:cs="宋体" w:eastAsia="宋体" w:hint="default"/>
          <w:spacing w:val="-4"/>
          <w:w w:val="100"/>
        </w:rPr>
        <w:t>+</w:t>
      </w:r>
      <w:r>
        <w:rPr>
          <w:spacing w:val="-4"/>
          <w:w w:val="100"/>
        </w:rPr>
        <w:t>政务与城市公共安全领域的</w:t>
      </w:r>
      <w:r>
        <w:rPr>
          <w:spacing w:val="-86"/>
          <w:w w:val="100"/>
        </w:rPr>
        <w:t> </w:t>
      </w:r>
      <w:r>
        <w:rPr>
          <w:spacing w:val="-86"/>
          <w:w w:val="100"/>
        </w:rPr>
      </w:r>
      <w:r>
        <w:rPr>
          <w:spacing w:val="-1"/>
        </w:rPr>
        <w:t>自主软件产品收入占比提高。同时公司优化外购产品的采购管理，对规模以上的采购实行统一的</w:t>
      </w:r>
      <w:r>
        <w:rPr>
          <w:spacing w:val="-56"/>
        </w:rPr>
        <w:t> </w:t>
      </w:r>
      <w:r>
        <w:rPr>
          <w:spacing w:val="-56"/>
        </w:rPr>
      </w:r>
      <w:r>
        <w:rPr>
          <w:spacing w:val="-1"/>
        </w:rPr>
        <w:t>招标采购，规定须有三家及以上供应商投标参加方为有效，增强了公司采购活动的竞争性，提高</w:t>
      </w:r>
      <w:r>
        <w:rPr>
          <w:spacing w:val="-54"/>
        </w:rPr>
        <w:t> </w:t>
      </w:r>
      <w:r>
        <w:rPr>
          <w:spacing w:val="-54"/>
        </w:rPr>
      </w:r>
      <w:r>
        <w:rPr>
          <w:spacing w:val="-1"/>
        </w:rPr>
        <w:t>了公司与供应商的议价能力，在一定程度上降低了公司的采购成本。以上因素导致公司整体的营</w:t>
      </w:r>
      <w:r>
        <w:rPr>
          <w:spacing w:val="-55"/>
        </w:rPr>
        <w:t> </w:t>
      </w:r>
      <w:r>
        <w:rPr>
          <w:spacing w:val="-55"/>
        </w:rPr>
      </w:r>
      <w:r>
        <w:rPr/>
        <w:t>业成本略有下降。</w:t>
      </w:r>
    </w:p>
    <w:p>
      <w:pPr>
        <w:pStyle w:val="Heading4"/>
        <w:spacing w:line="240" w:lineRule="auto" w:before="25"/>
        <w:ind w:left="638" w:right="0"/>
        <w:jc w:val="both"/>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5"/>
        </w:rPr>
        <w:t> </w:t>
      </w:r>
      <w:r>
        <w:rPr/>
        <w:t>主要销售客户及主要供应商情况</w:t>
      </w:r>
      <w:r>
        <w:rPr>
          <w:b w:val="0"/>
          <w:bCs w:val="0"/>
        </w:rPr>
      </w:r>
    </w:p>
    <w:p>
      <w:pPr>
        <w:pStyle w:val="BodyText"/>
        <w:spacing w:line="240" w:lineRule="auto" w:before="81"/>
        <w:ind w:left="638" w:right="0"/>
        <w:jc w:val="both"/>
      </w:pPr>
      <w:r>
        <w:rPr/>
        <w:t>√适用</w:t>
      </w:r>
      <w:r>
        <w:rPr>
          <w:spacing w:val="-1"/>
        </w:rPr>
        <w:t> </w:t>
      </w:r>
      <w:r>
        <w:rPr/>
        <w:t>□不适用</w:t>
      </w:r>
    </w:p>
    <w:p>
      <w:pPr>
        <w:spacing w:after="0" w:line="240" w:lineRule="auto"/>
        <w:jc w:val="both"/>
        <w:sectPr>
          <w:pgSz w:w="11910" w:h="16840"/>
          <w:pgMar w:header="855" w:footer="979" w:top="1120" w:bottom="1160" w:left="1160" w:right="640"/>
        </w:sectPr>
      </w:pPr>
    </w:p>
    <w:p>
      <w:pPr>
        <w:spacing w:line="240" w:lineRule="auto" w:before="0"/>
        <w:rPr>
          <w:rFonts w:ascii="宋体" w:hAnsi="宋体" w:cs="宋体" w:eastAsia="宋体" w:hint="default"/>
          <w:sz w:val="20"/>
          <w:szCs w:val="20"/>
        </w:rPr>
      </w:pPr>
    </w:p>
    <w:p>
      <w:pPr>
        <w:pStyle w:val="BodyText"/>
        <w:spacing w:line="297" w:lineRule="auto" w:before="180"/>
        <w:ind w:left="338" w:right="348" w:firstLine="419"/>
        <w:jc w:val="both"/>
      </w:pPr>
      <w:r>
        <w:rPr/>
        <w:t>前五名客户销售额 </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49,538.14 </w:t>
      </w:r>
      <w:r>
        <w:rPr>
          <w:rFonts w:ascii="Times New Roman" w:hAnsi="Times New Roman" w:cs="Times New Roman" w:eastAsia="Times New Roman" w:hint="default"/>
        </w:rPr>
      </w:r>
      <w:r>
        <w:rPr>
          <w:spacing w:val="-4"/>
        </w:rPr>
        <w:t>万元，占年度销售方总额</w:t>
      </w:r>
      <w:r>
        <w:rPr>
          <w:spacing w:val="-74"/>
        </w:rPr>
        <w:t> </w:t>
      </w:r>
      <w:r>
        <w:rPr>
          <w:rFonts w:ascii="Times New Roman" w:hAnsi="Times New Roman" w:cs="Times New Roman" w:eastAsia="Times New Roman" w:hint="default"/>
          <w:spacing w:val="-74"/>
        </w:rPr>
      </w:r>
      <w:r>
        <w:rPr>
          <w:rFonts w:ascii="Times New Roman" w:hAnsi="Times New Roman" w:cs="Times New Roman" w:eastAsia="Times New Roman" w:hint="default"/>
          <w:spacing w:val="-3"/>
          <w:u w:val="single" w:color="000000"/>
        </w:rPr>
        <w:t>50.6</w:t>
      </w:r>
      <w:r>
        <w:rPr>
          <w:rFonts w:ascii="Times New Roman" w:hAnsi="Times New Roman" w:cs="Times New Roman" w:eastAsia="Times New Roman" w:hint="default"/>
          <w:spacing w:val="-3"/>
        </w:rPr>
        <w:t>%</w:t>
      </w:r>
      <w:r>
        <w:rPr>
          <w:spacing w:val="-3"/>
        </w:rPr>
        <w:t>；其中前五名客户销售额中关联</w:t>
      </w:r>
      <w:r>
        <w:rPr>
          <w:w w:val="100"/>
        </w:rPr>
        <w:t> </w:t>
      </w:r>
      <w:r>
        <w:rPr/>
        <w:t>方销售额</w:t>
      </w:r>
      <w:r>
        <w:rPr>
          <w:spacing w:val="-53"/>
        </w:rPr>
        <w:t> </w:t>
      </w:r>
      <w:r>
        <w:rPr>
          <w:rFonts w:ascii="Times New Roman" w:hAnsi="Times New Roman" w:cs="Times New Roman" w:eastAsia="Times New Roman" w:hint="default"/>
          <w:spacing w:val="-53"/>
        </w:rPr>
      </w:r>
      <w:r>
        <w:rPr>
          <w:rFonts w:ascii="Times New Roman" w:hAnsi="Times New Roman" w:cs="Times New Roman" w:eastAsia="Times New Roman" w:hint="default"/>
          <w:u w:val="single" w:color="000000"/>
        </w:rPr>
        <w:t>4,086.48 </w:t>
      </w:r>
      <w:r>
        <w:rPr>
          <w:rFonts w:ascii="Times New Roman" w:hAnsi="Times New Roman" w:cs="Times New Roman" w:eastAsia="Times New Roman" w:hint="default"/>
        </w:rPr>
      </w:r>
      <w:r>
        <w:rPr/>
        <w:t>万元，占年度销售总额</w:t>
      </w:r>
      <w:r>
        <w:rPr>
          <w:spacing w:val="-53"/>
        </w:rPr>
        <w:t> </w:t>
      </w:r>
      <w:r>
        <w:rPr>
          <w:rFonts w:ascii="Times New Roman" w:hAnsi="Times New Roman" w:cs="Times New Roman" w:eastAsia="Times New Roman" w:hint="default"/>
          <w:spacing w:val="-53"/>
        </w:rPr>
      </w:r>
      <w:r>
        <w:rPr>
          <w:rFonts w:ascii="Times New Roman" w:hAnsi="Times New Roman" w:cs="Times New Roman" w:eastAsia="Times New Roman" w:hint="default"/>
          <w:u w:val="single" w:color="000000"/>
        </w:rPr>
        <w:t>4.17</w:t>
      </w:r>
      <w:r>
        <w:rPr>
          <w:rFonts w:ascii="Times New Roman" w:hAnsi="Times New Roman" w:cs="Times New Roman" w:eastAsia="Times New Roman" w:hint="default"/>
          <w:spacing w:val="-3"/>
          <w:u w:val="single" w:color="000000"/>
        </w:rPr>
        <w:t> </w:t>
      </w:r>
      <w:r>
        <w:rPr>
          <w:rFonts w:ascii="Times New Roman" w:hAnsi="Times New Roman" w:cs="Times New Roman" w:eastAsia="Times New Roman" w:hint="default"/>
          <w:spacing w:val="-3"/>
        </w:rPr>
      </w:r>
      <w:r>
        <w:rPr>
          <w:rFonts w:ascii="Times New Roman" w:hAnsi="Times New Roman" w:cs="Times New Roman" w:eastAsia="Times New Roman" w:hint="default"/>
        </w:rPr>
        <w:t>%</w:t>
      </w:r>
      <w:r>
        <w:rPr/>
        <w:t>。</w:t>
      </w:r>
    </w:p>
    <w:p>
      <w:pPr>
        <w:pStyle w:val="BodyText"/>
        <w:spacing w:line="297" w:lineRule="auto" w:before="13"/>
        <w:ind w:left="338" w:right="350" w:firstLine="419"/>
        <w:jc w:val="both"/>
      </w:pPr>
      <w:r>
        <w:rPr/>
        <w:t>前五名供应商采购额 </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15,215.62 </w:t>
      </w:r>
      <w:r>
        <w:rPr>
          <w:rFonts w:ascii="Times New Roman" w:hAnsi="Times New Roman" w:cs="Times New Roman" w:eastAsia="Times New Roman" w:hint="default"/>
        </w:rPr>
      </w:r>
      <w:r>
        <w:rPr/>
        <w:t>万元，占年度采购总额</w:t>
      </w:r>
      <w:r>
        <w:rPr>
          <w:spacing w:val="-69"/>
        </w:rPr>
        <w:t> </w:t>
      </w:r>
      <w:r>
        <w:rPr>
          <w:rFonts w:ascii="Times New Roman" w:hAnsi="Times New Roman" w:cs="Times New Roman" w:eastAsia="Times New Roman" w:hint="default"/>
          <w:spacing w:val="-69"/>
        </w:rPr>
      </w:r>
      <w:r>
        <w:rPr>
          <w:rFonts w:ascii="Times New Roman" w:hAnsi="Times New Roman" w:cs="Times New Roman" w:eastAsia="Times New Roman" w:hint="default"/>
          <w:u w:val="single" w:color="000000"/>
        </w:rPr>
        <w:t>19.90%</w:t>
      </w:r>
      <w:r>
        <w:rPr>
          <w:rFonts w:ascii="Times New Roman" w:hAnsi="Times New Roman" w:cs="Times New Roman" w:eastAsia="Times New Roman" w:hint="default"/>
        </w:rPr>
      </w:r>
      <w:r>
        <w:rPr/>
        <w:t>；其中前五名供应商采购额中</w:t>
      </w:r>
      <w:r>
        <w:rPr>
          <w:w w:val="100"/>
        </w:rPr>
        <w:t> </w:t>
      </w:r>
      <w:r>
        <w:rPr/>
        <w:t>关联方采购额</w:t>
      </w:r>
      <w:r>
        <w:rPr>
          <w:spacing w:val="-53"/>
        </w:rPr>
        <w:t> </w:t>
      </w:r>
      <w:r>
        <w:rPr>
          <w:rFonts w:ascii="Times New Roman" w:hAnsi="Times New Roman" w:cs="Times New Roman" w:eastAsia="Times New Roman" w:hint="default"/>
          <w:spacing w:val="-53"/>
        </w:rPr>
      </w:r>
      <w:r>
        <w:rPr>
          <w:rFonts w:ascii="Times New Roman" w:hAnsi="Times New Roman" w:cs="Times New Roman" w:eastAsia="Times New Roman" w:hint="default"/>
          <w:u w:val="single" w:color="000000"/>
        </w:rPr>
        <w:t>0</w:t>
      </w:r>
      <w:r>
        <w:rPr>
          <w:rFonts w:ascii="Times New Roman" w:hAnsi="Times New Roman" w:cs="Times New Roman" w:eastAsia="Times New Roman" w:hint="default"/>
          <w:spacing w:val="-3"/>
          <w:u w:val="single" w:color="000000"/>
        </w:rPr>
        <w:t> </w:t>
      </w:r>
      <w:r>
        <w:rPr>
          <w:u w:val="single" w:color="000000"/>
        </w:rPr>
        <w:t>万元</w:t>
      </w:r>
      <w:r>
        <w:rPr/>
        <w:t>，占年度采购总额</w:t>
      </w:r>
      <w:r>
        <w:rPr>
          <w:spacing w:val="-52"/>
        </w:rPr>
        <w:t> </w:t>
      </w:r>
      <w:r>
        <w:rPr>
          <w:rFonts w:ascii="Times New Roman" w:hAnsi="Times New Roman" w:cs="Times New Roman" w:eastAsia="Times New Roman" w:hint="default"/>
          <w:spacing w:val="-52"/>
        </w:rPr>
      </w:r>
      <w:r>
        <w:rPr>
          <w:rFonts w:ascii="Times New Roman" w:hAnsi="Times New Roman" w:cs="Times New Roman" w:eastAsia="Times New Roman" w:hint="default"/>
          <w:u w:val="single" w:color="000000"/>
        </w:rPr>
        <w:t>0%</w:t>
      </w:r>
      <w:r>
        <w:rPr>
          <w:rFonts w:ascii="Times New Roman" w:hAnsi="Times New Roman" w:cs="Times New Roman" w:eastAsia="Times New Roman" w:hint="default"/>
        </w:rPr>
      </w:r>
      <w:r>
        <w:rPr/>
        <w:t>。</w:t>
      </w:r>
    </w:p>
    <w:p>
      <w:pPr>
        <w:pStyle w:val="BodyText"/>
        <w:spacing w:line="240" w:lineRule="auto" w:before="13"/>
        <w:ind w:left="758" w:right="0"/>
        <w:jc w:val="left"/>
      </w:pPr>
      <w:r>
        <w:rPr/>
        <w:t>其他说明</w:t>
      </w:r>
    </w:p>
    <w:p>
      <w:pPr>
        <w:pStyle w:val="BodyText"/>
        <w:spacing w:line="240" w:lineRule="auto" w:before="85"/>
        <w:ind w:left="818"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月，公司发布《关于全资子公司福建南威软件有限公司引进战略投资者福建省电</w:t>
      </w:r>
    </w:p>
    <w:p>
      <w:pPr>
        <w:pStyle w:val="BodyText"/>
        <w:spacing w:line="240" w:lineRule="auto" w:before="69"/>
        <w:ind w:left="338" w:right="0"/>
        <w:jc w:val="both"/>
        <w:rPr>
          <w:rFonts w:ascii="Times New Roman" w:hAnsi="Times New Roman" w:cs="Times New Roman" w:eastAsia="Times New Roman" w:hint="default"/>
        </w:rPr>
      </w:pPr>
      <w:r>
        <w:rPr/>
        <w:t>子信息（集团）有限责任公司签订增资扩股协议》的公告（公告编号：</w:t>
      </w:r>
      <w:r>
        <w:rPr>
          <w:rFonts w:ascii="Times New Roman" w:hAnsi="Times New Roman" w:cs="Times New Roman" w:eastAsia="Times New Roman" w:hint="default"/>
        </w:rPr>
        <w:t>2017</w:t>
      </w:r>
      <w:r>
        <w:rPr>
          <w:rFonts w:ascii="宋体" w:hAnsi="宋体" w:cs="宋体" w:eastAsia="宋体" w:hint="default"/>
        </w:rPr>
        <w:t>-</w:t>
      </w:r>
      <w:r>
        <w:rPr>
          <w:rFonts w:ascii="Times New Roman" w:hAnsi="Times New Roman" w:cs="Times New Roman" w:eastAsia="Times New Roman" w:hint="default"/>
        </w:rPr>
        <w:t>110</w:t>
      </w:r>
      <w:r>
        <w:rPr/>
        <w:t>），并于 </w:t>
      </w:r>
      <w:r>
        <w:rPr>
          <w:spacing w:val="1"/>
        </w:rPr>
        <w:t> </w:t>
      </w:r>
      <w:r>
        <w:rPr>
          <w:rFonts w:ascii="Times New Roman" w:hAnsi="Times New Roman" w:cs="Times New Roman" w:eastAsia="Times New Roman" w:hint="default"/>
        </w:rPr>
        <w:t>2017</w:t>
      </w:r>
    </w:p>
    <w:p>
      <w:pPr>
        <w:pStyle w:val="BodyText"/>
        <w:spacing w:line="307" w:lineRule="auto" w:before="69"/>
        <w:ind w:left="338" w:right="348"/>
        <w:jc w:val="both"/>
      </w:pP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spacing w:val="-4"/>
        </w:rPr>
        <w:t>日完成股东变更的工商登记手续。根据中国证监会及相关法律法规对关联方的定义，因</w:t>
      </w:r>
      <w:r>
        <w:rPr>
          <w:spacing w:val="-100"/>
        </w:rPr>
        <w:t> </w:t>
      </w:r>
      <w:r>
        <w:rPr>
          <w:spacing w:val="-100"/>
        </w:rPr>
      </w:r>
      <w:r>
        <w:rPr>
          <w:spacing w:val="-1"/>
        </w:rPr>
        <w:t>福建南威软件有限公司为公司的重要控股子公司，自福建南威完成股东工商登记变更之日起，福</w:t>
      </w:r>
      <w:r>
        <w:rPr>
          <w:spacing w:val="-55"/>
        </w:rPr>
        <w:t> </w:t>
      </w:r>
      <w:r>
        <w:rPr>
          <w:spacing w:val="-55"/>
        </w:rPr>
      </w:r>
      <w:r>
        <w:rPr/>
        <w:t>建省电子信息（集团）有限责任公司及其控制的企业成为公司的关联方。</w:t>
      </w:r>
    </w:p>
    <w:p>
      <w:pPr>
        <w:pStyle w:val="BodyText"/>
        <w:spacing w:line="304" w:lineRule="auto" w:before="26"/>
        <w:ind w:left="338" w:right="348" w:firstLine="419"/>
        <w:jc w:val="both"/>
      </w:pPr>
      <w:r>
        <w:rPr>
          <w:spacing w:val="-2"/>
        </w:rPr>
        <w:t>上述关联方销售是公司与福建省电子信息（集团）有限责任公司的控股子公司产生的，因上</w:t>
      </w:r>
      <w:r>
        <w:rPr>
          <w:w w:val="100"/>
        </w:rPr>
        <w:t> </w:t>
      </w:r>
      <w:r>
        <w:rPr>
          <w:spacing w:val="-4"/>
        </w:rPr>
        <w:t>述销售、采购合同签订时点均在</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spacing w:val="-4"/>
        </w:rPr>
        <w:t>月，签约对方在合同签订时尚不是公司的关联方，故无</w:t>
      </w:r>
      <w:r>
        <w:rPr>
          <w:spacing w:val="-101"/>
        </w:rPr>
        <w:t> </w:t>
      </w:r>
      <w:r>
        <w:rPr>
          <w:spacing w:val="-101"/>
        </w:rPr>
      </w:r>
      <w:r>
        <w:rPr/>
        <w:t>须履行相关的审批决策程序及信息披露。</w:t>
      </w:r>
    </w:p>
    <w:p>
      <w:pPr>
        <w:pStyle w:val="Heading4"/>
        <w:spacing w:line="240" w:lineRule="auto" w:before="33"/>
        <w:ind w:left="338" w:right="0"/>
        <w:jc w:val="both"/>
        <w:rPr>
          <w:b w:val="0"/>
          <w:bCs w:val="0"/>
        </w:rPr>
      </w:pPr>
      <w:r>
        <w:rPr>
          <w:rFonts w:ascii="Times New Roman" w:hAnsi="Times New Roman" w:cs="Times New Roman" w:eastAsia="Times New Roman" w:hint="default"/>
        </w:rPr>
        <w:t>3.     </w:t>
      </w:r>
      <w:r>
        <w:rPr/>
        <w:t>费用</w:t>
      </w:r>
      <w:r>
        <w:rPr>
          <w:b w:val="0"/>
          <w:bCs w:val="0"/>
        </w:rPr>
      </w:r>
    </w:p>
    <w:p>
      <w:pPr>
        <w:pStyle w:val="BodyText"/>
        <w:tabs>
          <w:tab w:pos="1660" w:val="left" w:leader="none"/>
        </w:tabs>
        <w:spacing w:line="240" w:lineRule="auto" w:before="81"/>
        <w:ind w:left="818" w:right="0"/>
        <w:jc w:val="left"/>
      </w:pPr>
      <w:r>
        <w:rPr/>
        <w:t>√适用</w:t>
        <w:tab/>
        <w:t>□不适用</w:t>
      </w:r>
    </w:p>
    <w:p>
      <w:pPr>
        <w:spacing w:line="240" w:lineRule="auto" w:before="8"/>
        <w:rPr>
          <w:rFonts w:ascii="宋体" w:hAnsi="宋体" w:cs="宋体" w:eastAsia="宋体"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598"/>
        <w:gridCol w:w="1599"/>
        <w:gridCol w:w="1567"/>
        <w:gridCol w:w="1193"/>
        <w:gridCol w:w="3344"/>
      </w:tblGrid>
      <w:tr>
        <w:trPr>
          <w:trHeight w:val="73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增减比率</w:t>
            </w:r>
          </w:p>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730"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9,582,598.24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7,247,672.28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32.22</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102"/>
              <w:jc w:val="left"/>
              <w:rPr>
                <w:rFonts w:ascii="宋体" w:hAnsi="宋体" w:cs="宋体" w:eastAsia="宋体" w:hint="default"/>
                <w:sz w:val="21"/>
                <w:szCs w:val="21"/>
              </w:rPr>
            </w:pPr>
            <w:r>
              <w:rPr>
                <w:rFonts w:ascii="宋体" w:hAnsi="宋体" w:cs="宋体" w:eastAsia="宋体" w:hint="default"/>
                <w:spacing w:val="10"/>
                <w:sz w:val="21"/>
                <w:szCs w:val="21"/>
              </w:rPr>
              <w:t>主要系报告期收入增加及增值税</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会计政策变更的原因所致</w:t>
            </w:r>
          </w:p>
        </w:tc>
      </w:tr>
      <w:tr>
        <w:trPr>
          <w:trHeight w:val="730"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56,974,256.64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40,945,076.88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39.15</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84"/>
              <w:jc w:val="left"/>
              <w:rPr>
                <w:rFonts w:ascii="宋体" w:hAnsi="宋体" w:cs="宋体" w:eastAsia="宋体" w:hint="default"/>
                <w:sz w:val="21"/>
                <w:szCs w:val="21"/>
              </w:rPr>
            </w:pPr>
            <w:r>
              <w:rPr>
                <w:rFonts w:ascii="宋体" w:hAnsi="宋体" w:cs="宋体" w:eastAsia="宋体" w:hint="default"/>
                <w:spacing w:val="11"/>
                <w:sz w:val="21"/>
                <w:szCs w:val="21"/>
              </w:rPr>
              <w:t>主要系营销宣传与差旅费及营销</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人员薪酬增加等所致。</w:t>
            </w:r>
          </w:p>
        </w:tc>
      </w:tr>
      <w:tr>
        <w:trPr>
          <w:trHeight w:val="1090"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158,473,036.62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102,564,905.34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54.51</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both"/>
              <w:rPr>
                <w:rFonts w:ascii="宋体" w:hAnsi="宋体" w:cs="宋体" w:eastAsia="宋体" w:hint="default"/>
                <w:sz w:val="21"/>
                <w:szCs w:val="21"/>
              </w:rPr>
            </w:pPr>
            <w:r>
              <w:rPr>
                <w:rFonts w:ascii="宋体" w:hAnsi="宋体" w:cs="宋体" w:eastAsia="宋体" w:hint="default"/>
                <w:spacing w:val="10"/>
                <w:sz w:val="21"/>
                <w:szCs w:val="21"/>
              </w:rPr>
              <w:t>主要系资产折旧摊销费用以及新</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11"/>
                <w:sz w:val="21"/>
                <w:szCs w:val="21"/>
              </w:rPr>
              <w:t>设子公司管理人员与薪酬增加所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致。</w:t>
            </w:r>
          </w:p>
        </w:tc>
      </w:tr>
      <w:tr>
        <w:trPr>
          <w:trHeight w:val="370"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22,221,838.94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16,656,111.55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33.42</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主要系研发项目费用化增加所致。</w:t>
            </w:r>
          </w:p>
        </w:tc>
      </w:tr>
      <w:tr>
        <w:trPr>
          <w:trHeight w:val="370"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-2,711,834.95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581,958.82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-565.98</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主要系未确认融资收益摊销所致。</w:t>
            </w:r>
          </w:p>
        </w:tc>
      </w:tr>
      <w:tr>
        <w:trPr>
          <w:trHeight w:val="476"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17,759,912.50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18,499,436.74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-4.00</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hAnsi="宋体" w:cs="宋体" w:eastAsia="宋体" w:hint="default"/>
                <w:sz w:val="21"/>
                <w:szCs w:val="21"/>
              </w:rPr>
              <w:t>主要系应收账款回收较好所致。</w:t>
            </w:r>
          </w:p>
        </w:tc>
      </w:tr>
      <w:tr>
        <w:trPr>
          <w:trHeight w:val="73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48,596,294.24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18,833,539.26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158.03</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10"/>
                <w:sz w:val="21"/>
                <w:szCs w:val="21"/>
              </w:rPr>
              <w:t>主要系利润增加以及递延所得税</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增加所致。</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55" w:footer="979" w:top="1120" w:bottom="1160" w:left="1460" w:right="920"/>
        </w:sectPr>
      </w:pPr>
    </w:p>
    <w:p>
      <w:pPr>
        <w:pStyle w:val="Heading4"/>
        <w:tabs>
          <w:tab w:pos="757" w:val="left" w:leader="none"/>
        </w:tabs>
        <w:spacing w:line="307" w:lineRule="auto"/>
        <w:ind w:left="760" w:right="199" w:hanging="423"/>
        <w:jc w:val="left"/>
        <w:rPr>
          <w:b w:val="0"/>
          <w:bCs w:val="0"/>
        </w:rPr>
      </w:pPr>
      <w:r>
        <w:rPr>
          <w:rFonts w:ascii="Times New Roman" w:hAnsi="Times New Roman" w:cs="Times New Roman" w:eastAsia="Times New Roman" w:hint="default"/>
        </w:rPr>
        <w:t>4.</w:t>
        <w:tab/>
      </w:r>
      <w:r>
        <w:rPr/>
        <w:t>研发投入</w:t>
      </w:r>
      <w:r>
        <w:rPr>
          <w:w w:val="100"/>
        </w:rPr>
        <w:t> </w:t>
      </w:r>
      <w:r>
        <w:rPr/>
        <w:t>研发投入情况表</w:t>
      </w:r>
      <w:r>
        <w:rPr>
          <w:b w:val="0"/>
          <w:bCs w:val="0"/>
        </w:rPr>
      </w:r>
    </w:p>
    <w:p>
      <w:pPr>
        <w:pStyle w:val="BodyText"/>
        <w:tabs>
          <w:tab w:pos="1600" w:val="left" w:leader="none"/>
        </w:tabs>
        <w:spacing w:line="240" w:lineRule="auto" w:before="38"/>
        <w:ind w:left="758"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338" w:right="0"/>
        <w:jc w:val="left"/>
      </w:pPr>
      <w:r>
        <w:rPr/>
        <w:t>单位：元</w:t>
      </w:r>
    </w:p>
    <w:p>
      <w:pPr>
        <w:spacing w:after="0" w:line="240" w:lineRule="auto"/>
        <w:jc w:val="left"/>
        <w:sectPr>
          <w:type w:val="continuous"/>
          <w:pgSz w:w="11910" w:h="16840"/>
          <w:pgMar w:top="1580" w:bottom="280" w:left="1460" w:right="920"/>
          <w:cols w:num="2" w:equalWidth="0">
            <w:col w:w="2441" w:space="5553"/>
            <w:col w:w="1536"/>
          </w:cols>
        </w:sectPr>
      </w:pPr>
    </w:p>
    <w:p>
      <w:pPr>
        <w:spacing w:line="240" w:lineRule="auto" w:before="10"/>
        <w:rPr>
          <w:rFonts w:ascii="宋体" w:hAnsi="宋体" w:cs="宋体" w:eastAsia="宋体" w:hint="default"/>
          <w:sz w:val="3"/>
          <w:szCs w:val="3"/>
        </w:rPr>
      </w:pPr>
    </w:p>
    <w:tbl>
      <w:tblPr>
        <w:tblW w:w="0" w:type="auto"/>
        <w:jc w:val="left"/>
        <w:tblInd w:w="225" w:type="dxa"/>
        <w:tblLayout w:type="fixed"/>
        <w:tblCellMar>
          <w:top w:w="0" w:type="dxa"/>
          <w:left w:w="0" w:type="dxa"/>
          <w:bottom w:w="0" w:type="dxa"/>
          <w:right w:w="0" w:type="dxa"/>
        </w:tblCellMar>
        <w:tblLook w:val="01E0"/>
      </w:tblPr>
      <w:tblGrid>
        <w:gridCol w:w="3965"/>
        <w:gridCol w:w="4859"/>
      </w:tblGrid>
      <w:tr>
        <w:trPr>
          <w:trHeight w:val="370"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22,221,838.94</w:t>
            </w:r>
          </w:p>
        </w:tc>
      </w:tr>
      <w:tr>
        <w:trPr>
          <w:trHeight w:val="370"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54,040,219.48</w:t>
            </w:r>
          </w:p>
        </w:tc>
      </w:tr>
      <w:tr>
        <w:trPr>
          <w:trHeight w:val="370"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76,262,058.42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46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3965"/>
        <w:gridCol w:w="4859"/>
      </w:tblGrid>
      <w:tr>
        <w:trPr>
          <w:trHeight w:val="372"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7.79</w:t>
            </w:r>
          </w:p>
        </w:tc>
      </w:tr>
      <w:tr>
        <w:trPr>
          <w:trHeight w:val="370"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516</w:t>
            </w:r>
          </w:p>
        </w:tc>
      </w:tr>
      <w:tr>
        <w:trPr>
          <w:trHeight w:val="370"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23.99</w:t>
            </w:r>
          </w:p>
        </w:tc>
      </w:tr>
      <w:tr>
        <w:trPr>
          <w:trHeight w:val="370"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70.86</w:t>
            </w:r>
          </w:p>
        </w:tc>
      </w:tr>
    </w:tbl>
    <w:p>
      <w:pPr>
        <w:spacing w:line="240" w:lineRule="auto" w:before="9"/>
        <w:rPr>
          <w:rFonts w:ascii="宋体" w:hAnsi="宋体" w:cs="宋体" w:eastAsia="宋体" w:hint="default"/>
          <w:sz w:val="24"/>
          <w:szCs w:val="24"/>
        </w:rPr>
      </w:pPr>
    </w:p>
    <w:p>
      <w:pPr>
        <w:pStyle w:val="Heading4"/>
        <w:spacing w:line="240" w:lineRule="auto"/>
        <w:ind w:left="238" w:right="0"/>
        <w:jc w:val="left"/>
        <w:rPr>
          <w:b w:val="0"/>
          <w:bCs w:val="0"/>
        </w:rPr>
      </w:pPr>
      <w:r>
        <w:rPr/>
        <w:t>情况说明</w:t>
      </w:r>
      <w:r>
        <w:rPr>
          <w:b w:val="0"/>
          <w:bCs w:val="0"/>
        </w:rPr>
      </w:r>
    </w:p>
    <w:p>
      <w:pPr>
        <w:pStyle w:val="BodyText"/>
        <w:spacing w:line="240" w:lineRule="auto" w:before="97"/>
        <w:ind w:left="658" w:right="0"/>
        <w:jc w:val="left"/>
      </w:pPr>
      <w:r>
        <w:rPr/>
        <w:t>√适用 □不适用</w:t>
      </w:r>
    </w:p>
    <w:p>
      <w:pPr>
        <w:pStyle w:val="BodyText"/>
        <w:spacing w:line="297" w:lineRule="auto" w:before="152"/>
        <w:ind w:left="238" w:right="228" w:firstLine="419"/>
        <w:jc w:val="both"/>
      </w:pPr>
      <w:r>
        <w:rPr/>
        <w:t>报告期内，公司的研发投入总额为 </w:t>
      </w:r>
      <w:r>
        <w:rPr>
          <w:rFonts w:ascii="Times New Roman" w:hAnsi="Times New Roman" w:cs="Times New Roman" w:eastAsia="Times New Roman" w:hint="default"/>
        </w:rPr>
        <w:t>7,626.21 </w:t>
      </w:r>
      <w:r>
        <w:rPr/>
        <w:t>万元，同比增长</w:t>
      </w:r>
      <w:r>
        <w:rPr>
          <w:spacing w:val="-65"/>
        </w:rPr>
        <w:t> </w:t>
      </w:r>
      <w:r>
        <w:rPr>
          <w:rFonts w:ascii="Times New Roman" w:hAnsi="Times New Roman" w:cs="Times New Roman" w:eastAsia="Times New Roman" w:hint="default"/>
        </w:rPr>
        <w:t>7.89%</w:t>
      </w:r>
      <w:r>
        <w:rPr/>
        <w:t>，研发投入占营业收入比</w:t>
      </w:r>
      <w:r>
        <w:rPr>
          <w:w w:val="100"/>
        </w:rPr>
        <w:t> </w:t>
      </w:r>
      <w:r>
        <w:rPr/>
        <w:t>例为</w:t>
      </w:r>
      <w:r>
        <w:rPr>
          <w:spacing w:val="-41"/>
        </w:rPr>
        <w:t> </w:t>
      </w:r>
      <w:r>
        <w:rPr>
          <w:rFonts w:ascii="Times New Roman" w:hAnsi="Times New Roman" w:cs="Times New Roman" w:eastAsia="Times New Roman" w:hint="default"/>
          <w:spacing w:val="-4"/>
        </w:rPr>
        <w:t>7.79%</w:t>
      </w:r>
      <w:r>
        <w:rPr>
          <w:spacing w:val="-4"/>
        </w:rPr>
        <w:t>，同比上年减少</w:t>
      </w:r>
      <w:r>
        <w:rPr>
          <w:spacing w:val="-40"/>
        </w:rPr>
        <w:t> </w:t>
      </w:r>
      <w:r>
        <w:rPr>
          <w:rFonts w:ascii="Times New Roman" w:hAnsi="Times New Roman" w:cs="Times New Roman" w:eastAsia="Times New Roman" w:hint="default"/>
        </w:rPr>
        <w:t>0.97</w:t>
      </w:r>
      <w:r>
        <w:rPr>
          <w:rFonts w:ascii="Times New Roman" w:hAnsi="Times New Roman" w:cs="Times New Roman" w:eastAsia="Times New Roman" w:hint="default"/>
          <w:spacing w:val="12"/>
        </w:rPr>
        <w:t> </w:t>
      </w:r>
      <w:r>
        <w:rPr>
          <w:spacing w:val="-3"/>
        </w:rPr>
        <w:t>个百分点。研发投入的资本化比重为</w:t>
      </w:r>
      <w:r>
        <w:rPr>
          <w:spacing w:val="-41"/>
        </w:rPr>
        <w:t> </w:t>
      </w:r>
      <w:r>
        <w:rPr>
          <w:rFonts w:ascii="Times New Roman" w:hAnsi="Times New Roman" w:cs="Times New Roman" w:eastAsia="Times New Roman" w:hint="default"/>
          <w:spacing w:val="-3"/>
        </w:rPr>
        <w:t>70.86%</w:t>
      </w:r>
      <w:r>
        <w:rPr>
          <w:spacing w:val="-3"/>
        </w:rPr>
        <w:t>，同比上期资本化比</w:t>
      </w:r>
      <w:r>
        <w:rPr>
          <w:spacing w:val="-100"/>
        </w:rPr>
        <w:t> </w:t>
      </w:r>
      <w:r>
        <w:rPr>
          <w:spacing w:val="-100"/>
        </w:rPr>
      </w:r>
      <w:r>
        <w:rPr/>
        <w:t>重下降了</w:t>
      </w:r>
      <w:r>
        <w:rPr>
          <w:spacing w:val="-53"/>
        </w:rPr>
        <w:t> </w:t>
      </w:r>
      <w:r>
        <w:rPr>
          <w:rFonts w:ascii="Times New Roman" w:hAnsi="Times New Roman" w:cs="Times New Roman" w:eastAsia="Times New Roman" w:hint="default"/>
        </w:rPr>
        <w:t>5.58</w:t>
      </w:r>
      <w:r>
        <w:rPr>
          <w:rFonts w:ascii="Times New Roman" w:hAnsi="Times New Roman" w:cs="Times New Roman" w:eastAsia="Times New Roman" w:hint="default"/>
          <w:spacing w:val="-3"/>
        </w:rPr>
        <w:t> </w:t>
      </w:r>
      <w:r>
        <w:rPr/>
        <w:t>个百分点。</w:t>
      </w:r>
    </w:p>
    <w:p>
      <w:pPr>
        <w:pStyle w:val="Heading4"/>
        <w:tabs>
          <w:tab w:pos="657" w:val="left" w:leader="none"/>
        </w:tabs>
        <w:spacing w:line="240" w:lineRule="auto" w:before="18"/>
        <w:ind w:left="238" w:right="0"/>
        <w:jc w:val="left"/>
        <w:rPr>
          <w:b w:val="0"/>
          <w:bCs w:val="0"/>
        </w:rPr>
      </w:pPr>
      <w:r>
        <w:rPr>
          <w:rFonts w:ascii="Times New Roman" w:hAnsi="Times New Roman" w:cs="Times New Roman" w:eastAsia="Times New Roman" w:hint="default"/>
        </w:rPr>
        <w:t>5.</w:t>
        <w:tab/>
      </w:r>
      <w:r>
        <w:rPr/>
        <w:t>现金流</w:t>
      </w:r>
      <w:r>
        <w:rPr>
          <w:b w:val="0"/>
          <w:bCs w:val="0"/>
        </w:rPr>
      </w:r>
    </w:p>
    <w:p>
      <w:pPr>
        <w:pStyle w:val="BodyText"/>
        <w:tabs>
          <w:tab w:pos="1080" w:val="left" w:leader="none"/>
        </w:tabs>
        <w:spacing w:line="240" w:lineRule="auto" w:before="81"/>
        <w:ind w:left="238" w:right="0"/>
        <w:jc w:val="left"/>
      </w:pPr>
      <w:r>
        <w:rPr/>
        <w:t>√适用</w:t>
        <w:tab/>
        <w:t>□不适用</w:t>
      </w:r>
    </w:p>
    <w:p>
      <w:pPr>
        <w:spacing w:line="240" w:lineRule="auto" w:before="8"/>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694"/>
        <w:gridCol w:w="1957"/>
        <w:gridCol w:w="1702"/>
        <w:gridCol w:w="1135"/>
        <w:gridCol w:w="2590"/>
      </w:tblGrid>
      <w:tr>
        <w:trPr>
          <w:trHeight w:val="730"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增长比率</w:t>
            </w:r>
          </w:p>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1092"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103" w:right="96"/>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现金流量净额</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-269,780,968.06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138,408,077.65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-294.92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0" w:right="91"/>
              <w:jc w:val="both"/>
              <w:rPr>
                <w:rFonts w:ascii="宋体" w:hAnsi="宋体" w:cs="宋体" w:eastAsia="宋体" w:hint="default"/>
                <w:sz w:val="21"/>
                <w:szCs w:val="21"/>
              </w:rPr>
            </w:pPr>
            <w:r>
              <w:rPr>
                <w:rFonts w:ascii="宋体" w:hAnsi="宋体" w:cs="宋体" w:eastAsia="宋体" w:hint="default"/>
                <w:spacing w:val="4"/>
                <w:sz w:val="21"/>
                <w:szCs w:val="21"/>
              </w:rPr>
              <w:t>主要系报告期内销售增长</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项目采购支出及员工薪酬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支出增加所致。</w:t>
            </w:r>
          </w:p>
        </w:tc>
      </w:tr>
      <w:tr>
        <w:trPr>
          <w:trHeight w:val="1090"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103" w:right="96"/>
              <w:jc w:val="left"/>
              <w:rPr>
                <w:rFonts w:ascii="宋体" w:hAnsi="宋体" w:cs="宋体" w:eastAsia="宋体" w:hint="default"/>
                <w:sz w:val="21"/>
                <w:szCs w:val="21"/>
              </w:rPr>
            </w:pPr>
            <w:r>
              <w:rPr>
                <w:rFonts w:ascii="宋体" w:hAnsi="宋体" w:cs="宋体" w:eastAsia="宋体" w:hint="default"/>
                <w:sz w:val="21"/>
                <w:szCs w:val="21"/>
              </w:rPr>
              <w:t>投资活动产生的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现金流量净额</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37,001,695.69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-199,976,307.26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118.50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0" w:right="99"/>
              <w:jc w:val="both"/>
              <w:rPr>
                <w:rFonts w:ascii="宋体" w:hAnsi="宋体" w:cs="宋体" w:eastAsia="宋体" w:hint="default"/>
                <w:sz w:val="21"/>
                <w:szCs w:val="21"/>
              </w:rPr>
            </w:pPr>
            <w:r>
              <w:rPr>
                <w:rFonts w:ascii="宋体" w:hAnsi="宋体" w:cs="宋体" w:eastAsia="宋体" w:hint="default"/>
                <w:spacing w:val="3"/>
                <w:sz w:val="21"/>
                <w:szCs w:val="21"/>
              </w:rPr>
              <w:t>主要系报告期内赎回理财</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投资款及收到子公司的股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权转让款所致。</w:t>
            </w:r>
          </w:p>
        </w:tc>
      </w:tr>
      <w:tr>
        <w:trPr>
          <w:trHeight w:val="730"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6"/>
              <w:jc w:val="left"/>
              <w:rPr>
                <w:rFonts w:ascii="宋体" w:hAnsi="宋体" w:cs="宋体" w:eastAsia="宋体" w:hint="default"/>
                <w:sz w:val="21"/>
                <w:szCs w:val="21"/>
              </w:rPr>
            </w:pPr>
            <w:r>
              <w:rPr>
                <w:rFonts w:ascii="宋体" w:hAnsi="宋体" w:cs="宋体" w:eastAsia="宋体" w:hint="default"/>
                <w:sz w:val="21"/>
                <w:szCs w:val="21"/>
              </w:rPr>
              <w:t>筹资活动产生的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现金流量净额</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568,812,078.50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-39,020,805.70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1,557.71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101"/>
              <w:jc w:val="left"/>
              <w:rPr>
                <w:rFonts w:ascii="宋体" w:hAnsi="宋体" w:cs="宋体" w:eastAsia="宋体" w:hint="default"/>
                <w:sz w:val="21"/>
                <w:szCs w:val="21"/>
              </w:rPr>
            </w:pPr>
            <w:r>
              <w:rPr>
                <w:rFonts w:ascii="宋体" w:hAnsi="宋体" w:cs="宋体" w:eastAsia="宋体" w:hint="default"/>
                <w:spacing w:val="3"/>
                <w:sz w:val="21"/>
                <w:szCs w:val="21"/>
              </w:rPr>
              <w:t>主要系报告期配股的募集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资金流入所致。</w:t>
            </w:r>
          </w:p>
        </w:tc>
      </w:tr>
    </w:tbl>
    <w:p>
      <w:pPr>
        <w:spacing w:line="240" w:lineRule="auto" w:before="9"/>
        <w:rPr>
          <w:rFonts w:ascii="宋体" w:hAnsi="宋体" w:cs="宋体" w:eastAsia="宋体" w:hint="default"/>
          <w:sz w:val="24"/>
          <w:szCs w:val="24"/>
        </w:rPr>
      </w:pPr>
    </w:p>
    <w:p>
      <w:pPr>
        <w:pStyle w:val="Heading4"/>
        <w:tabs>
          <w:tab w:pos="1077" w:val="left" w:leader="none"/>
        </w:tabs>
        <w:spacing w:line="240" w:lineRule="auto"/>
        <w:ind w:left="2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97"/>
        <w:ind w:left="238" w:right="0"/>
        <w:jc w:val="left"/>
      </w:pPr>
      <w:r>
        <w:rPr/>
        <w:t>□适用</w:t>
      </w:r>
      <w:r>
        <w:rPr>
          <w:spacing w:val="-1"/>
        </w:rPr>
        <w:t> </w:t>
      </w:r>
      <w:r>
        <w:rPr/>
        <w:t>√不适用</w:t>
      </w:r>
    </w:p>
    <w:p>
      <w:pPr>
        <w:spacing w:after="0" w:line="240" w:lineRule="auto"/>
        <w:jc w:val="left"/>
        <w:sectPr>
          <w:pgSz w:w="11910" w:h="16840"/>
          <w:pgMar w:header="855" w:footer="979" w:top="1120" w:bottom="1160" w:left="15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2"/>
          <w:footerReference w:type="default" r:id="rId13"/>
          <w:pgSz w:w="16840" w:h="11910" w:orient="landscape"/>
          <w:pgMar w:header="855" w:footer="980" w:top="1120" w:bottom="1160" w:left="1220" w:right="1300"/>
          <w:pgNumType w:start="22"/>
        </w:sectPr>
      </w:pPr>
    </w:p>
    <w:p>
      <w:pPr>
        <w:spacing w:line="240" w:lineRule="auto" w:before="7"/>
        <w:rPr>
          <w:rFonts w:ascii="宋体" w:hAnsi="宋体" w:cs="宋体" w:eastAsia="宋体" w:hint="default"/>
          <w:sz w:val="15"/>
          <w:szCs w:val="15"/>
        </w:rPr>
      </w:pPr>
    </w:p>
    <w:p>
      <w:pPr>
        <w:pStyle w:val="Heading4"/>
        <w:tabs>
          <w:tab w:pos="1060" w:val="left" w:leader="none"/>
        </w:tabs>
        <w:spacing w:line="240" w:lineRule="auto" w:before="0"/>
        <w:ind w:left="220" w:right="-1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BodyText"/>
        <w:tabs>
          <w:tab w:pos="964" w:val="left" w:leader="none"/>
        </w:tabs>
        <w:spacing w:line="240" w:lineRule="auto" w:before="111"/>
        <w:ind w:left="122" w:right="0"/>
        <w:jc w:val="center"/>
      </w:pPr>
      <w:r>
        <w:rPr>
          <w:spacing w:val="-1"/>
        </w:rPr>
        <w:t>√适用</w:t>
        <w:tab/>
      </w:r>
      <w:r>
        <w:rPr>
          <w:spacing w:val="-2"/>
        </w:rPr>
        <w:t>□不适用</w:t>
      </w:r>
    </w:p>
    <w:p>
      <w:pPr>
        <w:pStyle w:val="Heading4"/>
        <w:tabs>
          <w:tab w:pos="645" w:val="left" w:leader="none"/>
        </w:tabs>
        <w:spacing w:line="240" w:lineRule="auto" w:before="109"/>
        <w:ind w:left="220" w:right="-17"/>
        <w:jc w:val="left"/>
        <w:rPr>
          <w:b w:val="0"/>
          <w:bCs w:val="0"/>
        </w:rPr>
      </w:pPr>
      <w:r>
        <w:rPr>
          <w:rFonts w:ascii="Times New Roman" w:hAnsi="Times New Roman" w:cs="Times New Roman" w:eastAsia="Times New Roman" w:hint="default"/>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p>
      <w:pPr>
        <w:pStyle w:val="BodyText"/>
        <w:spacing w:line="240" w:lineRule="auto"/>
        <w:ind w:left="220" w:right="0"/>
        <w:jc w:val="left"/>
      </w:pPr>
      <w:r>
        <w:rPr/>
        <w:t>单位：元</w:t>
      </w:r>
    </w:p>
    <w:p>
      <w:pPr>
        <w:spacing w:after="0" w:line="240" w:lineRule="auto"/>
        <w:jc w:val="left"/>
        <w:sectPr>
          <w:type w:val="continuous"/>
          <w:pgSz w:w="16840" w:h="11910" w:orient="landscape"/>
          <w:pgMar w:top="1580" w:bottom="280" w:left="1220" w:right="1300"/>
          <w:cols w:num="2" w:equalWidth="0">
            <w:col w:w="2962" w:space="10072"/>
            <w:col w:w="1286"/>
          </w:cols>
        </w:sectPr>
      </w:pPr>
    </w:p>
    <w:p>
      <w:pPr>
        <w:spacing w:line="240" w:lineRule="auto" w:before="5"/>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1961"/>
        <w:gridCol w:w="1529"/>
        <w:gridCol w:w="1690"/>
        <w:gridCol w:w="1529"/>
        <w:gridCol w:w="1688"/>
        <w:gridCol w:w="2137"/>
        <w:gridCol w:w="3557"/>
      </w:tblGrid>
      <w:tr>
        <w:trPr>
          <w:trHeight w:val="73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5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3"/>
              <w:jc w:val="left"/>
              <w:rPr>
                <w:rFonts w:ascii="宋体" w:hAnsi="宋体" w:cs="宋体" w:eastAsia="宋体" w:hint="default"/>
                <w:sz w:val="21"/>
                <w:szCs w:val="21"/>
              </w:rPr>
            </w:pPr>
            <w:r>
              <w:rPr>
                <w:rFonts w:ascii="宋体" w:hAnsi="宋体" w:cs="宋体" w:eastAsia="宋体" w:hint="default"/>
                <w:sz w:val="21"/>
                <w:szCs w:val="21"/>
              </w:rPr>
              <w:t>本期期末数占总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0"/>
                <w:sz w:val="21"/>
                <w:szCs w:val="21"/>
              </w:rPr>
              <w:t>资产的比例（</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5"/>
              <w:jc w:val="left"/>
              <w:rPr>
                <w:rFonts w:ascii="宋体" w:hAnsi="宋体" w:cs="宋体" w:eastAsia="宋体" w:hint="default"/>
                <w:sz w:val="21"/>
                <w:szCs w:val="21"/>
              </w:rPr>
            </w:pPr>
            <w:r>
              <w:rPr>
                <w:rFonts w:ascii="宋体" w:hAnsi="宋体" w:cs="宋体" w:eastAsia="宋体" w:hint="default"/>
                <w:sz w:val="21"/>
                <w:szCs w:val="21"/>
              </w:rPr>
              <w:t>上期期末数占总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0"/>
                <w:sz w:val="21"/>
                <w:szCs w:val="21"/>
              </w:rPr>
              <w:t>资产的比例（</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34" w:right="113" w:hanging="17"/>
              <w:jc w:val="left"/>
              <w:rPr>
                <w:rFonts w:ascii="宋体" w:hAnsi="宋体" w:cs="宋体" w:eastAsia="宋体" w:hint="default"/>
                <w:sz w:val="21"/>
                <w:szCs w:val="21"/>
              </w:rPr>
            </w:pPr>
            <w:r>
              <w:rPr>
                <w:rFonts w:ascii="宋体" w:hAnsi="宋体" w:cs="宋体" w:eastAsia="宋体" w:hint="default"/>
                <w:sz w:val="21"/>
                <w:szCs w:val="21"/>
              </w:rPr>
              <w:t>本期期末金额较上期</w:t>
            </w:r>
            <w:r>
              <w:rPr>
                <w:rFonts w:ascii="宋体" w:hAnsi="宋体" w:cs="宋体" w:eastAsia="宋体" w:hint="default"/>
                <w:w w:val="100"/>
                <w:sz w:val="21"/>
                <w:szCs w:val="21"/>
              </w:rPr>
              <w:t> </w:t>
            </w:r>
            <w:r>
              <w:rPr>
                <w:rFonts w:ascii="宋体" w:hAnsi="宋体" w:cs="宋体" w:eastAsia="宋体" w:hint="default"/>
                <w:sz w:val="21"/>
                <w:szCs w:val="21"/>
              </w:rPr>
              <w:t>期末变动比例（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73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16,831,783.07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13,797.74</w:t>
            </w:r>
          </w:p>
        </w:tc>
        <w:tc>
          <w:tcPr>
            <w:tcW w:w="168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121,889.42</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7"/>
              <w:jc w:val="left"/>
              <w:rPr>
                <w:rFonts w:ascii="宋体" w:hAnsi="宋体" w:cs="宋体" w:eastAsia="宋体" w:hint="default"/>
                <w:sz w:val="21"/>
                <w:szCs w:val="21"/>
              </w:rPr>
            </w:pPr>
            <w:r>
              <w:rPr>
                <w:rFonts w:ascii="宋体" w:hAnsi="宋体" w:cs="宋体" w:eastAsia="宋体" w:hint="default"/>
                <w:spacing w:val="10"/>
                <w:sz w:val="21"/>
                <w:szCs w:val="21"/>
              </w:rPr>
              <w:t>主要系分期收款增加形成应纳税暂</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时性差异所致。</w:t>
            </w:r>
          </w:p>
        </w:tc>
      </w:tr>
      <w:tr>
        <w:trPr>
          <w:trHeight w:val="732"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20,449,093.64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0.68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-1,631,481.58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1,353.41</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7"/>
              <w:jc w:val="left"/>
              <w:rPr>
                <w:rFonts w:ascii="宋体" w:hAnsi="宋体" w:cs="宋体" w:eastAsia="宋体" w:hint="default"/>
                <w:sz w:val="21"/>
                <w:szCs w:val="21"/>
              </w:rPr>
            </w:pPr>
            <w:r>
              <w:rPr>
                <w:rFonts w:ascii="宋体" w:hAnsi="宋体" w:cs="宋体" w:eastAsia="宋体" w:hint="default"/>
                <w:spacing w:val="10"/>
                <w:sz w:val="21"/>
                <w:szCs w:val="21"/>
              </w:rPr>
              <w:t>主要系非同一控制下企业合并的非</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全资子公司影响</w:t>
            </w:r>
          </w:p>
        </w:tc>
      </w:tr>
      <w:tr>
        <w:trPr>
          <w:trHeight w:val="37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1,640,129.31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0.05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209,867.68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0.01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z w:val="21"/>
              </w:rPr>
              <w:t>681.51</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主要系子公司展厅装修所致。</w:t>
            </w:r>
          </w:p>
        </w:tc>
      </w:tr>
      <w:tr>
        <w:trPr>
          <w:trHeight w:val="73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708,204,790.83</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23.60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180,342,840.48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9.18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292.70</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5"/>
              <w:jc w:val="left"/>
              <w:rPr>
                <w:rFonts w:ascii="宋体" w:hAnsi="宋体" w:cs="宋体" w:eastAsia="宋体" w:hint="default"/>
                <w:sz w:val="21"/>
                <w:szCs w:val="21"/>
              </w:rPr>
            </w:pPr>
            <w:r>
              <w:rPr>
                <w:rFonts w:ascii="宋体" w:hAnsi="宋体" w:cs="宋体" w:eastAsia="宋体" w:hint="default"/>
                <w:spacing w:val="10"/>
                <w:sz w:val="21"/>
                <w:szCs w:val="21"/>
              </w:rPr>
              <w:t>主要系公司公开发行配股产生的资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本溢价所致。</w:t>
            </w:r>
          </w:p>
        </w:tc>
      </w:tr>
      <w:tr>
        <w:trPr>
          <w:trHeight w:val="109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702,889,910.08</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23.45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207,050,074.30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10.54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239.48</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6"/>
              <w:jc w:val="both"/>
              <w:rPr>
                <w:rFonts w:ascii="宋体" w:hAnsi="宋体" w:cs="宋体" w:eastAsia="宋体" w:hint="default"/>
                <w:sz w:val="21"/>
                <w:szCs w:val="21"/>
              </w:rPr>
            </w:pPr>
            <w:r>
              <w:rPr>
                <w:rFonts w:ascii="宋体" w:hAnsi="宋体" w:cs="宋体" w:eastAsia="宋体" w:hint="default"/>
                <w:sz w:val="21"/>
                <w:szCs w:val="21"/>
              </w:rPr>
              <w:t>主要系报告期验收</w:t>
            </w:r>
            <w:r>
              <w:rPr>
                <w:rFonts w:ascii="宋体" w:hAnsi="宋体" w:cs="宋体" w:eastAsia="宋体" w:hint="default"/>
                <w:spacing w:val="-62"/>
                <w:sz w:val="21"/>
                <w:szCs w:val="21"/>
              </w:rPr>
              <w:t> </w:t>
            </w:r>
            <w:r>
              <w:rPr>
                <w:rFonts w:ascii="宋体" w:hAnsi="宋体" w:cs="宋体" w:eastAsia="宋体" w:hint="default"/>
                <w:sz w:val="21"/>
                <w:szCs w:val="21"/>
              </w:rPr>
              <w:t>PPP</w:t>
            </w:r>
            <w:r>
              <w:rPr>
                <w:rFonts w:ascii="宋体" w:hAnsi="宋体" w:cs="宋体" w:eastAsia="宋体" w:hint="default"/>
                <w:spacing w:val="-64"/>
                <w:sz w:val="21"/>
                <w:szCs w:val="21"/>
              </w:rPr>
              <w:t> </w:t>
            </w:r>
            <w:r>
              <w:rPr>
                <w:rFonts w:ascii="宋体" w:hAnsi="宋体" w:cs="宋体" w:eastAsia="宋体" w:hint="default"/>
                <w:sz w:val="21"/>
                <w:szCs w:val="21"/>
              </w:rPr>
              <w:t>项目及政府购</w:t>
            </w:r>
            <w:r>
              <w:rPr>
                <w:rFonts w:ascii="宋体" w:hAnsi="宋体" w:cs="宋体" w:eastAsia="宋体" w:hint="default"/>
                <w:w w:val="100"/>
                <w:sz w:val="21"/>
                <w:szCs w:val="21"/>
              </w:rPr>
              <w:t> </w:t>
            </w:r>
            <w:r>
              <w:rPr>
                <w:rFonts w:ascii="宋体" w:hAnsi="宋体" w:cs="宋体" w:eastAsia="宋体" w:hint="default"/>
                <w:spacing w:val="10"/>
                <w:sz w:val="21"/>
                <w:szCs w:val="21"/>
              </w:rPr>
              <w:t>买服务项目验收结转收入但是应收</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款项需要分期收回所致。</w:t>
            </w:r>
          </w:p>
        </w:tc>
      </w:tr>
      <w:tr>
        <w:trPr>
          <w:trHeight w:val="109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209,824,635.34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7.00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81,142,857.14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4.13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158.59</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79"/>
              <w:jc w:val="both"/>
              <w:rPr>
                <w:rFonts w:ascii="宋体" w:hAnsi="宋体" w:cs="宋体" w:eastAsia="宋体" w:hint="default"/>
                <w:sz w:val="21"/>
                <w:szCs w:val="21"/>
              </w:rPr>
            </w:pPr>
            <w:r>
              <w:rPr>
                <w:rFonts w:ascii="宋体" w:hAnsi="宋体" w:cs="宋体" w:eastAsia="宋体" w:hint="default"/>
                <w:spacing w:val="11"/>
                <w:sz w:val="21"/>
                <w:szCs w:val="21"/>
              </w:rPr>
              <w:t>主要系报告期内企业实施并购重组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10"/>
                <w:sz w:val="21"/>
                <w:szCs w:val="21"/>
              </w:rPr>
              <w:t>但尚有部分股权转让款分期支付所</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致。</w:t>
            </w:r>
          </w:p>
        </w:tc>
      </w:tr>
      <w:tr>
        <w:trPr>
          <w:trHeight w:val="37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195,522,147.61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6.52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89,199,109.24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4.54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z w:val="21"/>
              </w:rPr>
              <w:t>119.20</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主要系报告期内新增对外投资所致。</w:t>
            </w:r>
          </w:p>
        </w:tc>
      </w:tr>
      <w:tr>
        <w:trPr>
          <w:trHeight w:val="732"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9,376,590.56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0.31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4,411,849.92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0.22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112.53</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5"/>
              <w:jc w:val="left"/>
              <w:rPr>
                <w:rFonts w:ascii="宋体" w:hAnsi="宋体" w:cs="宋体" w:eastAsia="宋体" w:hint="default"/>
                <w:sz w:val="21"/>
                <w:szCs w:val="21"/>
              </w:rPr>
            </w:pPr>
            <w:r>
              <w:rPr>
                <w:rFonts w:ascii="宋体" w:hAnsi="宋体" w:cs="宋体" w:eastAsia="宋体" w:hint="default"/>
                <w:spacing w:val="10"/>
                <w:sz w:val="21"/>
                <w:szCs w:val="21"/>
              </w:rPr>
              <w:t>主要系报告期内子公司固定资产的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支出增加所致。</w:t>
            </w:r>
          </w:p>
        </w:tc>
      </w:tr>
      <w:tr>
        <w:trPr>
          <w:trHeight w:val="37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599,856,207.80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20.01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288,368,442.20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14.68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z w:val="21"/>
              </w:rPr>
              <w:t>108.02</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
                <w:sz w:val="21"/>
                <w:szCs w:val="21"/>
              </w:rPr>
              <w:t>主要系报告期内销售增长，销售回款</w:t>
            </w:r>
          </w:p>
        </w:tc>
      </w:tr>
    </w:tbl>
    <w:p>
      <w:pPr>
        <w:spacing w:after="0" w:line="240" w:lineRule="auto"/>
        <w:jc w:val="left"/>
        <w:rPr>
          <w:rFonts w:ascii="宋体" w:hAnsi="宋体" w:cs="宋体" w:eastAsia="宋体" w:hint="default"/>
          <w:sz w:val="21"/>
          <w:szCs w:val="21"/>
        </w:rPr>
        <w:sectPr>
          <w:type w:val="continuous"/>
          <w:pgSz w:w="16840" w:h="11910" w:orient="landscape"/>
          <w:pgMar w:top="1580" w:bottom="2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961"/>
        <w:gridCol w:w="1529"/>
        <w:gridCol w:w="1690"/>
        <w:gridCol w:w="1529"/>
        <w:gridCol w:w="1688"/>
        <w:gridCol w:w="2137"/>
        <w:gridCol w:w="3557"/>
      </w:tblGrid>
      <w:tr>
        <w:trPr>
          <w:trHeight w:val="370" w:hRule="exact"/>
        </w:trPr>
        <w:tc>
          <w:tcPr>
            <w:tcW w:w="196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加快以及配股募集的流入所致</w:t>
            </w:r>
          </w:p>
        </w:tc>
      </w:tr>
      <w:tr>
        <w:trPr>
          <w:trHeight w:val="37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60,889,912.97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2.03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29,798,901.11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1.52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z w:val="21"/>
              </w:rPr>
              <w:t>104.34</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主要系报告期内加大研发投入所致。</w:t>
            </w:r>
          </w:p>
        </w:tc>
      </w:tr>
      <w:tr>
        <w:trPr>
          <w:trHeight w:val="109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55,131,616.56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1.84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27,130,109.42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1.38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103.21</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5"/>
              <w:jc w:val="both"/>
              <w:rPr>
                <w:rFonts w:ascii="宋体" w:hAnsi="宋体" w:cs="宋体" w:eastAsia="宋体" w:hint="default"/>
                <w:sz w:val="21"/>
                <w:szCs w:val="21"/>
              </w:rPr>
            </w:pPr>
            <w:r>
              <w:rPr>
                <w:rFonts w:ascii="宋体" w:hAnsi="宋体" w:cs="宋体" w:eastAsia="宋体" w:hint="default"/>
                <w:spacing w:val="10"/>
                <w:sz w:val="21"/>
                <w:szCs w:val="21"/>
              </w:rPr>
              <w:t>主要系报告期内公司业务拓展以及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10"/>
                <w:sz w:val="21"/>
                <w:szCs w:val="21"/>
              </w:rPr>
              <w:t>人员增长年末待支付的薪酬增加所</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致。</w:t>
            </w:r>
          </w:p>
        </w:tc>
      </w:tr>
      <w:tr>
        <w:trPr>
          <w:trHeight w:val="37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2,000,000.00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0.07</w:t>
            </w:r>
          </w:p>
        </w:tc>
        <w:tc>
          <w:tcPr>
            <w:tcW w:w="152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z w:val="21"/>
              </w:rPr>
              <w:t>100.00</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主要系报告期内新增对外投资所致。</w:t>
            </w:r>
          </w:p>
        </w:tc>
      </w:tr>
      <w:tr>
        <w:trPr>
          <w:trHeight w:val="372"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178,550,549.69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z w:val="21"/>
              </w:rPr>
              <w:t>5.96</w:t>
            </w:r>
          </w:p>
        </w:tc>
        <w:tc>
          <w:tcPr>
            <w:tcW w:w="152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z w:val="21"/>
              </w:rPr>
              <w:t>100.00</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主要系报告期实施并购所致。</w:t>
            </w:r>
          </w:p>
        </w:tc>
      </w:tr>
      <w:tr>
        <w:trPr>
          <w:trHeight w:val="73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32,200,000.00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1.07</w:t>
            </w:r>
          </w:p>
        </w:tc>
        <w:tc>
          <w:tcPr>
            <w:tcW w:w="152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5"/>
              <w:jc w:val="left"/>
              <w:rPr>
                <w:rFonts w:ascii="宋体" w:hAnsi="宋体" w:cs="宋体" w:eastAsia="宋体" w:hint="default"/>
                <w:sz w:val="21"/>
                <w:szCs w:val="21"/>
              </w:rPr>
            </w:pPr>
            <w:r>
              <w:rPr>
                <w:rFonts w:ascii="宋体" w:hAnsi="宋体" w:cs="宋体" w:eastAsia="宋体" w:hint="default"/>
                <w:spacing w:val="10"/>
                <w:sz w:val="21"/>
                <w:szCs w:val="21"/>
              </w:rPr>
              <w:t>主要系报告期内并购的太极云软子</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公司发生的银行借款所致。</w:t>
            </w:r>
          </w:p>
        </w:tc>
      </w:tr>
      <w:tr>
        <w:trPr>
          <w:trHeight w:val="109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both"/>
              <w:rPr>
                <w:rFonts w:ascii="宋体" w:hAnsi="宋体" w:cs="宋体" w:eastAsia="宋体" w:hint="default"/>
                <w:sz w:val="21"/>
                <w:szCs w:val="21"/>
              </w:rPr>
            </w:pPr>
            <w:r>
              <w:rPr>
                <w:rFonts w:ascii="宋体" w:hAnsi="宋体" w:cs="宋体" w:eastAsia="宋体" w:hint="default"/>
                <w:spacing w:val="5"/>
                <w:sz w:val="21"/>
                <w:szCs w:val="21"/>
              </w:rPr>
              <w:t>以公允价值计量且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5"/>
                <w:sz w:val="21"/>
                <w:szCs w:val="21"/>
              </w:rPr>
              <w:t>其变动计入当期损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益的金融负债</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0.10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97"/>
              <w:jc w:val="left"/>
              <w:rPr>
                <w:rFonts w:ascii="宋体" w:hAnsi="宋体" w:cs="宋体" w:eastAsia="宋体" w:hint="default"/>
                <w:sz w:val="21"/>
                <w:szCs w:val="21"/>
              </w:rPr>
            </w:pPr>
            <w:r>
              <w:rPr>
                <w:rFonts w:ascii="宋体" w:hAnsi="宋体" w:cs="宋体" w:eastAsia="宋体" w:hint="default"/>
                <w:spacing w:val="10"/>
                <w:sz w:val="21"/>
                <w:szCs w:val="21"/>
              </w:rPr>
              <w:t>主要系报告期子公司转让的股权预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计回购价变动所致。</w:t>
            </w:r>
          </w:p>
        </w:tc>
      </w:tr>
      <w:tr>
        <w:trPr>
          <w:trHeight w:val="73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101"/>
              <w:jc w:val="left"/>
              <w:rPr>
                <w:rFonts w:ascii="宋体" w:hAnsi="宋体" w:cs="宋体" w:eastAsia="宋体" w:hint="default"/>
                <w:sz w:val="21"/>
                <w:szCs w:val="21"/>
              </w:rPr>
            </w:pPr>
            <w:r>
              <w:rPr>
                <w:rFonts w:ascii="宋体" w:hAnsi="宋体" w:cs="宋体" w:eastAsia="宋体" w:hint="default"/>
                <w:spacing w:val="5"/>
                <w:sz w:val="21"/>
                <w:szCs w:val="21"/>
              </w:rPr>
              <w:t>一年内到期的非流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动负债</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55,823,267.50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1.86</w:t>
            </w:r>
          </w:p>
        </w:tc>
        <w:tc>
          <w:tcPr>
            <w:tcW w:w="152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95"/>
              <w:jc w:val="left"/>
              <w:rPr>
                <w:rFonts w:ascii="宋体" w:hAnsi="宋体" w:cs="宋体" w:eastAsia="宋体" w:hint="default"/>
                <w:sz w:val="21"/>
                <w:szCs w:val="21"/>
              </w:rPr>
            </w:pPr>
            <w:r>
              <w:rPr>
                <w:rFonts w:ascii="宋体" w:hAnsi="宋体" w:cs="宋体" w:eastAsia="宋体" w:hint="default"/>
                <w:spacing w:val="10"/>
                <w:sz w:val="21"/>
                <w:szCs w:val="21"/>
              </w:rPr>
              <w:t>主要系报告期内企业并购尚未支付</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的股权转让款所致。</w:t>
            </w:r>
          </w:p>
        </w:tc>
      </w:tr>
      <w:tr>
        <w:trPr>
          <w:trHeight w:val="73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248,242,126.49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8.28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149,141,964.89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7.59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66.45</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79"/>
              <w:jc w:val="left"/>
              <w:rPr>
                <w:rFonts w:ascii="宋体" w:hAnsi="宋体" w:cs="宋体" w:eastAsia="宋体" w:hint="default"/>
                <w:sz w:val="21"/>
                <w:szCs w:val="21"/>
              </w:rPr>
            </w:pPr>
            <w:r>
              <w:rPr>
                <w:rFonts w:ascii="宋体" w:hAnsi="宋体" w:cs="宋体" w:eastAsia="宋体" w:hint="default"/>
                <w:spacing w:val="11"/>
                <w:sz w:val="21"/>
                <w:szCs w:val="21"/>
              </w:rPr>
              <w:t>主要系报告期内未验收项目的预收</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款增加所致。</w:t>
            </w:r>
          </w:p>
        </w:tc>
      </w:tr>
      <w:tr>
        <w:trPr>
          <w:trHeight w:val="73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482,156,808.68</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16.09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291,707,639.74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14.85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65.29</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79"/>
              <w:jc w:val="left"/>
              <w:rPr>
                <w:rFonts w:ascii="宋体" w:hAnsi="宋体" w:cs="宋体" w:eastAsia="宋体" w:hint="default"/>
                <w:sz w:val="21"/>
                <w:szCs w:val="21"/>
              </w:rPr>
            </w:pPr>
            <w:r>
              <w:rPr>
                <w:rFonts w:ascii="宋体" w:hAnsi="宋体" w:cs="宋体" w:eastAsia="宋体" w:hint="default"/>
                <w:spacing w:val="11"/>
                <w:sz w:val="21"/>
                <w:szCs w:val="21"/>
              </w:rPr>
              <w:t>主要系报告期内在建项目投入增加</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所致。</w:t>
            </w:r>
          </w:p>
        </w:tc>
      </w:tr>
      <w:tr>
        <w:trPr>
          <w:trHeight w:val="733"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91,517,931.60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3.05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56,972,058.15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2.90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60.64</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6"/>
              <w:jc w:val="left"/>
              <w:rPr>
                <w:rFonts w:ascii="宋体" w:hAnsi="宋体" w:cs="宋体" w:eastAsia="宋体" w:hint="default"/>
                <w:sz w:val="21"/>
                <w:szCs w:val="21"/>
              </w:rPr>
            </w:pPr>
            <w:r>
              <w:rPr>
                <w:rFonts w:ascii="宋体" w:hAnsi="宋体" w:cs="宋体" w:eastAsia="宋体" w:hint="default"/>
                <w:spacing w:val="-3"/>
                <w:sz w:val="21"/>
                <w:szCs w:val="21"/>
              </w:rPr>
              <w:t>主要系报告期销售收入增加，应交所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得税费用增加所致。</w:t>
            </w:r>
          </w:p>
        </w:tc>
      </w:tr>
      <w:tr>
        <w:trPr>
          <w:trHeight w:val="73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17,532,076.25</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0.58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12,602,685.07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0.64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39.11</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5"/>
              <w:jc w:val="left"/>
              <w:rPr>
                <w:rFonts w:ascii="宋体" w:hAnsi="宋体" w:cs="宋体" w:eastAsia="宋体" w:hint="default"/>
                <w:sz w:val="21"/>
                <w:szCs w:val="21"/>
              </w:rPr>
            </w:pPr>
            <w:r>
              <w:rPr>
                <w:rFonts w:ascii="宋体" w:hAnsi="宋体" w:cs="宋体" w:eastAsia="宋体" w:hint="default"/>
                <w:spacing w:val="10"/>
                <w:sz w:val="21"/>
                <w:szCs w:val="21"/>
              </w:rPr>
              <w:t>主要系报告期内预付的项目采购款</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增加所致。</w:t>
            </w:r>
          </w:p>
        </w:tc>
      </w:tr>
      <w:tr>
        <w:trPr>
          <w:trHeight w:val="73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34,413,595.22</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1.15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50,885,054.47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-32.37</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7"/>
              <w:jc w:val="left"/>
              <w:rPr>
                <w:rFonts w:ascii="宋体" w:hAnsi="宋体" w:cs="宋体" w:eastAsia="宋体" w:hint="default"/>
                <w:sz w:val="21"/>
                <w:szCs w:val="21"/>
              </w:rPr>
            </w:pPr>
            <w:r>
              <w:rPr>
                <w:rFonts w:ascii="宋体" w:hAnsi="宋体" w:cs="宋体" w:eastAsia="宋体" w:hint="default"/>
                <w:spacing w:val="10"/>
                <w:sz w:val="21"/>
                <w:szCs w:val="21"/>
              </w:rPr>
              <w:t>主要系报告期内限制性股票解锁及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回购所致。</w:t>
            </w:r>
          </w:p>
        </w:tc>
      </w:tr>
    </w:tbl>
    <w:p>
      <w:pPr>
        <w:spacing w:after="0" w:line="314" w:lineRule="auto"/>
        <w:jc w:val="left"/>
        <w:rPr>
          <w:rFonts w:ascii="宋体" w:hAnsi="宋体" w:cs="宋体" w:eastAsia="宋体" w:hint="default"/>
          <w:sz w:val="21"/>
          <w:szCs w:val="21"/>
        </w:rPr>
        <w:sectPr>
          <w:pgSz w:w="16840" w:h="11910" w:orient="landscape"/>
          <w:pgMar w:header="855" w:footer="980" w:top="112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961"/>
        <w:gridCol w:w="1529"/>
        <w:gridCol w:w="1690"/>
        <w:gridCol w:w="1529"/>
        <w:gridCol w:w="1688"/>
        <w:gridCol w:w="2137"/>
        <w:gridCol w:w="3557"/>
      </w:tblGrid>
      <w:tr>
        <w:trPr>
          <w:trHeight w:val="73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82,961,615.43</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2.77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160,774,308.86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8.18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-48.40</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7"/>
              <w:jc w:val="left"/>
              <w:rPr>
                <w:rFonts w:ascii="宋体" w:hAnsi="宋体" w:cs="宋体" w:eastAsia="宋体" w:hint="default"/>
                <w:sz w:val="21"/>
                <w:szCs w:val="21"/>
              </w:rPr>
            </w:pPr>
            <w:r>
              <w:rPr>
                <w:rFonts w:ascii="宋体" w:hAnsi="宋体" w:cs="宋体" w:eastAsia="宋体" w:hint="default"/>
                <w:spacing w:val="10"/>
                <w:sz w:val="21"/>
                <w:szCs w:val="21"/>
              </w:rPr>
              <w:t>主要系报告期赎回到期的理财产品</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所致。</w:t>
            </w:r>
          </w:p>
        </w:tc>
      </w:tr>
      <w:tr>
        <w:trPr>
          <w:trHeight w:val="73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7,435,996.89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0.25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17,288,590.48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0.88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-56.99</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7"/>
              <w:jc w:val="left"/>
              <w:rPr>
                <w:rFonts w:ascii="宋体" w:hAnsi="宋体" w:cs="宋体" w:eastAsia="宋体" w:hint="default"/>
                <w:sz w:val="21"/>
                <w:szCs w:val="21"/>
              </w:rPr>
            </w:pPr>
            <w:r>
              <w:rPr>
                <w:rFonts w:ascii="宋体" w:hAnsi="宋体" w:cs="宋体" w:eastAsia="宋体" w:hint="default"/>
                <w:spacing w:val="10"/>
                <w:sz w:val="21"/>
                <w:szCs w:val="21"/>
              </w:rPr>
              <w:t>主要系去年对外支付的投资款本年</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完成股权工商变更手续所致。</w:t>
            </w:r>
          </w:p>
        </w:tc>
      </w:tr>
      <w:tr>
        <w:trPr>
          <w:trHeight w:val="73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15,732,668.62</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0.52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39,887,176.32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-60.56</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7"/>
              <w:jc w:val="left"/>
              <w:rPr>
                <w:rFonts w:ascii="宋体" w:hAnsi="宋体" w:cs="宋体" w:eastAsia="宋体" w:hint="default"/>
                <w:sz w:val="21"/>
                <w:szCs w:val="21"/>
              </w:rPr>
            </w:pPr>
            <w:r>
              <w:rPr>
                <w:rFonts w:ascii="宋体" w:hAnsi="宋体" w:cs="宋体" w:eastAsia="宋体" w:hint="default"/>
                <w:spacing w:val="10"/>
                <w:sz w:val="21"/>
                <w:szCs w:val="21"/>
              </w:rPr>
              <w:t>主要系报告期内限制性股票解锁及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回购所致。</w:t>
            </w:r>
          </w:p>
        </w:tc>
      </w:tr>
      <w:tr>
        <w:trPr>
          <w:trHeight w:val="109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both"/>
              <w:rPr>
                <w:rFonts w:ascii="宋体" w:hAnsi="宋体" w:cs="宋体" w:eastAsia="宋体" w:hint="default"/>
                <w:sz w:val="21"/>
                <w:szCs w:val="21"/>
              </w:rPr>
            </w:pPr>
            <w:r>
              <w:rPr>
                <w:rFonts w:ascii="宋体" w:hAnsi="宋体" w:cs="宋体" w:eastAsia="宋体" w:hint="default"/>
                <w:spacing w:val="5"/>
                <w:sz w:val="21"/>
                <w:szCs w:val="21"/>
              </w:rPr>
              <w:t>以公允价值计量且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5"/>
                <w:sz w:val="21"/>
                <w:szCs w:val="21"/>
              </w:rPr>
              <w:t>其变动计入当期损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益的金融资产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113,710,759.27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5.79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97"/>
              <w:jc w:val="left"/>
              <w:rPr>
                <w:rFonts w:ascii="宋体" w:hAnsi="宋体" w:cs="宋体" w:eastAsia="宋体" w:hint="default"/>
                <w:sz w:val="21"/>
                <w:szCs w:val="21"/>
              </w:rPr>
            </w:pPr>
            <w:r>
              <w:rPr>
                <w:rFonts w:ascii="宋体" w:hAnsi="宋体" w:cs="宋体" w:eastAsia="宋体" w:hint="default"/>
                <w:spacing w:val="10"/>
                <w:sz w:val="21"/>
                <w:szCs w:val="21"/>
              </w:rPr>
              <w:t>主要系报告期赎回所投资的理财产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品所致。</w:t>
            </w:r>
          </w:p>
        </w:tc>
      </w:tr>
      <w:tr>
        <w:trPr>
          <w:trHeight w:val="732"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1"/>
              <w:jc w:val="left"/>
              <w:rPr>
                <w:rFonts w:ascii="宋体" w:hAnsi="宋体" w:cs="宋体" w:eastAsia="宋体" w:hint="default"/>
                <w:sz w:val="21"/>
                <w:szCs w:val="21"/>
              </w:rPr>
            </w:pPr>
            <w:r>
              <w:rPr>
                <w:rFonts w:ascii="宋体" w:hAnsi="宋体" w:cs="宋体" w:eastAsia="宋体" w:hint="default"/>
                <w:spacing w:val="5"/>
                <w:sz w:val="21"/>
                <w:szCs w:val="21"/>
              </w:rPr>
              <w:t>划分为持有待售的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91,480,843.82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4.66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6"/>
              <w:jc w:val="left"/>
              <w:rPr>
                <w:rFonts w:ascii="宋体" w:hAnsi="宋体" w:cs="宋体" w:eastAsia="宋体" w:hint="default"/>
                <w:sz w:val="21"/>
                <w:szCs w:val="21"/>
              </w:rPr>
            </w:pPr>
            <w:r>
              <w:rPr>
                <w:rFonts w:ascii="宋体" w:hAnsi="宋体" w:cs="宋体" w:eastAsia="宋体" w:hint="default"/>
                <w:spacing w:val="10"/>
                <w:sz w:val="21"/>
                <w:szCs w:val="21"/>
              </w:rPr>
              <w:t>主要系本年完成福建神威子公司股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权转让工商变更手续所致。</w:t>
            </w:r>
          </w:p>
        </w:tc>
      </w:tr>
      <w:tr>
        <w:trPr>
          <w:trHeight w:val="73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5"/>
                <w:sz w:val="21"/>
                <w:szCs w:val="21"/>
              </w:rPr>
              <w:t>划分为持有待售的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负债</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62,378,883.93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3.18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6"/>
              <w:jc w:val="left"/>
              <w:rPr>
                <w:rFonts w:ascii="宋体" w:hAnsi="宋体" w:cs="宋体" w:eastAsia="宋体" w:hint="default"/>
                <w:sz w:val="21"/>
                <w:szCs w:val="21"/>
              </w:rPr>
            </w:pPr>
            <w:r>
              <w:rPr>
                <w:rFonts w:ascii="宋体" w:hAnsi="宋体" w:cs="宋体" w:eastAsia="宋体" w:hint="default"/>
                <w:spacing w:val="10"/>
                <w:sz w:val="21"/>
                <w:szCs w:val="21"/>
              </w:rPr>
              <w:t>主要系本年完成福建神威子公司股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权转让工商变更手续所致。</w:t>
            </w:r>
          </w:p>
        </w:tc>
      </w:tr>
    </w:tbl>
    <w:p>
      <w:pPr>
        <w:pStyle w:val="BodyText"/>
        <w:spacing w:line="326" w:lineRule="auto"/>
        <w:ind w:left="220" w:right="13238"/>
        <w:jc w:val="left"/>
      </w:pPr>
      <w:r>
        <w:rPr/>
        <w:t>其他说明</w:t>
      </w:r>
      <w:r>
        <w:rPr>
          <w:w w:val="100"/>
        </w:rPr>
        <w:t> </w:t>
      </w:r>
      <w:r>
        <w:rPr/>
        <w:t>无</w:t>
      </w:r>
    </w:p>
    <w:p>
      <w:pPr>
        <w:spacing w:after="0" w:line="326" w:lineRule="auto"/>
        <w:jc w:val="left"/>
        <w:sectPr>
          <w:pgSz w:w="16840" w:h="11910" w:orient="landscape"/>
          <w:pgMar w:header="855" w:footer="980" w:top="1120" w:bottom="1160" w:left="1220" w:right="1300"/>
        </w:sectPr>
      </w:pPr>
    </w:p>
    <w:p>
      <w:pPr>
        <w:spacing w:line="240" w:lineRule="auto" w:before="0"/>
        <w:rPr>
          <w:rFonts w:ascii="宋体" w:hAnsi="宋体" w:cs="宋体" w:eastAsia="宋体" w:hint="default"/>
          <w:sz w:val="20"/>
          <w:szCs w:val="20"/>
        </w:rPr>
      </w:pPr>
    </w:p>
    <w:p>
      <w:pPr>
        <w:pStyle w:val="Heading4"/>
        <w:tabs>
          <w:tab w:pos="642" w:val="left" w:leader="none"/>
        </w:tabs>
        <w:spacing w:line="240" w:lineRule="auto" w:before="184"/>
        <w:ind w:right="2631"/>
        <w:jc w:val="left"/>
        <w:rPr>
          <w:b w:val="0"/>
          <w:bCs w:val="0"/>
        </w:rPr>
      </w:pPr>
      <w:r>
        <w:rPr>
          <w:rFonts w:ascii="Times New Roman" w:hAnsi="Times New Roman" w:cs="Times New Roman" w:eastAsia="Times New Roman" w:hint="default"/>
        </w:rPr>
        <w:t>2.</w:t>
        <w:tab/>
      </w:r>
      <w:r>
        <w:rPr/>
        <w:t>截至报告期末主要资产受限情况</w:t>
      </w:r>
      <w:r>
        <w:rPr>
          <w:b w:val="0"/>
          <w:bCs w:val="0"/>
        </w:rPr>
      </w:r>
    </w:p>
    <w:p>
      <w:pPr>
        <w:pStyle w:val="BodyText"/>
        <w:tabs>
          <w:tab w:pos="1060" w:val="left" w:leader="none"/>
        </w:tabs>
        <w:spacing w:line="240" w:lineRule="auto" w:before="81"/>
        <w:ind w:right="2631"/>
        <w:jc w:val="left"/>
      </w:pPr>
      <w:r>
        <w:rPr>
          <w:spacing w:val="-1"/>
        </w:rPr>
        <w:t>√适用</w:t>
        <w:tab/>
      </w:r>
      <w:r>
        <w:rPr>
          <w:spacing w:val="-2"/>
        </w:rPr>
        <w:t>□不适用</w:t>
      </w: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501"/>
        <w:gridCol w:w="2030"/>
        <w:gridCol w:w="4254"/>
      </w:tblGrid>
      <w:tr>
        <w:trPr>
          <w:trHeight w:val="372"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4"/>
              <w:jc w:val="right"/>
              <w:rPr>
                <w:rFonts w:ascii="宋体" w:hAnsi="宋体" w:cs="宋体" w:eastAsia="宋体" w:hint="default"/>
                <w:sz w:val="21"/>
                <w:szCs w:val="21"/>
              </w:rPr>
            </w:pPr>
            <w:r>
              <w:rPr>
                <w:rFonts w:ascii="宋体" w:hAnsi="宋体" w:cs="宋体" w:eastAsia="宋体" w:hint="default"/>
                <w:sz w:val="21"/>
                <w:szCs w:val="21"/>
              </w:rPr>
              <w:t>项目</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76"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91"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75,389,856.21</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银行汇票保证金及银行保函保证金</w:t>
            </w:r>
          </w:p>
        </w:tc>
      </w:tr>
      <w:tr>
        <w:trPr>
          <w:trHeight w:val="430"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60,236,910.79</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楼银行授信抵押</w:t>
            </w:r>
          </w:p>
        </w:tc>
      </w:tr>
      <w:tr>
        <w:trPr>
          <w:trHeight w:val="432"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25,841,769.80</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产权证办理中</w:t>
            </w:r>
          </w:p>
        </w:tc>
      </w:tr>
      <w:tr>
        <w:trPr>
          <w:trHeight w:val="427"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36,493,401.76</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1"/>
                <w:szCs w:val="21"/>
              </w:rPr>
            </w:pPr>
            <w:r>
              <w:rPr>
                <w:rFonts w:ascii="宋体" w:hAnsi="宋体" w:cs="宋体" w:eastAsia="宋体" w:hint="default"/>
                <w:sz w:val="21"/>
                <w:szCs w:val="21"/>
              </w:rPr>
              <w:t>未达到办证时间及条件</w:t>
            </w:r>
          </w:p>
        </w:tc>
      </w:tr>
      <w:tr>
        <w:trPr>
          <w:trHeight w:val="404"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29,219,468.78</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z w:val="21"/>
                <w:szCs w:val="21"/>
              </w:rPr>
              <w:t>楼银行授信抵押</w:t>
            </w:r>
          </w:p>
        </w:tc>
      </w:tr>
      <w:tr>
        <w:trPr>
          <w:trHeight w:val="425"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19,199,870.75</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z w:val="21"/>
                <w:szCs w:val="21"/>
              </w:rPr>
              <w:t>楼土地使用权银行授信抵押</w:t>
            </w:r>
          </w:p>
        </w:tc>
      </w:tr>
      <w:tr>
        <w:trPr>
          <w:trHeight w:val="430"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4"/>
              <w:jc w:val="right"/>
              <w:rPr>
                <w:rFonts w:ascii="宋体" w:hAnsi="宋体" w:cs="宋体" w:eastAsia="宋体" w:hint="default"/>
                <w:sz w:val="21"/>
                <w:szCs w:val="21"/>
              </w:rPr>
            </w:pPr>
            <w:r>
              <w:rPr>
                <w:rFonts w:ascii="宋体" w:hAnsi="宋体" w:cs="宋体" w:eastAsia="宋体" w:hint="default"/>
                <w:sz w:val="21"/>
                <w:szCs w:val="21"/>
              </w:rPr>
              <w:t>合计</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246,381,278.09</w:t>
            </w:r>
          </w:p>
        </w:tc>
        <w:tc>
          <w:tcPr>
            <w:tcW w:w="425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auto"/>
        <w:ind w:right="47" w:firstLine="465"/>
        <w:jc w:val="left"/>
      </w:pPr>
      <w:r>
        <w:rPr>
          <w:spacing w:val="-3"/>
        </w:rPr>
        <w:t>注：资产受限原因详见第十一节财务报告、合并财务报表项目注释七、（七十）“所有权或</w:t>
      </w:r>
      <w:r>
        <w:rPr>
          <w:w w:val="100"/>
        </w:rPr>
        <w:t> </w:t>
      </w:r>
      <w:r>
        <w:rPr/>
        <w:t>使用受到限制的资产”。</w:t>
      </w:r>
    </w:p>
    <w:p>
      <w:pPr>
        <w:pStyle w:val="Heading4"/>
        <w:tabs>
          <w:tab w:pos="642" w:val="left" w:leader="none"/>
        </w:tabs>
        <w:spacing w:line="240" w:lineRule="auto" w:before="67"/>
        <w:ind w:right="2631"/>
        <w:jc w:val="left"/>
        <w:rPr>
          <w:b w:val="0"/>
          <w:bCs w:val="0"/>
        </w:rPr>
      </w:pPr>
      <w:r>
        <w:rPr>
          <w:rFonts w:ascii="Times New Roman" w:hAnsi="Times New Roman" w:cs="Times New Roman" w:eastAsia="Times New Roman" w:hint="default"/>
        </w:rPr>
        <w:t>3.</w:t>
        <w:tab/>
      </w:r>
      <w:r>
        <w:rPr/>
        <w:t>其他说明</w:t>
      </w:r>
      <w:r>
        <w:rPr>
          <w:b w:val="0"/>
          <w:bCs w:val="0"/>
        </w:rPr>
      </w:r>
    </w:p>
    <w:p>
      <w:pPr>
        <w:pStyle w:val="BodyText"/>
        <w:tabs>
          <w:tab w:pos="1060" w:val="left" w:leader="none"/>
        </w:tabs>
        <w:spacing w:line="240" w:lineRule="auto" w:before="81"/>
        <w:ind w:right="2631"/>
        <w:jc w:val="left"/>
      </w:pPr>
      <w:r>
        <w:rPr>
          <w:spacing w:val="-1"/>
        </w:rPr>
        <w:t>□适用</w:t>
        <w:tab/>
      </w:r>
      <w:r>
        <w:rPr>
          <w:spacing w:val="-2"/>
        </w:rPr>
        <w:t>√不适用</w:t>
      </w:r>
    </w:p>
    <w:p>
      <w:pPr>
        <w:pStyle w:val="Heading4"/>
        <w:tabs>
          <w:tab w:pos="1057" w:val="left" w:leader="none"/>
        </w:tabs>
        <w:spacing w:line="240" w:lineRule="auto" w:before="97"/>
        <w:ind w:right="2631"/>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1163" w:val="left" w:leader="none"/>
        </w:tabs>
        <w:spacing w:line="321" w:lineRule="auto" w:before="97"/>
        <w:ind w:left="638" w:right="4552" w:hanging="420"/>
        <w:jc w:val="left"/>
      </w:pPr>
      <w:r>
        <w:rPr/>
        <w:t>√适用</w:t>
        <w:tab/>
        <w:t>□不适用</w:t>
      </w:r>
      <w:r>
        <w:rPr>
          <w:w w:val="100"/>
        </w:rPr>
        <w:t> </w:t>
      </w:r>
      <w:r>
        <w:rPr>
          <w:spacing w:val="-2"/>
        </w:rPr>
        <w:t>详见第三节公司业务概要中行业情况说明。</w:t>
      </w:r>
    </w:p>
    <w:p>
      <w:pPr>
        <w:pStyle w:val="Heading4"/>
        <w:tabs>
          <w:tab w:pos="1057" w:val="left" w:leader="none"/>
        </w:tabs>
        <w:spacing w:line="240" w:lineRule="auto" w:before="18"/>
        <w:ind w:right="2631"/>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4"/>
        <w:spacing w:line="240" w:lineRule="auto" w:before="97"/>
        <w:ind w:right="2631"/>
        <w:jc w:val="left"/>
        <w:rPr>
          <w:b w:val="0"/>
          <w:bCs w:val="0"/>
        </w:rPr>
      </w:pPr>
      <w:r>
        <w:rPr>
          <w:rFonts w:ascii="Times New Roman" w:hAnsi="Times New Roman" w:cs="Times New Roman" w:eastAsia="Times New Roman" w:hint="default"/>
        </w:rPr>
        <w:t>1</w:t>
      </w:r>
      <w:r>
        <w:rPr/>
        <w:t>、</w:t>
      </w:r>
      <w:r>
        <w:rPr>
          <w:spacing w:val="-2"/>
        </w:rPr>
        <w:t> </w:t>
      </w:r>
      <w:r>
        <w:rPr/>
        <w:t>对外股权投资总体分析</w:t>
      </w:r>
      <w:r>
        <w:rPr>
          <w:b w:val="0"/>
          <w:bCs w:val="0"/>
        </w:rPr>
      </w:r>
    </w:p>
    <w:p>
      <w:pPr>
        <w:pStyle w:val="BodyText"/>
        <w:spacing w:line="240" w:lineRule="auto" w:before="81"/>
        <w:ind w:right="2631"/>
        <w:jc w:val="left"/>
      </w:pPr>
      <w:r>
        <w:rPr/>
        <w:t>√适用</w:t>
      </w:r>
      <w:r>
        <w:rPr>
          <w:spacing w:val="-1"/>
        </w:rPr>
        <w:t> </w:t>
      </w:r>
      <w:r>
        <w:rPr/>
        <w:t>□不适用</w:t>
      </w:r>
    </w:p>
    <w:p>
      <w:pPr>
        <w:pStyle w:val="BodyText"/>
        <w:spacing w:line="297" w:lineRule="auto" w:before="92"/>
        <w:ind w:right="47" w:firstLine="479"/>
        <w:jc w:val="left"/>
      </w:pPr>
      <w:r>
        <w:rPr>
          <w:spacing w:val="-4"/>
        </w:rPr>
        <w:t>报告期内，公司新增设立</w:t>
      </w:r>
      <w:r>
        <w:rPr>
          <w:spacing w:val="-45"/>
        </w:rPr>
        <w:t> </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spacing w:val="-6"/>
        </w:rPr>
        <w:t>家子公司、</w:t>
      </w:r>
      <w:r>
        <w:rPr>
          <w:rFonts w:ascii="Times New Roman" w:hAnsi="Times New Roman" w:cs="Times New Roman" w:eastAsia="Times New Roman" w:hint="default"/>
          <w:spacing w:val="-6"/>
        </w:rPr>
        <w:t>6</w:t>
      </w:r>
      <w:r>
        <w:rPr>
          <w:rFonts w:ascii="Times New Roman" w:hAnsi="Times New Roman" w:cs="Times New Roman" w:eastAsia="Times New Roman" w:hint="default"/>
          <w:spacing w:val="7"/>
        </w:rPr>
        <w:t> </w:t>
      </w:r>
      <w:r>
        <w:rPr>
          <w:spacing w:val="-5"/>
        </w:rPr>
        <w:t>家孙公司，投资</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4"/>
        </w:rPr>
        <w:t>家联营与合营企业、收购</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家控</w:t>
      </w:r>
      <w:r>
        <w:rPr>
          <w:spacing w:val="-3"/>
          <w:w w:val="100"/>
        </w:rPr>
        <w:t> </w:t>
      </w:r>
      <w:r>
        <w:rPr/>
        <w:t>股子公司，以部分自有资金购买证券公司和银行发行的低风险理财产品等。</w:t>
      </w:r>
    </w:p>
    <w:p>
      <w:pPr>
        <w:pStyle w:val="Heading4"/>
        <w:spacing w:line="240" w:lineRule="auto" w:before="39"/>
        <w:ind w:right="2631"/>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9"/>
        </w:rPr>
        <w:t> </w:t>
      </w:r>
      <w:r>
        <w:rPr/>
        <w:t>重大的股权投资</w:t>
      </w:r>
      <w:r>
        <w:rPr>
          <w:b w:val="0"/>
          <w:bCs w:val="0"/>
        </w:rPr>
      </w:r>
    </w:p>
    <w:p>
      <w:pPr>
        <w:pStyle w:val="BodyText"/>
        <w:tabs>
          <w:tab w:pos="1060" w:val="left" w:leader="none"/>
        </w:tabs>
        <w:spacing w:line="321" w:lineRule="auto" w:before="81"/>
        <w:ind w:left="698" w:right="135" w:hanging="480"/>
        <w:jc w:val="left"/>
      </w:pPr>
      <w:r>
        <w:rPr>
          <w:spacing w:val="-1"/>
        </w:rPr>
        <w:t>√适用</w:t>
        <w:tab/>
      </w:r>
      <w:r>
        <w:rPr>
          <w:spacing w:val="-2"/>
        </w:rPr>
        <w:t>□不适用</w:t>
      </w:r>
      <w:r>
        <w:rPr>
          <w:spacing w:val="-99"/>
        </w:rPr>
        <w:t> </w:t>
      </w:r>
      <w:r>
        <w:rPr>
          <w:spacing w:val="-99"/>
        </w:rPr>
      </w:r>
      <w:r>
        <w:rPr>
          <w:spacing w:val="-3"/>
        </w:rPr>
        <w:t>报告期内，公司为推动大数据、云计算、物联网等传统业务与新兴业态的发展主要有五笔重</w:t>
      </w:r>
      <w:r>
        <w:rPr/>
      </w:r>
    </w:p>
    <w:p>
      <w:pPr>
        <w:pStyle w:val="BodyText"/>
        <w:spacing w:line="240" w:lineRule="auto" w:before="14"/>
        <w:ind w:right="2631"/>
        <w:jc w:val="left"/>
      </w:pPr>
      <w:r>
        <w:rPr/>
        <w:t>大投资，主要有：</w:t>
      </w:r>
    </w:p>
    <w:p>
      <w:pPr>
        <w:pStyle w:val="BodyText"/>
        <w:spacing w:line="240" w:lineRule="auto" w:before="85"/>
        <w:ind w:left="638" w:right="47"/>
        <w:jc w:val="left"/>
      </w:pPr>
      <w:r>
        <w:rPr>
          <w:rFonts w:ascii="Times New Roman" w:hAnsi="Times New Roman" w:cs="Times New Roman" w:eastAsia="Times New Roman" w:hint="default"/>
        </w:rPr>
        <w:t>1</w:t>
      </w:r>
      <w:r>
        <w:rPr/>
        <w:t>、为共建智慧城市，数字城市生态、创新城市服务新模式的城市通平台，公司以自由资金</w:t>
      </w:r>
    </w:p>
    <w:p>
      <w:pPr>
        <w:pStyle w:val="BodyText"/>
        <w:spacing w:line="240" w:lineRule="auto" w:before="69"/>
        <w:ind w:right="2631"/>
        <w:jc w:val="left"/>
      </w:pPr>
      <w:r>
        <w:rPr>
          <w:rFonts w:ascii="Times New Roman" w:hAnsi="Times New Roman" w:cs="Times New Roman" w:eastAsia="Times New Roman" w:hint="default"/>
        </w:rPr>
        <w:t>650</w:t>
      </w:r>
      <w:r>
        <w:rPr>
          <w:rFonts w:ascii="Times New Roman" w:hAnsi="Times New Roman" w:cs="Times New Roman" w:eastAsia="Times New Roman" w:hint="default"/>
          <w:spacing w:val="-3"/>
        </w:rPr>
        <w:t> </w:t>
      </w:r>
      <w:r>
        <w:rPr/>
        <w:t>万投资设立全资子公司福建南威通平台科技有限公司。</w:t>
      </w:r>
    </w:p>
    <w:p>
      <w:pPr>
        <w:pStyle w:val="BodyText"/>
        <w:spacing w:line="240" w:lineRule="auto" w:before="69"/>
        <w:ind w:left="638" w:right="47"/>
        <w:jc w:val="left"/>
      </w:pPr>
      <w:r>
        <w:rPr>
          <w:rFonts w:ascii="Times New Roman" w:hAnsi="Times New Roman" w:cs="Times New Roman" w:eastAsia="Times New Roman" w:hint="default"/>
          <w:spacing w:val="-4"/>
        </w:rPr>
        <w:t>2</w:t>
      </w:r>
      <w:r>
        <w:rPr>
          <w:spacing w:val="-4"/>
        </w:rPr>
        <w:t>、为助推衡阳市智慧城市发展，将智慧城市打造成省级数字经济产业标杆，公司以自有资金</w:t>
      </w:r>
    </w:p>
    <w:p>
      <w:pPr>
        <w:pStyle w:val="BodyText"/>
        <w:spacing w:line="240" w:lineRule="auto" w:before="69"/>
        <w:ind w:right="47"/>
        <w:jc w:val="left"/>
      </w:pPr>
      <w:r>
        <w:rPr>
          <w:rFonts w:ascii="Times New Roman" w:hAnsi="Times New Roman" w:cs="Times New Roman" w:eastAsia="Times New Roman" w:hint="default"/>
        </w:rPr>
        <w:t>2400 </w:t>
      </w:r>
      <w:r>
        <w:rPr/>
        <w:t>万投资设立非全资子公司衡阳智慧城市科技发展有限公司，持有该公司</w:t>
      </w:r>
      <w:r>
        <w:rPr>
          <w:spacing w:val="-62"/>
        </w:rPr>
        <w:t> </w:t>
      </w:r>
      <w:r>
        <w:rPr>
          <w:rFonts w:ascii="Times New Roman" w:hAnsi="Times New Roman" w:cs="Times New Roman" w:eastAsia="Times New Roman" w:hint="default"/>
        </w:rPr>
        <w:t>80%</w:t>
      </w:r>
      <w:r>
        <w:rPr/>
        <w:t>股权。</w:t>
      </w:r>
    </w:p>
    <w:p>
      <w:pPr>
        <w:pStyle w:val="BodyText"/>
        <w:spacing w:line="240" w:lineRule="auto" w:before="69"/>
        <w:ind w:left="638" w:right="47"/>
        <w:jc w:val="left"/>
      </w:pPr>
      <w:r>
        <w:rPr>
          <w:rFonts w:ascii="Times New Roman" w:hAnsi="Times New Roman" w:cs="Times New Roman" w:eastAsia="Times New Roman" w:hint="default"/>
          <w:spacing w:val="-3"/>
        </w:rPr>
        <w:t>3</w:t>
      </w:r>
      <w:r>
        <w:rPr>
          <w:spacing w:val="-3"/>
        </w:rPr>
        <w:t>、在综合物联，静态交通、创新零售等物联网领域，公司以自有资金 </w:t>
      </w:r>
      <w:r>
        <w:rPr>
          <w:rFonts w:ascii="Times New Roman" w:hAnsi="Times New Roman" w:cs="Times New Roman" w:eastAsia="Times New Roman" w:hint="default"/>
        </w:rPr>
        <w:t>2,000</w:t>
      </w:r>
      <w:r>
        <w:rPr>
          <w:rFonts w:ascii="Times New Roman" w:hAnsi="Times New Roman" w:cs="Times New Roman" w:eastAsia="Times New Roman" w:hint="default"/>
          <w:spacing w:val="-6"/>
        </w:rPr>
        <w:t> </w:t>
      </w:r>
      <w:r>
        <w:rPr/>
        <w:t>万元在网链科技</w:t>
      </w:r>
    </w:p>
    <w:p>
      <w:pPr>
        <w:pStyle w:val="BodyText"/>
        <w:spacing w:line="297" w:lineRule="auto" w:before="69"/>
        <w:ind w:right="122"/>
        <w:jc w:val="left"/>
      </w:pPr>
      <w:r>
        <w:rPr/>
        <w:t>旗下成立</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家专业的全资子公司分别为福建红点科技有限公司、福建小电科技有限公司、福建轻</w:t>
      </w:r>
      <w:r>
        <w:rPr>
          <w:w w:val="100"/>
        </w:rPr>
        <w:t> </w:t>
      </w:r>
      <w:r>
        <w:rPr/>
        <w:t>停科技有限公司。</w:t>
      </w:r>
    </w:p>
    <w:p>
      <w:pPr>
        <w:pStyle w:val="BodyText"/>
        <w:spacing w:line="240" w:lineRule="auto" w:before="34"/>
        <w:ind w:left="638" w:right="47"/>
        <w:jc w:val="left"/>
      </w:pPr>
      <w:r>
        <w:rPr>
          <w:rFonts w:ascii="Times New Roman" w:hAnsi="Times New Roman" w:cs="Times New Roman" w:eastAsia="Times New Roman" w:hint="default"/>
          <w:spacing w:val="-4"/>
        </w:rPr>
        <w:t>4</w:t>
      </w:r>
      <w:r>
        <w:rPr>
          <w:spacing w:val="-4"/>
        </w:rPr>
        <w:t>、为发挥公司的平台优势，抓住大数据发展机遇，共同拓展市场，公司以自有资金对外投资</w:t>
      </w:r>
    </w:p>
    <w:p>
      <w:pPr>
        <w:pStyle w:val="BodyText"/>
        <w:spacing w:line="240" w:lineRule="auto" w:before="69"/>
        <w:ind w:right="47"/>
        <w:jc w:val="left"/>
      </w:pPr>
      <w:r>
        <w:rPr>
          <w:rFonts w:ascii="Times New Roman" w:hAnsi="Times New Roman" w:cs="Times New Roman" w:eastAsia="Times New Roman" w:hint="default"/>
        </w:rPr>
        <w:t>8,000 </w:t>
      </w:r>
      <w:r>
        <w:rPr/>
        <w:t>万持有大数据技术公司成都四方伟业软件股份有限公司</w:t>
      </w:r>
      <w:r>
        <w:rPr>
          <w:spacing w:val="-59"/>
        </w:rPr>
        <w:t> </w:t>
      </w:r>
      <w:r>
        <w:rPr>
          <w:rFonts w:ascii="Times New Roman" w:hAnsi="Times New Roman" w:cs="Times New Roman" w:eastAsia="Times New Roman" w:hint="default"/>
        </w:rPr>
        <w:t>10%</w:t>
      </w:r>
      <w:r>
        <w:rPr/>
        <w:t>的股权</w:t>
      </w:r>
    </w:p>
    <w:p>
      <w:pPr>
        <w:spacing w:after="0" w:line="240" w:lineRule="auto"/>
        <w:jc w:val="left"/>
        <w:sectPr>
          <w:headerReference w:type="default" r:id="rId14"/>
          <w:footerReference w:type="default" r:id="rId15"/>
          <w:pgSz w:w="11910" w:h="16840"/>
          <w:pgMar w:header="855" w:footer="979" w:top="1120" w:bottom="1160" w:left="1580" w:right="1140"/>
          <w:pgNumType w:start="25"/>
        </w:sectPr>
      </w:pPr>
    </w:p>
    <w:p>
      <w:pPr>
        <w:spacing w:line="240" w:lineRule="auto" w:before="0"/>
        <w:rPr>
          <w:rFonts w:ascii="宋体" w:hAnsi="宋体" w:cs="宋体" w:eastAsia="宋体" w:hint="default"/>
          <w:sz w:val="20"/>
          <w:szCs w:val="20"/>
        </w:rPr>
      </w:pPr>
    </w:p>
    <w:p>
      <w:pPr>
        <w:pStyle w:val="BodyText"/>
        <w:spacing w:line="297" w:lineRule="auto" w:before="180"/>
        <w:ind w:right="128" w:firstLine="419"/>
        <w:jc w:val="both"/>
      </w:pPr>
      <w:r>
        <w:rPr>
          <w:rFonts w:ascii="Times New Roman" w:hAnsi="Times New Roman" w:cs="Times New Roman" w:eastAsia="Times New Roman" w:hint="default"/>
          <w:spacing w:val="-4"/>
        </w:rPr>
        <w:t>5</w:t>
      </w:r>
      <w:r>
        <w:rPr>
          <w:spacing w:val="-4"/>
        </w:rPr>
        <w:t>、为进一步增强公司在电子政务领域的市场地位和技术水平，拓展公司的市场份额，提高公</w:t>
      </w:r>
      <w:r>
        <w:rPr>
          <w:w w:val="100"/>
        </w:rPr>
        <w:t> </w:t>
      </w:r>
      <w:r>
        <w:rPr/>
        <w:t>司的综合竞争力，公司现金出资 </w:t>
      </w:r>
      <w:r>
        <w:rPr>
          <w:rFonts w:ascii="Times New Roman" w:hAnsi="Times New Roman" w:cs="Times New Roman" w:eastAsia="Times New Roman" w:hint="default"/>
        </w:rPr>
        <w:t>213,488,450 </w:t>
      </w:r>
      <w:r>
        <w:rPr/>
        <w:t>元实现对深圳太极云软技术股份有限公司</w:t>
      </w:r>
      <w:r>
        <w:rPr>
          <w:spacing w:val="-69"/>
        </w:rPr>
        <w:t> </w:t>
      </w:r>
      <w:r>
        <w:rPr>
          <w:rFonts w:ascii="Times New Roman" w:hAnsi="Times New Roman" w:cs="Times New Roman" w:eastAsia="Times New Roman" w:hint="default"/>
        </w:rPr>
        <w:t>61%</w:t>
      </w:r>
      <w:r>
        <w:rPr/>
        <w:t>股份</w:t>
      </w:r>
      <w:r>
        <w:rPr>
          <w:spacing w:val="-3"/>
          <w:w w:val="100"/>
        </w:rPr>
        <w:t> </w:t>
      </w:r>
      <w:r>
        <w:rPr/>
        <w:t>的并购重组，并于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日完成股份交割手续。</w:t>
      </w:r>
    </w:p>
    <w:p>
      <w:pPr>
        <w:pStyle w:val="Heading4"/>
        <w:spacing w:line="240" w:lineRule="auto" w:before="18"/>
        <w:ind w:right="2631"/>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19"/>
        </w:rPr>
        <w:t> </w:t>
      </w:r>
      <w:r>
        <w:rPr/>
        <w:t>重大的非股权投资</w:t>
      </w:r>
      <w:r>
        <w:rPr>
          <w:b w:val="0"/>
          <w:bCs w:val="0"/>
        </w:rPr>
      </w:r>
    </w:p>
    <w:p>
      <w:pPr>
        <w:pStyle w:val="BodyText"/>
        <w:tabs>
          <w:tab w:pos="1060" w:val="left" w:leader="none"/>
        </w:tabs>
        <w:spacing w:line="240" w:lineRule="auto" w:before="81"/>
        <w:ind w:right="2631"/>
        <w:jc w:val="left"/>
      </w:pPr>
      <w:r>
        <w:rPr>
          <w:spacing w:val="-1"/>
        </w:rPr>
        <w:t>□适用</w:t>
        <w:tab/>
      </w:r>
      <w:r>
        <w:rPr>
          <w:spacing w:val="-2"/>
        </w:rPr>
        <w:t>√不适用</w:t>
      </w:r>
    </w:p>
    <w:p>
      <w:pPr>
        <w:pStyle w:val="Heading4"/>
        <w:spacing w:line="240" w:lineRule="auto" w:before="97"/>
        <w:ind w:right="2631"/>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14"/>
        </w:rPr>
        <w:t> </w:t>
      </w:r>
      <w:r>
        <w:rPr/>
        <w:t>以公允价值计量的金融资产</w:t>
      </w:r>
      <w:r>
        <w:rPr>
          <w:b w:val="0"/>
          <w:bCs w:val="0"/>
        </w:rPr>
      </w:r>
    </w:p>
    <w:p>
      <w:pPr>
        <w:pStyle w:val="BodyText"/>
        <w:tabs>
          <w:tab w:pos="1060" w:val="left" w:leader="none"/>
        </w:tabs>
        <w:spacing w:line="240" w:lineRule="auto" w:before="81"/>
        <w:ind w:right="2631"/>
        <w:jc w:val="left"/>
      </w:pPr>
      <w:r>
        <w:rPr>
          <w:spacing w:val="-1"/>
        </w:rPr>
        <w:t>√适用</w:t>
        <w:tab/>
      </w:r>
      <w:r>
        <w:rPr>
          <w:spacing w:val="-2"/>
        </w:rPr>
        <w:t>□不适用</w:t>
      </w: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980"/>
        <w:gridCol w:w="1702"/>
        <w:gridCol w:w="1416"/>
        <w:gridCol w:w="1908"/>
        <w:gridCol w:w="1779"/>
      </w:tblGrid>
      <w:tr>
        <w:trPr>
          <w:trHeight w:val="73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6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569" w:right="144" w:hanging="421"/>
              <w:jc w:val="left"/>
              <w:rPr>
                <w:rFonts w:ascii="宋体" w:hAnsi="宋体" w:cs="宋体" w:eastAsia="宋体" w:hint="default"/>
                <w:sz w:val="21"/>
                <w:szCs w:val="21"/>
              </w:rPr>
            </w:pPr>
            <w:r>
              <w:rPr>
                <w:rFonts w:ascii="宋体" w:hAnsi="宋体" w:cs="宋体" w:eastAsia="宋体" w:hint="default"/>
                <w:sz w:val="21"/>
                <w:szCs w:val="21"/>
              </w:rPr>
              <w:t>对当期利润的影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响金额</w:t>
            </w:r>
          </w:p>
        </w:tc>
      </w:tr>
      <w:tr>
        <w:trPr>
          <w:trHeight w:val="42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spacing w:val="-1"/>
                <w:sz w:val="21"/>
              </w:rPr>
              <w:t>113,710,759.27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12" w:right="0"/>
              <w:jc w:val="left"/>
              <w:rPr>
                <w:rFonts w:ascii="Times New Roman" w:hAnsi="Times New Roman" w:cs="Times New Roman" w:eastAsia="Times New Roman" w:hint="default"/>
                <w:sz w:val="21"/>
                <w:szCs w:val="21"/>
              </w:rPr>
            </w:pPr>
            <w:r>
              <w:rPr>
                <w:rFonts w:ascii="Times New Roman"/>
                <w:sz w:val="21"/>
              </w:rPr>
              <w:t>-113,710,759.27</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spacing w:val="-1"/>
                <w:sz w:val="21"/>
              </w:rPr>
              <w:t>1,123,004.13</w:t>
            </w:r>
          </w:p>
        </w:tc>
      </w:tr>
      <w:tr>
        <w:trPr>
          <w:trHeight w:val="4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pacing w:val="-1"/>
                <w:sz w:val="21"/>
              </w:rPr>
              <w:t>113,710,759.27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07" w:right="0"/>
              <w:jc w:val="left"/>
              <w:rPr>
                <w:rFonts w:ascii="Times New Roman" w:hAnsi="Times New Roman" w:cs="Times New Roman" w:eastAsia="Times New Roman" w:hint="default"/>
                <w:sz w:val="21"/>
                <w:szCs w:val="21"/>
              </w:rPr>
            </w:pPr>
            <w:r>
              <w:rPr>
                <w:rFonts w:ascii="Times New Roman"/>
                <w:sz w:val="21"/>
              </w:rPr>
              <w:t>-113,710,759.27</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pacing w:val="-1"/>
                <w:sz w:val="21"/>
              </w:rPr>
              <w:t>1,123,004.13</w:t>
            </w:r>
          </w:p>
        </w:tc>
      </w:tr>
    </w:tbl>
    <w:p>
      <w:pPr>
        <w:spacing w:line="240" w:lineRule="auto" w:before="9"/>
        <w:rPr>
          <w:rFonts w:ascii="宋体" w:hAnsi="宋体" w:cs="宋体" w:eastAsia="宋体" w:hint="default"/>
          <w:sz w:val="24"/>
          <w:szCs w:val="24"/>
        </w:rPr>
      </w:pPr>
    </w:p>
    <w:p>
      <w:pPr>
        <w:pStyle w:val="Heading4"/>
        <w:tabs>
          <w:tab w:pos="1057" w:val="left" w:leader="none"/>
        </w:tabs>
        <w:spacing w:line="240" w:lineRule="auto"/>
        <w:ind w:right="2631"/>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1060" w:val="left" w:leader="none"/>
        </w:tabs>
        <w:spacing w:line="240" w:lineRule="auto" w:before="97"/>
        <w:ind w:right="2631"/>
        <w:jc w:val="left"/>
      </w:pPr>
      <w:r>
        <w:rPr>
          <w:spacing w:val="-1"/>
        </w:rPr>
        <w:t>√适用</w:t>
        <w:tab/>
      </w:r>
      <w:r>
        <w:rPr>
          <w:spacing w:val="-2"/>
        </w:rPr>
        <w:t>□不适用</w:t>
      </w:r>
    </w:p>
    <w:p>
      <w:pPr>
        <w:pStyle w:val="BodyText"/>
        <w:spacing w:line="240" w:lineRule="auto" w:before="92"/>
        <w:ind w:left="698" w:right="47"/>
        <w:jc w:val="left"/>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22"/>
        </w:rPr>
        <w:t> </w:t>
      </w:r>
      <w:r>
        <w:rPr>
          <w:w w:val="100"/>
        </w:rPr>
        <w:t>年</w:t>
      </w:r>
      <w:r>
        <w:rPr>
          <w:spacing w:val="-74"/>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2"/>
        </w:rPr>
        <w:t> </w:t>
      </w:r>
      <w:r>
        <w:rPr>
          <w:w w:val="100"/>
        </w:rPr>
        <w:t>月</w:t>
      </w:r>
      <w:r>
        <w:rPr>
          <w:spacing w:val="-72"/>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spacing w:val="-22"/>
        </w:rPr>
        <w:t> </w:t>
      </w:r>
      <w:r>
        <w:rPr>
          <w:w w:val="100"/>
        </w:rPr>
        <w:t>日</w:t>
      </w:r>
      <w:r>
        <w:rPr>
          <w:spacing w:val="-106"/>
          <w:w w:val="100"/>
        </w:rPr>
        <w:t>，</w:t>
      </w:r>
      <w:r>
        <w:rPr>
          <w:spacing w:val="-3"/>
          <w:w w:val="100"/>
        </w:rPr>
        <w:t>公</w:t>
      </w:r>
      <w:r>
        <w:rPr>
          <w:w w:val="100"/>
        </w:rPr>
        <w:t>司</w:t>
      </w:r>
      <w:r>
        <w:rPr>
          <w:spacing w:val="-3"/>
          <w:w w:val="100"/>
        </w:rPr>
        <w:t>与</w:t>
      </w:r>
      <w:r>
        <w:rPr>
          <w:w w:val="100"/>
        </w:rPr>
        <w:t>珠海</w:t>
      </w:r>
      <w:r>
        <w:rPr>
          <w:spacing w:val="-3"/>
          <w:w w:val="100"/>
        </w:rPr>
        <w:t>汇</w:t>
      </w:r>
      <w:r>
        <w:rPr>
          <w:w w:val="100"/>
        </w:rPr>
        <w:t>垠</w:t>
      </w:r>
      <w:r>
        <w:rPr>
          <w:spacing w:val="-3"/>
          <w:w w:val="100"/>
        </w:rPr>
        <w:t>意</w:t>
      </w:r>
      <w:r>
        <w:rPr>
          <w:w w:val="100"/>
        </w:rPr>
        <w:t>中</w:t>
      </w:r>
      <w:r>
        <w:rPr>
          <w:spacing w:val="-3"/>
          <w:w w:val="100"/>
        </w:rPr>
        <w:t>投</w:t>
      </w:r>
      <w:r>
        <w:rPr>
          <w:w w:val="100"/>
        </w:rPr>
        <w:t>资</w:t>
      </w:r>
      <w:r>
        <w:rPr>
          <w:spacing w:val="-3"/>
          <w:w w:val="100"/>
        </w:rPr>
        <w:t>合</w:t>
      </w:r>
      <w:r>
        <w:rPr>
          <w:w w:val="100"/>
        </w:rPr>
        <w:t>伙</w:t>
      </w:r>
      <w:r>
        <w:rPr>
          <w:spacing w:val="-3"/>
          <w:w w:val="100"/>
        </w:rPr>
        <w:t>企</w:t>
      </w:r>
      <w:r>
        <w:rPr>
          <w:spacing w:val="-106"/>
          <w:w w:val="100"/>
        </w:rPr>
        <w:t>业</w:t>
      </w:r>
      <w:r>
        <w:rPr>
          <w:w w:val="100"/>
        </w:rPr>
        <w:t>（</w:t>
      </w:r>
      <w:r>
        <w:rPr>
          <w:spacing w:val="-3"/>
          <w:w w:val="100"/>
        </w:rPr>
        <w:t>有</w:t>
      </w:r>
      <w:r>
        <w:rPr>
          <w:w w:val="100"/>
        </w:rPr>
        <w:t>限</w:t>
      </w:r>
      <w:r>
        <w:rPr>
          <w:spacing w:val="-3"/>
          <w:w w:val="100"/>
        </w:rPr>
        <w:t>合</w:t>
      </w:r>
      <w:r>
        <w:rPr>
          <w:w w:val="100"/>
        </w:rPr>
        <w:t>伙</w:t>
      </w:r>
      <w:r>
        <w:rPr>
          <w:spacing w:val="-211"/>
          <w:w w:val="100"/>
        </w:rPr>
        <w:t>）</w:t>
      </w:r>
      <w:r>
        <w:rPr>
          <w:spacing w:val="-3"/>
          <w:w w:val="100"/>
        </w:rPr>
        <w:t>（</w:t>
      </w:r>
      <w:r>
        <w:rPr>
          <w:w w:val="100"/>
        </w:rPr>
        <w:t>以</w:t>
      </w:r>
      <w:r>
        <w:rPr>
          <w:spacing w:val="-3"/>
          <w:w w:val="100"/>
        </w:rPr>
        <w:t>下</w:t>
      </w:r>
      <w:r>
        <w:rPr>
          <w:w w:val="100"/>
        </w:rPr>
        <w:t>简</w:t>
      </w:r>
      <w:r>
        <w:rPr>
          <w:spacing w:val="-2"/>
          <w:w w:val="100"/>
        </w:rPr>
        <w:t>称</w:t>
      </w:r>
      <w:r>
        <w:rPr>
          <w:spacing w:val="-3"/>
          <w:w w:val="100"/>
        </w:rPr>
        <w:t>“</w:t>
      </w:r>
      <w:r>
        <w:rPr>
          <w:w w:val="100"/>
        </w:rPr>
        <w:t>珠海</w:t>
      </w:r>
      <w:r>
        <w:rPr>
          <w:spacing w:val="-3"/>
          <w:w w:val="100"/>
        </w:rPr>
        <w:t>汇</w:t>
      </w:r>
      <w:r>
        <w:rPr>
          <w:spacing w:val="-1"/>
          <w:w w:val="100"/>
        </w:rPr>
        <w:t>垠</w:t>
      </w:r>
      <w:r>
        <w:rPr>
          <w:spacing w:val="-3"/>
          <w:w w:val="100"/>
        </w:rPr>
        <w:t>”</w:t>
      </w:r>
      <w:r>
        <w:rPr>
          <w:w w:val="100"/>
        </w:rPr>
        <w:t>）</w:t>
      </w:r>
    </w:p>
    <w:p>
      <w:pPr>
        <w:pStyle w:val="BodyText"/>
        <w:spacing w:line="240" w:lineRule="auto" w:before="69"/>
        <w:ind w:right="47"/>
        <w:jc w:val="left"/>
      </w:pPr>
      <w:r>
        <w:rPr/>
        <w:t>签订了《股权转让协议》，珠海汇垠以人民币 </w:t>
      </w:r>
      <w:r>
        <w:rPr>
          <w:rFonts w:ascii="Times New Roman" w:hAnsi="Times New Roman" w:cs="Times New Roman" w:eastAsia="Times New Roman" w:hint="default"/>
        </w:rPr>
        <w:t>2,550</w:t>
      </w:r>
      <w:r>
        <w:rPr>
          <w:rFonts w:ascii="Times New Roman" w:hAnsi="Times New Roman" w:cs="Times New Roman" w:eastAsia="Times New Roman" w:hint="default"/>
          <w:spacing w:val="4"/>
        </w:rPr>
        <w:t> </w:t>
      </w:r>
      <w:r>
        <w:rPr/>
        <w:t>万元受让本公司之子公司福建神威系统集成</w:t>
      </w:r>
    </w:p>
    <w:p>
      <w:pPr>
        <w:pStyle w:val="BodyText"/>
        <w:spacing w:line="297" w:lineRule="auto" w:before="69"/>
        <w:ind w:right="47"/>
        <w:jc w:val="left"/>
      </w:pPr>
      <w:r>
        <w:rPr/>
        <w:t>有限责任公司</w:t>
      </w:r>
      <w:r>
        <w:rPr>
          <w:spacing w:val="-40"/>
        </w:rPr>
        <w:t> </w:t>
      </w:r>
      <w:r>
        <w:rPr>
          <w:rFonts w:ascii="Times New Roman" w:hAnsi="Times New Roman" w:cs="Times New Roman" w:eastAsia="Times New Roman" w:hint="default"/>
        </w:rPr>
        <w:t>51%</w:t>
      </w:r>
      <w:r>
        <w:rPr/>
        <w:t>的股权。本次股权转让于</w:t>
      </w:r>
      <w:r>
        <w:rPr>
          <w:spacing w:val="-3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39"/>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日完成工商变更登记手续。详见第十</w:t>
      </w:r>
      <w:r>
        <w:rPr>
          <w:w w:val="100"/>
        </w:rPr>
        <w:t> </w:t>
      </w:r>
      <w:r>
        <w:rPr/>
        <w:t>一节财务报告、合并范围的变更八、四“处置子公司”。</w:t>
      </w:r>
    </w:p>
    <w:p>
      <w:pPr>
        <w:spacing w:after="0" w:line="297" w:lineRule="auto"/>
        <w:jc w:val="left"/>
        <w:sectPr>
          <w:pgSz w:w="11910" w:h="16840"/>
          <w:pgMar w:header="855" w:footer="979" w:top="1120" w:bottom="1160" w:left="15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55" w:footer="979" w:top="1120" w:bottom="1160" w:left="1580" w:right="1060"/>
        </w:sectPr>
      </w:pPr>
    </w:p>
    <w:p>
      <w:pPr>
        <w:pStyle w:val="Heading4"/>
        <w:tabs>
          <w:tab w:pos="1057" w:val="left" w:leader="none"/>
        </w:tabs>
        <w:spacing w:line="240" w:lineRule="auto"/>
        <w:ind w:right="-8"/>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1060" w:val="left" w:leader="none"/>
        </w:tabs>
        <w:spacing w:line="240" w:lineRule="auto" w:before="111"/>
        <w:ind w:right="-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right="0"/>
        <w:jc w:val="left"/>
      </w:pPr>
      <w:r>
        <w:rPr/>
        <w:t>单位</w:t>
      </w:r>
      <w:r>
        <w:rPr>
          <w:rFonts w:ascii="宋体" w:hAnsi="宋体" w:cs="宋体" w:eastAsia="宋体" w:hint="default"/>
        </w:rPr>
        <w:t>:</w:t>
      </w:r>
      <w:r>
        <w:rPr/>
        <w:t>万元</w:t>
      </w:r>
    </w:p>
    <w:p>
      <w:pPr>
        <w:spacing w:after="0" w:line="240" w:lineRule="auto"/>
        <w:jc w:val="left"/>
        <w:sectPr>
          <w:type w:val="continuous"/>
          <w:pgSz w:w="11910" w:h="16840"/>
          <w:pgMar w:top="1580" w:bottom="280" w:left="1580" w:right="1060"/>
          <w:cols w:num="2" w:equalWidth="0">
            <w:col w:w="3168" w:space="4360"/>
            <w:col w:w="1742"/>
          </w:cols>
        </w:sectPr>
      </w:pPr>
    </w:p>
    <w:p>
      <w:pPr>
        <w:spacing w:line="240" w:lineRule="auto" w:before="5"/>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470"/>
        <w:gridCol w:w="1368"/>
        <w:gridCol w:w="850"/>
        <w:gridCol w:w="722"/>
        <w:gridCol w:w="1109"/>
        <w:gridCol w:w="1265"/>
        <w:gridCol w:w="1145"/>
        <w:gridCol w:w="1004"/>
        <w:gridCol w:w="1008"/>
      </w:tblGrid>
      <w:tr>
        <w:trPr>
          <w:trHeight w:val="730"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24" w:right="122"/>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14" w:right="99" w:hanging="210"/>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46" w:right="143"/>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成立时间</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418" w:right="204" w:hanging="212"/>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w w:val="100"/>
                <w:sz w:val="21"/>
                <w:szCs w:val="21"/>
              </w:rPr>
              <w:t> </w:t>
            </w:r>
            <w:r>
              <w:rPr>
                <w:rFonts w:ascii="宋体" w:hAnsi="宋体" w:cs="宋体" w:eastAsia="宋体" w:hint="default"/>
                <w:sz w:val="21"/>
                <w:szCs w:val="21"/>
              </w:rPr>
              <w:t>范围</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78"/>
              <w:jc w:val="right"/>
              <w:rPr>
                <w:rFonts w:ascii="宋体" w:hAnsi="宋体" w:cs="宋体" w:eastAsia="宋体" w:hint="default"/>
                <w:sz w:val="21"/>
                <w:szCs w:val="21"/>
              </w:rPr>
            </w:pPr>
            <w:r>
              <w:rPr>
                <w:rFonts w:ascii="宋体" w:hAnsi="宋体" w:cs="宋体" w:eastAsia="宋体" w:hint="default"/>
                <w:sz w:val="21"/>
                <w:szCs w:val="21"/>
              </w:rPr>
              <w:t>净资产</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1090"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03" w:right="99"/>
              <w:jc w:val="left"/>
              <w:rPr>
                <w:rFonts w:ascii="宋体" w:hAnsi="宋体" w:cs="宋体" w:eastAsia="宋体" w:hint="default"/>
                <w:sz w:val="21"/>
                <w:szCs w:val="21"/>
              </w:rPr>
            </w:pPr>
            <w:r>
              <w:rPr>
                <w:rFonts w:ascii="宋体" w:hAnsi="宋体" w:cs="宋体" w:eastAsia="宋体" w:hint="default"/>
                <w:spacing w:val="14"/>
                <w:sz w:val="21"/>
                <w:szCs w:val="21"/>
              </w:rPr>
              <w:t>福建南</w:t>
            </w:r>
            <w:r>
              <w:rPr>
                <w:rFonts w:ascii="宋体" w:hAnsi="宋体" w:cs="宋体" w:eastAsia="宋体" w:hint="default"/>
                <w:spacing w:val="-73"/>
                <w:sz w:val="21"/>
                <w:szCs w:val="21"/>
              </w:rPr>
              <w:t> </w:t>
            </w:r>
            <w:r>
              <w:rPr>
                <w:rFonts w:ascii="宋体" w:hAnsi="宋体" w:cs="宋体" w:eastAsia="宋体" w:hint="default"/>
                <w:spacing w:val="11"/>
                <w:sz w:val="21"/>
                <w:szCs w:val="21"/>
              </w:rPr>
              <w:t>威软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1" w:right="0"/>
              <w:jc w:val="center"/>
              <w:rPr>
                <w:rFonts w:ascii="Times New Roman" w:hAnsi="Times New Roman" w:cs="Times New Roman" w:eastAsia="Times New Roman" w:hint="default"/>
                <w:sz w:val="21"/>
                <w:szCs w:val="21"/>
              </w:rPr>
            </w:pPr>
            <w:r>
              <w:rPr>
                <w:rFonts w:ascii="Times New Roman"/>
                <w:sz w:val="21"/>
              </w:rPr>
              <w:t>12,500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5"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40" w:lineRule="auto" w:before="69"/>
              <w:ind w:left="16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both"/>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件</w:t>
            </w:r>
            <w:r>
              <w:rPr>
                <w:rFonts w:ascii="宋体" w:hAnsi="宋体" w:cs="宋体" w:eastAsia="宋体" w:hint="default"/>
                <w:spacing w:val="-38"/>
                <w:sz w:val="21"/>
                <w:szCs w:val="21"/>
              </w:rPr>
              <w:t> </w:t>
            </w:r>
            <w:r>
              <w:rPr>
                <w:rFonts w:ascii="宋体" w:hAnsi="宋体" w:cs="宋体" w:eastAsia="宋体" w:hint="default"/>
                <w:sz w:val="21"/>
                <w:szCs w:val="21"/>
              </w:rPr>
              <w:t>开</w:t>
            </w:r>
            <w:r>
              <w:rPr>
                <w:rFonts w:ascii="宋体" w:hAnsi="宋体" w:cs="宋体" w:eastAsia="宋体" w:hint="default"/>
                <w:spacing w:val="-35"/>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与</w:t>
            </w:r>
            <w:r>
              <w:rPr>
                <w:rFonts w:ascii="宋体" w:hAnsi="宋体" w:cs="宋体" w:eastAsia="宋体" w:hint="default"/>
                <w:spacing w:val="-35"/>
                <w:sz w:val="21"/>
                <w:szCs w:val="21"/>
              </w:rPr>
              <w:t> </w:t>
            </w:r>
            <w:r>
              <w:rPr>
                <w:rFonts w:ascii="宋体" w:hAnsi="宋体" w:cs="宋体" w:eastAsia="宋体" w:hint="default"/>
                <w:sz w:val="21"/>
                <w:szCs w:val="21"/>
              </w:rPr>
              <w:t>技</w:t>
            </w:r>
            <w:r>
              <w:rPr>
                <w:rFonts w:ascii="宋体" w:hAnsi="宋体" w:cs="宋体" w:eastAsia="宋体" w:hint="default"/>
                <w:spacing w:val="-38"/>
                <w:sz w:val="21"/>
                <w:szCs w:val="21"/>
              </w:rPr>
              <w:t> </w:t>
            </w:r>
            <w:r>
              <w:rPr>
                <w:rFonts w:ascii="宋体" w:hAnsi="宋体" w:cs="宋体" w:eastAsia="宋体" w:hint="default"/>
                <w:sz w:val="21"/>
                <w:szCs w:val="21"/>
              </w:rPr>
              <w:t>术</w:t>
            </w:r>
            <w:r>
              <w:rPr>
                <w:rFonts w:ascii="宋体" w:hAnsi="宋体" w:cs="宋体" w:eastAsia="宋体" w:hint="default"/>
                <w:spacing w:val="-35"/>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务等</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1" w:right="0"/>
              <w:jc w:val="center"/>
              <w:rPr>
                <w:rFonts w:ascii="Times New Roman" w:hAnsi="Times New Roman" w:cs="Times New Roman" w:eastAsia="Times New Roman" w:hint="default"/>
                <w:sz w:val="21"/>
                <w:szCs w:val="21"/>
              </w:rPr>
            </w:pPr>
            <w:r>
              <w:rPr>
                <w:rFonts w:ascii="Times New Roman"/>
                <w:sz w:val="21"/>
              </w:rPr>
              <w:t>40,793.21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28,569.10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center"/>
              <w:rPr>
                <w:rFonts w:ascii="Times New Roman" w:hAnsi="Times New Roman" w:cs="Times New Roman" w:eastAsia="Times New Roman" w:hint="default"/>
                <w:sz w:val="21"/>
                <w:szCs w:val="21"/>
              </w:rPr>
            </w:pPr>
            <w:r>
              <w:rPr>
                <w:rFonts w:ascii="Times New Roman"/>
                <w:sz w:val="21"/>
              </w:rPr>
              <w:t>5,533.55</w:t>
            </w:r>
          </w:p>
        </w:tc>
      </w:tr>
      <w:tr>
        <w:trPr>
          <w:trHeight w:val="2530"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4" w:lineRule="auto"/>
              <w:ind w:left="103" w:right="99"/>
              <w:jc w:val="both"/>
              <w:rPr>
                <w:rFonts w:ascii="宋体" w:hAnsi="宋体" w:cs="宋体" w:eastAsia="宋体" w:hint="default"/>
                <w:sz w:val="21"/>
                <w:szCs w:val="21"/>
              </w:rPr>
            </w:pPr>
            <w:r>
              <w:rPr>
                <w:rFonts w:ascii="宋体" w:hAnsi="宋体" w:cs="宋体" w:eastAsia="宋体" w:hint="default"/>
                <w:spacing w:val="14"/>
                <w:sz w:val="21"/>
                <w:szCs w:val="21"/>
              </w:rPr>
              <w:t>深圳太</w:t>
            </w:r>
            <w:r>
              <w:rPr>
                <w:rFonts w:ascii="宋体" w:hAnsi="宋体" w:cs="宋体" w:eastAsia="宋体" w:hint="default"/>
                <w:spacing w:val="-73"/>
                <w:sz w:val="21"/>
                <w:szCs w:val="21"/>
              </w:rPr>
              <w:t> </w:t>
            </w:r>
            <w:r>
              <w:rPr>
                <w:rFonts w:ascii="宋体" w:hAnsi="宋体" w:cs="宋体" w:eastAsia="宋体" w:hint="default"/>
                <w:spacing w:val="11"/>
                <w:sz w:val="21"/>
                <w:szCs w:val="21"/>
              </w:rPr>
              <w:t>极云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4"/>
                <w:sz w:val="21"/>
                <w:szCs w:val="21"/>
              </w:rPr>
              <w:t>软技术</w:t>
            </w:r>
            <w:r>
              <w:rPr>
                <w:rFonts w:ascii="宋体" w:hAnsi="宋体" w:cs="宋体" w:eastAsia="宋体" w:hint="default"/>
                <w:spacing w:val="-73"/>
                <w:sz w:val="21"/>
                <w:szCs w:val="21"/>
              </w:rPr>
              <w:t> </w:t>
            </w:r>
            <w:r>
              <w:rPr>
                <w:rFonts w:ascii="宋体" w:hAnsi="宋体" w:cs="宋体" w:eastAsia="宋体" w:hint="default"/>
                <w:spacing w:val="11"/>
                <w:sz w:val="21"/>
                <w:szCs w:val="21"/>
              </w:rPr>
              <w:t>股份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62" w:right="0"/>
              <w:jc w:val="center"/>
              <w:rPr>
                <w:rFonts w:ascii="Times New Roman" w:hAnsi="Times New Roman" w:cs="Times New Roman" w:eastAsia="Times New Roman" w:hint="default"/>
                <w:sz w:val="21"/>
                <w:szCs w:val="21"/>
              </w:rPr>
            </w:pPr>
            <w:r>
              <w:rPr>
                <w:rFonts w:ascii="Times New Roman"/>
                <w:sz w:val="21"/>
              </w:rPr>
              <w:t>8,000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55"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1990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40" w:lineRule="auto" w:before="69"/>
              <w:ind w:left="16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99"/>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35"/>
                <w:sz w:val="21"/>
                <w:szCs w:val="21"/>
              </w:rPr>
              <w:t> </w:t>
            </w:r>
            <w:r>
              <w:rPr>
                <w:rFonts w:ascii="宋体" w:hAnsi="宋体" w:cs="宋体" w:eastAsia="宋体" w:hint="default"/>
                <w:sz w:val="21"/>
                <w:szCs w:val="21"/>
              </w:rPr>
              <w:t>算</w:t>
            </w:r>
            <w:r>
              <w:rPr>
                <w:rFonts w:ascii="宋体" w:hAnsi="宋体" w:cs="宋体" w:eastAsia="宋体" w:hint="default"/>
                <w:spacing w:val="-38"/>
                <w:sz w:val="21"/>
                <w:szCs w:val="21"/>
              </w:rPr>
              <w:t> </w:t>
            </w:r>
            <w:r>
              <w:rPr>
                <w:rFonts w:ascii="宋体" w:hAnsi="宋体" w:cs="宋体" w:eastAsia="宋体" w:hint="default"/>
                <w:sz w:val="21"/>
                <w:szCs w:val="21"/>
              </w:rPr>
              <w:t>机</w:t>
            </w:r>
            <w:r>
              <w:rPr>
                <w:rFonts w:ascii="宋体" w:hAnsi="宋体" w:cs="宋体" w:eastAsia="宋体" w:hint="default"/>
                <w:spacing w:val="-35"/>
                <w:sz w:val="21"/>
                <w:szCs w:val="21"/>
              </w:rPr>
              <w:t> </w:t>
            </w:r>
            <w:r>
              <w:rPr>
                <w:rFonts w:ascii="宋体" w:hAnsi="宋体" w:cs="宋体" w:eastAsia="宋体" w:hint="default"/>
                <w:sz w:val="21"/>
                <w:szCs w:val="21"/>
              </w:rPr>
              <w:t>软</w:t>
            </w:r>
            <w:r>
              <w:rPr>
                <w:rFonts w:ascii="宋体" w:hAnsi="宋体" w:cs="宋体" w:eastAsia="宋体" w:hint="default"/>
                <w:w w:val="100"/>
                <w:sz w:val="21"/>
                <w:szCs w:val="21"/>
              </w:rPr>
              <w:t> </w:t>
            </w:r>
            <w:r>
              <w:rPr>
                <w:rFonts w:ascii="宋体" w:hAnsi="宋体" w:cs="宋体" w:eastAsia="宋体" w:hint="default"/>
                <w:sz w:val="21"/>
                <w:szCs w:val="21"/>
              </w:rPr>
              <w:t>硬</w:t>
            </w:r>
            <w:r>
              <w:rPr>
                <w:rFonts w:ascii="宋体" w:hAnsi="宋体" w:cs="宋体" w:eastAsia="宋体" w:hint="default"/>
                <w:spacing w:val="-35"/>
                <w:sz w:val="21"/>
                <w:szCs w:val="21"/>
              </w:rPr>
              <w:t> </w:t>
            </w:r>
            <w:r>
              <w:rPr>
                <w:rFonts w:ascii="宋体" w:hAnsi="宋体" w:cs="宋体" w:eastAsia="宋体" w:hint="default"/>
                <w:sz w:val="21"/>
                <w:szCs w:val="21"/>
              </w:rPr>
              <w:t>件</w:t>
            </w:r>
            <w:r>
              <w:rPr>
                <w:rFonts w:ascii="宋体" w:hAnsi="宋体" w:cs="宋体" w:eastAsia="宋体" w:hint="default"/>
                <w:spacing w:val="-38"/>
                <w:sz w:val="21"/>
                <w:szCs w:val="21"/>
              </w:rPr>
              <w:t> </w:t>
            </w:r>
            <w:r>
              <w:rPr>
                <w:rFonts w:ascii="宋体" w:hAnsi="宋体" w:cs="宋体" w:eastAsia="宋体" w:hint="default"/>
                <w:sz w:val="21"/>
                <w:szCs w:val="21"/>
              </w:rPr>
              <w:t>的</w:t>
            </w:r>
            <w:r>
              <w:rPr>
                <w:rFonts w:ascii="宋体" w:hAnsi="宋体" w:cs="宋体" w:eastAsia="宋体" w:hint="default"/>
                <w:spacing w:val="-35"/>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spacing w:val="-35"/>
                <w:sz w:val="21"/>
                <w:szCs w:val="21"/>
              </w:rPr>
              <w:t> </w:t>
            </w:r>
            <w:r>
              <w:rPr>
                <w:rFonts w:ascii="宋体" w:hAnsi="宋体" w:cs="宋体" w:eastAsia="宋体" w:hint="default"/>
                <w:sz w:val="21"/>
                <w:szCs w:val="21"/>
              </w:rPr>
              <w:t>开</w:t>
            </w:r>
            <w:r>
              <w:rPr>
                <w:rFonts w:ascii="宋体" w:hAnsi="宋体" w:cs="宋体" w:eastAsia="宋体" w:hint="default"/>
                <w:spacing w:val="-38"/>
                <w:sz w:val="21"/>
                <w:szCs w:val="21"/>
              </w:rPr>
              <w:t> </w:t>
            </w:r>
            <w:r>
              <w:rPr>
                <w:rFonts w:ascii="宋体" w:hAnsi="宋体" w:cs="宋体" w:eastAsia="宋体" w:hint="default"/>
                <w:sz w:val="21"/>
                <w:szCs w:val="21"/>
              </w:rPr>
              <w:t>发</w:t>
            </w:r>
            <w:r>
              <w:rPr>
                <w:rFonts w:ascii="宋体" w:hAnsi="宋体" w:cs="宋体" w:eastAsia="宋体" w:hint="default"/>
                <w:spacing w:val="-35"/>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销售，计算</w:t>
            </w:r>
            <w:r>
              <w:rPr>
                <w:rFonts w:ascii="宋体" w:hAnsi="宋体" w:cs="宋体" w:eastAsia="宋体" w:hint="default"/>
                <w:w w:val="100"/>
                <w:sz w:val="21"/>
                <w:szCs w:val="21"/>
              </w:rPr>
              <w:t> </w:t>
            </w:r>
            <w:r>
              <w:rPr>
                <w:rFonts w:ascii="宋体" w:hAnsi="宋体" w:cs="宋体" w:eastAsia="宋体" w:hint="default"/>
                <w:sz w:val="21"/>
                <w:szCs w:val="21"/>
              </w:rPr>
              <w:t>机</w:t>
            </w:r>
            <w:r>
              <w:rPr>
                <w:rFonts w:ascii="宋体" w:hAnsi="宋体" w:cs="宋体" w:eastAsia="宋体" w:hint="default"/>
                <w:spacing w:val="-35"/>
                <w:sz w:val="21"/>
                <w:szCs w:val="21"/>
              </w:rPr>
              <w:t> </w:t>
            </w:r>
            <w:r>
              <w:rPr>
                <w:rFonts w:ascii="宋体" w:hAnsi="宋体" w:cs="宋体" w:eastAsia="宋体" w:hint="default"/>
                <w:sz w:val="21"/>
                <w:szCs w:val="21"/>
              </w:rPr>
              <w:t>系</w:t>
            </w:r>
            <w:r>
              <w:rPr>
                <w:rFonts w:ascii="宋体" w:hAnsi="宋体" w:cs="宋体" w:eastAsia="宋体" w:hint="default"/>
                <w:spacing w:val="-38"/>
                <w:sz w:val="21"/>
                <w:szCs w:val="21"/>
              </w:rPr>
              <w:t> </w:t>
            </w:r>
            <w:r>
              <w:rPr>
                <w:rFonts w:ascii="宋体" w:hAnsi="宋体" w:cs="宋体" w:eastAsia="宋体" w:hint="default"/>
                <w:sz w:val="21"/>
                <w:szCs w:val="21"/>
              </w:rPr>
              <w:t>统</w:t>
            </w:r>
            <w:r>
              <w:rPr>
                <w:rFonts w:ascii="宋体" w:hAnsi="宋体" w:cs="宋体" w:eastAsia="宋体" w:hint="default"/>
                <w:spacing w:val="-35"/>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成，计算机</w:t>
            </w:r>
            <w:r>
              <w:rPr>
                <w:rFonts w:ascii="宋体" w:hAnsi="宋体" w:cs="宋体" w:eastAsia="宋体" w:hint="default"/>
                <w:w w:val="100"/>
                <w:sz w:val="21"/>
                <w:szCs w:val="21"/>
              </w:rPr>
              <w:t> </w:t>
            </w:r>
            <w:r>
              <w:rPr>
                <w:rFonts w:ascii="宋体" w:hAnsi="宋体" w:cs="宋体" w:eastAsia="宋体" w:hint="default"/>
                <w:sz w:val="21"/>
                <w:szCs w:val="21"/>
              </w:rPr>
              <w:t>技术咨询</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1" w:right="0"/>
              <w:jc w:val="center"/>
              <w:rPr>
                <w:rFonts w:ascii="Times New Roman" w:hAnsi="Times New Roman" w:cs="Times New Roman" w:eastAsia="Times New Roman" w:hint="default"/>
                <w:sz w:val="21"/>
                <w:szCs w:val="21"/>
              </w:rPr>
            </w:pPr>
            <w:r>
              <w:rPr>
                <w:rFonts w:ascii="Times New Roman"/>
                <w:sz w:val="21"/>
              </w:rPr>
              <w:t>19,932.02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37"/>
              <w:jc w:val="right"/>
              <w:rPr>
                <w:rFonts w:ascii="Times New Roman" w:hAnsi="Times New Roman" w:cs="Times New Roman" w:eastAsia="Times New Roman" w:hint="default"/>
                <w:sz w:val="21"/>
                <w:szCs w:val="21"/>
              </w:rPr>
            </w:pPr>
            <w:r>
              <w:rPr>
                <w:rFonts w:ascii="Times New Roman"/>
                <w:spacing w:val="-1"/>
                <w:sz w:val="21"/>
              </w:rPr>
              <w:t>6,590.98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55" w:right="0"/>
              <w:jc w:val="center"/>
              <w:rPr>
                <w:rFonts w:ascii="Times New Roman" w:hAnsi="Times New Roman" w:cs="Times New Roman" w:eastAsia="Times New Roman" w:hint="default"/>
                <w:sz w:val="21"/>
                <w:szCs w:val="21"/>
              </w:rPr>
            </w:pPr>
            <w:r>
              <w:rPr>
                <w:rFonts w:ascii="Times New Roman"/>
                <w:sz w:val="21"/>
              </w:rPr>
              <w:t>3,189.95</w:t>
            </w:r>
          </w:p>
        </w:tc>
      </w:tr>
    </w:tbl>
    <w:p>
      <w:pPr>
        <w:spacing w:line="240" w:lineRule="auto" w:before="5"/>
        <w:rPr>
          <w:rFonts w:ascii="宋体" w:hAnsi="宋体" w:cs="宋体" w:eastAsia="宋体" w:hint="default"/>
          <w:sz w:val="26"/>
          <w:szCs w:val="26"/>
        </w:rPr>
      </w:pPr>
    </w:p>
    <w:p>
      <w:pPr>
        <w:pStyle w:val="Heading4"/>
        <w:spacing w:line="240" w:lineRule="auto"/>
        <w:ind w:right="99"/>
        <w:jc w:val="left"/>
        <w:rPr>
          <w:b w:val="0"/>
          <w:bCs w:val="0"/>
        </w:rPr>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52"/>
        </w:rPr>
        <w:t> </w:t>
      </w:r>
      <w:r>
        <w:rPr/>
        <w:t>公司控制的结构化主体情况</w:t>
      </w:r>
      <w:r>
        <w:rPr>
          <w:b w:val="0"/>
          <w:bCs w:val="0"/>
        </w:rPr>
      </w:r>
    </w:p>
    <w:p>
      <w:pPr>
        <w:tabs>
          <w:tab w:pos="1060" w:val="left" w:leader="none"/>
        </w:tabs>
        <w:spacing w:line="338" w:lineRule="auto" w:before="112"/>
        <w:ind w:left="218" w:right="5249"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三、公司关于公司未来发展的讨论与分析</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48"/>
          <w:sz w:val="21"/>
          <w:szCs w:val="21"/>
        </w:rPr>
        <w:t> </w:t>
      </w:r>
      <w:r>
        <w:rPr>
          <w:rFonts w:ascii="宋体" w:hAnsi="宋体" w:cs="宋体" w:eastAsia="宋体" w:hint="default"/>
          <w:b/>
          <w:bCs/>
          <w:sz w:val="21"/>
          <w:szCs w:val="21"/>
        </w:rPr>
        <w:t>行业格局和趋势</w:t>
      </w:r>
      <w:r>
        <w:rPr>
          <w:rFonts w:ascii="宋体" w:hAnsi="宋体" w:cs="宋体" w:eastAsia="宋体" w:hint="default"/>
          <w:sz w:val="21"/>
          <w:szCs w:val="21"/>
        </w:rPr>
      </w:r>
    </w:p>
    <w:p>
      <w:pPr>
        <w:pStyle w:val="BodyText"/>
        <w:tabs>
          <w:tab w:pos="1060" w:val="left" w:leader="none"/>
        </w:tabs>
        <w:spacing w:line="240" w:lineRule="auto" w:before="25"/>
        <w:ind w:right="99"/>
        <w:jc w:val="left"/>
      </w:pPr>
      <w:r>
        <w:rPr>
          <w:spacing w:val="-1"/>
        </w:rPr>
        <w:t>√适用</w:t>
        <w:tab/>
      </w:r>
      <w:r>
        <w:rPr>
          <w:spacing w:val="-2"/>
        </w:rPr>
        <w:t>□不适用</w:t>
      </w:r>
    </w:p>
    <w:p>
      <w:pPr>
        <w:pStyle w:val="BodyText"/>
        <w:spacing w:line="304" w:lineRule="auto" w:before="97"/>
        <w:ind w:right="102" w:firstLine="419"/>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spacing w:val="-6"/>
        </w:rPr>
        <w:t>年，在国内产业加快变革调整的背景下，我国软件和信息技术服务业保持平稳快速增长，</w:t>
      </w:r>
      <w:r>
        <w:rPr>
          <w:w w:val="100"/>
        </w:rPr>
        <w:t> </w:t>
      </w:r>
      <w:r>
        <w:rPr/>
        <w:t>同比增速达</w:t>
      </w:r>
      <w:r>
        <w:rPr>
          <w:spacing w:val="-56"/>
        </w:rPr>
        <w:t> </w:t>
      </w:r>
      <w:r>
        <w:rPr>
          <w:rFonts w:ascii="Times New Roman" w:hAnsi="Times New Roman" w:cs="Times New Roman" w:eastAsia="Times New Roman" w:hint="default"/>
        </w:rPr>
        <w:t>15%</w:t>
      </w:r>
      <w:r>
        <w:rPr/>
        <w:t>，比去年同期提高</w:t>
      </w:r>
      <w:r>
        <w:rPr>
          <w:spacing w:val="-55"/>
        </w:rPr>
        <w:t> </w:t>
      </w:r>
      <w:r>
        <w:rPr>
          <w:rFonts w:ascii="Times New Roman" w:hAnsi="Times New Roman" w:cs="Times New Roman" w:eastAsia="Times New Roman" w:hint="default"/>
        </w:rPr>
        <w:t>0.9</w:t>
      </w:r>
      <w:r>
        <w:rPr>
          <w:rFonts w:ascii="Times New Roman" w:hAnsi="Times New Roman" w:cs="Times New Roman" w:eastAsia="Times New Roman" w:hint="default"/>
          <w:spacing w:val="-3"/>
        </w:rPr>
        <w:t> </w:t>
      </w:r>
      <w:r>
        <w:rPr/>
        <w:t>个百分点。</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年，产业发展既面临《扩大和升级信息消</w:t>
      </w:r>
      <w:r>
        <w:rPr>
          <w:w w:val="100"/>
        </w:rPr>
        <w:t> </w:t>
      </w:r>
      <w:r>
        <w:rPr/>
        <w:t>费三年行动计划（</w:t>
      </w:r>
      <w:r>
        <w:rPr>
          <w:rFonts w:ascii="Times New Roman" w:hAnsi="Times New Roman" w:cs="Times New Roman" w:eastAsia="Times New Roman" w:hint="default"/>
        </w:rPr>
        <w:t>2018</w:t>
      </w:r>
      <w:r>
        <w:rPr>
          <w:rFonts w:ascii="宋体" w:hAnsi="宋体" w:cs="宋体" w:eastAsia="宋体" w:hint="default"/>
        </w:rPr>
        <w:t>-</w:t>
      </w:r>
      <w:r>
        <w:rPr>
          <w:rFonts w:ascii="Times New Roman" w:hAnsi="Times New Roman" w:cs="Times New Roman" w:eastAsia="Times New Roman" w:hint="default"/>
        </w:rPr>
        <w:t>2020 </w:t>
      </w:r>
      <w:r>
        <w:rPr/>
        <w:t>年）》、《工业互联网 </w:t>
      </w:r>
      <w:r>
        <w:rPr>
          <w:rFonts w:ascii="Times New Roman" w:hAnsi="Times New Roman" w:cs="Times New Roman" w:eastAsia="Times New Roman" w:hint="default"/>
        </w:rPr>
        <w:t>APP</w:t>
      </w:r>
      <w:r>
        <w:rPr>
          <w:rFonts w:ascii="Times New Roman" w:hAnsi="Times New Roman" w:cs="Times New Roman" w:eastAsia="Times New Roman" w:hint="default"/>
          <w:spacing w:val="-14"/>
        </w:rPr>
        <w:t> </w:t>
      </w:r>
      <w:r>
        <w:rPr/>
        <w:t>培育工程实施方案》等政策红利释放、</w:t>
      </w:r>
      <w:r>
        <w:rPr>
          <w:w w:val="100"/>
        </w:rPr>
        <w:t> </w:t>
      </w:r>
      <w:r>
        <w:rPr/>
        <w:t>大数据等新兴动能深层次拓展等发展机遇，也面临着国内经济持续放缓、产业向高质量发展转型</w:t>
      </w:r>
      <w:r>
        <w:rPr>
          <w:spacing w:val="-97"/>
        </w:rPr>
        <w:t> </w:t>
      </w:r>
      <w:r>
        <w:rPr>
          <w:spacing w:val="-97"/>
        </w:rPr>
      </w:r>
      <w:r>
        <w:rPr>
          <w:spacing w:val="-9"/>
          <w:w w:val="100"/>
        </w:rPr>
        <w:t>调整等重大压力和挑战，预计</w:t>
      </w:r>
      <w:r>
        <w:rPr>
          <w:spacing w:val="-52"/>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1"/>
          <w:w w:val="100"/>
        </w:rPr>
        <w:t> </w:t>
      </w:r>
      <w:r>
        <w:rPr>
          <w:spacing w:val="-5"/>
          <w:w w:val="100"/>
        </w:rPr>
        <w:t>年我国软件和信息技术服务业将延续平稳增长态势。与此同时，</w:t>
      </w:r>
      <w:r>
        <w:rPr>
          <w:w w:val="100"/>
        </w:rPr>
        <w:t> </w:t>
      </w:r>
      <w:r>
        <w:rPr/>
        <w:t>公司收入和效益保持较快增长，吸纳就业人数稳步增加；同时，公司培育并成功推出城市通、一</w:t>
      </w:r>
      <w:r>
        <w:rPr>
          <w:spacing w:val="-97"/>
        </w:rPr>
        <w:t> </w:t>
      </w:r>
      <w:r>
        <w:rPr>
          <w:spacing w:val="-97"/>
        </w:rPr>
      </w:r>
      <w:r>
        <w:rPr/>
        <w:t>省一窗异地通办、天河大数据等商用多款高科技产品和应用，产业向高质量方向发展步伐加快，</w:t>
      </w:r>
      <w:r>
        <w:rPr>
          <w:spacing w:val="-97"/>
        </w:rPr>
        <w:t> </w:t>
      </w:r>
      <w:r>
        <w:rPr>
          <w:spacing w:val="-97"/>
        </w:rPr>
      </w:r>
      <w:r>
        <w:rPr/>
        <w:t>结构持续调整优化，新的增长点不断涌现，正在成为数字经济发展、智慧社会演进的重要驱动力</w:t>
      </w:r>
      <w:r>
        <w:rPr>
          <w:spacing w:val="-97"/>
        </w:rPr>
        <w:t> </w:t>
      </w:r>
      <w:r>
        <w:rPr>
          <w:spacing w:val="-97"/>
        </w:rPr>
      </w:r>
      <w:r>
        <w:rPr/>
        <w:t>量。</w:t>
      </w:r>
    </w:p>
    <w:p>
      <w:pPr>
        <w:pStyle w:val="Heading4"/>
        <w:spacing w:line="240" w:lineRule="auto" w:before="40"/>
        <w:ind w:right="99"/>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8"/>
        </w:rPr>
        <w:t> </w:t>
      </w:r>
      <w:r>
        <w:rPr/>
        <w:t>公司发展战略</w:t>
      </w:r>
      <w:r>
        <w:rPr>
          <w:b w:val="0"/>
          <w:bCs w:val="0"/>
        </w:rPr>
      </w:r>
    </w:p>
    <w:p>
      <w:pPr>
        <w:pStyle w:val="BodyText"/>
        <w:tabs>
          <w:tab w:pos="1060" w:val="left" w:leader="none"/>
        </w:tabs>
        <w:spacing w:line="326" w:lineRule="auto" w:before="111"/>
        <w:ind w:left="638" w:right="211" w:hanging="420"/>
        <w:jc w:val="left"/>
      </w:pPr>
      <w:r>
        <w:rPr>
          <w:spacing w:val="-1"/>
        </w:rPr>
        <w:t>√适用</w:t>
        <w:tab/>
      </w:r>
      <w:r>
        <w:rPr>
          <w:spacing w:val="-2"/>
        </w:rPr>
        <w:t>□不适用</w:t>
      </w:r>
      <w:r>
        <w:rPr>
          <w:spacing w:val="-99"/>
        </w:rPr>
        <w:t> </w:t>
      </w:r>
      <w:r>
        <w:rPr>
          <w:spacing w:val="-99"/>
        </w:rPr>
      </w:r>
      <w:r>
        <w:rPr>
          <w:spacing w:val="-2"/>
        </w:rPr>
        <w:t>公司致力于成为拥有重大、关键、核心技术的世界级伟大科技集团，夯实“千亿南威、百年</w:t>
      </w:r>
    </w:p>
    <w:p>
      <w:pPr>
        <w:pStyle w:val="BodyText"/>
        <w:spacing w:line="304" w:lineRule="auto" w:before="9"/>
        <w:ind w:right="208"/>
        <w:jc w:val="both"/>
      </w:pPr>
      <w:r>
        <w:rPr>
          <w:spacing w:val="-6"/>
        </w:rPr>
        <w:t>南威”的企业梦想，到 </w:t>
      </w:r>
      <w:r>
        <w:rPr>
          <w:rFonts w:ascii="Times New Roman" w:hAnsi="Times New Roman" w:cs="Times New Roman" w:eastAsia="Times New Roman" w:hint="default"/>
        </w:rPr>
        <w:t>2025 </w:t>
      </w:r>
      <w:r>
        <w:rPr>
          <w:spacing w:val="-3"/>
        </w:rPr>
        <w:t>年完成千亿市值的战略目标，并制定行业区域布局战略、资本扩张战</w:t>
      </w:r>
      <w:r>
        <w:rPr>
          <w:spacing w:val="-103"/>
        </w:rPr>
        <w:t> </w:t>
      </w:r>
      <w:r>
        <w:rPr>
          <w:spacing w:val="-103"/>
        </w:rPr>
      </w:r>
      <w:r>
        <w:rPr>
          <w:spacing w:val="-1"/>
        </w:rPr>
        <w:t>略、产业生态战略、核心竞争力战略、产业孵化战略、全球化战略、红色引擎战略、人才战略等</w:t>
      </w:r>
      <w:r>
        <w:rPr>
          <w:spacing w:val="-55"/>
        </w:rPr>
        <w:t> </w:t>
      </w:r>
      <w:r>
        <w:rPr>
          <w:spacing w:val="-55"/>
        </w:rPr>
      </w:r>
      <w:r>
        <w:rPr/>
        <w:t>八大战略推进落实。</w:t>
      </w:r>
    </w:p>
    <w:p>
      <w:pPr>
        <w:spacing w:after="0" w:line="304" w:lineRule="auto"/>
        <w:jc w:val="both"/>
        <w:sectPr>
          <w:type w:val="continuous"/>
          <w:pgSz w:w="11910" w:h="16840"/>
          <w:pgMar w:top="1580" w:bottom="280" w:left="1580" w:right="1060"/>
        </w:sectPr>
      </w:pPr>
    </w:p>
    <w:p>
      <w:pPr>
        <w:spacing w:line="240" w:lineRule="auto" w:before="4"/>
        <w:rPr>
          <w:rFonts w:ascii="宋体" w:hAnsi="宋体" w:cs="宋体" w:eastAsia="宋体" w:hint="default"/>
          <w:sz w:val="27"/>
          <w:szCs w:val="27"/>
        </w:rPr>
      </w:pPr>
    </w:p>
    <w:p>
      <w:pPr>
        <w:pStyle w:val="Heading4"/>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9"/>
        </w:rPr>
        <w:t> </w:t>
      </w:r>
      <w:r>
        <w:rPr/>
        <w:t>经营计划</w:t>
      </w:r>
      <w:r>
        <w:rPr>
          <w:b w:val="0"/>
          <w:bCs w:val="0"/>
        </w:rPr>
      </w:r>
    </w:p>
    <w:p>
      <w:pPr>
        <w:pStyle w:val="BodyText"/>
        <w:spacing w:line="240" w:lineRule="auto" w:before="111"/>
        <w:ind w:left="138" w:right="0"/>
        <w:jc w:val="both"/>
      </w:pPr>
      <w:r>
        <w:rPr/>
        <w:t>√适用</w:t>
      </w:r>
      <w:r>
        <w:rPr>
          <w:spacing w:val="104"/>
        </w:rPr>
        <w:t> </w:t>
      </w:r>
      <w:r>
        <w:rPr/>
        <w:t>□不适用</w:t>
      </w:r>
    </w:p>
    <w:p>
      <w:pPr>
        <w:pStyle w:val="BodyText"/>
        <w:spacing w:line="304" w:lineRule="auto" w:before="99"/>
        <w:ind w:left="138" w:right="128" w:firstLine="41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43"/>
        </w:rPr>
        <w:t> </w:t>
      </w:r>
      <w:r>
        <w:rPr>
          <w:spacing w:val="-3"/>
        </w:rPr>
        <w:t>年是公司深入开展改革的第一年，这一年，公司加强内部机制体制改革，强化内部流程</w:t>
      </w:r>
      <w:r>
        <w:rPr>
          <w:w w:val="100"/>
        </w:rPr>
        <w:t> </w:t>
      </w:r>
      <w:r>
        <w:rPr>
          <w:spacing w:val="-1"/>
        </w:rPr>
        <w:t>优化与再造，提出了“以客户为中心”，强化“支撑一线、服务一线”的市场发展理念。未来，</w:t>
      </w:r>
      <w:r>
        <w:rPr>
          <w:spacing w:val="-55"/>
        </w:rPr>
        <w:t> </w:t>
      </w:r>
      <w:r>
        <w:rPr>
          <w:spacing w:val="-55"/>
        </w:rPr>
      </w:r>
      <w:r>
        <w:rPr/>
        <w:t>公司将集中在以下几个方面加强市场经营：</w:t>
      </w:r>
    </w:p>
    <w:p>
      <w:pPr>
        <w:pStyle w:val="BodyText"/>
        <w:spacing w:line="309" w:lineRule="auto" w:before="28"/>
        <w:ind w:left="138" w:right="128" w:firstLine="419"/>
        <w:jc w:val="both"/>
      </w:pPr>
      <w:r>
        <w:rPr>
          <w:rFonts w:ascii="Times New Roman" w:hAnsi="Times New Roman" w:cs="Times New Roman" w:eastAsia="Times New Roman" w:hint="default"/>
          <w:spacing w:val="-1"/>
        </w:rPr>
        <w:t>1</w:t>
      </w:r>
      <w:r>
        <w:rPr>
          <w:rFonts w:ascii="宋体" w:hAnsi="宋体" w:cs="宋体" w:eastAsia="宋体" w:hint="default"/>
          <w:spacing w:val="-1"/>
        </w:rPr>
        <w:t>.</w:t>
      </w:r>
      <w:r>
        <w:rPr>
          <w:spacing w:val="-1"/>
        </w:rPr>
        <w:t>持续推进行业布局。坚持传统主营业务发展为主，聚焦五大行业集团，包括政务、公安、</w:t>
      </w:r>
      <w:r>
        <w:rPr>
          <w:w w:val="100"/>
        </w:rPr>
        <w:t> </w:t>
      </w:r>
      <w:r>
        <w:rPr>
          <w:spacing w:val="-1"/>
        </w:rPr>
        <w:t>物联网、互联网、大数据等行业，通过集团化运作，形成行业领域的领先地位优势。同时加强六</w:t>
      </w:r>
      <w:r>
        <w:rPr>
          <w:spacing w:val="-55"/>
        </w:rPr>
        <w:t> </w:t>
      </w:r>
      <w:r>
        <w:rPr>
          <w:spacing w:val="-55"/>
        </w:rPr>
      </w:r>
      <w:r>
        <w:rPr>
          <w:spacing w:val="-1"/>
        </w:rPr>
        <w:t>大行业公司的扶持，包括智慧文旅、智能家居、智慧旅游、智慧军营等行业，通过平台策略，资</w:t>
      </w:r>
      <w:r>
        <w:rPr>
          <w:spacing w:val="-55"/>
        </w:rPr>
        <w:t> </w:t>
      </w:r>
      <w:r>
        <w:rPr>
          <w:spacing w:val="-55"/>
        </w:rPr>
      </w:r>
      <w:r>
        <w:rPr/>
        <w:t>源整合、优势互补，促使行业公司尽快做大做强，形成规模效应。</w:t>
      </w:r>
    </w:p>
    <w:p>
      <w:pPr>
        <w:pStyle w:val="BodyText"/>
        <w:spacing w:line="304" w:lineRule="auto" w:before="25"/>
        <w:ind w:left="138" w:right="128" w:firstLine="419"/>
        <w:jc w:val="both"/>
      </w:pPr>
      <w:r>
        <w:rPr>
          <w:rFonts w:ascii="Times New Roman" w:hAnsi="Times New Roman" w:cs="Times New Roman" w:eastAsia="Times New Roman" w:hint="default"/>
          <w:spacing w:val="-1"/>
        </w:rPr>
        <w:t>2</w:t>
      </w:r>
      <w:r>
        <w:rPr>
          <w:rFonts w:ascii="宋体" w:hAnsi="宋体" w:cs="宋体" w:eastAsia="宋体" w:hint="default"/>
          <w:spacing w:val="-1"/>
        </w:rPr>
        <w:t>.</w:t>
      </w:r>
      <w:r>
        <w:rPr>
          <w:spacing w:val="-1"/>
        </w:rPr>
        <w:t>强化区域市场拓展。加快推进“百城百亿”计划实施，通过与国有企业强强联合，迅速形</w:t>
      </w:r>
      <w:r>
        <w:rPr>
          <w:w w:val="100"/>
        </w:rPr>
        <w:t> </w:t>
      </w:r>
      <w:r>
        <w:rPr>
          <w:spacing w:val="-1"/>
        </w:rPr>
        <w:t>成区域市场的拓展力量。并自上而下，强化省级信息集团的建议，将税收、人才、技术落地到当</w:t>
      </w:r>
      <w:r>
        <w:rPr>
          <w:spacing w:val="-55"/>
        </w:rPr>
        <w:t> </w:t>
      </w:r>
      <w:r>
        <w:rPr>
          <w:spacing w:val="-55"/>
        </w:rPr>
      </w:r>
      <w:r>
        <w:rPr/>
        <w:t>地，实现省、市、县三级市场及业务的联动，迅速推进业务落地。</w:t>
      </w:r>
    </w:p>
    <w:p>
      <w:pPr>
        <w:pStyle w:val="BodyText"/>
        <w:spacing w:line="309" w:lineRule="auto" w:before="28"/>
        <w:ind w:left="138" w:right="128" w:firstLine="419"/>
        <w:jc w:val="both"/>
      </w:pPr>
      <w:r>
        <w:rPr>
          <w:rFonts w:ascii="Times New Roman" w:hAnsi="Times New Roman" w:cs="Times New Roman" w:eastAsia="Times New Roman" w:hint="default"/>
          <w:spacing w:val="-1"/>
        </w:rPr>
        <w:t>3</w:t>
      </w:r>
      <w:r>
        <w:rPr>
          <w:rFonts w:ascii="宋体" w:hAnsi="宋体" w:cs="宋体" w:eastAsia="宋体" w:hint="default"/>
          <w:spacing w:val="-1"/>
        </w:rPr>
        <w:t>.</w:t>
      </w:r>
      <w:r>
        <w:rPr>
          <w:spacing w:val="-1"/>
        </w:rPr>
        <w:t>压强原则强化研发。坚持致力于成为拥有重大、关键、核心技术的世界级伟大科技集团，</w:t>
      </w:r>
      <w:r>
        <w:rPr>
          <w:w w:val="100"/>
        </w:rPr>
        <w:t> </w:t>
      </w:r>
      <w:r>
        <w:rPr>
          <w:spacing w:val="-1"/>
        </w:rPr>
        <w:t>打造具有南威自主知识产权的“中国芯”。紧跟市场发展方向及趋势，结合大数据、云计算、人</w:t>
      </w:r>
      <w:r>
        <w:rPr>
          <w:spacing w:val="-55"/>
        </w:rPr>
        <w:t> </w:t>
      </w:r>
      <w:r>
        <w:rPr>
          <w:spacing w:val="-55"/>
        </w:rPr>
      </w:r>
      <w:r>
        <w:rPr>
          <w:spacing w:val="-1"/>
        </w:rPr>
        <w:t>工智能、物联感知、边缘计算、区块链等前沿技术，不断进行产品技术更迭，通过压强原则，集</w:t>
      </w:r>
      <w:r>
        <w:rPr>
          <w:spacing w:val="-55"/>
        </w:rPr>
        <w:t> </w:t>
      </w:r>
      <w:r>
        <w:rPr>
          <w:spacing w:val="-55"/>
        </w:rPr>
      </w:r>
      <w:r>
        <w:rPr/>
        <w:t>中力量搞研发，从而实现技术产品“人无我有、人有我优”。</w:t>
      </w:r>
    </w:p>
    <w:p>
      <w:pPr>
        <w:pStyle w:val="BodyText"/>
        <w:spacing w:line="309" w:lineRule="auto" w:before="24"/>
        <w:ind w:left="138" w:right="127" w:firstLine="419"/>
        <w:jc w:val="both"/>
      </w:pPr>
      <w:r>
        <w:rPr>
          <w:rFonts w:ascii="Times New Roman" w:hAnsi="Times New Roman" w:cs="Times New Roman" w:eastAsia="Times New Roman" w:hint="default"/>
          <w:spacing w:val="-7"/>
          <w:w w:val="100"/>
        </w:rPr>
        <w:t>4</w:t>
      </w:r>
      <w:r>
        <w:rPr>
          <w:rFonts w:ascii="宋体" w:hAnsi="宋体" w:cs="宋体" w:eastAsia="宋体" w:hint="default"/>
          <w:spacing w:val="-7"/>
          <w:w w:val="100"/>
        </w:rPr>
        <w:t>.</w:t>
      </w:r>
      <w:r>
        <w:rPr>
          <w:spacing w:val="-7"/>
          <w:w w:val="100"/>
        </w:rPr>
        <w:t>坚持以客户为中心。坚持一切以客户为中心的发展理念，通过业财一体化系统的升级改造，</w:t>
      </w:r>
      <w:r>
        <w:rPr>
          <w:w w:val="100"/>
        </w:rPr>
        <w:t> </w:t>
      </w:r>
      <w:r>
        <w:rPr>
          <w:spacing w:val="-1"/>
        </w:rPr>
        <w:t>强化客户关系管理体系的建立，以客户满意为标准，以成功交付为准则，执行产品体系标准化，</w:t>
      </w:r>
      <w:r>
        <w:rPr>
          <w:spacing w:val="-55"/>
        </w:rPr>
        <w:t> </w:t>
      </w:r>
      <w:r>
        <w:rPr>
          <w:spacing w:val="-55"/>
        </w:rPr>
      </w:r>
      <w:r>
        <w:rPr>
          <w:spacing w:val="-1"/>
        </w:rPr>
        <w:t>项目管理规范化，实施交付流程化。针对在建项目，建立完整的客户回访体系；针对潜在客户，</w:t>
      </w:r>
      <w:r>
        <w:rPr>
          <w:spacing w:val="-55"/>
        </w:rPr>
        <w:t> </w:t>
      </w:r>
      <w:r>
        <w:rPr>
          <w:spacing w:val="-55"/>
        </w:rPr>
      </w:r>
      <w:r>
        <w:rPr/>
        <w:t>建立有效的跟踪机制。</w:t>
      </w:r>
    </w:p>
    <w:p>
      <w:pPr>
        <w:pStyle w:val="BodyText"/>
        <w:spacing w:line="309" w:lineRule="auto" w:before="24"/>
        <w:ind w:left="138" w:right="128" w:firstLine="419"/>
        <w:jc w:val="both"/>
      </w:pPr>
      <w:r>
        <w:rPr>
          <w:rFonts w:ascii="Times New Roman" w:hAnsi="Times New Roman" w:cs="Times New Roman" w:eastAsia="Times New Roman" w:hint="default"/>
          <w:spacing w:val="-1"/>
        </w:rPr>
        <w:t>5</w:t>
      </w:r>
      <w:r>
        <w:rPr>
          <w:rFonts w:ascii="宋体" w:hAnsi="宋体" w:cs="宋体" w:eastAsia="宋体" w:hint="default"/>
          <w:spacing w:val="-1"/>
        </w:rPr>
        <w:t>.</w:t>
      </w:r>
      <w:r>
        <w:rPr>
          <w:spacing w:val="-1"/>
        </w:rPr>
        <w:t>实施人才制胜战略。结合“总裁百人计划”，建立完备的培养体系，强化优秀高校毕业生</w:t>
      </w:r>
      <w:r>
        <w:rPr>
          <w:w w:val="100"/>
        </w:rPr>
        <w:t> </w:t>
      </w:r>
      <w:r>
        <w:rPr>
          <w:spacing w:val="-1"/>
        </w:rPr>
        <w:t>的招聘工作，为业务发展、市场布局储备优秀人才；同时通过加强行业交流及在岗优秀人员的培</w:t>
      </w:r>
      <w:r>
        <w:rPr>
          <w:spacing w:val="-55"/>
        </w:rPr>
        <w:t> </w:t>
      </w:r>
      <w:r>
        <w:rPr>
          <w:spacing w:val="-55"/>
        </w:rPr>
      </w:r>
      <w:r>
        <w:rPr>
          <w:spacing w:val="-1"/>
        </w:rPr>
        <w:t>养；在考核激励体系上，坚持“能者多劳、多劳多得”以及“能者上、庸者下”的理念，为优秀</w:t>
      </w:r>
      <w:r>
        <w:rPr>
          <w:spacing w:val="-55"/>
        </w:rPr>
        <w:t> </w:t>
      </w:r>
      <w:r>
        <w:rPr>
          <w:spacing w:val="-55"/>
        </w:rPr>
      </w:r>
      <w:r>
        <w:rPr/>
        <w:t>人才培养良好的制度土壤。</w:t>
      </w:r>
    </w:p>
    <w:p>
      <w:pPr>
        <w:pStyle w:val="Heading4"/>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8"/>
        </w:rPr>
        <w:t> </w:t>
      </w:r>
      <w:r>
        <w:rPr/>
        <w:t>可能面对的风险</w:t>
      </w:r>
      <w:r>
        <w:rPr>
          <w:b w:val="0"/>
          <w:bCs w:val="0"/>
        </w:rPr>
      </w:r>
    </w:p>
    <w:p>
      <w:pPr>
        <w:pStyle w:val="BodyText"/>
        <w:spacing w:line="240" w:lineRule="auto" w:before="111"/>
        <w:ind w:left="138" w:right="0"/>
        <w:jc w:val="both"/>
      </w:pPr>
      <w:r>
        <w:rPr/>
        <w:t>√适用</w:t>
      </w:r>
      <w:r>
        <w:rPr>
          <w:spacing w:val="104"/>
        </w:rPr>
        <w:t> </w:t>
      </w:r>
      <w:r>
        <w:rPr/>
        <w:t>□不适用</w:t>
      </w:r>
    </w:p>
    <w:p>
      <w:pPr>
        <w:pStyle w:val="BodyText"/>
        <w:spacing w:line="297" w:lineRule="auto" w:before="99"/>
        <w:ind w:left="558" w:right="0"/>
        <w:jc w:val="left"/>
      </w:pPr>
      <w:r>
        <w:rPr>
          <w:rFonts w:ascii="Times New Roman" w:hAnsi="Times New Roman" w:cs="Times New Roman" w:eastAsia="Times New Roman" w:hint="default"/>
        </w:rPr>
        <w:t>1</w:t>
      </w:r>
      <w:r>
        <w:rPr>
          <w:rFonts w:ascii="宋体" w:hAnsi="宋体" w:cs="宋体" w:eastAsia="宋体" w:hint="default"/>
        </w:rPr>
        <w:t>.</w:t>
      </w:r>
      <w:r>
        <w:rPr/>
        <w:t>政府采购项目时间周期风险</w:t>
      </w:r>
      <w:r>
        <w:rPr>
          <w:w w:val="100"/>
        </w:rPr>
        <w:t> </w:t>
      </w:r>
      <w:r>
        <w:rPr>
          <w:spacing w:val="-7"/>
          <w:w w:val="100"/>
        </w:rPr>
        <w:t>政府信息化项目采购因为涉及到审批流程较长、节点较多、材料论证和编制较为严谨等问题，</w:t>
      </w:r>
    </w:p>
    <w:p>
      <w:pPr>
        <w:pStyle w:val="BodyText"/>
        <w:spacing w:line="304" w:lineRule="auto" w:before="34"/>
        <w:ind w:left="138" w:right="127"/>
        <w:jc w:val="both"/>
      </w:pPr>
      <w:r>
        <w:rPr>
          <w:spacing w:val="-1"/>
        </w:rPr>
        <w:t>不可避免地在项目落地上表现为时间周期较长、变化因素较多，由此也带来公司在业务发展过程</w:t>
      </w:r>
      <w:r>
        <w:rPr>
          <w:spacing w:val="-55"/>
        </w:rPr>
        <w:t> </w:t>
      </w:r>
      <w:r>
        <w:rPr>
          <w:spacing w:val="-55"/>
        </w:rPr>
      </w:r>
      <w:r>
        <w:rPr/>
        <w:t>中的时间周期风险。鉴于此，公司将加强内控管理，优化项目流程，通过 </w:t>
      </w:r>
      <w:r>
        <w:rPr>
          <w:rFonts w:ascii="Times New Roman" w:hAnsi="Times New Roman" w:cs="Times New Roman" w:eastAsia="Times New Roman" w:hint="default"/>
        </w:rPr>
        <w:t>CRM</w:t>
      </w:r>
      <w:r>
        <w:rPr>
          <w:rFonts w:ascii="Times New Roman" w:hAnsi="Times New Roman" w:cs="Times New Roman" w:eastAsia="Times New Roman" w:hint="default"/>
          <w:spacing w:val="11"/>
        </w:rPr>
        <w:t> </w:t>
      </w:r>
      <w:r>
        <w:rPr/>
        <w:t>系统，加强项目</w:t>
      </w:r>
      <w:r>
        <w:rPr>
          <w:w w:val="100"/>
        </w:rPr>
        <w:t> </w:t>
      </w:r>
      <w:r>
        <w:rPr/>
        <w:t>事前、事中、事后的管理，规范项目建设体系。</w:t>
      </w:r>
    </w:p>
    <w:p>
      <w:pPr>
        <w:pStyle w:val="BodyText"/>
        <w:spacing w:line="297" w:lineRule="auto" w:before="28"/>
        <w:ind w:left="558" w:right="0"/>
        <w:jc w:val="left"/>
      </w:pPr>
      <w:r>
        <w:rPr>
          <w:rFonts w:ascii="Times New Roman" w:hAnsi="Times New Roman" w:cs="Times New Roman" w:eastAsia="Times New Roman" w:hint="default"/>
        </w:rPr>
        <w:t>2</w:t>
      </w:r>
      <w:r>
        <w:rPr>
          <w:rFonts w:ascii="宋体" w:hAnsi="宋体" w:cs="宋体" w:eastAsia="宋体" w:hint="default"/>
        </w:rPr>
        <w:t>.</w:t>
      </w:r>
      <w:r>
        <w:rPr/>
        <w:t>企业规模快速扩张引发风险</w:t>
      </w:r>
      <w:r>
        <w:rPr>
          <w:w w:val="100"/>
        </w:rPr>
        <w:t> </w:t>
      </w:r>
      <w:r>
        <w:rPr>
          <w:spacing w:val="-2"/>
        </w:rPr>
        <w:t>报告期内，公司企业经营规模和业务范围不断扩大。这对公司已有的经营规划、制度建设、</w:t>
      </w:r>
    </w:p>
    <w:p>
      <w:pPr>
        <w:pStyle w:val="BodyText"/>
        <w:spacing w:line="314" w:lineRule="auto" w:before="34"/>
        <w:ind w:left="138" w:right="128"/>
        <w:jc w:val="both"/>
      </w:pPr>
      <w:r>
        <w:rPr>
          <w:spacing w:val="-1"/>
        </w:rPr>
        <w:t>组织架构、营运管理、财务管理、内部控制等方面带来较大的挑战。未来公司可能存在组织模式</w:t>
      </w:r>
      <w:r>
        <w:rPr>
          <w:spacing w:val="-55"/>
        </w:rPr>
        <w:t> </w:t>
      </w:r>
      <w:r>
        <w:rPr>
          <w:spacing w:val="-55"/>
        </w:rPr>
      </w:r>
      <w:r>
        <w:rPr>
          <w:spacing w:val="-1"/>
        </w:rPr>
        <w:t>和管理制度不完善等引致的风险。因此，这就要求管理层必须调整适应公司现有管理体系、建立</w:t>
      </w:r>
      <w:r>
        <w:rPr>
          <w:spacing w:val="-55"/>
        </w:rPr>
        <w:t> </w:t>
      </w:r>
      <w:r>
        <w:rPr>
          <w:spacing w:val="-55"/>
        </w:rPr>
      </w:r>
      <w:r>
        <w:rPr>
          <w:spacing w:val="-1"/>
        </w:rPr>
        <w:t>适合业务发展的内控制度、招募高端经营管理人才，提高整体管理能力以适应企业快速发展的需</w:t>
      </w:r>
      <w:r>
        <w:rPr>
          <w:spacing w:val="-55"/>
        </w:rPr>
        <w:t> </w:t>
      </w:r>
      <w:r>
        <w:rPr>
          <w:spacing w:val="-55"/>
        </w:rPr>
      </w:r>
      <w:r>
        <w:rPr/>
        <w:t>求。</w:t>
      </w:r>
    </w:p>
    <w:p>
      <w:pPr>
        <w:pStyle w:val="BodyText"/>
        <w:spacing w:line="240" w:lineRule="auto" w:before="20"/>
        <w:ind w:left="558" w:right="0"/>
        <w:jc w:val="left"/>
      </w:pPr>
      <w:r>
        <w:rPr>
          <w:rFonts w:ascii="Times New Roman" w:hAnsi="Times New Roman" w:cs="Times New Roman" w:eastAsia="Times New Roman" w:hint="default"/>
        </w:rPr>
        <w:t>3</w:t>
      </w:r>
      <w:r>
        <w:rPr>
          <w:rFonts w:ascii="宋体" w:hAnsi="宋体" w:cs="宋体" w:eastAsia="宋体" w:hint="default"/>
        </w:rPr>
        <w:t>.</w:t>
      </w:r>
      <w:r>
        <w:rPr/>
        <w:t>高端核心人员储备不足的风险</w:t>
      </w:r>
    </w:p>
    <w:p>
      <w:pPr>
        <w:spacing w:after="0" w:line="240" w:lineRule="auto"/>
        <w:jc w:val="left"/>
        <w:sectPr>
          <w:pgSz w:w="11910" w:h="16840"/>
          <w:pgMar w:header="855" w:footer="979" w:top="1120" w:bottom="1160" w:left="1660" w:right="1140"/>
        </w:sectPr>
      </w:pPr>
    </w:p>
    <w:p>
      <w:pPr>
        <w:spacing w:line="240" w:lineRule="auto" w:before="0"/>
        <w:rPr>
          <w:rFonts w:ascii="宋体" w:hAnsi="宋体" w:cs="宋体" w:eastAsia="宋体" w:hint="default"/>
          <w:sz w:val="20"/>
          <w:szCs w:val="20"/>
        </w:rPr>
      </w:pPr>
    </w:p>
    <w:p>
      <w:pPr>
        <w:pStyle w:val="BodyText"/>
        <w:spacing w:line="314" w:lineRule="auto" w:before="180"/>
        <w:ind w:left="138" w:right="128" w:firstLine="419"/>
        <w:jc w:val="both"/>
      </w:pPr>
      <w:r>
        <w:rPr>
          <w:spacing w:val="-2"/>
        </w:rPr>
        <w:t>公司所处行业为高新科技、新技术新产品新应用层出不穷的行业，而技术人才和管理人才对</w:t>
      </w:r>
      <w:r>
        <w:rPr>
          <w:w w:val="100"/>
        </w:rPr>
        <w:t> </w:t>
      </w:r>
      <w:r>
        <w:rPr>
          <w:spacing w:val="-1"/>
        </w:rPr>
        <w:t>公司持续稳定发展起着关键作用。随着国家政策的引导、行业的快速增长和公司的高速发展，公</w:t>
      </w:r>
      <w:r>
        <w:rPr>
          <w:spacing w:val="-55"/>
        </w:rPr>
        <w:t> </w:t>
      </w:r>
      <w:r>
        <w:rPr>
          <w:spacing w:val="-55"/>
        </w:rPr>
      </w:r>
      <w:r>
        <w:rPr>
          <w:spacing w:val="-1"/>
        </w:rPr>
        <w:t>司需要补充大量技术人才、营销人才、管理人才，人才储备不足将影响公司的快速发展。为此，</w:t>
      </w:r>
      <w:r>
        <w:rPr>
          <w:spacing w:val="-55"/>
        </w:rPr>
        <w:t> </w:t>
      </w:r>
      <w:r>
        <w:rPr>
          <w:spacing w:val="-55"/>
        </w:rPr>
      </w:r>
      <w:r>
        <w:rPr>
          <w:spacing w:val="-1"/>
        </w:rPr>
        <w:t>公司持续完善人力资源管理体系，以科学化、市场化的绩效考核办法吸引人才、激励人才、激发</w:t>
      </w:r>
      <w:r>
        <w:rPr>
          <w:spacing w:val="-55"/>
        </w:rPr>
        <w:t> </w:t>
      </w:r>
      <w:r>
        <w:rPr>
          <w:spacing w:val="-55"/>
        </w:rPr>
      </w:r>
      <w:r>
        <w:rPr/>
        <w:t>人才潜能等，努力为公司的高速发展提供人才保障。</w:t>
      </w:r>
    </w:p>
    <w:p>
      <w:pPr>
        <w:spacing w:line="240" w:lineRule="auto" w:before="5"/>
        <w:rPr>
          <w:rFonts w:ascii="宋体" w:hAnsi="宋体" w:cs="宋体" w:eastAsia="宋体" w:hint="default"/>
          <w:sz w:val="27"/>
          <w:szCs w:val="27"/>
        </w:rPr>
      </w:pPr>
    </w:p>
    <w:p>
      <w:pPr>
        <w:pStyle w:val="Heading4"/>
        <w:spacing w:line="240" w:lineRule="auto" w:before="0"/>
        <w:ind w:left="138" w:right="0"/>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50"/>
        </w:rPr>
        <w:t> </w:t>
      </w:r>
      <w:r>
        <w:rPr/>
        <w:t>其他</w:t>
      </w:r>
      <w:r>
        <w:rPr>
          <w:b w:val="0"/>
          <w:bCs w:val="0"/>
        </w:rPr>
      </w:r>
    </w:p>
    <w:p>
      <w:pPr>
        <w:pStyle w:val="BodyText"/>
        <w:tabs>
          <w:tab w:pos="980" w:val="left" w:leader="none"/>
        </w:tabs>
        <w:spacing w:line="240" w:lineRule="auto" w:before="111"/>
        <w:ind w:left="1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77"/>
        <w:ind w:left="138" w:right="0"/>
        <w:jc w:val="left"/>
        <w:rPr>
          <w:b w:val="0"/>
          <w:bCs w:val="0"/>
        </w:rPr>
      </w:pPr>
      <w:r>
        <w:rPr/>
        <w:t>四、公司因不适用准则规定或国家秘密、商业秘密等特殊原因，未按准则披露的情况和原因说明</w:t>
      </w:r>
      <w:r>
        <w:rPr>
          <w:b w:val="0"/>
          <w:bCs w:val="0"/>
        </w:rPr>
      </w:r>
    </w:p>
    <w:p>
      <w:pPr>
        <w:pStyle w:val="BodyText"/>
        <w:tabs>
          <w:tab w:pos="980" w:val="left" w:leader="none"/>
        </w:tabs>
        <w:spacing w:line="240" w:lineRule="auto" w:before="111"/>
        <w:ind w:left="138" w:right="0"/>
        <w:jc w:val="left"/>
      </w:pPr>
      <w:r>
        <w:rPr>
          <w:spacing w:val="-1"/>
        </w:rPr>
        <w:t>□适用</w:t>
        <w:tab/>
      </w:r>
      <w:r>
        <w:rPr>
          <w:spacing w:val="-2"/>
        </w:rPr>
        <w:t>√不适用</w:t>
      </w:r>
    </w:p>
    <w:p>
      <w:pPr>
        <w:spacing w:after="0" w:line="240" w:lineRule="auto"/>
        <w:jc w:val="left"/>
        <w:sectPr>
          <w:pgSz w:w="11910" w:h="16840"/>
          <w:pgMar w:header="855" w:footer="979" w:top="1120" w:bottom="1160" w:left="166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1"/>
        <w:tabs>
          <w:tab w:pos="1342" w:val="left" w:leader="none"/>
        </w:tabs>
        <w:spacing w:line="240" w:lineRule="auto"/>
        <w:ind w:left="82" w:right="0"/>
        <w:jc w:val="center"/>
        <w:rPr>
          <w:b w:val="0"/>
          <w:bCs w:val="0"/>
        </w:rPr>
      </w:pPr>
      <w:bookmarkStart w:name="_TOC_250007" w:id="5"/>
      <w:r>
        <w:rPr>
          <w:w w:val="95"/>
        </w:rPr>
        <w:t>第五节</w:t>
        <w:tab/>
      </w:r>
      <w:r>
        <w:rPr/>
        <w:t>重要事项</w:t>
      </w:r>
      <w:bookmarkEnd w:id="5"/>
      <w:r>
        <w:rPr>
          <w:b w:val="0"/>
          <w:bCs w:val="0"/>
        </w:rPr>
      </w:r>
    </w:p>
    <w:p>
      <w:pPr>
        <w:pStyle w:val="Heading4"/>
        <w:spacing w:line="240" w:lineRule="auto" w:before="241"/>
        <w:ind w:right="0"/>
        <w:jc w:val="both"/>
        <w:rPr>
          <w:b w:val="0"/>
          <w:bCs w:val="0"/>
        </w:rPr>
      </w:pPr>
      <w:r>
        <w:rPr/>
        <w:t>一、普通股利润分配或资本公积金转增预案</w:t>
      </w:r>
      <w:r>
        <w:rPr>
          <w:b w:val="0"/>
          <w:bCs w:val="0"/>
        </w:rPr>
      </w:r>
    </w:p>
    <w:p>
      <w:pPr>
        <w:pStyle w:val="Heading4"/>
        <w:spacing w:line="240" w:lineRule="auto" w:before="111"/>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163" w:val="left" w:leader="none"/>
        </w:tabs>
        <w:spacing w:line="326" w:lineRule="auto" w:before="84"/>
        <w:ind w:left="698" w:right="135" w:hanging="480"/>
        <w:jc w:val="left"/>
      </w:pPr>
      <w:r>
        <w:rPr/>
        <w:t>√适用</w:t>
        <w:tab/>
        <w:t>□不适用</w:t>
      </w:r>
      <w:r>
        <w:rPr>
          <w:w w:val="100"/>
        </w:rPr>
        <w:t> </w:t>
      </w:r>
      <w:r>
        <w:rPr>
          <w:spacing w:val="-3"/>
        </w:rPr>
        <w:t>报告期内，公司严格按照中国证券监督管理委员会《关于进一步落实上市公司现金分红有关</w:t>
      </w:r>
    </w:p>
    <w:p>
      <w:pPr>
        <w:pStyle w:val="BodyText"/>
        <w:spacing w:line="304" w:lineRule="auto" w:before="9"/>
        <w:ind w:right="128"/>
        <w:jc w:val="both"/>
      </w:pPr>
      <w:r>
        <w:rPr/>
        <w:t>事项的通知》、《上市公司监管指引第</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号—上市公司现金分红》、《上海证券交易所上市公司</w:t>
      </w:r>
      <w:r>
        <w:rPr>
          <w:w w:val="100"/>
        </w:rPr>
        <w:t> </w:t>
      </w:r>
      <w:r>
        <w:rPr>
          <w:spacing w:val="-1"/>
        </w:rPr>
        <w:t>现金分红指引》及《公司章程》的规定和《未来三年分红回报规划》，制定、实施现金分红及利</w:t>
      </w:r>
      <w:r>
        <w:rPr>
          <w:spacing w:val="-55"/>
        </w:rPr>
        <w:t> </w:t>
      </w:r>
      <w:r>
        <w:rPr>
          <w:spacing w:val="-55"/>
        </w:rPr>
      </w:r>
      <w:r>
        <w:rPr/>
        <w:t>润分配。</w:t>
      </w:r>
    </w:p>
    <w:p>
      <w:pPr>
        <w:pStyle w:val="BodyText"/>
        <w:spacing w:line="240" w:lineRule="auto" w:before="29"/>
        <w:ind w:left="0" w:right="130"/>
        <w:jc w:val="right"/>
      </w:pPr>
      <w:r>
        <w:rPr/>
        <w:t>公司严格执行了《公司章程》制定的利润分配政策。</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44"/>
        </w:rPr>
        <w:t> </w:t>
      </w:r>
      <w:r>
        <w:rPr>
          <w:rFonts w:ascii="Times New Roman" w:hAnsi="Times New Roman" w:cs="Times New Roman" w:eastAsia="Times New Roman" w:hint="default"/>
        </w:rPr>
        <w:t>29</w:t>
      </w:r>
      <w:r>
        <w:rPr>
          <w:rFonts w:ascii="Times New Roman" w:hAnsi="Times New Roman" w:cs="Times New Roman" w:eastAsia="Times New Roman" w:hint="default"/>
          <w:spacing w:val="11"/>
        </w:rPr>
        <w:t> </w:t>
      </w:r>
      <w:r>
        <w:rPr/>
        <w:t>日，公司召开第三届董</w:t>
      </w:r>
    </w:p>
    <w:p>
      <w:pPr>
        <w:pStyle w:val="BodyText"/>
        <w:spacing w:line="240" w:lineRule="auto" w:before="69"/>
        <w:ind w:right="0"/>
        <w:jc w:val="both"/>
      </w:pPr>
      <w:r>
        <w:rPr/>
        <w:t>事会第十九次会议及</w:t>
      </w:r>
      <w:r>
        <w:rPr>
          <w:spacing w:val="-51"/>
        </w:rPr>
        <w:t> </w:t>
      </w:r>
      <w:r>
        <w:rPr>
          <w:rFonts w:ascii="Times New Roman" w:hAnsi="Times New Roman" w:cs="Times New Roman" w:eastAsia="Times New Roman" w:hint="default"/>
        </w:rPr>
        <w:t>2017 </w:t>
      </w:r>
      <w:r>
        <w:rPr/>
        <w:t>年度股东大会审议通过《关于公司</w:t>
      </w:r>
      <w:r>
        <w:rPr>
          <w:spacing w:val="-50"/>
        </w:rPr>
        <w:t> </w:t>
      </w:r>
      <w:r>
        <w:rPr>
          <w:rFonts w:ascii="Times New Roman" w:hAnsi="Times New Roman" w:cs="Times New Roman" w:eastAsia="Times New Roman" w:hint="default"/>
        </w:rPr>
        <w:t>2017 </w:t>
      </w:r>
      <w:r>
        <w:rPr/>
        <w:t>年度利润分配预案的议案》，</w:t>
      </w:r>
    </w:p>
    <w:p>
      <w:pPr>
        <w:pStyle w:val="BodyText"/>
        <w:spacing w:line="240" w:lineRule="auto" w:before="69"/>
        <w:ind w:right="0"/>
        <w:jc w:val="both"/>
      </w:pPr>
      <w:r>
        <w:rPr/>
        <w:t>以公司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spacing w:val="-3"/>
        </w:rPr>
        <w:t>年度经审计的总股本为基数，向全体股东每</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股派发现金股利</w:t>
      </w:r>
      <w:r>
        <w:rPr>
          <w:spacing w:val="-48"/>
        </w:rPr>
        <w:t> </w:t>
      </w:r>
      <w:r>
        <w:rPr>
          <w:rFonts w:ascii="Times New Roman" w:hAnsi="Times New Roman" w:cs="Times New Roman" w:eastAsia="Times New Roman" w:hint="default"/>
        </w:rPr>
        <w:t>2.00</w:t>
      </w:r>
      <w:r>
        <w:rPr>
          <w:rFonts w:ascii="Times New Roman" w:hAnsi="Times New Roman" w:cs="Times New Roman" w:eastAsia="Times New Roman" w:hint="default"/>
          <w:spacing w:val="8"/>
        </w:rPr>
        <w:t> </w:t>
      </w:r>
      <w:r>
        <w:rPr>
          <w:spacing w:val="-6"/>
        </w:rPr>
        <w:t>元（含税）。上</w:t>
      </w:r>
    </w:p>
    <w:p>
      <w:pPr>
        <w:pStyle w:val="BodyText"/>
        <w:spacing w:line="240" w:lineRule="auto" w:before="69"/>
        <w:ind w:right="0"/>
        <w:jc w:val="both"/>
      </w:pPr>
      <w:r>
        <w:rPr/>
        <w:t>述利润分配方案已于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日实施完毕。</w:t>
      </w:r>
    </w:p>
    <w:p>
      <w:pPr>
        <w:pStyle w:val="Heading4"/>
        <w:spacing w:line="240" w:lineRule="auto" w:before="81"/>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82"/>
        <w:ind w:left="0" w:right="130"/>
        <w:jc w:val="right"/>
      </w:pPr>
      <w:r>
        <w:rPr>
          <w:spacing w:val="-1"/>
        </w:rPr>
        <w:t>单位：元</w:t>
        <w:tab/>
      </w:r>
      <w:r>
        <w:rPr>
          <w:spacing w:val="-2"/>
        </w:rPr>
        <w:t>币种：人民币</w:t>
      </w:r>
    </w:p>
    <w:p>
      <w:pPr>
        <w:spacing w:line="240" w:lineRule="auto" w:before="5"/>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893"/>
        <w:gridCol w:w="1097"/>
        <w:gridCol w:w="1030"/>
        <w:gridCol w:w="1097"/>
        <w:gridCol w:w="1685"/>
        <w:gridCol w:w="1688"/>
        <w:gridCol w:w="1334"/>
      </w:tblGrid>
      <w:tr>
        <w:trPr>
          <w:trHeight w:val="2170"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4" w:lineRule="auto"/>
              <w:ind w:left="230" w:right="228"/>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97" w:lineRule="auto"/>
              <w:ind w:left="122" w:right="120"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送红股数</w:t>
            </w:r>
          </w:p>
          <w:p>
            <w:pPr>
              <w:pStyle w:val="TableParagraph"/>
              <w:spacing w:line="240" w:lineRule="auto" w:before="34"/>
              <w:ind w:left="228"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09" w:lineRule="auto" w:before="141"/>
              <w:ind w:left="103" w:right="98" w:hanging="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6"/>
                <w:sz w:val="21"/>
                <w:szCs w:val="21"/>
              </w:rPr>
              <w:t>(</w:t>
            </w:r>
            <w:r>
              <w:rPr>
                <w:rFonts w:ascii="宋体" w:hAnsi="宋体" w:cs="宋体" w:eastAsia="宋体" w:hint="default"/>
                <w:spacing w:val="-6"/>
                <w:sz w:val="21"/>
                <w:szCs w:val="21"/>
              </w:rPr>
              <w:t>元</w:t>
            </w:r>
            <w:r>
              <w:rPr>
                <w:rFonts w:ascii="宋体" w:hAnsi="宋体" w:cs="宋体" w:eastAsia="宋体" w:hint="default"/>
                <w:spacing w:val="-6"/>
                <w:sz w:val="21"/>
                <w:szCs w:val="21"/>
              </w:rPr>
              <w:t>)</w:t>
            </w:r>
            <w:r>
              <w:rPr>
                <w:rFonts w:ascii="宋体" w:hAnsi="宋体" w:cs="宋体" w:eastAsia="宋体" w:hint="default"/>
                <w:spacing w:val="-6"/>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税）</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97" w:lineRule="auto"/>
              <w:ind w:left="225" w:right="175"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40" w:lineRule="auto" w:before="34"/>
              <w:ind w:left="225"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1"/>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34" w:right="134"/>
              <w:jc w:val="center"/>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w w:val="100"/>
                <w:sz w:val="21"/>
                <w:szCs w:val="21"/>
              </w:rPr>
              <w:t> </w:t>
            </w: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72"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w w:val="100"/>
                <w:sz w:val="21"/>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1.2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63,202,136.64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172,523,315.83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36.63</w:t>
            </w:r>
          </w:p>
        </w:tc>
      </w:tr>
      <w:tr>
        <w:trPr>
          <w:trHeight w:val="370"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100"/>
                <w:sz w:val="21"/>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2.0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105,451,390.40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103,025,506.96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102.35</w:t>
            </w:r>
          </w:p>
        </w:tc>
      </w:tr>
      <w:tr>
        <w:trPr>
          <w:trHeight w:val="370"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100"/>
                <w:sz w:val="21"/>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z w:val="21"/>
              </w:rPr>
              <w:t>30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16,273,260.80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51,474,724.91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31.61</w:t>
            </w:r>
          </w:p>
        </w:tc>
      </w:tr>
    </w:tbl>
    <w:p>
      <w:pPr>
        <w:spacing w:line="240" w:lineRule="auto" w:before="12"/>
        <w:rPr>
          <w:rFonts w:ascii="宋体" w:hAnsi="宋体" w:cs="宋体" w:eastAsia="宋体" w:hint="default"/>
          <w:sz w:val="28"/>
          <w:szCs w:val="28"/>
        </w:rPr>
      </w:pPr>
    </w:p>
    <w:p>
      <w:pPr>
        <w:pStyle w:val="Heading4"/>
        <w:spacing w:line="240" w:lineRule="auto"/>
        <w:ind w:right="263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84"/>
        <w:ind w:left="698" w:right="2631"/>
        <w:jc w:val="left"/>
      </w:pPr>
      <w:r>
        <w:rPr/>
        <w:t>□适用 √不适用</w:t>
      </w:r>
    </w:p>
    <w:p>
      <w:pPr>
        <w:pStyle w:val="Heading4"/>
        <w:spacing w:line="259" w:lineRule="auto" w:before="112"/>
        <w:ind w:left="638" w:right="1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92"/>
        <w:ind w:left="698" w:right="2631"/>
        <w:jc w:val="left"/>
      </w:pPr>
      <w:r>
        <w:rPr/>
        <w:t>□适用 √不适用</w:t>
      </w:r>
    </w:p>
    <w:p>
      <w:pPr>
        <w:spacing w:after="0" w:line="240" w:lineRule="auto"/>
        <w:jc w:val="left"/>
        <w:sectPr>
          <w:pgSz w:w="11910" w:h="16840"/>
          <w:pgMar w:header="855" w:footer="979" w:top="1120" w:bottom="1160" w:left="158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40" w:lineRule="auto"/>
        <w:ind w:left="1360" w:right="0"/>
        <w:jc w:val="left"/>
        <w:rPr>
          <w:b w:val="0"/>
          <w:bCs w:val="0"/>
        </w:rPr>
      </w:pPr>
      <w:r>
        <w:rPr/>
        <w:t>二、承诺事项履行情况</w:t>
      </w:r>
      <w:r>
        <w:rPr>
          <w:b w:val="0"/>
          <w:bCs w:val="0"/>
        </w:rPr>
      </w:r>
    </w:p>
    <w:p>
      <w:pPr>
        <w:pStyle w:val="Heading4"/>
        <w:tabs>
          <w:tab w:pos="1926" w:val="left" w:leader="none"/>
        </w:tabs>
        <w:spacing w:line="240" w:lineRule="auto" w:before="111"/>
        <w:ind w:left="136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82"/>
        <w:ind w:left="1360" w:right="0"/>
        <w:jc w:val="left"/>
      </w:pPr>
      <w:r>
        <w:rPr/>
        <w:t>√适用 □不适用</w:t>
      </w:r>
    </w:p>
    <w:p>
      <w:pPr>
        <w:spacing w:line="240" w:lineRule="auto" w:before="5"/>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1277"/>
        <w:gridCol w:w="1136"/>
        <w:gridCol w:w="1274"/>
        <w:gridCol w:w="7230"/>
        <w:gridCol w:w="1277"/>
        <w:gridCol w:w="708"/>
        <w:gridCol w:w="708"/>
        <w:gridCol w:w="1136"/>
        <w:gridCol w:w="850"/>
      </w:tblGrid>
      <w:tr>
        <w:trPr>
          <w:trHeight w:val="164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85" w:lineRule="auto"/>
              <w:ind w:left="350" w:right="350"/>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承诺方</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85" w:lineRule="auto"/>
              <w:ind w:left="423" w:right="106" w:hanging="318"/>
              <w:jc w:val="left"/>
              <w:rPr>
                <w:rFonts w:ascii="宋体" w:hAnsi="宋体" w:cs="宋体" w:eastAsia="宋体" w:hint="default"/>
                <w:sz w:val="21"/>
                <w:szCs w:val="21"/>
              </w:rPr>
            </w:pPr>
            <w:r>
              <w:rPr>
                <w:rFonts w:ascii="宋体" w:hAnsi="宋体" w:cs="宋体" w:eastAsia="宋体" w:hint="default"/>
                <w:sz w:val="21"/>
                <w:szCs w:val="21"/>
              </w:rPr>
              <w:t>承诺时间及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139" w:right="13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139" w:right="13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41" w:right="139"/>
              <w:jc w:val="both"/>
              <w:rPr>
                <w:rFonts w:ascii="宋体" w:hAnsi="宋体" w:cs="宋体" w:eastAsia="宋体" w:hint="default"/>
                <w:sz w:val="21"/>
                <w:szCs w:val="21"/>
              </w:rPr>
            </w:pPr>
            <w:r>
              <w:rPr>
                <w:rFonts w:ascii="宋体" w:hAnsi="宋体" w:cs="宋体" w:eastAsia="宋体" w:hint="default"/>
                <w:sz w:val="21"/>
                <w:szCs w:val="21"/>
              </w:rPr>
              <w:t>如未能及</w:t>
            </w:r>
            <w:r>
              <w:rPr>
                <w:rFonts w:ascii="宋体" w:hAnsi="宋体" w:cs="宋体" w:eastAsia="宋体" w:hint="default"/>
                <w:w w:val="100"/>
                <w:sz w:val="21"/>
                <w:szCs w:val="21"/>
              </w:rPr>
              <w:t> </w:t>
            </w: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1639"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83" w:lineRule="auto"/>
              <w:ind w:left="103" w:right="108"/>
              <w:jc w:val="both"/>
              <w:rPr>
                <w:rFonts w:ascii="宋体" w:hAnsi="宋体" w:cs="宋体" w:eastAsia="宋体" w:hint="default"/>
                <w:sz w:val="21"/>
                <w:szCs w:val="21"/>
              </w:rPr>
            </w:pPr>
            <w:r>
              <w:rPr>
                <w:rFonts w:ascii="宋体" w:hAnsi="宋体" w:cs="宋体" w:eastAsia="宋体" w:hint="default"/>
                <w:sz w:val="21"/>
                <w:szCs w:val="21"/>
              </w:rPr>
              <w:t>与首次公开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发行相关的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96"/>
              <w:jc w:val="left"/>
              <w:rPr>
                <w:rFonts w:ascii="宋体" w:hAnsi="宋体" w:cs="宋体" w:eastAsia="宋体" w:hint="default"/>
                <w:sz w:val="21"/>
                <w:szCs w:val="21"/>
              </w:rPr>
            </w:pPr>
            <w:r>
              <w:rPr>
                <w:rFonts w:ascii="宋体" w:hAnsi="宋体" w:cs="宋体" w:eastAsia="宋体" w:hint="default"/>
                <w:sz w:val="21"/>
                <w:szCs w:val="21"/>
              </w:rPr>
              <w:t>在锁定期满后的</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pacing w:val="-3"/>
                <w:sz w:val="21"/>
                <w:szCs w:val="21"/>
              </w:rPr>
              <w:t>个月内，在不影响控股地位的前提下，本人减持股份数量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不超过本人持有公司股份总数的</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；在锁定期满后的</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个月内，本人减持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股份数量累计不超过本人持有公司股份总数</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。本人在减持所持有的公司</w:t>
            </w:r>
            <w:r>
              <w:rPr>
                <w:rFonts w:ascii="宋体" w:hAnsi="宋体" w:cs="宋体" w:eastAsia="宋体" w:hint="default"/>
                <w:w w:val="100"/>
                <w:sz w:val="21"/>
                <w:szCs w:val="21"/>
              </w:rPr>
              <w:t> </w:t>
            </w:r>
            <w:r>
              <w:rPr>
                <w:rFonts w:ascii="宋体" w:hAnsi="宋体" w:cs="宋体" w:eastAsia="宋体" w:hint="default"/>
                <w:sz w:val="21"/>
                <w:szCs w:val="21"/>
              </w:rPr>
              <w:t>股份前，应提前三个交易日予以公告，并于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个月内完成，并按照上海证券</w:t>
            </w:r>
            <w:r>
              <w:rPr>
                <w:rFonts w:ascii="宋体" w:hAnsi="宋体" w:cs="宋体" w:eastAsia="宋体" w:hint="default"/>
                <w:w w:val="100"/>
                <w:sz w:val="21"/>
                <w:szCs w:val="21"/>
              </w:rPr>
              <w:t> </w:t>
            </w:r>
            <w:r>
              <w:rPr>
                <w:rFonts w:ascii="宋体" w:hAnsi="宋体" w:cs="宋体" w:eastAsia="宋体" w:hint="default"/>
                <w:sz w:val="21"/>
                <w:szCs w:val="21"/>
              </w:rPr>
              <w:t>交易所的规则及时、准确、完整地履行信息披露义务。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锁定期满后</w:t>
            </w:r>
          </w:p>
          <w:p>
            <w:pPr>
              <w:pStyle w:val="TableParagraph"/>
              <w:spacing w:line="240" w:lineRule="auto" w:before="5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个月内</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966" w:hRule="exact"/>
        </w:trPr>
        <w:tc>
          <w:tcPr>
            <w:tcW w:w="1277" w:type="dxa"/>
            <w:vMerge/>
            <w:tcBorders>
              <w:left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85" w:lineRule="auto"/>
              <w:ind w:left="350" w:right="139" w:hanging="210"/>
              <w:jc w:val="left"/>
              <w:rPr>
                <w:rFonts w:ascii="宋体" w:hAnsi="宋体" w:cs="宋体" w:eastAsia="宋体" w:hint="default"/>
                <w:sz w:val="21"/>
                <w:szCs w:val="21"/>
              </w:rPr>
            </w:pPr>
            <w:r>
              <w:rPr>
                <w:rFonts w:ascii="宋体" w:hAnsi="宋体" w:cs="宋体" w:eastAsia="宋体" w:hint="default"/>
                <w:sz w:val="21"/>
                <w:szCs w:val="21"/>
              </w:rPr>
              <w:t>解决同业</w:t>
            </w:r>
            <w:r>
              <w:rPr>
                <w:rFonts w:ascii="宋体" w:hAnsi="宋体" w:cs="宋体" w:eastAsia="宋体" w:hint="default"/>
                <w:w w:val="100"/>
                <w:sz w:val="21"/>
                <w:szCs w:val="21"/>
              </w:rPr>
              <w:t> </w:t>
            </w:r>
            <w:r>
              <w:rPr>
                <w:rFonts w:ascii="宋体" w:hAnsi="宋体" w:cs="宋体" w:eastAsia="宋体" w:hint="default"/>
                <w:sz w:val="21"/>
                <w:szCs w:val="21"/>
              </w:rPr>
              <w:t>竞争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77"/>
              <w:jc w:val="both"/>
              <w:rPr>
                <w:rFonts w:ascii="宋体" w:hAnsi="宋体" w:cs="宋体" w:eastAsia="宋体" w:hint="default"/>
                <w:sz w:val="21"/>
                <w:szCs w:val="21"/>
              </w:rPr>
            </w:pPr>
            <w:r>
              <w:rPr>
                <w:rFonts w:ascii="宋体" w:hAnsi="宋体" w:cs="宋体" w:eastAsia="宋体" w:hint="default"/>
                <w:spacing w:val="-2"/>
                <w:sz w:val="21"/>
                <w:szCs w:val="21"/>
              </w:rPr>
              <w:t>在直接或间接控制南威软件期间，本人或本人控制的其他企业将不从事与南</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威软件构成竞争或可能构成竞争的业务；如南威软件将来拓展的业务范围与</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本人或本人控制的其他企业构成竞争或可能构成竞争，则本人或本人控制的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其他企业将停止从事该等业务，或将该等业务纳入南威软件，或将该等业务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转让给无关联的第三方；如本人或本人控制的其他企业获得与南威软件构成</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竞争或可能构成竞争的商业机会，则将该商业机会让予南威软件。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83" w:lineRule="auto"/>
              <w:ind w:left="103" w:right="108"/>
              <w:jc w:val="both"/>
              <w:rPr>
                <w:rFonts w:ascii="宋体" w:hAnsi="宋体" w:cs="宋体" w:eastAsia="宋体" w:hint="default"/>
                <w:sz w:val="21"/>
                <w:szCs w:val="21"/>
              </w:rPr>
            </w:pPr>
            <w:r>
              <w:rPr>
                <w:rFonts w:ascii="宋体" w:hAnsi="宋体" w:cs="宋体" w:eastAsia="宋体" w:hint="default"/>
                <w:sz w:val="21"/>
                <w:szCs w:val="21"/>
              </w:rPr>
              <w:t>作为南威软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件的控股股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东或实际控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制人期间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293" w:hRule="exact"/>
        </w:trPr>
        <w:tc>
          <w:tcPr>
            <w:tcW w:w="1277"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85" w:lineRule="auto"/>
              <w:ind w:left="350" w:right="139" w:hanging="210"/>
              <w:jc w:val="left"/>
              <w:rPr>
                <w:rFonts w:ascii="宋体" w:hAnsi="宋体" w:cs="宋体" w:eastAsia="宋体" w:hint="default"/>
                <w:sz w:val="21"/>
                <w:szCs w:val="21"/>
              </w:rPr>
            </w:pPr>
            <w:r>
              <w:rPr>
                <w:rFonts w:ascii="宋体" w:hAnsi="宋体" w:cs="宋体" w:eastAsia="宋体" w:hint="default"/>
                <w:sz w:val="21"/>
                <w:szCs w:val="21"/>
              </w:rPr>
              <w:t>解决关联</w:t>
            </w:r>
            <w:r>
              <w:rPr>
                <w:rFonts w:ascii="宋体" w:hAnsi="宋体" w:cs="宋体" w:eastAsia="宋体" w:hint="default"/>
                <w:w w:val="100"/>
                <w:sz w:val="21"/>
                <w:szCs w:val="21"/>
              </w:rPr>
              <w:t> </w:t>
            </w:r>
            <w:r>
              <w:rPr>
                <w:rFonts w:ascii="宋体" w:hAnsi="宋体" w:cs="宋体" w:eastAsia="宋体" w:hint="default"/>
                <w:sz w:val="21"/>
                <w:szCs w:val="21"/>
              </w:rPr>
              <w:t>交易</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77"/>
              <w:jc w:val="both"/>
              <w:rPr>
                <w:rFonts w:ascii="宋体" w:hAnsi="宋体" w:cs="宋体" w:eastAsia="宋体" w:hint="default"/>
                <w:sz w:val="21"/>
                <w:szCs w:val="21"/>
              </w:rPr>
            </w:pPr>
            <w:r>
              <w:rPr>
                <w:rFonts w:ascii="宋体" w:hAnsi="宋体" w:cs="宋体" w:eastAsia="宋体" w:hint="default"/>
                <w:spacing w:val="-2"/>
                <w:sz w:val="21"/>
                <w:szCs w:val="21"/>
              </w:rPr>
              <w:t>将尽可能的避免和减少本人或本人控制的其他公司、企业或其他组织、机构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与公司之间的关联交易；对于无法避免或者有合理原因而发生的关联交易，</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将根据有关法律、法规，遵循平等、自愿、等价和有偿的一般商业原则，与</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公司签订关联交易协议，确保关联交易的价格原则上不偏离市场独立第三方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的价格或收费的标准，以维护公司及其他股东的利益；不利用在公司中的地</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位和影响，通过关联交易损害股份公司及其他股东的合法权益；本人或本人</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控制的其他企业保证不利用本人在公司中的地位和影响，违规占用或转移公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85" w:lineRule="auto"/>
              <w:ind w:left="103" w:right="108"/>
              <w:jc w:val="both"/>
              <w:rPr>
                <w:rFonts w:ascii="宋体" w:hAnsi="宋体" w:cs="宋体" w:eastAsia="宋体" w:hint="default"/>
                <w:sz w:val="21"/>
                <w:szCs w:val="21"/>
              </w:rPr>
            </w:pPr>
            <w:r>
              <w:rPr>
                <w:rFonts w:ascii="宋体" w:hAnsi="宋体" w:cs="宋体" w:eastAsia="宋体" w:hint="default"/>
                <w:sz w:val="21"/>
                <w:szCs w:val="21"/>
              </w:rPr>
              <w:t>作为南威软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件关联人期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6"/>
          <w:footerReference w:type="default" r:id="rId17"/>
          <w:pgSz w:w="16840" w:h="11910" w:orient="landscape"/>
          <w:pgMar w:header="855" w:footer="980" w:top="1120" w:bottom="1160" w:left="80" w:right="94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277"/>
        <w:gridCol w:w="1136"/>
        <w:gridCol w:w="1274"/>
        <w:gridCol w:w="7230"/>
        <w:gridCol w:w="1277"/>
        <w:gridCol w:w="708"/>
        <w:gridCol w:w="708"/>
        <w:gridCol w:w="1136"/>
        <w:gridCol w:w="850"/>
      </w:tblGrid>
      <w:tr>
        <w:trPr>
          <w:trHeight w:val="336" w:hRule="exact"/>
        </w:trPr>
        <w:tc>
          <w:tcPr>
            <w:tcW w:w="1277" w:type="dxa"/>
            <w:vMerge w:val="restart"/>
            <w:tcBorders>
              <w:top w:val="single" w:sz="4" w:space="0" w:color="000000"/>
              <w:left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司的资金、资产及其他资源，或要求公司违规提供担保。</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966" w:hRule="exact"/>
        </w:trPr>
        <w:tc>
          <w:tcPr>
            <w:tcW w:w="1277" w:type="dxa"/>
            <w:vMerge/>
            <w:tcBorders>
              <w:left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股份限售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103" w:right="98"/>
              <w:jc w:val="left"/>
              <w:rPr>
                <w:rFonts w:ascii="宋体" w:hAnsi="宋体" w:cs="宋体" w:eastAsia="宋体" w:hint="default"/>
                <w:sz w:val="21"/>
                <w:szCs w:val="21"/>
              </w:rPr>
            </w:pPr>
            <w:r>
              <w:rPr>
                <w:rFonts w:ascii="宋体" w:hAnsi="宋体" w:cs="宋体" w:eastAsia="宋体" w:hint="default"/>
                <w:sz w:val="21"/>
                <w:szCs w:val="21"/>
              </w:rPr>
              <w:t>自公司股票上市之日起</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个月内，不转让或者委托他人管理本人直接或间接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持有的公司首次公开发行股票前已发行的股份，也不由公司回购直接或间接</w:t>
            </w:r>
            <w:r>
              <w:rPr>
                <w:rFonts w:ascii="宋体" w:hAnsi="宋体" w:cs="宋体" w:eastAsia="宋体" w:hint="default"/>
                <w:w w:val="100"/>
                <w:sz w:val="21"/>
                <w:szCs w:val="21"/>
              </w:rPr>
              <w:t> </w:t>
            </w:r>
            <w:r>
              <w:rPr>
                <w:rFonts w:ascii="宋体" w:hAnsi="宋体" w:cs="宋体" w:eastAsia="宋体" w:hint="default"/>
                <w:sz w:val="21"/>
                <w:szCs w:val="21"/>
              </w:rPr>
              <w:t>持有的公司首次公开发行股票前已发行的股份。所持股票在锁定期满后两年</w:t>
            </w:r>
            <w:r>
              <w:rPr>
                <w:rFonts w:ascii="宋体" w:hAnsi="宋体" w:cs="宋体" w:eastAsia="宋体" w:hint="default"/>
                <w:w w:val="100"/>
                <w:sz w:val="21"/>
                <w:szCs w:val="21"/>
              </w:rPr>
              <w:t> </w:t>
            </w:r>
            <w:r>
              <w:rPr>
                <w:rFonts w:ascii="宋体" w:hAnsi="宋体" w:cs="宋体" w:eastAsia="宋体" w:hint="default"/>
                <w:sz w:val="21"/>
                <w:szCs w:val="21"/>
              </w:rPr>
              <w:t>内减持的，其减持价格不低于发行价；公司上市后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个月内如公司股票连续</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个交易日的收盘价均低于发行价，或者上市后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个月期末收盘价低于发行</w:t>
            </w:r>
          </w:p>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价，持有公司股票的锁定期限自动延长至少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24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292" w:hRule="exact"/>
        </w:trPr>
        <w:tc>
          <w:tcPr>
            <w:tcW w:w="1277" w:type="dxa"/>
            <w:vMerge/>
            <w:tcBorders>
              <w:left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股份限售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77"/>
              <w:jc w:val="both"/>
              <w:rPr>
                <w:rFonts w:ascii="宋体" w:hAnsi="宋体" w:cs="宋体" w:eastAsia="宋体" w:hint="default"/>
                <w:sz w:val="21"/>
                <w:szCs w:val="21"/>
              </w:rPr>
            </w:pPr>
            <w:r>
              <w:rPr>
                <w:rFonts w:ascii="宋体" w:hAnsi="宋体" w:cs="宋体" w:eastAsia="宋体" w:hint="default"/>
                <w:spacing w:val="-2"/>
                <w:sz w:val="21"/>
                <w:szCs w:val="21"/>
              </w:rPr>
              <w:t>在担任公司董事、监事或高级管理人员职务期间，每年转让的股份不超过所</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持有的公司股份总数的百分之二十五；在离职后六个月内，不转让持有的公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司股份，离职六个月后的十二个月内通过证券交易所挂牌交易出售发行人股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份不超过所持有发行人股份总数的百分之五十；公司上市后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个月内如公司</w:t>
            </w:r>
          </w:p>
          <w:p>
            <w:pPr>
              <w:pStyle w:val="TableParagraph"/>
              <w:spacing w:line="280" w:lineRule="exact"/>
              <w:ind w:left="103" w:right="0"/>
              <w:jc w:val="both"/>
              <w:rPr>
                <w:rFonts w:ascii="宋体" w:hAnsi="宋体" w:cs="宋体" w:eastAsia="宋体" w:hint="default"/>
                <w:sz w:val="21"/>
                <w:szCs w:val="21"/>
              </w:rPr>
            </w:pPr>
            <w:r>
              <w:rPr>
                <w:rFonts w:ascii="宋体" w:hAnsi="宋体" w:cs="宋体" w:eastAsia="宋体" w:hint="default"/>
                <w:sz w:val="21"/>
                <w:szCs w:val="21"/>
              </w:rPr>
              <w:t>股票连续</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个交易日的收盘价均低于发行价，或者上市后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个月期末收盘价</w:t>
            </w:r>
          </w:p>
          <w:p>
            <w:pPr>
              <w:pStyle w:val="TableParagraph"/>
              <w:spacing w:line="268" w:lineRule="auto" w:before="35"/>
              <w:ind w:left="103" w:right="177"/>
              <w:jc w:val="both"/>
              <w:rPr>
                <w:rFonts w:ascii="宋体" w:hAnsi="宋体" w:cs="宋体" w:eastAsia="宋体" w:hint="default"/>
                <w:sz w:val="21"/>
                <w:szCs w:val="21"/>
              </w:rPr>
            </w:pPr>
            <w:r>
              <w:rPr>
                <w:rFonts w:ascii="宋体" w:hAnsi="宋体" w:cs="宋体" w:eastAsia="宋体" w:hint="default"/>
                <w:sz w:val="21"/>
                <w:szCs w:val="21"/>
              </w:rPr>
              <w:t>低于发行价，持有公司股票的锁定期限自动延长至少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个月。上述承诺事项</w:t>
            </w:r>
            <w:r>
              <w:rPr>
                <w:rFonts w:ascii="宋体" w:hAnsi="宋体" w:cs="宋体" w:eastAsia="宋体" w:hint="default"/>
                <w:w w:val="100"/>
                <w:sz w:val="21"/>
                <w:szCs w:val="21"/>
              </w:rPr>
              <w:t> </w:t>
            </w:r>
            <w:r>
              <w:rPr>
                <w:rFonts w:ascii="宋体" w:hAnsi="宋体" w:cs="宋体" w:eastAsia="宋体" w:hint="default"/>
                <w:sz w:val="21"/>
                <w:szCs w:val="21"/>
              </w:rPr>
              <w:t>不因本人职务变更、离职等原因而放弃履行。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83" w:lineRule="auto"/>
              <w:ind w:left="103" w:right="108"/>
              <w:jc w:val="both"/>
              <w:rPr>
                <w:rFonts w:ascii="宋体" w:hAnsi="宋体" w:cs="宋体" w:eastAsia="宋体" w:hint="default"/>
                <w:sz w:val="21"/>
                <w:szCs w:val="21"/>
              </w:rPr>
            </w:pPr>
            <w:r>
              <w:rPr>
                <w:rFonts w:ascii="宋体" w:hAnsi="宋体" w:cs="宋体" w:eastAsia="宋体" w:hint="default"/>
                <w:sz w:val="21"/>
                <w:szCs w:val="21"/>
              </w:rPr>
              <w:t>作为公司董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事、监事、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高级管理人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员期间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596" w:hRule="exact"/>
        </w:trPr>
        <w:tc>
          <w:tcPr>
            <w:tcW w:w="1277" w:type="dxa"/>
            <w:vMerge/>
            <w:tcBorders>
              <w:left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南威软件</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103" w:right="96"/>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、公司招股说明书有虚假记载、误导性陈述或者重大遗漏，对判断公司是否</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符合法律规定的发行条件构成重大、实质影响的，公司董事会将在证券监管</w:t>
            </w:r>
            <w:r>
              <w:rPr>
                <w:rFonts w:ascii="宋体" w:hAnsi="宋体" w:cs="宋体" w:eastAsia="宋体" w:hint="default"/>
                <w:w w:val="100"/>
                <w:sz w:val="21"/>
                <w:szCs w:val="21"/>
              </w:rPr>
              <w:t> </w:t>
            </w:r>
            <w:r>
              <w:rPr>
                <w:rFonts w:ascii="宋体" w:hAnsi="宋体" w:cs="宋体" w:eastAsia="宋体" w:hint="default"/>
                <w:sz w:val="21"/>
                <w:szCs w:val="21"/>
              </w:rPr>
              <w:t>部门做出认定或处罚决定后</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1"/>
                <w:sz w:val="21"/>
                <w:szCs w:val="21"/>
              </w:rPr>
              <w:t> </w:t>
            </w:r>
            <w:r>
              <w:rPr>
                <w:rFonts w:ascii="宋体" w:hAnsi="宋体" w:cs="宋体" w:eastAsia="宋体" w:hint="default"/>
                <w:spacing w:val="-3"/>
                <w:sz w:val="21"/>
                <w:szCs w:val="21"/>
              </w:rPr>
              <w:t>天内，制订股份回购方案并提交股东大会审议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批准，公司将依法回购首次公开发行的全部新股，回购价格根据发行价格加</w:t>
            </w:r>
            <w:r>
              <w:rPr>
                <w:rFonts w:ascii="宋体" w:hAnsi="宋体" w:cs="宋体" w:eastAsia="宋体" w:hint="default"/>
                <w:w w:val="100"/>
                <w:sz w:val="21"/>
                <w:szCs w:val="21"/>
              </w:rPr>
              <w:t> </w:t>
            </w:r>
            <w:r>
              <w:rPr>
                <w:rFonts w:ascii="宋体" w:hAnsi="宋体" w:cs="宋体" w:eastAsia="宋体" w:hint="default"/>
                <w:sz w:val="21"/>
                <w:szCs w:val="21"/>
              </w:rPr>
              <w:t>上同期银行存款利息与回购义务触发时二级市场价格孰高来确定（公司上市</w:t>
            </w:r>
            <w:r>
              <w:rPr>
                <w:rFonts w:ascii="宋体" w:hAnsi="宋体" w:cs="宋体" w:eastAsia="宋体" w:hint="default"/>
                <w:w w:val="100"/>
                <w:sz w:val="21"/>
                <w:szCs w:val="21"/>
              </w:rPr>
              <w:t> </w:t>
            </w:r>
            <w:r>
              <w:rPr>
                <w:rFonts w:ascii="宋体" w:hAnsi="宋体" w:cs="宋体" w:eastAsia="宋体" w:hint="default"/>
                <w:spacing w:val="-3"/>
                <w:sz w:val="21"/>
                <w:szCs w:val="21"/>
              </w:rPr>
              <w:t>后发生除权除息事项的，上述发行价格及回购股份数量做相应调整）。</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、公</w:t>
            </w:r>
            <w:r>
              <w:rPr>
                <w:rFonts w:ascii="宋体" w:hAnsi="宋体" w:cs="宋体" w:eastAsia="宋体" w:hint="default"/>
                <w:spacing w:val="-42"/>
                <w:sz w:val="21"/>
                <w:szCs w:val="21"/>
              </w:rPr>
              <w:t> </w:t>
            </w:r>
            <w:r>
              <w:rPr>
                <w:rFonts w:ascii="宋体" w:hAnsi="宋体" w:cs="宋体" w:eastAsia="宋体" w:hint="default"/>
                <w:sz w:val="21"/>
                <w:szCs w:val="21"/>
              </w:rPr>
              <w:t>司招股说明书有虚假记载、误导性陈述或者重大遗漏，致使投资者在证券交</w:t>
            </w:r>
            <w:r>
              <w:rPr>
                <w:rFonts w:ascii="宋体" w:hAnsi="宋体" w:cs="宋体" w:eastAsia="宋体" w:hint="default"/>
                <w:w w:val="100"/>
                <w:sz w:val="21"/>
                <w:szCs w:val="21"/>
              </w:rPr>
              <w:t> </w:t>
            </w:r>
            <w:r>
              <w:rPr>
                <w:rFonts w:ascii="宋体" w:hAnsi="宋体" w:cs="宋体" w:eastAsia="宋体" w:hint="default"/>
                <w:sz w:val="21"/>
                <w:szCs w:val="21"/>
              </w:rPr>
              <w:t>易中遭受损失的，公司将在该等违法事实被证券监管部门做出认定或处罚决</w:t>
            </w:r>
            <w:r>
              <w:rPr>
                <w:rFonts w:ascii="宋体" w:hAnsi="宋体" w:cs="宋体" w:eastAsia="宋体" w:hint="default"/>
                <w:w w:val="100"/>
                <w:sz w:val="21"/>
                <w:szCs w:val="21"/>
              </w:rPr>
              <w:t> </w:t>
            </w:r>
            <w:r>
              <w:rPr>
                <w:rFonts w:ascii="宋体" w:hAnsi="宋体" w:cs="宋体" w:eastAsia="宋体" w:hint="default"/>
                <w:sz w:val="21"/>
                <w:szCs w:val="21"/>
              </w:rPr>
              <w:t>定后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天内依法赔偿投资者损失。</w:t>
            </w:r>
            <w:r>
              <w:rPr>
                <w:rFonts w:ascii="Times New Roman" w:hAnsi="Times New Roman" w:cs="Times New Roman" w:eastAsia="Times New Roman" w:hint="default"/>
                <w:sz w:val="21"/>
                <w:szCs w:val="21"/>
              </w:rPr>
              <w:t>3</w:t>
            </w:r>
            <w:r>
              <w:rPr>
                <w:rFonts w:ascii="宋体" w:hAnsi="宋体" w:cs="宋体" w:eastAsia="宋体" w:hint="default"/>
                <w:sz w:val="21"/>
                <w:szCs w:val="21"/>
              </w:rPr>
              <w:t>、公司未能履行上述承诺时，应在证监</w:t>
            </w:r>
            <w:r>
              <w:rPr>
                <w:rFonts w:ascii="宋体" w:hAnsi="宋体" w:cs="宋体" w:eastAsia="宋体" w:hint="default"/>
                <w:w w:val="100"/>
                <w:sz w:val="21"/>
                <w:szCs w:val="21"/>
              </w:rPr>
              <w:t> </w:t>
            </w:r>
            <w:r>
              <w:rPr>
                <w:rFonts w:ascii="宋体" w:hAnsi="宋体" w:cs="宋体" w:eastAsia="宋体" w:hint="default"/>
                <w:sz w:val="21"/>
                <w:szCs w:val="21"/>
              </w:rPr>
              <w:t>会指定报刊上公告相关情况，及时、充分披露其承诺未能履行、无法履行或</w:t>
            </w:r>
            <w:r>
              <w:rPr>
                <w:rFonts w:ascii="宋体" w:hAnsi="宋体" w:cs="宋体" w:eastAsia="宋体" w:hint="default"/>
                <w:w w:val="100"/>
                <w:sz w:val="21"/>
                <w:szCs w:val="21"/>
              </w:rPr>
              <w:t> </w:t>
            </w:r>
            <w:r>
              <w:rPr>
                <w:rFonts w:ascii="宋体" w:hAnsi="宋体" w:cs="宋体" w:eastAsia="宋体" w:hint="default"/>
                <w:sz w:val="21"/>
                <w:szCs w:val="21"/>
              </w:rPr>
              <w:t>无法按期履行的具体原因并向投资者道歉。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277"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、南威软件招股说明书有虚假记载、误导性陈述或者重大遗漏，对判断南威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80" w:right="9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277"/>
        <w:gridCol w:w="1136"/>
        <w:gridCol w:w="1274"/>
        <w:gridCol w:w="7230"/>
        <w:gridCol w:w="1277"/>
        <w:gridCol w:w="708"/>
        <w:gridCol w:w="708"/>
        <w:gridCol w:w="1136"/>
        <w:gridCol w:w="850"/>
      </w:tblGrid>
      <w:tr>
        <w:trPr>
          <w:trHeight w:val="2943" w:hRule="exact"/>
        </w:trPr>
        <w:tc>
          <w:tcPr>
            <w:tcW w:w="1277" w:type="dxa"/>
            <w:vMerge w:val="restart"/>
            <w:tcBorders>
              <w:top w:val="single" w:sz="4" w:space="0" w:color="000000"/>
              <w:left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ind w:left="103" w:right="131"/>
              <w:jc w:val="both"/>
              <w:rPr>
                <w:rFonts w:ascii="宋体" w:hAnsi="宋体" w:cs="宋体" w:eastAsia="宋体" w:hint="default"/>
                <w:sz w:val="21"/>
                <w:szCs w:val="21"/>
              </w:rPr>
            </w:pPr>
            <w:r>
              <w:rPr>
                <w:rFonts w:ascii="宋体" w:hAnsi="宋体" w:cs="宋体" w:eastAsia="宋体" w:hint="default"/>
                <w:sz w:val="21"/>
                <w:szCs w:val="21"/>
              </w:rPr>
              <w:t>软件是否符合法律规定的发行条件构成重大、实质影响的，本人将利用南威</w:t>
            </w:r>
            <w:r>
              <w:rPr>
                <w:rFonts w:ascii="宋体" w:hAnsi="宋体" w:cs="宋体" w:eastAsia="宋体" w:hint="default"/>
                <w:w w:val="100"/>
                <w:sz w:val="21"/>
                <w:szCs w:val="21"/>
              </w:rPr>
              <w:t> </w:t>
            </w:r>
            <w:r>
              <w:rPr>
                <w:rFonts w:ascii="宋体" w:hAnsi="宋体" w:cs="宋体" w:eastAsia="宋体" w:hint="default"/>
                <w:sz w:val="21"/>
                <w:szCs w:val="21"/>
              </w:rPr>
              <w:t>软件的控股股东地位促成南威软件在证券监管部门做出认定或处罚决定后</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1"/>
                <w:szCs w:val="21"/>
              </w:rPr>
              <w:t>30</w:t>
            </w:r>
            <w:r>
              <w:rPr>
                <w:rFonts w:ascii="Times New Roman" w:hAnsi="Times New Roman" w:cs="Times New Roman" w:eastAsia="Times New Roman" w:hint="default"/>
                <w:spacing w:val="-3"/>
                <w:w w:val="100"/>
                <w:sz w:val="21"/>
                <w:szCs w:val="21"/>
              </w:rPr>
              <w:t> </w:t>
            </w:r>
            <w:r>
              <w:rPr>
                <w:rFonts w:ascii="宋体" w:hAnsi="宋体" w:cs="宋体" w:eastAsia="宋体" w:hint="default"/>
                <w:sz w:val="21"/>
                <w:szCs w:val="21"/>
              </w:rPr>
              <w:t>天内启动依法回购南威软件首次公开发行的全部新股工作，并在前述期限内</w:t>
            </w:r>
            <w:r>
              <w:rPr>
                <w:rFonts w:ascii="宋体" w:hAnsi="宋体" w:cs="宋体" w:eastAsia="宋体" w:hint="default"/>
                <w:w w:val="100"/>
                <w:sz w:val="21"/>
                <w:szCs w:val="21"/>
              </w:rPr>
              <w:t> </w:t>
            </w:r>
            <w:r>
              <w:rPr>
                <w:rFonts w:ascii="宋体" w:hAnsi="宋体" w:cs="宋体" w:eastAsia="宋体" w:hint="default"/>
                <w:sz w:val="21"/>
                <w:szCs w:val="21"/>
              </w:rPr>
              <w:t>制定股份回购方案，依法回购公司股东已转让的原限售股份，回购价格根据</w:t>
            </w:r>
            <w:r>
              <w:rPr>
                <w:rFonts w:ascii="宋体" w:hAnsi="宋体" w:cs="宋体" w:eastAsia="宋体" w:hint="default"/>
                <w:w w:val="100"/>
                <w:sz w:val="21"/>
                <w:szCs w:val="21"/>
              </w:rPr>
              <w:t> </w:t>
            </w:r>
            <w:r>
              <w:rPr>
                <w:rFonts w:ascii="宋体" w:hAnsi="宋体" w:cs="宋体" w:eastAsia="宋体" w:hint="default"/>
                <w:sz w:val="21"/>
                <w:szCs w:val="21"/>
              </w:rPr>
              <w:t>发行价格加上同期银行存款利息与回购义务触发时二级市场价格孰高来确定</w:t>
            </w:r>
          </w:p>
          <w:p>
            <w:pPr>
              <w:pStyle w:val="TableParagraph"/>
              <w:spacing w:line="280" w:lineRule="auto" w:before="16"/>
              <w:ind w:left="103" w:right="76"/>
              <w:jc w:val="left"/>
              <w:rPr>
                <w:rFonts w:ascii="宋体" w:hAnsi="宋体" w:cs="宋体" w:eastAsia="宋体" w:hint="default"/>
                <w:sz w:val="21"/>
                <w:szCs w:val="21"/>
              </w:rPr>
            </w:pPr>
            <w:r>
              <w:rPr>
                <w:rFonts w:ascii="宋体" w:hAnsi="宋体" w:cs="宋体" w:eastAsia="宋体" w:hint="default"/>
                <w:sz w:val="21"/>
                <w:szCs w:val="21"/>
              </w:rPr>
              <w:t>（南威软件上市后发生除权除息事项的，上述发行价格及回购股份数量做相</w:t>
            </w:r>
            <w:r>
              <w:rPr>
                <w:rFonts w:ascii="宋体" w:hAnsi="宋体" w:cs="宋体" w:eastAsia="宋体" w:hint="default"/>
                <w:w w:val="100"/>
                <w:sz w:val="21"/>
                <w:szCs w:val="21"/>
              </w:rPr>
              <w:t> </w:t>
            </w:r>
            <w:r>
              <w:rPr>
                <w:rFonts w:ascii="宋体" w:hAnsi="宋体" w:cs="宋体" w:eastAsia="宋体" w:hint="default"/>
                <w:spacing w:val="-2"/>
                <w:sz w:val="21"/>
                <w:szCs w:val="21"/>
              </w:rPr>
              <w:t>应调整）。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、南威软件招股说明书有虚假记载、误导性陈述或者重大遗漏，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致使投资者在证券交易中遭受损失的，本人将在该等违法事实被证券监管部</w:t>
            </w:r>
            <w:r>
              <w:rPr>
                <w:rFonts w:ascii="宋体" w:hAnsi="宋体" w:cs="宋体" w:eastAsia="宋体" w:hint="default"/>
                <w:w w:val="100"/>
                <w:sz w:val="21"/>
                <w:szCs w:val="21"/>
              </w:rPr>
              <w:t> </w:t>
            </w:r>
            <w:r>
              <w:rPr>
                <w:rFonts w:ascii="宋体" w:hAnsi="宋体" w:cs="宋体" w:eastAsia="宋体" w:hint="default"/>
                <w:sz w:val="21"/>
                <w:szCs w:val="21"/>
              </w:rPr>
              <w:t>门做出认定或处罚决定后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天内依法赔偿投资者损失。</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968" w:hRule="exact"/>
        </w:trPr>
        <w:tc>
          <w:tcPr>
            <w:tcW w:w="1277" w:type="dxa"/>
            <w:vMerge/>
            <w:tcBorders>
              <w:left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left="4" w:right="0"/>
              <w:jc w:val="center"/>
              <w:rPr>
                <w:rFonts w:ascii="宋体" w:hAnsi="宋体" w:cs="宋体" w:eastAsia="宋体" w:hint="default"/>
                <w:sz w:val="21"/>
                <w:szCs w:val="21"/>
              </w:rPr>
            </w:pPr>
            <w:r>
              <w:rPr>
                <w:rFonts w:ascii="宋体" w:hAnsi="宋体" w:cs="宋体" w:eastAsia="宋体" w:hint="default"/>
                <w:sz w:val="21"/>
                <w:szCs w:val="21"/>
              </w:rPr>
              <w:t>南威软件</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ind w:left="103" w:right="96"/>
              <w:jc w:val="left"/>
              <w:rPr>
                <w:rFonts w:ascii="宋体" w:hAnsi="宋体" w:cs="宋体" w:eastAsia="宋体" w:hint="default"/>
                <w:sz w:val="21"/>
                <w:szCs w:val="21"/>
              </w:rPr>
            </w:pPr>
            <w:r>
              <w:rPr>
                <w:rFonts w:ascii="宋体" w:hAnsi="宋体" w:cs="宋体" w:eastAsia="宋体" w:hint="default"/>
                <w:sz w:val="21"/>
                <w:szCs w:val="21"/>
              </w:rPr>
              <w:t>触发股价稳定机制的启动条件时，公司应在</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个交易日内召开董事会，讨论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回购公司股份的方案，包括但不限于回购股份的数量范围、价格区间及完成</w:t>
            </w:r>
            <w:r>
              <w:rPr>
                <w:rFonts w:ascii="宋体" w:hAnsi="宋体" w:cs="宋体" w:eastAsia="宋体" w:hint="default"/>
                <w:w w:val="100"/>
                <w:sz w:val="21"/>
                <w:szCs w:val="21"/>
              </w:rPr>
              <w:t> </w:t>
            </w:r>
            <w:r>
              <w:rPr>
                <w:rFonts w:ascii="宋体" w:hAnsi="宋体" w:cs="宋体" w:eastAsia="宋体" w:hint="default"/>
                <w:sz w:val="21"/>
                <w:szCs w:val="21"/>
              </w:rPr>
              <w:t>期限等信息，并提交股东大会审议，公告具体股份回购计划。公司回购股票</w:t>
            </w:r>
            <w:r>
              <w:rPr>
                <w:rFonts w:ascii="宋体" w:hAnsi="宋体" w:cs="宋体" w:eastAsia="宋体" w:hint="default"/>
                <w:w w:val="100"/>
                <w:sz w:val="21"/>
                <w:szCs w:val="21"/>
              </w:rPr>
              <w:t> </w:t>
            </w:r>
            <w:r>
              <w:rPr>
                <w:rFonts w:ascii="宋体" w:hAnsi="宋体" w:cs="宋体" w:eastAsia="宋体" w:hint="default"/>
                <w:sz w:val="21"/>
                <w:szCs w:val="21"/>
              </w:rPr>
              <w:t>的价格、方式等应当符合中国证监会和证券交易所关于回购社会公众股相关</w:t>
            </w:r>
            <w:r>
              <w:rPr>
                <w:rFonts w:ascii="宋体" w:hAnsi="宋体" w:cs="宋体" w:eastAsia="宋体" w:hint="default"/>
                <w:w w:val="100"/>
                <w:sz w:val="21"/>
                <w:szCs w:val="21"/>
              </w:rPr>
              <w:t> </w:t>
            </w:r>
            <w:r>
              <w:rPr>
                <w:rFonts w:ascii="宋体" w:hAnsi="宋体" w:cs="宋体" w:eastAsia="宋体" w:hint="default"/>
                <w:sz w:val="21"/>
                <w:szCs w:val="21"/>
              </w:rPr>
              <w:t>法律法规的要求。用以稳定股价的回购资金合计不超过上一会计年度经审计</w:t>
            </w:r>
            <w:r>
              <w:rPr>
                <w:rFonts w:ascii="宋体" w:hAnsi="宋体" w:cs="宋体" w:eastAsia="宋体" w:hint="default"/>
                <w:w w:val="100"/>
                <w:sz w:val="21"/>
                <w:szCs w:val="21"/>
              </w:rPr>
              <w:t> </w:t>
            </w:r>
            <w:r>
              <w:rPr>
                <w:rFonts w:ascii="宋体" w:hAnsi="宋体" w:cs="宋体" w:eastAsia="宋体" w:hint="default"/>
                <w:sz w:val="21"/>
                <w:szCs w:val="21"/>
              </w:rPr>
              <w:t>的归属于母公司股东净利润的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left="24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313" w:hRule="exact"/>
        </w:trPr>
        <w:tc>
          <w:tcPr>
            <w:tcW w:w="1277" w:type="dxa"/>
            <w:vMerge/>
            <w:tcBorders>
              <w:left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3"/>
                <w:sz w:val="21"/>
                <w:szCs w:val="21"/>
              </w:rPr>
              <w:t>触发控股股东增持的启动条件时，控股股东应在</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个交易日内提出具体的增</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持方案，包括但不限于拟增持股份的数量范围、价格区间及完成期限等信息。</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用以稳定股价的增持资金不超过上年自发行人所获得现金分红金额的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且不超过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83" w:lineRule="auto"/>
              <w:ind w:left="103" w:right="108"/>
              <w:jc w:val="left"/>
              <w:rPr>
                <w:rFonts w:ascii="宋体" w:hAnsi="宋体" w:cs="宋体" w:eastAsia="宋体" w:hint="default"/>
                <w:sz w:val="21"/>
                <w:szCs w:val="21"/>
              </w:rPr>
            </w:pPr>
            <w:r>
              <w:rPr>
                <w:rFonts w:ascii="宋体" w:hAnsi="宋体" w:cs="宋体" w:eastAsia="宋体" w:hint="default"/>
                <w:sz w:val="21"/>
                <w:szCs w:val="21"/>
              </w:rPr>
              <w:t>担任公司控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股股东期间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316" w:hRule="exact"/>
        </w:trPr>
        <w:tc>
          <w:tcPr>
            <w:tcW w:w="1277" w:type="dxa"/>
            <w:vMerge/>
            <w:tcBorders>
              <w:left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77"/>
              <w:jc w:val="both"/>
              <w:rPr>
                <w:rFonts w:ascii="宋体" w:hAnsi="宋体" w:cs="宋体" w:eastAsia="宋体" w:hint="default"/>
                <w:sz w:val="21"/>
                <w:szCs w:val="21"/>
              </w:rPr>
            </w:pPr>
            <w:r>
              <w:rPr>
                <w:rFonts w:ascii="宋体" w:hAnsi="宋体" w:cs="宋体" w:eastAsia="宋体" w:hint="default"/>
                <w:spacing w:val="-2"/>
                <w:sz w:val="21"/>
                <w:szCs w:val="21"/>
              </w:rPr>
              <w:t>如公司存续期内应有权部门要求或决定，公司需要为公司员工补缴社保、住</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房公积金或因未缴纳社保、住房公积金而承担罚款或损失，本人不可撤销地</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承诺无条件代公司承担上述所有补缴金额、承担任何相关罚款或损失赔偿的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责任，保证公司不因此受到损失。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85" w:lineRule="auto"/>
              <w:ind w:left="103" w:right="108"/>
              <w:jc w:val="left"/>
              <w:rPr>
                <w:rFonts w:ascii="宋体" w:hAnsi="宋体" w:cs="宋体" w:eastAsia="宋体" w:hint="default"/>
                <w:sz w:val="21"/>
                <w:szCs w:val="21"/>
              </w:rPr>
            </w:pPr>
            <w:r>
              <w:rPr>
                <w:rFonts w:ascii="宋体" w:hAnsi="宋体" w:cs="宋体" w:eastAsia="宋体" w:hint="default"/>
                <w:sz w:val="21"/>
                <w:szCs w:val="21"/>
              </w:rPr>
              <w:t>公司存续期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内</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277"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凯信金鹏</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96"/>
              <w:jc w:val="both"/>
              <w:rPr>
                <w:rFonts w:ascii="宋体" w:hAnsi="宋体" w:cs="宋体" w:eastAsia="宋体" w:hint="default"/>
                <w:sz w:val="21"/>
                <w:szCs w:val="21"/>
              </w:rPr>
            </w:pPr>
            <w:r>
              <w:rPr>
                <w:rFonts w:ascii="宋体" w:hAnsi="宋体" w:cs="宋体" w:eastAsia="宋体" w:hint="default"/>
                <w:sz w:val="21"/>
                <w:szCs w:val="21"/>
              </w:rPr>
              <w:t>在锁定期满后的</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pacing w:val="-3"/>
                <w:sz w:val="21"/>
                <w:szCs w:val="21"/>
              </w:rPr>
              <w:t>个月内，本合伙企业减持股份数量不超过本合伙企业持有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公司股份总数的</w:t>
            </w:r>
            <w:r>
              <w:rPr>
                <w:rFonts w:ascii="宋体" w:hAnsi="宋体" w:cs="宋体" w:eastAsia="宋体" w:hint="default"/>
                <w:spacing w:val="-43"/>
                <w:sz w:val="21"/>
                <w:szCs w:val="21"/>
              </w:rPr>
              <w:t> </w:t>
            </w:r>
            <w:r>
              <w:rPr>
                <w:rFonts w:ascii="Times New Roman" w:hAnsi="Times New Roman" w:cs="Times New Roman" w:eastAsia="Times New Roman" w:hint="default"/>
                <w:spacing w:val="-3"/>
                <w:sz w:val="21"/>
                <w:szCs w:val="21"/>
              </w:rPr>
              <w:t>30%</w:t>
            </w:r>
            <w:r>
              <w:rPr>
                <w:rFonts w:ascii="宋体" w:hAnsi="宋体" w:cs="宋体" w:eastAsia="宋体" w:hint="default"/>
                <w:spacing w:val="-3"/>
                <w:sz w:val="21"/>
                <w:szCs w:val="21"/>
              </w:rPr>
              <w:t>；在锁定期满后的</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个月内，本合伙企业减持股份数量</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累计不超过本合伙企业持有公司股份总数</w:t>
            </w:r>
            <w:r>
              <w:rPr>
                <w:rFonts w:ascii="宋体" w:hAnsi="宋体" w:cs="宋体" w:eastAsia="宋体" w:hint="default"/>
                <w:spacing w:val="12"/>
                <w:sz w:val="21"/>
                <w:szCs w:val="21"/>
              </w:rPr>
              <w:t> </w:t>
            </w:r>
            <w:r>
              <w:rPr>
                <w:rFonts w:ascii="Times New Roman" w:hAnsi="Times New Roman" w:cs="Times New Roman" w:eastAsia="Times New Roman" w:hint="default"/>
                <w:spacing w:val="-2"/>
                <w:sz w:val="21"/>
                <w:szCs w:val="21"/>
              </w:rPr>
              <w:t>60%</w:t>
            </w:r>
            <w:r>
              <w:rPr>
                <w:rFonts w:ascii="宋体" w:hAnsi="宋体" w:cs="宋体" w:eastAsia="宋体" w:hint="default"/>
                <w:spacing w:val="-2"/>
                <w:sz w:val="21"/>
                <w:szCs w:val="21"/>
              </w:rPr>
              <w:t>。本合伙企业在减持所持有的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锁定期满后</w:t>
            </w:r>
          </w:p>
          <w:p>
            <w:pPr>
              <w:pStyle w:val="TableParagraph"/>
              <w:spacing w:line="240" w:lineRule="auto" w:before="4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个月内</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80" w:right="9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277"/>
        <w:gridCol w:w="1136"/>
        <w:gridCol w:w="1274"/>
        <w:gridCol w:w="7230"/>
        <w:gridCol w:w="1277"/>
        <w:gridCol w:w="708"/>
        <w:gridCol w:w="708"/>
        <w:gridCol w:w="1136"/>
        <w:gridCol w:w="850"/>
      </w:tblGrid>
      <w:tr>
        <w:trPr>
          <w:trHeight w:val="662" w:hRule="exact"/>
        </w:trPr>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177"/>
              <w:jc w:val="left"/>
              <w:rPr>
                <w:rFonts w:ascii="宋体" w:hAnsi="宋体" w:cs="宋体" w:eastAsia="宋体" w:hint="default"/>
                <w:sz w:val="21"/>
                <w:szCs w:val="21"/>
              </w:rPr>
            </w:pPr>
            <w:r>
              <w:rPr>
                <w:rFonts w:ascii="宋体" w:hAnsi="宋体" w:cs="宋体" w:eastAsia="宋体" w:hint="default"/>
                <w:sz w:val="21"/>
                <w:szCs w:val="21"/>
              </w:rPr>
              <w:t>公司股份前，应提前三个交易日予以公告，并在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个月内完成，并按照上海</w:t>
            </w:r>
            <w:r>
              <w:rPr>
                <w:rFonts w:ascii="宋体" w:hAnsi="宋体" w:cs="宋体" w:eastAsia="宋体" w:hint="default"/>
                <w:w w:val="100"/>
                <w:sz w:val="21"/>
                <w:szCs w:val="21"/>
              </w:rPr>
              <w:t> </w:t>
            </w:r>
            <w:r>
              <w:rPr>
                <w:rFonts w:ascii="宋体" w:hAnsi="宋体" w:cs="宋体" w:eastAsia="宋体" w:hint="default"/>
                <w:sz w:val="21"/>
                <w:szCs w:val="21"/>
              </w:rPr>
              <w:t>证券交易所的规则及时、准确、完整地履行信息披露义务。</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45"/>
              <w:ind w:left="103" w:right="108"/>
              <w:jc w:val="left"/>
              <w:rPr>
                <w:rFonts w:ascii="宋体" w:hAnsi="宋体" w:cs="宋体" w:eastAsia="宋体" w:hint="default"/>
                <w:sz w:val="21"/>
                <w:szCs w:val="21"/>
              </w:rPr>
            </w:pPr>
            <w:r>
              <w:rPr>
                <w:rFonts w:ascii="宋体" w:hAnsi="宋体" w:cs="宋体" w:eastAsia="宋体" w:hint="default"/>
                <w:sz w:val="21"/>
                <w:szCs w:val="21"/>
              </w:rPr>
              <w:t>与再融资相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关的承诺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103" w:right="98"/>
              <w:jc w:val="left"/>
              <w:rPr>
                <w:rFonts w:ascii="宋体" w:hAnsi="宋体" w:cs="宋体" w:eastAsia="宋体" w:hint="default"/>
                <w:sz w:val="21"/>
                <w:szCs w:val="21"/>
              </w:rPr>
            </w:pPr>
            <w:r>
              <w:rPr>
                <w:rFonts w:ascii="宋体" w:hAnsi="宋体" w:cs="宋体" w:eastAsia="宋体" w:hint="default"/>
                <w:sz w:val="21"/>
                <w:szCs w:val="21"/>
              </w:rPr>
              <w:t>如公司</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1"/>
                <w:sz w:val="21"/>
                <w:szCs w:val="21"/>
              </w:rPr>
              <w:t> </w:t>
            </w:r>
            <w:r>
              <w:rPr>
                <w:rFonts w:ascii="宋体" w:hAnsi="宋体" w:cs="宋体" w:eastAsia="宋体" w:hint="default"/>
                <w:spacing w:val="-3"/>
                <w:sz w:val="21"/>
                <w:szCs w:val="21"/>
              </w:rPr>
              <w:t>年度配股方案获中国证监会审核批准，本人将以现金方式全额认</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购本次配股方案本人可获配售的所有股份，并确认用于认配股份的资金来源</w:t>
            </w:r>
            <w:r>
              <w:rPr>
                <w:rFonts w:ascii="宋体" w:hAnsi="宋体" w:cs="宋体" w:eastAsia="宋体" w:hint="default"/>
                <w:w w:val="100"/>
                <w:sz w:val="21"/>
                <w:szCs w:val="21"/>
              </w:rPr>
              <w:t> </w:t>
            </w:r>
            <w:r>
              <w:rPr>
                <w:rFonts w:ascii="宋体" w:hAnsi="宋体" w:cs="宋体" w:eastAsia="宋体" w:hint="default"/>
                <w:sz w:val="21"/>
                <w:szCs w:val="21"/>
              </w:rPr>
              <w:t>合法合规。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58"/>
              <w:ind w:left="103" w:right="108"/>
              <w:jc w:val="left"/>
              <w:rPr>
                <w:rFonts w:ascii="宋体" w:hAnsi="宋体" w:cs="宋体" w:eastAsia="宋体" w:hint="default"/>
                <w:sz w:val="21"/>
                <w:szCs w:val="21"/>
              </w:rPr>
            </w:pPr>
            <w:r>
              <w:rPr>
                <w:rFonts w:ascii="宋体" w:hAnsi="宋体" w:cs="宋体" w:eastAsia="宋体" w:hint="default"/>
                <w:sz w:val="21"/>
                <w:szCs w:val="21"/>
              </w:rPr>
              <w:t>配股方案实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施期间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72" w:hRule="exact"/>
        </w:trPr>
        <w:tc>
          <w:tcPr>
            <w:tcW w:w="1277" w:type="dxa"/>
            <w:vMerge/>
            <w:tcBorders>
              <w:left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5"/>
              <w:jc w:val="left"/>
              <w:rPr>
                <w:rFonts w:ascii="宋体" w:hAnsi="宋体" w:cs="宋体" w:eastAsia="宋体" w:hint="default"/>
                <w:sz w:val="21"/>
                <w:szCs w:val="21"/>
              </w:rPr>
            </w:pPr>
            <w:r>
              <w:rPr>
                <w:rFonts w:ascii="宋体" w:hAnsi="宋体" w:cs="宋体" w:eastAsia="宋体" w:hint="default"/>
                <w:sz w:val="21"/>
                <w:szCs w:val="21"/>
              </w:rPr>
              <w:t>为维护公司和全体股东的合法权益，保障公司填补被摊薄即期回报措施能够</w:t>
            </w:r>
            <w:r>
              <w:rPr>
                <w:rFonts w:ascii="宋体" w:hAnsi="宋体" w:cs="宋体" w:eastAsia="宋体" w:hint="default"/>
                <w:w w:val="100"/>
                <w:sz w:val="21"/>
                <w:szCs w:val="21"/>
              </w:rPr>
              <w:t> </w:t>
            </w:r>
            <w:r>
              <w:rPr>
                <w:rFonts w:ascii="宋体" w:hAnsi="宋体" w:cs="宋体" w:eastAsia="宋体" w:hint="default"/>
                <w:spacing w:val="-2"/>
                <w:sz w:val="21"/>
                <w:szCs w:val="21"/>
              </w:rPr>
              <w:t>得到切实履行，作为公司董事和高管承诺如下：</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、不无偿或以不公平条件向</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sz w:val="21"/>
                <w:szCs w:val="21"/>
              </w:rPr>
              <w:t>其他单位或者个人输送利益，也不采用其他方式损害公司利益；</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、对本人的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职务消费行为进行约束；</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、不动用公司资产从事与履行职责无关的投资、消</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费活动；</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、由董事会或薪酬与考核委员会制定的薪酬制度与公司填补回报措</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施的执行情况相挂钩；</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、若公司后续推出股权激励政策，拟公布的公司股权</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sz w:val="21"/>
                <w:szCs w:val="21"/>
              </w:rPr>
              <w:t>激励的行权条件与公司填补回报措施的执行情况相挂钩；</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、自本承诺出具日</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至公司本次配股实施完毕前，若中国证监会作出关于填补回报措施及其承诺</w:t>
            </w:r>
            <w:r>
              <w:rPr>
                <w:rFonts w:ascii="宋体" w:hAnsi="宋体" w:cs="宋体" w:eastAsia="宋体" w:hint="default"/>
                <w:w w:val="100"/>
                <w:sz w:val="21"/>
                <w:szCs w:val="21"/>
              </w:rPr>
              <w:t> </w:t>
            </w:r>
            <w:r>
              <w:rPr>
                <w:rFonts w:ascii="宋体" w:hAnsi="宋体" w:cs="宋体" w:eastAsia="宋体" w:hint="default"/>
                <w:sz w:val="21"/>
                <w:szCs w:val="21"/>
              </w:rPr>
              <w:t>的其他新的监管规定的，且上述承诺不能满足中国证监会该等规定时，届时</w:t>
            </w:r>
            <w:r>
              <w:rPr>
                <w:rFonts w:ascii="宋体" w:hAnsi="宋体" w:cs="宋体" w:eastAsia="宋体" w:hint="default"/>
                <w:w w:val="100"/>
                <w:sz w:val="21"/>
                <w:szCs w:val="21"/>
              </w:rPr>
              <w:t> </w:t>
            </w:r>
            <w:r>
              <w:rPr>
                <w:rFonts w:ascii="宋体" w:hAnsi="宋体" w:cs="宋体" w:eastAsia="宋体" w:hint="default"/>
                <w:sz w:val="21"/>
                <w:szCs w:val="21"/>
              </w:rPr>
              <w:t>将按照中国证监会的最新规定出具补充承诺。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1"/>
              <w:ind w:left="103" w:right="108"/>
              <w:jc w:val="left"/>
              <w:rPr>
                <w:rFonts w:ascii="宋体" w:hAnsi="宋体" w:cs="宋体" w:eastAsia="宋体" w:hint="default"/>
                <w:sz w:val="21"/>
                <w:szCs w:val="21"/>
              </w:rPr>
            </w:pPr>
            <w:r>
              <w:rPr>
                <w:rFonts w:ascii="宋体" w:hAnsi="宋体" w:cs="宋体" w:eastAsia="宋体" w:hint="default"/>
                <w:sz w:val="21"/>
                <w:szCs w:val="21"/>
              </w:rPr>
              <w:t>配股实施完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毕前</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293" w:hRule="exact"/>
        </w:trPr>
        <w:tc>
          <w:tcPr>
            <w:tcW w:w="1277" w:type="dxa"/>
            <w:vMerge/>
            <w:tcBorders>
              <w:left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103" w:right="-6"/>
              <w:jc w:val="left"/>
              <w:rPr>
                <w:rFonts w:ascii="宋体" w:hAnsi="宋体" w:cs="宋体" w:eastAsia="宋体" w:hint="default"/>
                <w:sz w:val="21"/>
                <w:szCs w:val="21"/>
              </w:rPr>
            </w:pPr>
            <w:r>
              <w:rPr>
                <w:rFonts w:ascii="宋体" w:hAnsi="宋体" w:cs="宋体" w:eastAsia="宋体" w:hint="default"/>
                <w:sz w:val="21"/>
                <w:szCs w:val="21"/>
              </w:rPr>
              <w:t>为维护公司和全体股东的合法权益，保障公司填补被摊薄即期回报措施能够</w:t>
            </w:r>
            <w:r>
              <w:rPr>
                <w:rFonts w:ascii="宋体" w:hAnsi="宋体" w:cs="宋体" w:eastAsia="宋体" w:hint="default"/>
                <w:w w:val="100"/>
                <w:sz w:val="21"/>
                <w:szCs w:val="21"/>
              </w:rPr>
              <w:t> </w:t>
            </w:r>
            <w:r>
              <w:rPr>
                <w:rFonts w:ascii="宋体" w:hAnsi="宋体" w:cs="宋体" w:eastAsia="宋体" w:hint="default"/>
                <w:spacing w:val="-3"/>
                <w:sz w:val="21"/>
                <w:szCs w:val="21"/>
              </w:rPr>
              <w:t>得到切实履行，本人作出以下承诺：</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、不越权干预公司经营管理活动，不侵</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占公司的利益；</w:t>
            </w:r>
            <w:r>
              <w:rPr>
                <w:rFonts w:ascii="Times New Roman" w:hAnsi="Times New Roman" w:cs="Times New Roman" w:eastAsia="Times New Roman" w:hint="default"/>
                <w:sz w:val="21"/>
                <w:szCs w:val="21"/>
              </w:rPr>
              <w:t>2</w:t>
            </w:r>
            <w:r>
              <w:rPr>
                <w:rFonts w:ascii="宋体" w:hAnsi="宋体" w:cs="宋体" w:eastAsia="宋体" w:hint="default"/>
                <w:sz w:val="21"/>
                <w:szCs w:val="21"/>
              </w:rPr>
              <w:t>、若本人违反该等承诺并给公司或者投资者造成损失的，本</w:t>
            </w:r>
            <w:r>
              <w:rPr>
                <w:rFonts w:ascii="宋体" w:hAnsi="宋体" w:cs="宋体" w:eastAsia="宋体" w:hint="default"/>
                <w:w w:val="100"/>
                <w:sz w:val="21"/>
                <w:szCs w:val="21"/>
              </w:rPr>
              <w:t> </w:t>
            </w:r>
            <w:r>
              <w:rPr>
                <w:rFonts w:ascii="宋体" w:hAnsi="宋体" w:cs="宋体" w:eastAsia="宋体" w:hint="default"/>
                <w:sz w:val="21"/>
                <w:szCs w:val="21"/>
              </w:rPr>
              <w:t>人将依法承担相应的法律责任；</w:t>
            </w:r>
            <w:r>
              <w:rPr>
                <w:rFonts w:ascii="Times New Roman" w:hAnsi="Times New Roman" w:cs="Times New Roman" w:eastAsia="Times New Roman" w:hint="default"/>
                <w:sz w:val="21"/>
                <w:szCs w:val="21"/>
              </w:rPr>
              <w:t>3</w:t>
            </w:r>
            <w:r>
              <w:rPr>
                <w:rFonts w:ascii="宋体" w:hAnsi="宋体" w:cs="宋体" w:eastAsia="宋体" w:hint="default"/>
                <w:sz w:val="21"/>
                <w:szCs w:val="21"/>
              </w:rPr>
              <w:t>、自本人承诺出具日至公司本次配股实施完</w:t>
            </w:r>
            <w:r>
              <w:rPr>
                <w:rFonts w:ascii="宋体" w:hAnsi="宋体" w:cs="宋体" w:eastAsia="宋体" w:hint="default"/>
                <w:w w:val="100"/>
                <w:sz w:val="21"/>
                <w:szCs w:val="21"/>
              </w:rPr>
              <w:t> </w:t>
            </w:r>
            <w:r>
              <w:rPr>
                <w:rFonts w:ascii="宋体" w:hAnsi="宋体" w:cs="宋体" w:eastAsia="宋体" w:hint="default"/>
                <w:spacing w:val="-3"/>
                <w:sz w:val="21"/>
                <w:szCs w:val="21"/>
              </w:rPr>
              <w:t>毕前，若中国证监会作出关于填补回报措施及其承诺的其他新的监管规定的，</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且上述承诺不能满足中国证监会该等规定时，届时将按照中国证监会的最新</w:t>
            </w:r>
            <w:r>
              <w:rPr>
                <w:rFonts w:ascii="宋体" w:hAnsi="宋体" w:cs="宋体" w:eastAsia="宋体" w:hint="default"/>
                <w:w w:val="100"/>
                <w:sz w:val="21"/>
                <w:szCs w:val="21"/>
              </w:rPr>
              <w:t> </w:t>
            </w:r>
            <w:r>
              <w:rPr>
                <w:rFonts w:ascii="宋体" w:hAnsi="宋体" w:cs="宋体" w:eastAsia="宋体" w:hint="default"/>
                <w:sz w:val="21"/>
                <w:szCs w:val="21"/>
              </w:rPr>
              <w:t>规定出具补充承诺。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18"/>
              <w:ind w:left="103" w:right="108"/>
              <w:jc w:val="left"/>
              <w:rPr>
                <w:rFonts w:ascii="宋体" w:hAnsi="宋体" w:cs="宋体" w:eastAsia="宋体" w:hint="default"/>
                <w:sz w:val="21"/>
                <w:szCs w:val="21"/>
              </w:rPr>
            </w:pPr>
            <w:r>
              <w:rPr>
                <w:rFonts w:ascii="宋体" w:hAnsi="宋体" w:cs="宋体" w:eastAsia="宋体" w:hint="default"/>
                <w:sz w:val="21"/>
                <w:szCs w:val="21"/>
              </w:rPr>
              <w:t>配股实施完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毕前</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313" w:hRule="exact"/>
        </w:trPr>
        <w:tc>
          <w:tcPr>
            <w:tcW w:w="1277"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58"/>
              <w:ind w:left="107" w:right="101"/>
              <w:jc w:val="center"/>
              <w:rPr>
                <w:rFonts w:ascii="宋体" w:hAnsi="宋体" w:cs="宋体" w:eastAsia="宋体" w:hint="default"/>
                <w:sz w:val="21"/>
                <w:szCs w:val="21"/>
              </w:rPr>
            </w:pPr>
            <w:r>
              <w:rPr>
                <w:rFonts w:ascii="宋体" w:hAnsi="宋体" w:cs="宋体" w:eastAsia="宋体" w:hint="default"/>
                <w:sz w:val="21"/>
                <w:szCs w:val="21"/>
              </w:rPr>
              <w:t>全体董事、</w:t>
            </w:r>
            <w:r>
              <w:rPr>
                <w:rFonts w:ascii="宋体" w:hAnsi="宋体" w:cs="宋体" w:eastAsia="宋体" w:hint="default"/>
                <w:w w:val="100"/>
                <w:sz w:val="21"/>
                <w:szCs w:val="21"/>
              </w:rPr>
              <w:t> </w:t>
            </w:r>
            <w:r>
              <w:rPr>
                <w:rFonts w:ascii="宋体" w:hAnsi="宋体" w:cs="宋体" w:eastAsia="宋体" w:hint="default"/>
                <w:sz w:val="21"/>
                <w:szCs w:val="21"/>
              </w:rPr>
              <w:t>高级管理人</w:t>
            </w:r>
            <w:r>
              <w:rPr>
                <w:rFonts w:ascii="宋体" w:hAnsi="宋体" w:cs="宋体" w:eastAsia="宋体" w:hint="default"/>
                <w:w w:val="100"/>
                <w:sz w:val="21"/>
                <w:szCs w:val="21"/>
              </w:rPr>
              <w:t> </w:t>
            </w:r>
            <w:r>
              <w:rPr>
                <w:rFonts w:ascii="宋体" w:hAnsi="宋体" w:cs="宋体" w:eastAsia="宋体" w:hint="default"/>
                <w:sz w:val="21"/>
                <w:szCs w:val="21"/>
              </w:rPr>
              <w:t>员</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96"/>
              <w:jc w:val="left"/>
              <w:rPr>
                <w:rFonts w:ascii="宋体" w:hAnsi="宋体" w:cs="宋体" w:eastAsia="宋体" w:hint="default"/>
                <w:sz w:val="21"/>
                <w:szCs w:val="21"/>
              </w:rPr>
            </w:pPr>
            <w:r>
              <w:rPr>
                <w:rFonts w:ascii="宋体" w:hAnsi="宋体" w:cs="宋体" w:eastAsia="宋体" w:hint="default"/>
                <w:sz w:val="21"/>
                <w:szCs w:val="21"/>
              </w:rPr>
              <w:t>全体董事、高级管理人员对公司公开发行可转换公司债券摊薄即期回报采取</w:t>
            </w:r>
            <w:r>
              <w:rPr>
                <w:rFonts w:ascii="宋体" w:hAnsi="宋体" w:cs="宋体" w:eastAsia="宋体" w:hint="default"/>
                <w:w w:val="100"/>
                <w:sz w:val="21"/>
                <w:szCs w:val="21"/>
              </w:rPr>
              <w:t> </w:t>
            </w:r>
            <w:r>
              <w:rPr>
                <w:rFonts w:ascii="宋体" w:hAnsi="宋体" w:cs="宋体" w:eastAsia="宋体" w:hint="default"/>
                <w:spacing w:val="-2"/>
                <w:sz w:val="21"/>
                <w:szCs w:val="21"/>
              </w:rPr>
              <w:t>填补措施作出以下承诺：</w:t>
            </w:r>
            <w:r>
              <w:rPr>
                <w:rFonts w:ascii="宋体" w:hAnsi="宋体" w:cs="宋体" w:eastAsia="宋体" w:hint="default"/>
                <w:spacing w:val="-2"/>
                <w:sz w:val="21"/>
                <w:szCs w:val="21"/>
              </w:rPr>
              <w:t>1</w:t>
            </w:r>
            <w:r>
              <w:rPr>
                <w:rFonts w:ascii="宋体" w:hAnsi="宋体" w:cs="宋体" w:eastAsia="宋体" w:hint="default"/>
                <w:spacing w:val="-2"/>
                <w:sz w:val="21"/>
                <w:szCs w:val="21"/>
              </w:rPr>
              <w:t>、不无偿或以不公平条件向其他单位或者个人输送</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利益，也不采用其他方</w:t>
            </w:r>
            <w:r>
              <w:rPr>
                <w:rFonts w:ascii="宋体" w:hAnsi="宋体" w:cs="宋体" w:eastAsia="宋体" w:hint="default"/>
                <w:spacing w:val="-5"/>
                <w:sz w:val="21"/>
                <w:szCs w:val="21"/>
              </w:rPr>
              <w:t> </w:t>
            </w:r>
            <w:r>
              <w:rPr>
                <w:rFonts w:ascii="宋体" w:hAnsi="宋体" w:cs="宋体" w:eastAsia="宋体" w:hint="default"/>
                <w:sz w:val="21"/>
                <w:szCs w:val="21"/>
              </w:rPr>
              <w:t>式损害公司利益；</w:t>
            </w:r>
            <w:r>
              <w:rPr>
                <w:rFonts w:ascii="宋体" w:hAnsi="宋体" w:cs="宋体" w:eastAsia="宋体" w:hint="default"/>
                <w:sz w:val="21"/>
                <w:szCs w:val="21"/>
              </w:rPr>
              <w:t>2</w:t>
            </w:r>
            <w:r>
              <w:rPr>
                <w:rFonts w:ascii="宋体" w:hAnsi="宋体" w:cs="宋体" w:eastAsia="宋体" w:hint="default"/>
                <w:sz w:val="21"/>
                <w:szCs w:val="21"/>
              </w:rPr>
              <w:t>、对本人的职务消费行为进行约</w:t>
            </w:r>
            <w:r>
              <w:rPr>
                <w:rFonts w:ascii="宋体" w:hAnsi="宋体" w:cs="宋体" w:eastAsia="宋体" w:hint="default"/>
                <w:w w:val="100"/>
                <w:sz w:val="21"/>
                <w:szCs w:val="21"/>
              </w:rPr>
              <w:t> </w:t>
            </w:r>
            <w:r>
              <w:rPr>
                <w:rFonts w:ascii="宋体" w:hAnsi="宋体" w:cs="宋体" w:eastAsia="宋体" w:hint="default"/>
                <w:sz w:val="21"/>
                <w:szCs w:val="21"/>
              </w:rPr>
              <w:t>束；</w:t>
            </w:r>
            <w:r>
              <w:rPr>
                <w:rFonts w:ascii="宋体" w:hAnsi="宋体" w:cs="宋体" w:eastAsia="宋体" w:hint="default"/>
                <w:sz w:val="21"/>
                <w:szCs w:val="21"/>
              </w:rPr>
              <w:t>3</w:t>
            </w:r>
            <w:r>
              <w:rPr>
                <w:rFonts w:ascii="宋体" w:hAnsi="宋体" w:cs="宋体" w:eastAsia="宋体" w:hint="default"/>
                <w:sz w:val="21"/>
                <w:szCs w:val="21"/>
              </w:rPr>
              <w:t>、不动用公司资产从事与本人履行职责无关的投资、消费活动；</w:t>
            </w:r>
            <w:r>
              <w:rPr>
                <w:rFonts w:ascii="宋体" w:hAnsi="宋体" w:cs="宋体" w:eastAsia="宋体" w:hint="default"/>
                <w:sz w:val="21"/>
                <w:szCs w:val="21"/>
              </w:rPr>
              <w:t>4</w:t>
            </w:r>
            <w:r>
              <w:rPr>
                <w:rFonts w:ascii="宋体" w:hAnsi="宋体" w:cs="宋体" w:eastAsia="宋体" w:hint="default"/>
                <w:sz w:val="21"/>
                <w:szCs w:val="21"/>
              </w:rPr>
              <w:t>、由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58"/>
              <w:ind w:left="103" w:right="108"/>
              <w:jc w:val="both"/>
              <w:rPr>
                <w:rFonts w:ascii="宋体" w:hAnsi="宋体" w:cs="宋体" w:eastAsia="宋体" w:hint="default"/>
                <w:sz w:val="21"/>
                <w:szCs w:val="21"/>
              </w:rPr>
            </w:pPr>
            <w:r>
              <w:rPr>
                <w:rFonts w:ascii="宋体" w:hAnsi="宋体" w:cs="宋体" w:eastAsia="宋体" w:hint="default"/>
                <w:sz w:val="21"/>
                <w:szCs w:val="21"/>
              </w:rPr>
              <w:t>公开发行可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转债实施完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毕前</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80" w:right="9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277"/>
        <w:gridCol w:w="1136"/>
        <w:gridCol w:w="1274"/>
        <w:gridCol w:w="7230"/>
        <w:gridCol w:w="1277"/>
        <w:gridCol w:w="708"/>
        <w:gridCol w:w="708"/>
        <w:gridCol w:w="1136"/>
        <w:gridCol w:w="850"/>
      </w:tblGrid>
      <w:tr>
        <w:trPr>
          <w:trHeight w:val="2943" w:hRule="exact"/>
        </w:trPr>
        <w:tc>
          <w:tcPr>
            <w:tcW w:w="1277" w:type="dxa"/>
            <w:vMerge w:val="restart"/>
            <w:tcBorders>
              <w:top w:val="single" w:sz="4" w:space="0" w:color="000000"/>
              <w:left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5"/>
              <w:jc w:val="left"/>
              <w:rPr>
                <w:rFonts w:ascii="宋体" w:hAnsi="宋体" w:cs="宋体" w:eastAsia="宋体" w:hint="default"/>
                <w:sz w:val="21"/>
                <w:szCs w:val="21"/>
              </w:rPr>
            </w:pPr>
            <w:r>
              <w:rPr>
                <w:rFonts w:ascii="宋体" w:hAnsi="宋体" w:cs="宋体" w:eastAsia="宋体" w:hint="default"/>
                <w:sz w:val="21"/>
                <w:szCs w:val="21"/>
              </w:rPr>
              <w:t>董事会或薪酬考核委员会制定的薪酬制度与公司填补回报措施的执行情况相</w:t>
            </w:r>
            <w:r>
              <w:rPr>
                <w:rFonts w:ascii="宋体" w:hAnsi="宋体" w:cs="宋体" w:eastAsia="宋体" w:hint="default"/>
                <w:w w:val="100"/>
                <w:sz w:val="21"/>
                <w:szCs w:val="21"/>
              </w:rPr>
              <w:t> </w:t>
            </w:r>
            <w:r>
              <w:rPr>
                <w:rFonts w:ascii="宋体" w:hAnsi="宋体" w:cs="宋体" w:eastAsia="宋体" w:hint="default"/>
                <w:spacing w:val="-2"/>
                <w:sz w:val="21"/>
                <w:szCs w:val="21"/>
              </w:rPr>
              <w:t>挂钩；</w:t>
            </w:r>
            <w:r>
              <w:rPr>
                <w:rFonts w:ascii="宋体" w:hAnsi="宋体" w:cs="宋体" w:eastAsia="宋体" w:hint="default"/>
                <w:spacing w:val="-2"/>
                <w:sz w:val="21"/>
                <w:szCs w:val="21"/>
              </w:rPr>
              <w:t>5</w:t>
            </w:r>
            <w:r>
              <w:rPr>
                <w:rFonts w:ascii="宋体" w:hAnsi="宋体" w:cs="宋体" w:eastAsia="宋体" w:hint="default"/>
                <w:spacing w:val="-2"/>
                <w:sz w:val="21"/>
                <w:szCs w:val="21"/>
              </w:rPr>
              <w:t>、未来公司如实施股权激励，则拟公布的公司股权激励的行权条件与</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公司填补回报措施的执行情况相挂钩；</w:t>
            </w:r>
            <w:r>
              <w:rPr>
                <w:rFonts w:ascii="宋体" w:hAnsi="宋体" w:cs="宋体" w:eastAsia="宋体" w:hint="default"/>
                <w:spacing w:val="-2"/>
                <w:sz w:val="21"/>
                <w:szCs w:val="21"/>
              </w:rPr>
              <w:t>6</w:t>
            </w:r>
            <w:r>
              <w:rPr>
                <w:rFonts w:ascii="宋体" w:hAnsi="宋体" w:cs="宋体" w:eastAsia="宋体" w:hint="default"/>
                <w:spacing w:val="-2"/>
                <w:sz w:val="21"/>
                <w:szCs w:val="21"/>
              </w:rPr>
              <w:t>、自本承诺出具日至公司本次公开发</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行可转债实施完毕前，若中国证监会作出关于填补回报措施及其承诺的其他</w:t>
            </w:r>
            <w:r>
              <w:rPr>
                <w:rFonts w:ascii="宋体" w:hAnsi="宋体" w:cs="宋体" w:eastAsia="宋体" w:hint="default"/>
                <w:w w:val="100"/>
                <w:sz w:val="21"/>
                <w:szCs w:val="21"/>
              </w:rPr>
              <w:t> </w:t>
            </w:r>
            <w:r>
              <w:rPr>
                <w:rFonts w:ascii="宋体" w:hAnsi="宋体" w:cs="宋体" w:eastAsia="宋体" w:hint="default"/>
                <w:sz w:val="21"/>
                <w:szCs w:val="21"/>
              </w:rPr>
              <w:t>新的监管规定，且上述承诺不能满足中国证监会该等规定时，本人承诺届时</w:t>
            </w:r>
            <w:r>
              <w:rPr>
                <w:rFonts w:ascii="宋体" w:hAnsi="宋体" w:cs="宋体" w:eastAsia="宋体" w:hint="default"/>
                <w:w w:val="100"/>
                <w:sz w:val="21"/>
                <w:szCs w:val="21"/>
              </w:rPr>
              <w:t> </w:t>
            </w:r>
            <w:r>
              <w:rPr>
                <w:rFonts w:ascii="宋体" w:hAnsi="宋体" w:cs="宋体" w:eastAsia="宋体" w:hint="default"/>
                <w:spacing w:val="-2"/>
                <w:sz w:val="21"/>
                <w:szCs w:val="21"/>
              </w:rPr>
              <w:t>将按照中国证监会的最新规定出具补充承诺；</w:t>
            </w:r>
            <w:r>
              <w:rPr>
                <w:rFonts w:ascii="宋体" w:hAnsi="宋体" w:cs="宋体" w:eastAsia="宋体" w:hint="default"/>
                <w:spacing w:val="-2"/>
                <w:sz w:val="21"/>
                <w:szCs w:val="21"/>
              </w:rPr>
              <w:t>7</w:t>
            </w:r>
            <w:r>
              <w:rPr>
                <w:rFonts w:ascii="宋体" w:hAnsi="宋体" w:cs="宋体" w:eastAsia="宋体" w:hint="default"/>
                <w:spacing w:val="-2"/>
                <w:sz w:val="21"/>
                <w:szCs w:val="21"/>
              </w:rPr>
              <w:t>、本人承诺切实履行公司制定</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的有关填补回报措施以及对此作出的任何有关填补回报措施的承诺，若违反</w:t>
            </w:r>
            <w:r>
              <w:rPr>
                <w:rFonts w:ascii="宋体" w:hAnsi="宋体" w:cs="宋体" w:eastAsia="宋体" w:hint="default"/>
                <w:w w:val="100"/>
                <w:sz w:val="21"/>
                <w:szCs w:val="21"/>
              </w:rPr>
              <w:t> </w:t>
            </w:r>
            <w:r>
              <w:rPr>
                <w:rFonts w:ascii="宋体" w:hAnsi="宋体" w:cs="宋体" w:eastAsia="宋体" w:hint="default"/>
                <w:sz w:val="21"/>
                <w:szCs w:val="21"/>
              </w:rPr>
              <w:t>该等承诺并给公司或者投资者造成损失的，本人愿意依法承担对公司或者投</w:t>
            </w:r>
            <w:r>
              <w:rPr>
                <w:rFonts w:ascii="宋体" w:hAnsi="宋体" w:cs="宋体" w:eastAsia="宋体" w:hint="default"/>
                <w:w w:val="100"/>
                <w:sz w:val="21"/>
                <w:szCs w:val="21"/>
              </w:rPr>
              <w:t> </w:t>
            </w:r>
            <w:r>
              <w:rPr>
                <w:rFonts w:ascii="宋体" w:hAnsi="宋体" w:cs="宋体" w:eastAsia="宋体" w:hint="default"/>
                <w:sz w:val="21"/>
                <w:szCs w:val="21"/>
              </w:rPr>
              <w:t>资者的补偿责任。</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642" w:hRule="exact"/>
        </w:trPr>
        <w:tc>
          <w:tcPr>
            <w:tcW w:w="1277"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6"/>
              <w:jc w:val="left"/>
              <w:rPr>
                <w:rFonts w:ascii="宋体" w:hAnsi="宋体" w:cs="宋体" w:eastAsia="宋体" w:hint="default"/>
                <w:sz w:val="21"/>
                <w:szCs w:val="21"/>
              </w:rPr>
            </w:pPr>
            <w:r>
              <w:rPr>
                <w:rFonts w:ascii="宋体" w:hAnsi="宋体" w:cs="宋体" w:eastAsia="宋体" w:hint="default"/>
                <w:sz w:val="21"/>
                <w:szCs w:val="21"/>
              </w:rPr>
              <w:t>本人对公司公开发行可转换公司债券摊薄即期回报采取填补措施作出以下承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z w:val="21"/>
                <w:szCs w:val="21"/>
              </w:rPr>
              <w:t>1</w:t>
            </w:r>
            <w:r>
              <w:rPr>
                <w:rFonts w:ascii="宋体" w:hAnsi="宋体" w:cs="宋体" w:eastAsia="宋体" w:hint="default"/>
                <w:sz w:val="21"/>
                <w:szCs w:val="21"/>
              </w:rPr>
              <w:t>、不越权干预公司经营管理活动；</w:t>
            </w:r>
            <w:r>
              <w:rPr>
                <w:rFonts w:ascii="宋体" w:hAnsi="宋体" w:cs="宋体" w:eastAsia="宋体" w:hint="default"/>
                <w:sz w:val="21"/>
                <w:szCs w:val="21"/>
              </w:rPr>
              <w:t>2</w:t>
            </w:r>
            <w:r>
              <w:rPr>
                <w:rFonts w:ascii="宋体" w:hAnsi="宋体" w:cs="宋体" w:eastAsia="宋体" w:hint="default"/>
                <w:sz w:val="21"/>
                <w:szCs w:val="21"/>
              </w:rPr>
              <w:t>、不侵占公司利益；</w:t>
            </w:r>
            <w:r>
              <w:rPr>
                <w:rFonts w:ascii="宋体" w:hAnsi="宋体" w:cs="宋体" w:eastAsia="宋体" w:hint="default"/>
                <w:sz w:val="21"/>
                <w:szCs w:val="21"/>
              </w:rPr>
              <w:t>3</w:t>
            </w:r>
            <w:r>
              <w:rPr>
                <w:rFonts w:ascii="宋体" w:hAnsi="宋体" w:cs="宋体" w:eastAsia="宋体" w:hint="default"/>
                <w:sz w:val="21"/>
                <w:szCs w:val="21"/>
              </w:rPr>
              <w:t>、自承诺出具</w:t>
            </w:r>
            <w:r>
              <w:rPr>
                <w:rFonts w:ascii="宋体" w:hAnsi="宋体" w:cs="宋体" w:eastAsia="宋体" w:hint="default"/>
                <w:w w:val="100"/>
                <w:sz w:val="21"/>
                <w:szCs w:val="21"/>
              </w:rPr>
              <w:t> </w:t>
            </w:r>
            <w:r>
              <w:rPr>
                <w:rFonts w:ascii="宋体" w:hAnsi="宋体" w:cs="宋体" w:eastAsia="宋体" w:hint="default"/>
                <w:sz w:val="21"/>
                <w:szCs w:val="21"/>
              </w:rPr>
              <w:t>日至公司本次公开发行可转换公司债券实施完毕前，若中国证监会作出关于</w:t>
            </w:r>
            <w:r>
              <w:rPr>
                <w:rFonts w:ascii="宋体" w:hAnsi="宋体" w:cs="宋体" w:eastAsia="宋体" w:hint="default"/>
                <w:w w:val="100"/>
                <w:sz w:val="21"/>
                <w:szCs w:val="21"/>
              </w:rPr>
              <w:t> </w:t>
            </w:r>
            <w:r>
              <w:rPr>
                <w:rFonts w:ascii="宋体" w:hAnsi="宋体" w:cs="宋体" w:eastAsia="宋体" w:hint="default"/>
                <w:spacing w:val="-3"/>
                <w:sz w:val="21"/>
                <w:szCs w:val="21"/>
              </w:rPr>
              <w:t>填补回报措施及其承诺的其他新的监管规定的，且上述承诺不能 </w:t>
            </w:r>
            <w:r>
              <w:rPr>
                <w:rFonts w:ascii="宋体" w:hAnsi="宋体" w:cs="宋体" w:eastAsia="宋体" w:hint="default"/>
                <w:sz w:val="21"/>
                <w:szCs w:val="21"/>
              </w:rPr>
              <w:t>满足中国证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监会该等规定时，本人承诺届时将按照中国证监会的最新规定出具补充承诺。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85" w:lineRule="auto"/>
              <w:ind w:left="103" w:right="108"/>
              <w:jc w:val="both"/>
              <w:rPr>
                <w:rFonts w:ascii="宋体" w:hAnsi="宋体" w:cs="宋体" w:eastAsia="宋体" w:hint="default"/>
                <w:sz w:val="21"/>
                <w:szCs w:val="21"/>
              </w:rPr>
            </w:pPr>
            <w:r>
              <w:rPr>
                <w:rFonts w:ascii="宋体" w:hAnsi="宋体" w:cs="宋体" w:eastAsia="宋体" w:hint="default"/>
                <w:sz w:val="21"/>
                <w:szCs w:val="21"/>
              </w:rPr>
              <w:t>公开发行可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转债实施完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毕前</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3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68" w:lineRule="auto"/>
              <w:ind w:left="103" w:right="18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日起至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日期间，不减持本人直接或间接持</w:t>
            </w:r>
            <w:r>
              <w:rPr>
                <w:rFonts w:ascii="宋体" w:hAnsi="宋体" w:cs="宋体" w:eastAsia="宋体" w:hint="default"/>
                <w:w w:val="100"/>
                <w:sz w:val="21"/>
                <w:szCs w:val="21"/>
              </w:rPr>
              <w:t> </w:t>
            </w:r>
            <w:r>
              <w:rPr>
                <w:rFonts w:ascii="宋体" w:hAnsi="宋体" w:cs="宋体" w:eastAsia="宋体" w:hint="default"/>
                <w:sz w:val="21"/>
                <w:szCs w:val="21"/>
              </w:rPr>
              <w:t>有的公司股份，若违反上述承诺，减持股份所得全部归公司所有。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自</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4</w:t>
            </w:r>
          </w:p>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w:t>
            </w:r>
          </w:p>
          <w:p>
            <w:pPr>
              <w:pStyle w:val="TableParagraph"/>
              <w:spacing w:line="240" w:lineRule="auto" w:before="35"/>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4</w:t>
            </w:r>
          </w:p>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64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85" w:lineRule="auto"/>
              <w:ind w:left="245" w:right="139" w:hanging="104"/>
              <w:jc w:val="left"/>
              <w:rPr>
                <w:rFonts w:ascii="宋体" w:hAnsi="宋体" w:cs="宋体" w:eastAsia="宋体" w:hint="default"/>
                <w:sz w:val="21"/>
                <w:szCs w:val="21"/>
              </w:rPr>
            </w:pPr>
            <w:r>
              <w:rPr>
                <w:rFonts w:ascii="宋体" w:hAnsi="宋体" w:cs="宋体" w:eastAsia="宋体" w:hint="default"/>
                <w:sz w:val="21"/>
                <w:szCs w:val="21"/>
              </w:rPr>
              <w:t>盈利预测</w:t>
            </w:r>
            <w:r>
              <w:rPr>
                <w:rFonts w:ascii="宋体" w:hAnsi="宋体" w:cs="宋体" w:eastAsia="宋体" w:hint="default"/>
                <w:w w:val="100"/>
                <w:sz w:val="21"/>
                <w:szCs w:val="21"/>
              </w:rPr>
              <w:t> </w:t>
            </w:r>
            <w:r>
              <w:rPr>
                <w:rFonts w:ascii="宋体" w:hAnsi="宋体" w:cs="宋体" w:eastAsia="宋体" w:hint="default"/>
                <w:sz w:val="21"/>
                <w:szCs w:val="21"/>
              </w:rPr>
              <w:t>及补偿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福建南威</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年度福建南威完成扣非后净利润不低于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pStyle w:val="TableParagraph"/>
              <w:spacing w:line="240" w:lineRule="auto" w:before="3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年度福建南威完成扣非后净利润不低于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pStyle w:val="TableParagraph"/>
              <w:spacing w:line="240" w:lineRule="auto" w:before="3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年度福建南威完成扣非后净利润不低于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p>
            <w:pPr>
              <w:pStyle w:val="TableParagraph"/>
              <w:spacing w:line="240" w:lineRule="auto" w:before="3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p>
            <w:pPr>
              <w:pStyle w:val="TableParagraph"/>
              <w:spacing w:line="240" w:lineRule="auto" w:before="35"/>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起至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2019</w:t>
            </w:r>
          </w:p>
          <w:p>
            <w:pPr>
              <w:pStyle w:val="TableParagraph"/>
              <w:spacing w:line="240" w:lineRule="auto" w:before="36"/>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p>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80" w:right="9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Heading4"/>
        <w:tabs>
          <w:tab w:pos="784" w:val="left" w:leader="none"/>
        </w:tabs>
        <w:spacing w:line="259" w:lineRule="auto"/>
        <w:ind w:left="784" w:right="310" w:hanging="56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公司资产或项目存在盈利预测，且报告期仍处在盈利预测期间，公司就资产或项目是否达</w:t>
      </w:r>
      <w:r>
        <w:rPr>
          <w:spacing w:val="-61"/>
        </w:rPr>
        <w:t> </w:t>
      </w:r>
      <w:r>
        <w:rPr>
          <w:spacing w:val="-61"/>
        </w:rPr>
      </w:r>
      <w:r>
        <w:rPr/>
        <w:t>到原盈</w:t>
      </w:r>
      <w:r>
        <w:rPr>
          <w:b w:val="0"/>
          <w:bCs w:val="0"/>
        </w:rPr>
      </w:r>
    </w:p>
    <w:p>
      <w:pPr>
        <w:pStyle w:val="Heading4"/>
        <w:tabs>
          <w:tab w:pos="784" w:val="left" w:leader="none"/>
        </w:tabs>
        <w:spacing w:line="240" w:lineRule="auto" w:before="94"/>
        <w:ind w:right="31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利预测及其原因作出说明</w:t>
      </w:r>
      <w:r>
        <w:rPr>
          <w:b w:val="0"/>
          <w:bCs w:val="0"/>
        </w:rPr>
      </w:r>
    </w:p>
    <w:p>
      <w:pPr>
        <w:pStyle w:val="Heading3"/>
        <w:spacing w:line="240" w:lineRule="auto" w:before="59"/>
        <w:ind w:left="698" w:right="310"/>
        <w:jc w:val="left"/>
      </w:pPr>
      <w:r>
        <w:rPr/>
        <w:t>□已达到 □未达到 √不适用</w:t>
      </w:r>
    </w:p>
    <w:p>
      <w:pPr>
        <w:spacing w:line="240" w:lineRule="auto" w:before="5"/>
        <w:rPr>
          <w:rFonts w:ascii="宋体" w:hAnsi="宋体" w:cs="宋体" w:eastAsia="宋体" w:hint="default"/>
          <w:sz w:val="32"/>
          <w:szCs w:val="32"/>
        </w:rPr>
      </w:pPr>
    </w:p>
    <w:p>
      <w:pPr>
        <w:pStyle w:val="Heading4"/>
        <w:tabs>
          <w:tab w:pos="784" w:val="left" w:leader="none"/>
        </w:tabs>
        <w:spacing w:line="240" w:lineRule="auto" w:before="0"/>
        <w:ind w:right="310"/>
        <w:jc w:val="left"/>
        <w:rPr>
          <w:b w:val="0"/>
          <w:bCs w:val="0"/>
        </w:rPr>
      </w:pPr>
      <w:r>
        <w:rPr>
          <w:rFonts w:ascii="Calibri" w:hAnsi="Calibri" w:cs="Calibri" w:eastAsia="Calibri" w:hint="default"/>
        </w:rPr>
        <w:t>(</w:t>
      </w:r>
      <w:r>
        <w:rPr/>
        <w:t>四</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82"/>
        <w:ind w:right="310"/>
        <w:jc w:val="left"/>
      </w:pPr>
      <w:r>
        <w:rPr/>
        <w:t>√适用□不适用</w:t>
      </w:r>
    </w:p>
    <w:p>
      <w:pPr>
        <w:pStyle w:val="BodyText"/>
        <w:spacing w:line="240" w:lineRule="auto" w:before="51"/>
        <w:ind w:left="638"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24</w:t>
      </w:r>
      <w:r>
        <w:rPr>
          <w:rFonts w:ascii="Times New Roman" w:hAnsi="Times New Roman" w:cs="Times New Roman" w:eastAsia="Times New Roman" w:hint="default"/>
          <w:spacing w:val="9"/>
        </w:rPr>
        <w:t> </w:t>
      </w:r>
      <w:r>
        <w:rPr/>
        <w:t>日，公司与深圳太极云软股权投资管理合伙企业（普通合伙）、深圳潇湘君</w:t>
      </w:r>
    </w:p>
    <w:p>
      <w:pPr>
        <w:pStyle w:val="BodyText"/>
        <w:spacing w:line="268" w:lineRule="auto" w:before="35"/>
        <w:ind w:right="310"/>
        <w:jc w:val="left"/>
      </w:pPr>
      <w:r>
        <w:rPr>
          <w:spacing w:val="-4"/>
        </w:rPr>
        <w:t>辰企业（有限合伙）、深圳得壹卓投资企业（有限合伙）、邱德强、巩福、曾崛等</w:t>
      </w:r>
      <w:r>
        <w:rPr>
          <w:spacing w:val="17"/>
        </w:rPr>
        <w:t> </w:t>
      </w:r>
      <w:r>
        <w:rPr>
          <w:rFonts w:ascii="Times New Roman" w:hAnsi="Times New Roman" w:cs="Times New Roman" w:eastAsia="Times New Roman" w:hint="default"/>
        </w:rPr>
        <w:t>6</w:t>
      </w:r>
      <w:r>
        <w:rPr>
          <w:rFonts w:ascii="Times New Roman" w:hAnsi="Times New Roman" w:cs="Times New Roman" w:eastAsia="Times New Roman" w:hint="default"/>
          <w:spacing w:val="17"/>
        </w:rPr>
        <w:t> </w:t>
      </w:r>
      <w:r>
        <w:rPr/>
        <w:t>名交易对方</w:t>
      </w:r>
      <w:r>
        <w:rPr>
          <w:spacing w:val="-101"/>
        </w:rPr>
        <w:t> </w:t>
      </w:r>
      <w:r>
        <w:rPr>
          <w:spacing w:val="-101"/>
        </w:rPr>
      </w:r>
      <w:r>
        <w:rPr>
          <w:spacing w:val="-2"/>
        </w:rPr>
        <w:t>签署《资产购买框架协议》，收购上述交易对方所持有太极云软</w:t>
      </w:r>
      <w:r>
        <w:rPr>
          <w:spacing w:val="11"/>
        </w:rPr>
        <w:t> </w:t>
      </w:r>
      <w:r>
        <w:rPr>
          <w:rFonts w:ascii="Times New Roman" w:hAnsi="Times New Roman" w:cs="Times New Roman" w:eastAsia="Times New Roman" w:hint="default"/>
          <w:spacing w:val="-2"/>
        </w:rPr>
        <w:t>61%</w:t>
      </w:r>
      <w:r>
        <w:rPr>
          <w:spacing w:val="-2"/>
        </w:rPr>
        <w:t>的股份。</w:t>
      </w:r>
    </w:p>
    <w:p>
      <w:pPr>
        <w:pStyle w:val="BodyText"/>
        <w:spacing w:line="268" w:lineRule="auto" w:before="7"/>
        <w:ind w:right="308" w:firstLine="419"/>
        <w:jc w:val="both"/>
      </w:pPr>
      <w:r>
        <w:rPr/>
        <w:t>上述交易对方承诺，太极云软于 </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2020</w:t>
      </w:r>
      <w:r>
        <w:rPr>
          <w:rFonts w:ascii="Times New Roman" w:hAnsi="Times New Roman" w:cs="Times New Roman" w:eastAsia="Times New Roman" w:hint="default"/>
          <w:spacing w:val="8"/>
        </w:rPr>
        <w:t> </w:t>
      </w:r>
      <w:r>
        <w:rPr/>
        <w:t>年实现的实际净利润应分别不低</w:t>
      </w:r>
      <w:r>
        <w:rPr>
          <w:w w:val="100"/>
        </w:rPr>
        <w:t> </w:t>
      </w:r>
      <w:r>
        <w:rPr/>
        <w:t>于 </w:t>
      </w:r>
      <w:r>
        <w:rPr>
          <w:rFonts w:ascii="Times New Roman" w:hAnsi="Times New Roman" w:cs="Times New Roman" w:eastAsia="Times New Roman" w:hint="default"/>
        </w:rPr>
        <w:t>2,500 </w:t>
      </w:r>
      <w:r>
        <w:rPr/>
        <w:t>万元、</w:t>
      </w:r>
      <w:r>
        <w:rPr>
          <w:rFonts w:ascii="Times New Roman" w:hAnsi="Times New Roman" w:cs="Times New Roman" w:eastAsia="Times New Roman" w:hint="default"/>
        </w:rPr>
        <w:t>3,250 </w:t>
      </w:r>
      <w:r>
        <w:rPr/>
        <w:t>万元、</w:t>
      </w:r>
      <w:r>
        <w:rPr>
          <w:rFonts w:ascii="Times New Roman" w:hAnsi="Times New Roman" w:cs="Times New Roman" w:eastAsia="Times New Roman" w:hint="default"/>
        </w:rPr>
        <w:t>4,225</w:t>
      </w:r>
      <w:r>
        <w:rPr>
          <w:rFonts w:ascii="Times New Roman" w:hAnsi="Times New Roman" w:cs="Times New Roman" w:eastAsia="Times New Roman" w:hint="default"/>
          <w:spacing w:val="3"/>
        </w:rPr>
        <w:t> </w:t>
      </w:r>
      <w:r>
        <w:rPr/>
        <w:t>万元。实际净利润指扣除非经常性损益前后归属于母公司所有</w:t>
      </w:r>
      <w:r>
        <w:rPr>
          <w:w w:val="100"/>
        </w:rPr>
        <w:t> </w:t>
      </w:r>
      <w:r>
        <w:rPr/>
        <w:t>者的净利润孰低的金额。</w:t>
      </w:r>
    </w:p>
    <w:p>
      <w:pPr>
        <w:pStyle w:val="BodyText"/>
        <w:spacing w:line="240" w:lineRule="auto" w:before="26"/>
        <w:ind w:left="638" w:right="0"/>
        <w:jc w:val="left"/>
      </w:pPr>
      <w:r>
        <w:rPr>
          <w:w w:val="100"/>
        </w:rPr>
        <w:t>深圳</w:t>
      </w:r>
      <w:r>
        <w:rPr>
          <w:spacing w:val="-3"/>
          <w:w w:val="100"/>
        </w:rPr>
        <w:t>太</w:t>
      </w:r>
      <w:r>
        <w:rPr>
          <w:w w:val="100"/>
        </w:rPr>
        <w:t>极</w:t>
      </w:r>
      <w:r>
        <w:rPr>
          <w:spacing w:val="-3"/>
          <w:w w:val="100"/>
        </w:rPr>
        <w:t>云</w:t>
      </w:r>
      <w:r>
        <w:rPr>
          <w:w w:val="100"/>
        </w:rPr>
        <w:t>软</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spacing w:val="-2"/>
        </w:rPr>
        <w:t> </w:t>
      </w:r>
      <w:r>
        <w:rPr>
          <w:w w:val="100"/>
        </w:rPr>
        <w:t>年</w:t>
      </w:r>
      <w:r>
        <w:rPr>
          <w:spacing w:val="-3"/>
          <w:w w:val="100"/>
        </w:rPr>
        <w:t>度实</w:t>
      </w:r>
      <w:r>
        <w:rPr>
          <w:w w:val="100"/>
        </w:rPr>
        <w:t>现的</w:t>
      </w:r>
      <w:r>
        <w:rPr>
          <w:spacing w:val="-3"/>
          <w:w w:val="100"/>
        </w:rPr>
        <w:t>归</w:t>
      </w:r>
      <w:r>
        <w:rPr>
          <w:w w:val="100"/>
        </w:rPr>
        <w:t>属</w:t>
      </w:r>
      <w:r>
        <w:rPr>
          <w:spacing w:val="-3"/>
          <w:w w:val="100"/>
        </w:rPr>
        <w:t>于</w:t>
      </w:r>
      <w:r>
        <w:rPr>
          <w:w w:val="100"/>
        </w:rPr>
        <w:t>母</w:t>
      </w:r>
      <w:r>
        <w:rPr>
          <w:spacing w:val="-3"/>
          <w:w w:val="100"/>
        </w:rPr>
        <w:t>公</w:t>
      </w:r>
      <w:r>
        <w:rPr>
          <w:w w:val="100"/>
        </w:rPr>
        <w:t>司</w:t>
      </w:r>
      <w:r>
        <w:rPr>
          <w:spacing w:val="-3"/>
          <w:w w:val="100"/>
        </w:rPr>
        <w:t>所</w:t>
      </w:r>
      <w:r>
        <w:rPr>
          <w:w w:val="100"/>
        </w:rPr>
        <w:t>有</w:t>
      </w:r>
      <w:r>
        <w:rPr>
          <w:spacing w:val="-3"/>
          <w:w w:val="100"/>
        </w:rPr>
        <w:t>者</w:t>
      </w:r>
      <w:r>
        <w:rPr>
          <w:w w:val="100"/>
        </w:rPr>
        <w:t>的净</w:t>
      </w:r>
      <w:r>
        <w:rPr>
          <w:spacing w:val="-3"/>
          <w:w w:val="100"/>
        </w:rPr>
        <w:t>利润</w:t>
      </w:r>
      <w:r>
        <w:rPr>
          <w:w w:val="100"/>
        </w:rPr>
        <w:t>为</w:t>
      </w:r>
      <w:r>
        <w:rPr>
          <w:spacing w:val="-53"/>
        </w:rPr>
        <w:t> </w:t>
      </w:r>
      <w:r>
        <w:rPr>
          <w:rFonts w:ascii="Times New Roman" w:hAnsi="Times New Roman" w:cs="Times New Roman" w:eastAsia="Times New Roman" w:hint="default"/>
          <w:w w:val="100"/>
        </w:rPr>
        <w:t>3,2</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9.23</w:t>
      </w:r>
      <w:r>
        <w:rPr>
          <w:rFonts w:ascii="Times New Roman" w:hAnsi="Times New Roman" w:cs="Times New Roman" w:eastAsia="Times New Roman" w:hint="default"/>
          <w:spacing w:val="-3"/>
        </w:rPr>
        <w:t> </w:t>
      </w:r>
      <w:r>
        <w:rPr>
          <w:w w:val="100"/>
        </w:rPr>
        <w:t>万</w:t>
      </w:r>
      <w:r>
        <w:rPr>
          <w:spacing w:val="-3"/>
          <w:w w:val="100"/>
        </w:rPr>
        <w:t>元</w:t>
      </w:r>
      <w:r>
        <w:rPr>
          <w:spacing w:val="-94"/>
          <w:w w:val="100"/>
        </w:rPr>
        <w:t>，</w:t>
      </w:r>
      <w:r>
        <w:rPr>
          <w:w w:val="100"/>
        </w:rPr>
        <w:t>实现</w:t>
      </w:r>
      <w:r>
        <w:rPr>
          <w:spacing w:val="-3"/>
          <w:w w:val="100"/>
        </w:rPr>
        <w:t>扣</w:t>
      </w:r>
      <w:r>
        <w:rPr>
          <w:w w:val="100"/>
        </w:rPr>
        <w:t>除</w:t>
      </w:r>
      <w:r>
        <w:rPr>
          <w:spacing w:val="-3"/>
          <w:w w:val="100"/>
        </w:rPr>
        <w:t>非</w:t>
      </w:r>
      <w:r>
        <w:rPr>
          <w:w w:val="100"/>
        </w:rPr>
        <w:t>经</w:t>
      </w:r>
    </w:p>
    <w:p>
      <w:pPr>
        <w:pStyle w:val="BodyText"/>
        <w:spacing w:line="268" w:lineRule="auto" w:before="35"/>
        <w:ind w:right="0"/>
        <w:jc w:val="left"/>
      </w:pPr>
      <w:r>
        <w:rPr/>
        <w:t>常性损益后归属于母公司所有者的净利润</w:t>
      </w:r>
      <w:r>
        <w:rPr>
          <w:spacing w:val="-50"/>
        </w:rPr>
        <w:t> </w:t>
      </w:r>
      <w:r>
        <w:rPr>
          <w:rFonts w:ascii="Times New Roman" w:hAnsi="Times New Roman" w:cs="Times New Roman" w:eastAsia="Times New Roman" w:hint="default"/>
        </w:rPr>
        <w:t>2,857.16</w:t>
      </w:r>
      <w:r>
        <w:rPr>
          <w:rFonts w:ascii="Times New Roman" w:hAnsi="Times New Roman" w:cs="Times New Roman" w:eastAsia="Times New Roman" w:hint="default"/>
          <w:spacing w:val="1"/>
        </w:rPr>
        <w:t> </w:t>
      </w:r>
      <w:r>
        <w:rPr>
          <w:spacing w:val="-9"/>
        </w:rPr>
        <w:t>万元，已完成</w:t>
      </w:r>
      <w:r>
        <w:rPr>
          <w:spacing w:val="-50"/>
        </w:rPr>
        <w:t> </w:t>
      </w:r>
      <w:r>
        <w:rPr>
          <w:rFonts w:ascii="Times New Roman" w:hAnsi="Times New Roman" w:cs="Times New Roman" w:eastAsia="Times New Roman" w:hint="default"/>
        </w:rPr>
        <w:t>2018 </w:t>
      </w:r>
      <w:r>
        <w:rPr>
          <w:spacing w:val="-6"/>
        </w:rPr>
        <w:t>年度业绩承诺。根据公司聘</w:t>
      </w:r>
      <w:r>
        <w:rPr>
          <w:spacing w:val="-89"/>
        </w:rPr>
        <w:t> </w:t>
      </w:r>
      <w:r>
        <w:rPr>
          <w:spacing w:val="-89"/>
        </w:rPr>
      </w:r>
      <w:r>
        <w:rPr/>
        <w:t>请的北京亚超资产评估有限公司出具的《评估报告》（北京亚超评报字（</w:t>
      </w:r>
      <w:r>
        <w:rPr>
          <w:rFonts w:ascii="Times New Roman" w:hAnsi="Times New Roman" w:cs="Times New Roman" w:eastAsia="Times New Roman" w:hint="default"/>
        </w:rPr>
        <w:t>2019</w:t>
      </w:r>
      <w:r>
        <w:rPr/>
        <w:t>）第 </w:t>
      </w:r>
      <w:r>
        <w:rPr>
          <w:rFonts w:ascii="Times New Roman" w:hAnsi="Times New Roman" w:cs="Times New Roman" w:eastAsia="Times New Roman" w:hint="default"/>
        </w:rPr>
        <w:t>A129</w:t>
      </w:r>
      <w:r>
        <w:rPr>
          <w:rFonts w:ascii="Times New Roman" w:hAnsi="Times New Roman" w:cs="Times New Roman" w:eastAsia="Times New Roman" w:hint="default"/>
          <w:spacing w:val="12"/>
        </w:rPr>
        <w:t> </w:t>
      </w:r>
      <w:r>
        <w:rPr/>
        <w:t>号），</w:t>
      </w:r>
      <w:r>
        <w:rPr>
          <w:w w:val="100"/>
        </w:rPr>
        <w:t> </w:t>
      </w:r>
      <w:r>
        <w:rPr>
          <w:spacing w:val="-2"/>
          <w:w w:val="100"/>
        </w:rPr>
        <w:t>包含商誉的太极云软资产组可收回金额为</w:t>
      </w:r>
      <w:r>
        <w:rPr>
          <w:spacing w:val="-46"/>
          <w:w w:val="100"/>
        </w:rPr>
        <w:t> </w:t>
      </w:r>
      <w:r>
        <w:rPr>
          <w:rFonts w:ascii="Times New Roman" w:hAnsi="Times New Roman" w:cs="Times New Roman" w:eastAsia="Times New Roman" w:hint="default"/>
          <w:spacing w:val="-1"/>
          <w:w w:val="100"/>
        </w:rPr>
        <w:t>38,535.13</w:t>
      </w:r>
      <w:r>
        <w:rPr>
          <w:rFonts w:ascii="Times New Roman" w:hAnsi="Times New Roman" w:cs="Times New Roman" w:eastAsia="Times New Roman" w:hint="default"/>
          <w:spacing w:val="5"/>
          <w:w w:val="100"/>
        </w:rPr>
        <w:t> </w:t>
      </w:r>
      <w:r>
        <w:rPr>
          <w:spacing w:val="-6"/>
          <w:w w:val="100"/>
        </w:rPr>
        <w:t>万元，高于以公允价值计量的净资产账面价值，</w:t>
      </w:r>
      <w:r>
        <w:rPr>
          <w:spacing w:val="-103"/>
          <w:w w:val="100"/>
        </w:rPr>
        <w:t> </w:t>
      </w:r>
      <w:r>
        <w:rPr>
          <w:spacing w:val="-103"/>
          <w:w w:val="100"/>
        </w:rPr>
      </w:r>
      <w:r>
        <w:rPr/>
        <w:t>无需确认商誉减值损失。</w:t>
      </w:r>
    </w:p>
    <w:p>
      <w:pPr>
        <w:pStyle w:val="Heading4"/>
        <w:spacing w:line="240" w:lineRule="auto" w:before="84"/>
        <w:ind w:right="310"/>
        <w:jc w:val="left"/>
        <w:rPr>
          <w:b w:val="0"/>
          <w:bCs w:val="0"/>
        </w:rPr>
      </w:pPr>
      <w:r>
        <w:rPr/>
        <w:t>三、报告期内资金被占用情况及清欠进展情况</w:t>
      </w:r>
      <w:r>
        <w:rPr>
          <w:b w:val="0"/>
          <w:bCs w:val="0"/>
        </w:rPr>
      </w:r>
    </w:p>
    <w:p>
      <w:pPr>
        <w:spacing w:line="338" w:lineRule="auto" w:before="112"/>
        <w:ind w:left="218" w:right="1870" w:firstLine="479"/>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spacing w:line="338" w:lineRule="auto" w:before="25"/>
        <w:ind w:left="218" w:right="31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五、公司对会计政策、会计估计变更或重大会计差错更正原因和影响的分析说明</w:t>
      </w:r>
      <w:r>
        <w:rPr>
          <w:rFonts w:ascii="宋体" w:hAnsi="宋体" w:cs="宋体" w:eastAsia="宋体" w:hint="default"/>
          <w:spacing w:val="-1"/>
          <w:sz w:val="21"/>
          <w:szCs w:val="21"/>
        </w:rPr>
      </w:r>
    </w:p>
    <w:p>
      <w:pPr>
        <w:pStyle w:val="Heading4"/>
        <w:tabs>
          <w:tab w:pos="1057" w:val="left" w:leader="none"/>
        </w:tabs>
        <w:spacing w:line="240" w:lineRule="auto" w:before="25"/>
        <w:ind w:right="310"/>
        <w:jc w:val="left"/>
        <w:rPr>
          <w:b w:val="0"/>
          <w:bCs w:val="0"/>
        </w:rPr>
      </w:pPr>
      <w:r>
        <w:rPr/>
        <w:t>（一）</w:t>
        <w:tab/>
        <w:t>公司对会计政策、会计估计变更原因及影响的分析说明</w:t>
      </w:r>
      <w:r>
        <w:rPr>
          <w:b w:val="0"/>
          <w:bCs w:val="0"/>
        </w:rPr>
      </w:r>
    </w:p>
    <w:p>
      <w:pPr>
        <w:pStyle w:val="BodyText"/>
        <w:tabs>
          <w:tab w:pos="1163" w:val="left" w:leader="none"/>
        </w:tabs>
        <w:spacing w:line="240" w:lineRule="auto" w:before="109"/>
        <w:ind w:right="310"/>
        <w:jc w:val="left"/>
      </w:pPr>
      <w:r>
        <w:rPr/>
        <w:t>√适用</w:t>
        <w:tab/>
        <w:t>□不适用</w:t>
      </w:r>
    </w:p>
    <w:p>
      <w:pPr>
        <w:spacing w:line="240" w:lineRule="auto" w:before="4"/>
        <w:rPr>
          <w:rFonts w:ascii="宋体" w:hAnsi="宋体" w:cs="宋体" w:eastAsia="宋体"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2881"/>
        <w:gridCol w:w="2979"/>
        <w:gridCol w:w="2965"/>
      </w:tblGrid>
      <w:tr>
        <w:trPr>
          <w:trHeight w:val="336"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92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31"/>
              <w:jc w:val="left"/>
              <w:rPr>
                <w:rFonts w:ascii="宋体" w:hAnsi="宋体" w:cs="宋体" w:eastAsia="宋体" w:hint="default"/>
                <w:sz w:val="21"/>
                <w:szCs w:val="21"/>
              </w:rPr>
            </w:pPr>
            <w:r>
              <w:rPr>
                <w:rFonts w:ascii="宋体" w:hAnsi="宋体" w:cs="宋体" w:eastAsia="宋体" w:hint="default"/>
                <w:spacing w:val="-7"/>
                <w:sz w:val="21"/>
                <w:szCs w:val="21"/>
              </w:rPr>
              <w:t>根据财政部制定的《企业会计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准则第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号——持有待售的</w:t>
            </w:r>
            <w:r>
              <w:rPr>
                <w:rFonts w:ascii="宋体" w:hAnsi="宋体" w:cs="宋体" w:eastAsia="宋体" w:hint="default"/>
                <w:w w:val="100"/>
                <w:sz w:val="21"/>
                <w:szCs w:val="21"/>
              </w:rPr>
              <w:t> </w:t>
            </w:r>
            <w:r>
              <w:rPr>
                <w:rFonts w:ascii="宋体" w:hAnsi="宋体" w:cs="宋体" w:eastAsia="宋体" w:hint="default"/>
                <w:spacing w:val="-7"/>
                <w:sz w:val="21"/>
                <w:szCs w:val="21"/>
              </w:rPr>
              <w:t>非流动资产、处置组和终止经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7"/>
                <w:sz w:val="21"/>
                <w:szCs w:val="21"/>
              </w:rPr>
              <w:t>营》的规定，施行日存在的持</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有待售非流动资产、处置组和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7"/>
                <w:sz w:val="21"/>
                <w:szCs w:val="21"/>
              </w:rPr>
              <w:t>终止经营，应当采用未来适用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7"/>
                <w:sz w:val="21"/>
                <w:szCs w:val="21"/>
              </w:rPr>
              <w:t>法处理，准则规范了持有待售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的非流动资产或处置组的分</w:t>
            </w:r>
            <w:r>
              <w:rPr>
                <w:rFonts w:ascii="宋体" w:hAnsi="宋体" w:cs="宋体" w:eastAsia="宋体" w:hint="default"/>
                <w:w w:val="100"/>
                <w:sz w:val="21"/>
                <w:szCs w:val="21"/>
              </w:rPr>
              <w:t> </w:t>
            </w:r>
            <w:r>
              <w:rPr>
                <w:rFonts w:ascii="宋体" w:hAnsi="宋体" w:cs="宋体" w:eastAsia="宋体" w:hint="default"/>
                <w:spacing w:val="-7"/>
                <w:sz w:val="21"/>
                <w:szCs w:val="21"/>
              </w:rPr>
              <w:t>类、计量和列报，以及终止经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营的列报。公司于本准则实施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日无持有待售的非流动资产、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处置组和终止经营项目。</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78" w:lineRule="auto"/>
              <w:ind w:left="103" w:right="101"/>
              <w:jc w:val="both"/>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 </w:t>
            </w:r>
            <w:r>
              <w:rPr>
                <w:rFonts w:ascii="宋体" w:hAnsi="宋体" w:cs="宋体" w:eastAsia="宋体" w:hint="default"/>
                <w:spacing w:val="-5"/>
                <w:sz w:val="21"/>
                <w:szCs w:val="21"/>
              </w:rPr>
              <w:t>日，公司召开第</w:t>
            </w:r>
            <w:r>
              <w:rPr>
                <w:rFonts w:ascii="宋体" w:hAnsi="宋体" w:cs="宋体" w:eastAsia="宋体" w:hint="default"/>
                <w:w w:val="100"/>
                <w:sz w:val="21"/>
                <w:szCs w:val="21"/>
              </w:rPr>
              <w:t> </w:t>
            </w:r>
            <w:r>
              <w:rPr>
                <w:rFonts w:ascii="宋体" w:hAnsi="宋体" w:cs="宋体" w:eastAsia="宋体" w:hint="default"/>
                <w:sz w:val="21"/>
                <w:szCs w:val="21"/>
              </w:rPr>
              <w:t>三届董事会第十五次会议审议</w:t>
            </w:r>
            <w:r>
              <w:rPr>
                <w:rFonts w:ascii="宋体" w:hAnsi="宋体" w:cs="宋体" w:eastAsia="宋体" w:hint="default"/>
                <w:w w:val="100"/>
                <w:sz w:val="21"/>
                <w:szCs w:val="21"/>
              </w:rPr>
              <w:t> </w:t>
            </w:r>
            <w:r>
              <w:rPr>
                <w:rFonts w:ascii="宋体" w:hAnsi="宋体" w:cs="宋体" w:eastAsia="宋体" w:hint="default"/>
                <w:sz w:val="21"/>
                <w:szCs w:val="21"/>
              </w:rPr>
              <w:t>通过《关于新增会计政策的议</w:t>
            </w:r>
            <w:r>
              <w:rPr>
                <w:rFonts w:ascii="宋体" w:hAnsi="宋体" w:cs="宋体" w:eastAsia="宋体" w:hint="default"/>
                <w:w w:val="100"/>
                <w:sz w:val="21"/>
                <w:szCs w:val="21"/>
              </w:rPr>
              <w:t> </w:t>
            </w:r>
            <w:r>
              <w:rPr>
                <w:rFonts w:ascii="宋体" w:hAnsi="宋体" w:cs="宋体" w:eastAsia="宋体" w:hint="default"/>
                <w:sz w:val="21"/>
                <w:szCs w:val="21"/>
              </w:rPr>
              <w:t>案》</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8" w:lineRule="auto"/>
              <w:ind w:left="103" w:right="115"/>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年度财务报表已按</w:t>
            </w:r>
            <w:r>
              <w:rPr>
                <w:rFonts w:ascii="宋体" w:hAnsi="宋体" w:cs="宋体" w:eastAsia="宋体" w:hint="default"/>
                <w:w w:val="100"/>
                <w:sz w:val="21"/>
                <w:szCs w:val="21"/>
              </w:rPr>
              <w:t> </w:t>
            </w:r>
            <w:r>
              <w:rPr>
                <w:rFonts w:ascii="宋体" w:hAnsi="宋体" w:cs="宋体" w:eastAsia="宋体" w:hint="default"/>
                <w:spacing w:val="-2"/>
                <w:sz w:val="21"/>
                <w:szCs w:val="21"/>
              </w:rPr>
              <w:t>调整后的会计政策执行，此项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会计政策变更对公司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2"/>
                <w:sz w:val="21"/>
                <w:szCs w:val="21"/>
              </w:rPr>
              <w:t>度的财务报表无实质性影响，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不会对公司的财务状况、经营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成果和现金流量产生影响。</w:t>
            </w:r>
          </w:p>
        </w:tc>
      </w:tr>
      <w:tr>
        <w:trPr>
          <w:trHeight w:val="336"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根据财政部《关于修订印发一</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日，公司第三</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此项会计政策采用追溯调整</w:t>
            </w:r>
          </w:p>
        </w:tc>
      </w:tr>
    </w:tbl>
    <w:p>
      <w:pPr>
        <w:spacing w:after="0" w:line="270" w:lineRule="exact"/>
        <w:jc w:val="left"/>
        <w:rPr>
          <w:rFonts w:ascii="宋体" w:hAnsi="宋体" w:cs="宋体" w:eastAsia="宋体" w:hint="default"/>
          <w:sz w:val="21"/>
          <w:szCs w:val="21"/>
        </w:rPr>
        <w:sectPr>
          <w:headerReference w:type="default" r:id="rId18"/>
          <w:footerReference w:type="default" r:id="rId19"/>
          <w:pgSz w:w="11910" w:h="16840"/>
          <w:pgMar w:header="855" w:footer="979" w:top="1120" w:bottom="1160" w:left="1580" w:right="960"/>
          <w:pgNumType w:start="36"/>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81"/>
        <w:gridCol w:w="2979"/>
        <w:gridCol w:w="2965"/>
      </w:tblGrid>
      <w:tr>
        <w:trPr>
          <w:trHeight w:val="229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般企业财务报表格式的通知》</w:t>
            </w:r>
          </w:p>
          <w:p>
            <w:pPr>
              <w:pStyle w:val="TableParagraph"/>
              <w:spacing w:line="280" w:lineRule="auto" w:before="49"/>
              <w:ind w:left="103" w:right="-5"/>
              <w:jc w:val="left"/>
              <w:rPr>
                <w:rFonts w:ascii="宋体" w:hAnsi="宋体" w:cs="宋体" w:eastAsia="宋体" w:hint="default"/>
                <w:sz w:val="21"/>
                <w:szCs w:val="21"/>
              </w:rPr>
            </w:pPr>
            <w:r>
              <w:rPr>
                <w:rFonts w:ascii="宋体" w:hAnsi="宋体" w:cs="宋体" w:eastAsia="宋体" w:hint="default"/>
                <w:sz w:val="21"/>
                <w:szCs w:val="21"/>
              </w:rPr>
              <w:t>（财会</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宋体" w:hAnsi="宋体" w:cs="宋体" w:eastAsia="宋体" w:hint="default"/>
                <w:sz w:val="21"/>
                <w:szCs w:val="21"/>
              </w:rPr>
              <w:t>]</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号）的规定，</w:t>
            </w:r>
            <w:r>
              <w:rPr>
                <w:rFonts w:ascii="宋体" w:hAnsi="宋体" w:cs="宋体" w:eastAsia="宋体" w:hint="default"/>
                <w:w w:val="100"/>
                <w:sz w:val="21"/>
                <w:szCs w:val="21"/>
              </w:rPr>
              <w:t> </w:t>
            </w:r>
            <w:r>
              <w:rPr>
                <w:rFonts w:ascii="宋体" w:hAnsi="宋体" w:cs="宋体" w:eastAsia="宋体" w:hint="default"/>
                <w:sz w:val="21"/>
                <w:szCs w:val="21"/>
              </w:rPr>
              <w:t>对公司会计政策和相关会计</w:t>
            </w:r>
            <w:r>
              <w:rPr>
                <w:rFonts w:ascii="宋体" w:hAnsi="宋体" w:cs="宋体" w:eastAsia="宋体" w:hint="default"/>
                <w:w w:val="100"/>
                <w:sz w:val="21"/>
                <w:szCs w:val="21"/>
              </w:rPr>
              <w:t> </w:t>
            </w:r>
            <w:r>
              <w:rPr>
                <w:rFonts w:ascii="宋体" w:hAnsi="宋体" w:cs="宋体" w:eastAsia="宋体" w:hint="default"/>
                <w:sz w:val="21"/>
                <w:szCs w:val="21"/>
              </w:rPr>
              <w:t>科目核算进行适当的变更和</w:t>
            </w:r>
            <w:r>
              <w:rPr>
                <w:rFonts w:ascii="宋体" w:hAnsi="宋体" w:cs="宋体" w:eastAsia="宋体" w:hint="default"/>
                <w:w w:val="100"/>
                <w:sz w:val="21"/>
                <w:szCs w:val="21"/>
              </w:rPr>
              <w:t> </w:t>
            </w:r>
            <w:r>
              <w:rPr>
                <w:rFonts w:ascii="宋体" w:hAnsi="宋体" w:cs="宋体" w:eastAsia="宋体" w:hint="default"/>
                <w:sz w:val="21"/>
                <w:szCs w:val="21"/>
              </w:rPr>
              <w:t>调整。</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3"/>
              <w:jc w:val="left"/>
              <w:rPr>
                <w:rFonts w:ascii="宋体" w:hAnsi="宋体" w:cs="宋体" w:eastAsia="宋体" w:hint="default"/>
                <w:sz w:val="21"/>
                <w:szCs w:val="21"/>
              </w:rPr>
            </w:pPr>
            <w:r>
              <w:rPr>
                <w:rFonts w:ascii="宋体" w:hAnsi="宋体" w:cs="宋体" w:eastAsia="宋体" w:hint="default"/>
                <w:sz w:val="21"/>
                <w:szCs w:val="21"/>
              </w:rPr>
              <w:t>届董事会第十九次会议审议通</w:t>
            </w:r>
            <w:r>
              <w:rPr>
                <w:rFonts w:ascii="宋体" w:hAnsi="宋体" w:cs="宋体" w:eastAsia="宋体" w:hint="default"/>
                <w:w w:val="100"/>
                <w:sz w:val="21"/>
                <w:szCs w:val="21"/>
              </w:rPr>
              <w:t> </w:t>
            </w:r>
            <w:r>
              <w:rPr>
                <w:rFonts w:ascii="宋体" w:hAnsi="宋体" w:cs="宋体" w:eastAsia="宋体" w:hint="default"/>
                <w:spacing w:val="-7"/>
                <w:sz w:val="21"/>
                <w:szCs w:val="21"/>
              </w:rPr>
              <w:t>过《关于会计政策变更的议案》</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103" w:right="98"/>
              <w:jc w:val="left"/>
              <w:rPr>
                <w:rFonts w:ascii="宋体" w:hAnsi="宋体" w:cs="宋体" w:eastAsia="宋体" w:hint="default"/>
                <w:sz w:val="21"/>
                <w:szCs w:val="21"/>
              </w:rPr>
            </w:pPr>
            <w:r>
              <w:rPr>
                <w:rFonts w:ascii="宋体" w:hAnsi="宋体" w:cs="宋体" w:eastAsia="宋体" w:hint="default"/>
                <w:spacing w:val="-23"/>
                <w:w w:val="100"/>
                <w:sz w:val="21"/>
                <w:szCs w:val="21"/>
              </w:rPr>
              <w:t>法，公司</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
                <w:w w:val="100"/>
                <w:sz w:val="21"/>
                <w:szCs w:val="21"/>
              </w:rPr>
              <w:t>2017</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2"/>
                <w:w w:val="100"/>
                <w:sz w:val="21"/>
                <w:szCs w:val="21"/>
              </w:rPr>
              <w:t>年度财务报表已</w:t>
            </w:r>
            <w:r>
              <w:rPr>
                <w:rFonts w:ascii="宋体" w:hAnsi="宋体" w:cs="宋体" w:eastAsia="宋体" w:hint="default"/>
                <w:w w:val="100"/>
                <w:sz w:val="21"/>
                <w:szCs w:val="21"/>
              </w:rPr>
              <w:t> </w:t>
            </w:r>
            <w:r>
              <w:rPr>
                <w:rFonts w:ascii="宋体" w:hAnsi="宋体" w:cs="宋体" w:eastAsia="宋体" w:hint="default"/>
                <w:sz w:val="21"/>
                <w:szCs w:val="21"/>
              </w:rPr>
              <w:t>按调整后的会计政策执行。此</w:t>
            </w:r>
            <w:r>
              <w:rPr>
                <w:rFonts w:ascii="宋体" w:hAnsi="宋体" w:cs="宋体" w:eastAsia="宋体" w:hint="default"/>
                <w:w w:val="100"/>
                <w:sz w:val="21"/>
                <w:szCs w:val="21"/>
              </w:rPr>
              <w:t> </w:t>
            </w:r>
            <w:r>
              <w:rPr>
                <w:rFonts w:ascii="宋体" w:hAnsi="宋体" w:cs="宋体" w:eastAsia="宋体" w:hint="default"/>
                <w:sz w:val="21"/>
                <w:szCs w:val="21"/>
              </w:rPr>
              <w:t>项会计政策变更对公司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年度的财务报表无实质性影</w:t>
            </w:r>
            <w:r>
              <w:rPr>
                <w:rFonts w:ascii="宋体" w:hAnsi="宋体" w:cs="宋体" w:eastAsia="宋体" w:hint="default"/>
                <w:w w:val="100"/>
                <w:sz w:val="21"/>
                <w:szCs w:val="21"/>
              </w:rPr>
              <w:t> </w:t>
            </w:r>
            <w:r>
              <w:rPr>
                <w:rFonts w:ascii="宋体" w:hAnsi="宋体" w:cs="宋体" w:eastAsia="宋体" w:hint="default"/>
                <w:sz w:val="21"/>
                <w:szCs w:val="21"/>
              </w:rPr>
              <w:t>响，不会对公司的财务状况、</w:t>
            </w:r>
            <w:r>
              <w:rPr>
                <w:rFonts w:ascii="宋体" w:hAnsi="宋体" w:cs="宋体" w:eastAsia="宋体" w:hint="default"/>
                <w:w w:val="100"/>
                <w:sz w:val="21"/>
                <w:szCs w:val="21"/>
              </w:rPr>
              <w:t> </w:t>
            </w:r>
            <w:r>
              <w:rPr>
                <w:rFonts w:ascii="宋体" w:hAnsi="宋体" w:cs="宋体" w:eastAsia="宋体" w:hint="default"/>
                <w:sz w:val="21"/>
                <w:szCs w:val="21"/>
              </w:rPr>
              <w:t>经营成果和现金流量产生影</w:t>
            </w:r>
            <w:r>
              <w:rPr>
                <w:rFonts w:ascii="宋体" w:hAnsi="宋体" w:cs="宋体" w:eastAsia="宋体" w:hint="default"/>
                <w:w w:val="100"/>
                <w:sz w:val="21"/>
                <w:szCs w:val="21"/>
              </w:rPr>
              <w:t> </w:t>
            </w:r>
            <w:r>
              <w:rPr>
                <w:rFonts w:ascii="宋体" w:hAnsi="宋体" w:cs="宋体" w:eastAsia="宋体" w:hint="default"/>
                <w:sz w:val="21"/>
                <w:szCs w:val="21"/>
              </w:rPr>
              <w:t>响。</w:t>
            </w:r>
          </w:p>
        </w:tc>
      </w:tr>
      <w:tr>
        <w:trPr>
          <w:trHeight w:val="229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103" w:right="35"/>
              <w:jc w:val="left"/>
              <w:rPr>
                <w:rFonts w:ascii="宋体" w:hAnsi="宋体" w:cs="宋体" w:eastAsia="宋体" w:hint="default"/>
                <w:sz w:val="21"/>
                <w:szCs w:val="21"/>
              </w:rPr>
            </w:pPr>
            <w:r>
              <w:rPr>
                <w:rFonts w:ascii="宋体" w:hAnsi="宋体" w:cs="宋体" w:eastAsia="宋体" w:hint="default"/>
                <w:spacing w:val="-7"/>
                <w:sz w:val="21"/>
                <w:szCs w:val="21"/>
              </w:rPr>
              <w:t>根据财政部（以下简称“财政</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部”）发布了《关于修订印发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年度一般企业财务报表</w:t>
            </w:r>
            <w:r>
              <w:rPr>
                <w:rFonts w:ascii="宋体" w:hAnsi="宋体" w:cs="宋体" w:eastAsia="宋体" w:hint="default"/>
                <w:w w:val="100"/>
                <w:sz w:val="21"/>
                <w:szCs w:val="21"/>
              </w:rPr>
              <w:t> </w:t>
            </w:r>
            <w:r>
              <w:rPr>
                <w:rFonts w:ascii="宋体" w:hAnsi="宋体" w:cs="宋体" w:eastAsia="宋体" w:hint="default"/>
                <w:spacing w:val="-2"/>
                <w:sz w:val="21"/>
                <w:szCs w:val="21"/>
              </w:rPr>
              <w:t>格式的通知》（财会〔</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号），对公司会计政策和</w:t>
            </w:r>
            <w:r>
              <w:rPr>
                <w:rFonts w:ascii="宋体" w:hAnsi="宋体" w:cs="宋体" w:eastAsia="宋体" w:hint="default"/>
                <w:w w:val="100"/>
                <w:sz w:val="21"/>
                <w:szCs w:val="21"/>
              </w:rPr>
              <w:t> </w:t>
            </w:r>
            <w:r>
              <w:rPr>
                <w:rFonts w:ascii="宋体" w:hAnsi="宋体" w:cs="宋体" w:eastAsia="宋体" w:hint="default"/>
                <w:sz w:val="21"/>
                <w:szCs w:val="21"/>
              </w:rPr>
              <w:t>相关会计科目核算进行适当</w:t>
            </w:r>
            <w:r>
              <w:rPr>
                <w:rFonts w:ascii="宋体" w:hAnsi="宋体" w:cs="宋体" w:eastAsia="宋体" w:hint="default"/>
                <w:w w:val="100"/>
                <w:sz w:val="21"/>
                <w:szCs w:val="21"/>
              </w:rPr>
              <w:t> </w:t>
            </w:r>
            <w:r>
              <w:rPr>
                <w:rFonts w:ascii="宋体" w:hAnsi="宋体" w:cs="宋体" w:eastAsia="宋体" w:hint="default"/>
                <w:sz w:val="21"/>
                <w:szCs w:val="21"/>
              </w:rPr>
              <w:t>的变更和调整。</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8" w:lineRule="auto"/>
              <w:ind w:left="103" w:right="-3"/>
              <w:jc w:val="both"/>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日，公司第三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届董事会第二十八次审议通过</w:t>
            </w:r>
            <w:r>
              <w:rPr>
                <w:rFonts w:ascii="宋体" w:hAnsi="宋体" w:cs="宋体" w:eastAsia="宋体" w:hint="default"/>
                <w:w w:val="100"/>
                <w:sz w:val="21"/>
                <w:szCs w:val="21"/>
              </w:rPr>
              <w:t> </w:t>
            </w:r>
            <w:r>
              <w:rPr>
                <w:rFonts w:ascii="宋体" w:hAnsi="宋体" w:cs="宋体" w:eastAsia="宋体" w:hint="default"/>
                <w:spacing w:val="-7"/>
                <w:sz w:val="21"/>
                <w:szCs w:val="21"/>
              </w:rPr>
              <w:t>了《关于会计政策变更的议案》</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68" w:lineRule="auto"/>
              <w:ind w:left="103" w:right="115"/>
              <w:jc w:val="left"/>
              <w:rPr>
                <w:rFonts w:ascii="宋体" w:hAnsi="宋体" w:cs="宋体" w:eastAsia="宋体" w:hint="default"/>
                <w:sz w:val="21"/>
                <w:szCs w:val="21"/>
              </w:rPr>
            </w:pPr>
            <w:r>
              <w:rPr>
                <w:rFonts w:ascii="宋体" w:hAnsi="宋体" w:cs="宋体" w:eastAsia="宋体" w:hint="default"/>
                <w:spacing w:val="-1"/>
                <w:sz w:val="21"/>
                <w:szCs w:val="21"/>
              </w:rPr>
              <w:t>注：公司执行财会〔</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15</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号的主要影响</w:t>
            </w:r>
          </w:p>
        </w:tc>
      </w:tr>
    </w:tbl>
    <w:p>
      <w:pPr>
        <w:pStyle w:val="BodyText"/>
        <w:spacing w:line="285" w:lineRule="exact"/>
        <w:ind w:left="638" w:right="2631"/>
        <w:jc w:val="left"/>
        <w:rPr>
          <w:rFonts w:ascii="宋体" w:hAnsi="宋体" w:cs="宋体" w:eastAsia="宋体" w:hint="default"/>
        </w:rPr>
      </w:pPr>
      <w:r>
        <w:rPr/>
        <w:t>本公司执行财会〔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号的主要影响如下</w:t>
      </w:r>
      <w:r>
        <w:rPr>
          <w:rFonts w:ascii="宋体" w:hAnsi="宋体" w:cs="宋体" w:eastAsia="宋体" w:hint="default"/>
        </w:rPr>
        <w:t>:</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22"/>
        <w:gridCol w:w="1702"/>
        <w:gridCol w:w="1702"/>
        <w:gridCol w:w="1700"/>
        <w:gridCol w:w="1702"/>
      </w:tblGrid>
      <w:tr>
        <w:trPr>
          <w:trHeight w:val="336" w:hRule="exact"/>
        </w:trPr>
        <w:tc>
          <w:tcPr>
            <w:tcW w:w="2122" w:type="dxa"/>
            <w:vMerge w:val="restart"/>
            <w:tcBorders>
              <w:top w:val="single" w:sz="4" w:space="0" w:color="000000"/>
              <w:left w:val="single" w:sz="4" w:space="0" w:color="000000"/>
              <w:right w:val="single" w:sz="4" w:space="0" w:color="000000"/>
            </w:tcBorders>
          </w:tcPr>
          <w:p>
            <w:pPr>
              <w:pStyle w:val="TableParagraph"/>
              <w:spacing w:line="240" w:lineRule="auto" w:before="165"/>
              <w:ind w:left="424" w:right="0"/>
              <w:jc w:val="left"/>
              <w:rPr>
                <w:rFonts w:ascii="宋体" w:hAnsi="宋体" w:cs="宋体" w:eastAsia="宋体" w:hint="default"/>
                <w:sz w:val="21"/>
                <w:szCs w:val="21"/>
              </w:rPr>
            </w:pPr>
            <w:r>
              <w:rPr>
                <w:rFonts w:ascii="宋体" w:hAnsi="宋体" w:cs="宋体" w:eastAsia="宋体" w:hint="default"/>
                <w:sz w:val="21"/>
                <w:szCs w:val="21"/>
              </w:rPr>
              <w:t>会计报表科目</w:t>
            </w:r>
          </w:p>
        </w:tc>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0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本期金额</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0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本期金额</w:t>
            </w:r>
          </w:p>
        </w:tc>
      </w:tr>
      <w:tr>
        <w:trPr>
          <w:trHeight w:val="336" w:hRule="exact"/>
        </w:trPr>
        <w:tc>
          <w:tcPr>
            <w:tcW w:w="2122"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3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3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7"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30"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3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248,911,241.15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278,665,932.12</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应收账款及应收票据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248,911,241.15</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278,665,932.12</w:t>
            </w:r>
          </w:p>
        </w:tc>
      </w:tr>
      <w:tr>
        <w:trPr>
          <w:trHeight w:val="33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183,156.53</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46,355,318.42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46,538,474.95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49,966,485.30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49,966,485.30</w:t>
            </w:r>
          </w:p>
        </w:tc>
      </w:tr>
      <w:tr>
        <w:trPr>
          <w:trHeight w:val="33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116,825,048.45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238,486,982.59</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361,212,717.38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286,895,744.76</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应付账款及应付票据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478,037,765.83</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525,382,727.35</w:t>
            </w:r>
          </w:p>
        </w:tc>
      </w:tr>
      <w:tr>
        <w:trPr>
          <w:trHeight w:val="33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58,187.27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34,355,407.95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34,413,595.22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50,885,054.47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50,885,054.47</w:t>
            </w:r>
          </w:p>
        </w:tc>
      </w:tr>
      <w:tr>
        <w:trPr>
          <w:trHeight w:val="33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180,694,875.56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158,473,036.62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119,221,016.89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102,564</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905.34</w:t>
            </w:r>
          </w:p>
        </w:tc>
      </w:tr>
      <w:tr>
        <w:trPr>
          <w:trHeight w:val="33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22,221,838.94</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16,656,111.55</w:t>
            </w:r>
          </w:p>
        </w:tc>
      </w:tr>
    </w:tbl>
    <w:p>
      <w:pPr>
        <w:spacing w:line="240" w:lineRule="auto" w:before="3"/>
        <w:rPr>
          <w:rFonts w:ascii="宋体" w:hAnsi="宋体" w:cs="宋体" w:eastAsia="宋体" w:hint="default"/>
          <w:sz w:val="26"/>
          <w:szCs w:val="26"/>
        </w:rPr>
      </w:pPr>
    </w:p>
    <w:p>
      <w:pPr>
        <w:pStyle w:val="Heading4"/>
        <w:tabs>
          <w:tab w:pos="1057" w:val="left" w:leader="none"/>
        </w:tabs>
        <w:spacing w:line="240" w:lineRule="auto"/>
        <w:ind w:right="2631"/>
        <w:jc w:val="left"/>
        <w:rPr>
          <w:b w:val="0"/>
          <w:bCs w:val="0"/>
        </w:rPr>
      </w:pPr>
      <w:r>
        <w:rPr/>
        <w:t>（二）</w:t>
        <w:tab/>
        <w:t>公司对重大会计差错更正原因及影响的分析说明</w:t>
      </w:r>
      <w:r>
        <w:rPr>
          <w:b w:val="0"/>
          <w:bCs w:val="0"/>
        </w:rPr>
      </w:r>
    </w:p>
    <w:p>
      <w:pPr>
        <w:pStyle w:val="BodyText"/>
        <w:tabs>
          <w:tab w:pos="1060" w:val="left" w:leader="none"/>
        </w:tabs>
        <w:spacing w:line="240" w:lineRule="auto" w:before="111"/>
        <w:ind w:right="2631"/>
        <w:jc w:val="left"/>
      </w:pPr>
      <w:r>
        <w:rPr>
          <w:spacing w:val="-1"/>
        </w:rPr>
        <w:t>□适用</w:t>
        <w:tab/>
      </w:r>
      <w:r>
        <w:rPr>
          <w:spacing w:val="-2"/>
        </w:rPr>
        <w:t>√不适用</w:t>
      </w:r>
    </w:p>
    <w:p>
      <w:pPr>
        <w:pStyle w:val="Heading4"/>
        <w:tabs>
          <w:tab w:pos="1057" w:val="left" w:leader="none"/>
        </w:tabs>
        <w:spacing w:line="240" w:lineRule="auto" w:before="111"/>
        <w:ind w:right="2631"/>
        <w:jc w:val="left"/>
        <w:rPr>
          <w:b w:val="0"/>
          <w:bCs w:val="0"/>
        </w:rPr>
      </w:pPr>
      <w:r>
        <w:rPr/>
        <w:t>（三）</w:t>
        <w:tab/>
        <w:t>与前任会计师事务所进行的沟通情况</w:t>
      </w:r>
      <w:r>
        <w:rPr>
          <w:b w:val="0"/>
          <w:bCs w:val="0"/>
        </w:rPr>
      </w:r>
    </w:p>
    <w:p>
      <w:pPr>
        <w:pStyle w:val="BodyText"/>
        <w:tabs>
          <w:tab w:pos="1060" w:val="left" w:leader="none"/>
        </w:tabs>
        <w:spacing w:line="240" w:lineRule="auto" w:before="111"/>
        <w:ind w:right="2631"/>
        <w:jc w:val="left"/>
      </w:pPr>
      <w:r>
        <w:rPr>
          <w:spacing w:val="-1"/>
        </w:rPr>
        <w:t>□适用</w:t>
        <w:tab/>
      </w:r>
      <w:r>
        <w:rPr>
          <w:spacing w:val="-2"/>
        </w:rPr>
        <w:t>√不适用</w:t>
      </w:r>
    </w:p>
    <w:p>
      <w:pPr>
        <w:pStyle w:val="Heading4"/>
        <w:tabs>
          <w:tab w:pos="1057" w:val="left" w:leader="none"/>
        </w:tabs>
        <w:spacing w:line="240" w:lineRule="auto" w:before="111"/>
        <w:ind w:right="2631"/>
        <w:jc w:val="left"/>
        <w:rPr>
          <w:b w:val="0"/>
          <w:bCs w:val="0"/>
        </w:rPr>
      </w:pPr>
      <w:r>
        <w:rPr/>
        <w:t>（四）</w:t>
        <w:tab/>
        <w:t>其他说明</w:t>
      </w:r>
      <w:r>
        <w:rPr>
          <w:b w:val="0"/>
          <w:bCs w:val="0"/>
        </w:rPr>
      </w:r>
    </w:p>
    <w:p>
      <w:pPr>
        <w:pStyle w:val="BodyText"/>
        <w:tabs>
          <w:tab w:pos="1163" w:val="left" w:leader="none"/>
        </w:tabs>
        <w:spacing w:line="240" w:lineRule="auto" w:before="111"/>
        <w:ind w:right="2631"/>
        <w:jc w:val="left"/>
      </w:pPr>
      <w:r>
        <w:rPr>
          <w:spacing w:val="-1"/>
        </w:rPr>
        <w:t>□适用</w:t>
        <w:tab/>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4"/>
        <w:spacing w:line="240" w:lineRule="auto"/>
        <w:ind w:right="2631"/>
        <w:jc w:val="left"/>
        <w:rPr>
          <w:b w:val="0"/>
          <w:bCs w:val="0"/>
        </w:rPr>
      </w:pPr>
      <w:r>
        <w:rPr/>
        <w:t>六、聘任、解聘会计师事务所情况</w:t>
      </w:r>
      <w:r>
        <w:rPr>
          <w:b w:val="0"/>
          <w:bCs w:val="0"/>
        </w:rPr>
      </w:r>
    </w:p>
    <w:p>
      <w:pPr>
        <w:pStyle w:val="BodyText"/>
        <w:tabs>
          <w:tab w:pos="1051" w:val="left" w:leader="none"/>
        </w:tabs>
        <w:spacing w:line="240" w:lineRule="auto" w:before="111"/>
        <w:ind w:left="0" w:right="130"/>
        <w:jc w:val="right"/>
      </w:pPr>
      <w:r>
        <w:rPr>
          <w:spacing w:val="-1"/>
        </w:rPr>
        <w:t>单位：元</w:t>
        <w:tab/>
      </w:r>
      <w:r>
        <w:rPr>
          <w:spacing w:val="-2"/>
        </w:rPr>
        <w:t>币种：人民币</w:t>
      </w:r>
    </w:p>
    <w:p>
      <w:pPr>
        <w:spacing w:after="0" w:line="240" w:lineRule="auto"/>
        <w:jc w:val="right"/>
        <w:sectPr>
          <w:pgSz w:w="11910" w:h="16840"/>
          <w:pgMar w:header="855" w:footer="979" w:top="1120" w:bottom="1160" w:left="15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2977"/>
        <w:gridCol w:w="2696"/>
        <w:gridCol w:w="3826"/>
      </w:tblGrid>
      <w:tr>
        <w:trPr>
          <w:trHeight w:val="336" w:hRule="exact"/>
        </w:trPr>
        <w:tc>
          <w:tcPr>
            <w:tcW w:w="2977"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3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696"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hAnsi="宋体" w:cs="宋体" w:eastAsia="宋体" w:hint="default"/>
                <w:spacing w:val="-5"/>
                <w:sz w:val="21"/>
                <w:szCs w:val="21"/>
              </w:rPr>
              <w:t>福建华兴会计师事务所（特殊普通合伙）</w:t>
            </w:r>
          </w:p>
        </w:tc>
      </w:tr>
      <w:tr>
        <w:trPr>
          <w:trHeight w:val="33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696"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800,000</w:t>
            </w:r>
          </w:p>
        </w:tc>
      </w:tr>
      <w:tr>
        <w:trPr>
          <w:trHeight w:val="33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696"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8</w:t>
            </w:r>
          </w:p>
        </w:tc>
      </w:tr>
    </w:tbl>
    <w:p>
      <w:pPr>
        <w:spacing w:line="240" w:lineRule="auto" w:before="10"/>
        <w:rPr>
          <w:rFonts w:ascii="宋体" w:hAnsi="宋体" w:cs="宋体" w:eastAsia="宋体" w:hint="default"/>
          <w:sz w:val="24"/>
          <w:szCs w:val="24"/>
        </w:rPr>
      </w:pPr>
    </w:p>
    <w:tbl>
      <w:tblPr>
        <w:tblW w:w="0" w:type="auto"/>
        <w:jc w:val="left"/>
        <w:tblInd w:w="405" w:type="dxa"/>
        <w:tblLayout w:type="fixed"/>
        <w:tblCellMar>
          <w:top w:w="0" w:type="dxa"/>
          <w:left w:w="0" w:type="dxa"/>
          <w:bottom w:w="0" w:type="dxa"/>
          <w:right w:w="0" w:type="dxa"/>
        </w:tblCellMar>
        <w:tblLook w:val="01E0"/>
      </w:tblPr>
      <w:tblGrid>
        <w:gridCol w:w="2905"/>
        <w:gridCol w:w="4068"/>
        <w:gridCol w:w="2077"/>
      </w:tblGrid>
      <w:tr>
        <w:trPr>
          <w:trHeight w:val="336"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338"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69"/>
              <w:jc w:val="center"/>
              <w:rPr>
                <w:rFonts w:ascii="宋体" w:hAnsi="宋体" w:cs="宋体" w:eastAsia="宋体" w:hint="default"/>
                <w:sz w:val="21"/>
                <w:szCs w:val="21"/>
              </w:rPr>
            </w:pPr>
            <w:r>
              <w:rPr>
                <w:rFonts w:ascii="宋体" w:hAnsi="宋体" w:cs="宋体" w:eastAsia="宋体" w:hint="default"/>
                <w:sz w:val="21"/>
                <w:szCs w:val="21"/>
              </w:rPr>
              <w:t>福建华兴会计师事务所（特殊普通合伙）</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282" w:right="0"/>
              <w:jc w:val="left"/>
              <w:rPr>
                <w:rFonts w:ascii="Times New Roman" w:hAnsi="Times New Roman" w:cs="Times New Roman" w:eastAsia="Times New Roman" w:hint="default"/>
                <w:sz w:val="21"/>
                <w:szCs w:val="21"/>
              </w:rPr>
            </w:pPr>
            <w:r>
              <w:rPr>
                <w:rFonts w:ascii="Times New Roman"/>
                <w:sz w:val="21"/>
              </w:rPr>
              <w:t>400,000</w:t>
            </w:r>
          </w:p>
        </w:tc>
      </w:tr>
    </w:tbl>
    <w:p>
      <w:pPr>
        <w:spacing w:line="240" w:lineRule="auto" w:before="8"/>
        <w:rPr>
          <w:rFonts w:ascii="宋体" w:hAnsi="宋体" w:cs="宋体" w:eastAsia="宋体" w:hint="default"/>
          <w:sz w:val="21"/>
          <w:szCs w:val="21"/>
        </w:rPr>
      </w:pPr>
    </w:p>
    <w:p>
      <w:pPr>
        <w:pStyle w:val="BodyText"/>
        <w:spacing w:line="240" w:lineRule="auto" w:before="36"/>
        <w:ind w:left="518" w:right="0"/>
        <w:jc w:val="left"/>
      </w:pPr>
      <w:r>
        <w:rPr/>
        <w:t>聘任、解聘会计师事务所的情况说明</w:t>
      </w:r>
    </w:p>
    <w:p>
      <w:pPr>
        <w:pStyle w:val="BodyText"/>
        <w:spacing w:line="240" w:lineRule="auto" w:before="51"/>
        <w:ind w:left="518" w:right="0"/>
        <w:jc w:val="left"/>
      </w:pPr>
      <w:r>
        <w:rPr/>
        <w:t>√适用</w:t>
      </w:r>
      <w:r>
        <w:rPr>
          <w:spacing w:val="-1"/>
        </w:rPr>
        <w:t> </w:t>
      </w:r>
      <w:r>
        <w:rPr/>
        <w:t>□不适用</w:t>
      </w:r>
    </w:p>
    <w:p>
      <w:pPr>
        <w:pStyle w:val="BodyText"/>
        <w:spacing w:line="240" w:lineRule="auto" w:before="100"/>
        <w:ind w:left="938" w:right="0"/>
        <w:jc w:val="left"/>
      </w:pPr>
      <w:r>
        <w:rPr/>
        <w:t>经公司 </w:t>
      </w:r>
      <w:r>
        <w:rPr>
          <w:rFonts w:ascii="Times New Roman" w:hAnsi="Times New Roman" w:cs="Times New Roman" w:eastAsia="Times New Roman" w:hint="default"/>
        </w:rPr>
        <w:t>2017</w:t>
      </w:r>
      <w:r>
        <w:rPr>
          <w:rFonts w:ascii="Times New Roman" w:hAnsi="Times New Roman" w:cs="Times New Roman" w:eastAsia="Times New Roman" w:hint="default"/>
          <w:spacing w:val="21"/>
        </w:rPr>
        <w:t> </w:t>
      </w:r>
      <w:r>
        <w:rPr>
          <w:spacing w:val="-5"/>
        </w:rPr>
        <w:t>年年度股东大会审议批准，聘请福建华兴会计师事务所（特殊普通合伙）为公司</w:t>
      </w:r>
    </w:p>
    <w:p>
      <w:pPr>
        <w:pStyle w:val="BodyText"/>
        <w:spacing w:line="297" w:lineRule="auto" w:before="69"/>
        <w:ind w:left="518" w:right="0"/>
        <w:jc w:val="left"/>
      </w:pPr>
      <w:r>
        <w:rPr>
          <w:rFonts w:ascii="Times New Roman" w:hAnsi="Times New Roman" w:cs="Times New Roman" w:eastAsia="Times New Roman" w:hint="default"/>
        </w:rPr>
        <w:t>2018 </w:t>
      </w:r>
      <w:r>
        <w:rPr>
          <w:spacing w:val="-2"/>
        </w:rPr>
        <w:t>年度财务报告与内部控制审计机构，负责本公司年度财务报告及相关专项审计工作。</w:t>
      </w:r>
      <w:r>
        <w:rPr>
          <w:spacing w:val="-91"/>
        </w:rPr>
        <w:t> </w:t>
      </w:r>
      <w:r>
        <w:rPr>
          <w:spacing w:val="-91"/>
        </w:rPr>
      </w:r>
      <w:r>
        <w:rPr/>
        <w:t>审计期间改聘会计师事务所的情况说明</w:t>
      </w:r>
    </w:p>
    <w:p>
      <w:pPr>
        <w:pStyle w:val="BodyText"/>
        <w:tabs>
          <w:tab w:pos="1360" w:val="left" w:leader="none"/>
        </w:tabs>
        <w:spacing w:line="262" w:lineRule="exact"/>
        <w:ind w:left="518" w:right="0"/>
        <w:jc w:val="left"/>
      </w:pPr>
      <w:r>
        <w:rPr>
          <w:spacing w:val="-1"/>
        </w:rPr>
        <w:t>□适用</w:t>
        <w:tab/>
      </w:r>
      <w:r>
        <w:rPr>
          <w:spacing w:val="-2"/>
        </w:rPr>
        <w:t>√不适用</w:t>
      </w:r>
    </w:p>
    <w:p>
      <w:pPr>
        <w:pStyle w:val="Heading4"/>
        <w:tabs>
          <w:tab w:pos="1357" w:val="left" w:leader="none"/>
        </w:tabs>
        <w:spacing w:line="338" w:lineRule="auto" w:before="111"/>
        <w:ind w:left="518" w:right="648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360" w:val="left" w:leader="none"/>
        </w:tabs>
        <w:spacing w:line="240" w:lineRule="auto" w:before="25"/>
        <w:ind w:left="518" w:right="0"/>
        <w:jc w:val="left"/>
      </w:pPr>
      <w:r>
        <w:rPr>
          <w:spacing w:val="-1"/>
        </w:rPr>
        <w:t>□适用</w:t>
        <w:tab/>
      </w:r>
      <w:r>
        <w:rPr>
          <w:spacing w:val="-2"/>
        </w:rPr>
        <w:t>√不适用</w:t>
      </w:r>
    </w:p>
    <w:p>
      <w:pPr>
        <w:pStyle w:val="Heading4"/>
        <w:tabs>
          <w:tab w:pos="1357" w:val="left" w:leader="none"/>
        </w:tabs>
        <w:spacing w:line="240" w:lineRule="auto" w:before="109"/>
        <w:ind w:left="51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spacing w:line="338" w:lineRule="auto" w:before="111"/>
        <w:ind w:left="518" w:right="627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八、面临终止上市的情况和原因</w:t>
      </w:r>
      <w:r>
        <w:rPr>
          <w:rFonts w:ascii="宋体" w:hAnsi="宋体" w:cs="宋体" w:eastAsia="宋体" w:hint="default"/>
          <w:spacing w:val="-1"/>
          <w:sz w:val="21"/>
          <w:szCs w:val="21"/>
        </w:rPr>
      </w:r>
    </w:p>
    <w:p>
      <w:pPr>
        <w:tabs>
          <w:tab w:pos="1360" w:val="left" w:leader="none"/>
        </w:tabs>
        <w:spacing w:line="338" w:lineRule="auto" w:before="25"/>
        <w:ind w:left="518" w:right="7114"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九、破产重整相关事项</w:t>
      </w:r>
      <w:r>
        <w:rPr>
          <w:rFonts w:ascii="宋体" w:hAnsi="宋体" w:cs="宋体" w:eastAsia="宋体" w:hint="default"/>
          <w:sz w:val="21"/>
          <w:szCs w:val="21"/>
        </w:rPr>
      </w:r>
    </w:p>
    <w:p>
      <w:pPr>
        <w:spacing w:line="336" w:lineRule="auto" w:before="25"/>
        <w:ind w:left="518" w:right="68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十、重大诉讼、仲裁事项</w:t>
      </w:r>
      <w:r>
        <w:rPr>
          <w:rFonts w:ascii="宋体" w:hAnsi="宋体" w:cs="宋体" w:eastAsia="宋体" w:hint="default"/>
          <w:sz w:val="21"/>
          <w:szCs w:val="21"/>
        </w:rPr>
      </w:r>
    </w:p>
    <w:p>
      <w:pPr>
        <w:pStyle w:val="Heading3"/>
        <w:spacing w:line="240" w:lineRule="auto" w:before="2"/>
        <w:ind w:left="518" w:right="0"/>
        <w:jc w:val="left"/>
      </w:pPr>
      <w:r>
        <w:rPr/>
        <w:t>□本年度公司有重大诉讼、仲裁事项</w:t>
      </w:r>
      <w:r>
        <w:rPr>
          <w:spacing w:val="-1"/>
        </w:rPr>
        <w:t> </w:t>
      </w:r>
      <w:r>
        <w:rPr/>
        <w:t>√本年度公司无重大诉讼、仲裁事项</w:t>
      </w:r>
    </w:p>
    <w:p>
      <w:pPr>
        <w:pStyle w:val="Heading4"/>
        <w:spacing w:line="240" w:lineRule="auto" w:before="97"/>
        <w:ind w:left="5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84"/>
        <w:ind w:left="518" w:right="0"/>
        <w:jc w:val="left"/>
      </w:pPr>
      <w:r>
        <w:rPr/>
        <w:t>□适用</w:t>
      </w:r>
      <w:r>
        <w:rPr>
          <w:spacing w:val="-1"/>
        </w:rPr>
        <w:t> </w:t>
      </w:r>
      <w:r>
        <w:rPr/>
        <w:t>√不适用</w:t>
      </w:r>
    </w:p>
    <w:p>
      <w:pPr>
        <w:pStyle w:val="Heading4"/>
        <w:spacing w:line="240" w:lineRule="auto" w:before="112"/>
        <w:ind w:left="51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84"/>
        <w:ind w:left="518" w:right="0"/>
        <w:jc w:val="left"/>
      </w:pPr>
      <w:r>
        <w:rPr/>
        <w:t>□适用</w:t>
      </w:r>
      <w:r>
        <w:rPr>
          <w:spacing w:val="-1"/>
        </w:rPr>
        <w:t> </w:t>
      </w:r>
      <w:r>
        <w:rPr/>
        <w:t>√不适用</w:t>
      </w:r>
    </w:p>
    <w:p>
      <w:pPr>
        <w:pStyle w:val="Heading4"/>
        <w:spacing w:line="240" w:lineRule="auto" w:before="109"/>
        <w:ind w:left="5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Heading4"/>
        <w:tabs>
          <w:tab w:pos="1360" w:val="left" w:leader="none"/>
        </w:tabs>
        <w:spacing w:line="338" w:lineRule="auto" w:before="84"/>
        <w:ind w:left="518" w:right="386"/>
        <w:jc w:val="left"/>
        <w:rPr>
          <w:b w:val="0"/>
          <w:bCs w:val="0"/>
        </w:rPr>
      </w:pPr>
      <w:r>
        <w:rPr>
          <w:rFonts w:ascii="宋体" w:hAnsi="宋体" w:cs="宋体" w:eastAsia="宋体" w:hint="default"/>
          <w:b w:val="0"/>
          <w:bCs w:val="0"/>
          <w:spacing w:val="-1"/>
        </w:rPr>
        <w:t>□适用</w:t>
        <w:tab/>
      </w:r>
      <w:r>
        <w:rPr>
          <w:rFonts w:ascii="宋体" w:hAnsi="宋体" w:cs="宋体" w:eastAsia="宋体" w:hint="default"/>
          <w:b w:val="0"/>
          <w:bCs w:val="0"/>
          <w:spacing w:val="-2"/>
        </w:rPr>
        <w:t>√不适用</w:t>
      </w:r>
      <w:r>
        <w:rPr>
          <w:rFonts w:ascii="宋体" w:hAnsi="宋体" w:cs="宋体" w:eastAsia="宋体" w:hint="default"/>
          <w:b w:val="0"/>
          <w:bCs w:val="0"/>
          <w:spacing w:val="-99"/>
        </w:rPr>
        <w:t> </w:t>
      </w:r>
      <w:r>
        <w:rPr>
          <w:rFonts w:ascii="宋体" w:hAnsi="宋体" w:cs="宋体" w:eastAsia="宋体" w:hint="default"/>
          <w:b w:val="0"/>
          <w:bCs w:val="0"/>
          <w:spacing w:val="-99"/>
        </w:rPr>
      </w:r>
      <w:r>
        <w:rPr>
          <w:spacing w:val="-1"/>
        </w:rPr>
        <w:t>十一、上市公司及其董事、监事、高级管理人员、控股股东、实际控制人、收购人处罚及整改情</w:t>
      </w:r>
      <w:r>
        <w:rPr>
          <w:b w:val="0"/>
          <w:bCs w:val="0"/>
          <w:spacing w:val="-1"/>
        </w:rPr>
      </w:r>
    </w:p>
    <w:p>
      <w:pPr>
        <w:pStyle w:val="Heading4"/>
        <w:spacing w:line="240" w:lineRule="exact" w:before="0"/>
        <w:ind w:left="938" w:right="0"/>
        <w:jc w:val="left"/>
        <w:rPr>
          <w:b w:val="0"/>
          <w:bCs w:val="0"/>
        </w:rPr>
      </w:pPr>
      <w:r>
        <w:rPr>
          <w:w w:val="100"/>
        </w:rPr>
        <w:t>况</w:t>
      </w:r>
      <w:r>
        <w:rPr>
          <w:b w:val="0"/>
          <w:bCs w:val="0"/>
          <w:w w:val="100"/>
        </w:rPr>
      </w:r>
    </w:p>
    <w:p>
      <w:pPr>
        <w:pStyle w:val="BodyText"/>
        <w:spacing w:line="240" w:lineRule="auto" w:before="111"/>
        <w:ind w:left="518" w:right="0"/>
        <w:jc w:val="left"/>
      </w:pPr>
      <w:r>
        <w:rPr/>
        <w:t>√适用</w:t>
      </w:r>
      <w:r>
        <w:rPr>
          <w:spacing w:val="-1"/>
        </w:rPr>
        <w:t> </w:t>
      </w:r>
      <w:r>
        <w:rPr/>
        <w:t>□不适用</w:t>
      </w:r>
    </w:p>
    <w:p>
      <w:pPr>
        <w:pStyle w:val="BodyText"/>
        <w:spacing w:line="302" w:lineRule="auto" w:before="99"/>
        <w:ind w:left="518" w:right="287" w:firstLine="47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spacing w:val="-5"/>
        </w:rPr>
        <w:t>日，公司原董事、副总经理张鹏程先生因违规减持公司股票，分别收到中国证</w:t>
      </w:r>
      <w:r>
        <w:rPr>
          <w:w w:val="100"/>
        </w:rPr>
        <w:t> </w:t>
      </w:r>
      <w:r>
        <w:rPr/>
        <w:t>券监督管理委员会福建监管局的行政监管措施决定书《中国证券监督管理委员会福建监管局行政</w:t>
      </w:r>
      <w:r>
        <w:rPr>
          <w:spacing w:val="-97"/>
        </w:rPr>
        <w:t> </w:t>
      </w:r>
      <w:r>
        <w:rPr>
          <w:spacing w:val="-97"/>
        </w:rPr>
      </w:r>
      <w:r>
        <w:rPr/>
        <w:t>处罚决定书〔</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5 </w:t>
      </w:r>
      <w:r>
        <w:rPr/>
        <w:t>号（张鹏程）》及上海证券交易所出具的《上海证券交易所纪律处分决定</w:t>
      </w:r>
      <w:r>
        <w:rPr>
          <w:spacing w:val="-99"/>
        </w:rPr>
        <w:t> </w:t>
      </w:r>
      <w:r>
        <w:rPr>
          <w:spacing w:val="-99"/>
        </w:rPr>
      </w:r>
      <w:r>
        <w:rPr>
          <w:spacing w:val="-18"/>
          <w:w w:val="100"/>
        </w:rPr>
        <w:t>书》。具体内容详见公司于</w:t>
      </w:r>
      <w:r>
        <w:rPr>
          <w:w w:val="100"/>
        </w:rPr>
        <w:t> </w:t>
      </w:r>
      <w:r>
        <w:rPr>
          <w:rFonts w:ascii="Times New Roman" w:hAnsi="Times New Roman" w:cs="Times New Roman" w:eastAsia="Times New Roman" w:hint="default"/>
          <w:w w:val="100"/>
        </w:rPr>
        <w:t>2018 </w:t>
      </w:r>
      <w:r>
        <w:rPr>
          <w:w w:val="100"/>
        </w:rPr>
        <w:t>年 </w:t>
      </w:r>
      <w:r>
        <w:rPr>
          <w:rFonts w:ascii="Times New Roman" w:hAnsi="Times New Roman" w:cs="Times New Roman" w:eastAsia="Times New Roman" w:hint="default"/>
          <w:w w:val="100"/>
        </w:rPr>
        <w:t>3 </w:t>
      </w:r>
      <w:r>
        <w:rPr>
          <w:w w:val="100"/>
        </w:rPr>
        <w:t>月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2"/>
          <w:w w:val="100"/>
        </w:rPr>
        <w:t> </w:t>
      </w:r>
      <w:r>
        <w:rPr>
          <w:spacing w:val="-4"/>
          <w:w w:val="100"/>
        </w:rPr>
        <w:t>日披露于上海证券交易所网站（</w:t>
      </w:r>
      <w:hyperlink r:id="rId11">
        <w:r>
          <w:rPr>
            <w:rFonts w:ascii="Times New Roman" w:hAnsi="Times New Roman" w:cs="Times New Roman" w:eastAsia="Times New Roman" w:hint="default"/>
            <w:spacing w:val="-4"/>
            <w:w w:val="100"/>
          </w:rPr>
          <w:t>http://www.sse.com.cn</w:t>
        </w:r>
      </w:hyperlink>
      <w:r>
        <w:rPr>
          <w:spacing w:val="-4"/>
          <w:w w:val="100"/>
        </w:rPr>
        <w:t>）</w:t>
      </w:r>
    </w:p>
    <w:p>
      <w:pPr>
        <w:spacing w:after="0" w:line="302" w:lineRule="auto"/>
        <w:jc w:val="both"/>
        <w:sectPr>
          <w:pgSz w:w="11910" w:h="16840"/>
          <w:pgMar w:header="855" w:footer="979" w:top="1120" w:bottom="1160" w:left="1280" w:right="880"/>
        </w:sectPr>
      </w:pPr>
    </w:p>
    <w:p>
      <w:pPr>
        <w:spacing w:line="240" w:lineRule="auto" w:before="0"/>
        <w:rPr>
          <w:rFonts w:ascii="宋体" w:hAnsi="宋体" w:cs="宋体" w:eastAsia="宋体" w:hint="default"/>
          <w:sz w:val="20"/>
          <w:szCs w:val="20"/>
        </w:rPr>
      </w:pPr>
    </w:p>
    <w:p>
      <w:pPr>
        <w:spacing w:line="312" w:lineRule="auto" w:before="180"/>
        <w:ind w:left="218" w:right="126" w:firstLine="0"/>
        <w:jc w:val="left"/>
        <w:rPr>
          <w:rFonts w:ascii="宋体" w:hAnsi="宋体" w:cs="宋体" w:eastAsia="宋体" w:hint="default"/>
          <w:sz w:val="21"/>
          <w:szCs w:val="21"/>
        </w:rPr>
      </w:pPr>
      <w:r>
        <w:rPr>
          <w:rFonts w:ascii="宋体" w:hAnsi="宋体" w:cs="宋体" w:eastAsia="宋体" w:hint="default"/>
          <w:sz w:val="21"/>
          <w:szCs w:val="21"/>
        </w:rPr>
        <w:t>的《关于公司董事违规减持公司股票的公告》（公告编号：</w:t>
      </w:r>
      <w:r>
        <w:rPr>
          <w:rFonts w:ascii="Times New Roman" w:hAnsi="Times New Roman" w:cs="Times New Roman" w:eastAsia="Times New Roman" w:hint="default"/>
          <w:sz w:val="21"/>
          <w:szCs w:val="21"/>
        </w:rPr>
        <w:t>2018-031</w:t>
      </w:r>
      <w:r>
        <w:rPr>
          <w:rFonts w:ascii="宋体" w:hAnsi="宋体" w:cs="宋体" w:eastAsia="宋体" w:hint="default"/>
          <w:sz w:val="21"/>
          <w:szCs w:val="21"/>
        </w:rPr>
        <w:t>）。</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日，张</w:t>
      </w:r>
      <w:r>
        <w:rPr>
          <w:rFonts w:ascii="宋体" w:hAnsi="宋体" w:cs="宋体" w:eastAsia="宋体" w:hint="default"/>
          <w:spacing w:val="-3"/>
          <w:w w:val="100"/>
          <w:sz w:val="21"/>
          <w:szCs w:val="21"/>
        </w:rPr>
        <w:t> </w:t>
      </w:r>
      <w:r>
        <w:rPr>
          <w:rFonts w:ascii="宋体" w:hAnsi="宋体" w:cs="宋体" w:eastAsia="宋体" w:hint="default"/>
          <w:sz w:val="21"/>
          <w:szCs w:val="21"/>
        </w:rPr>
        <w:t>鹏程先生已向公司董事会申请辞去董事、副总经理职务。</w:t>
      </w:r>
      <w:r>
        <w:rPr>
          <w:rFonts w:ascii="宋体" w:hAnsi="宋体" w:cs="宋体" w:eastAsia="宋体" w:hint="default"/>
          <w:w w:val="100"/>
          <w:sz w:val="21"/>
          <w:szCs w:val="21"/>
        </w:rPr>
        <w:t> </w:t>
      </w:r>
      <w:r>
        <w:rPr>
          <w:rFonts w:ascii="宋体" w:hAnsi="宋体" w:cs="宋体" w:eastAsia="宋体" w:hint="default"/>
          <w:b/>
          <w:bCs/>
          <w:sz w:val="21"/>
          <w:szCs w:val="21"/>
        </w:rPr>
        <w:t>十二、报告期内公司及其控股股东、实际控制人诚信状况的说明</w:t>
      </w:r>
      <w:r>
        <w:rPr>
          <w:rFonts w:ascii="宋体" w:hAnsi="宋体" w:cs="宋体" w:eastAsia="宋体" w:hint="default"/>
          <w:sz w:val="21"/>
          <w:szCs w:val="21"/>
        </w:rPr>
      </w:r>
    </w:p>
    <w:p>
      <w:pPr>
        <w:pStyle w:val="BodyText"/>
        <w:tabs>
          <w:tab w:pos="1060" w:val="left" w:leader="none"/>
        </w:tabs>
        <w:spacing w:line="326" w:lineRule="auto" w:before="48"/>
        <w:ind w:left="698" w:right="135" w:hanging="480"/>
        <w:jc w:val="left"/>
      </w:pPr>
      <w:r>
        <w:rPr>
          <w:spacing w:val="-1"/>
        </w:rPr>
        <w:t>√适用</w:t>
        <w:tab/>
      </w:r>
      <w:r>
        <w:rPr>
          <w:spacing w:val="-2"/>
        </w:rPr>
        <w:t>□不适用</w:t>
      </w:r>
      <w:r>
        <w:rPr>
          <w:spacing w:val="-99"/>
        </w:rPr>
        <w:t> </w:t>
      </w:r>
      <w:r>
        <w:rPr>
          <w:spacing w:val="-99"/>
        </w:rPr>
      </w:r>
      <w:r>
        <w:rPr>
          <w:spacing w:val="-3"/>
        </w:rPr>
        <w:t>报告期内，公司及控股股东、实际控制人不存在未履行法院生效判决、所负数额较大的债务</w:t>
      </w:r>
    </w:p>
    <w:p>
      <w:pPr>
        <w:pStyle w:val="Heading4"/>
        <w:spacing w:line="331" w:lineRule="auto" w:before="9"/>
        <w:ind w:right="1606"/>
        <w:jc w:val="left"/>
        <w:rPr>
          <w:b w:val="0"/>
          <w:bCs w:val="0"/>
        </w:rPr>
      </w:pPr>
      <w:r>
        <w:rPr>
          <w:rFonts w:ascii="宋体" w:hAnsi="宋体" w:cs="宋体" w:eastAsia="宋体" w:hint="default"/>
          <w:b w:val="0"/>
          <w:bCs w:val="0"/>
        </w:rPr>
        <w:t>到期未清偿等情况。</w:t>
      </w:r>
      <w:r>
        <w:rPr>
          <w:rFonts w:ascii="宋体" w:hAnsi="宋体" w:cs="宋体" w:eastAsia="宋体" w:hint="default"/>
          <w:b w:val="0"/>
          <w:bCs w:val="0"/>
          <w:w w:val="100"/>
        </w:rPr>
        <w:t> </w:t>
      </w: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31"/>
        <w:ind w:right="2631"/>
        <w:jc w:val="left"/>
      </w:pPr>
      <w:r>
        <w:rPr/>
        <w:t>√适用</w:t>
      </w:r>
      <w:r>
        <w:rPr>
          <w:spacing w:val="-1"/>
        </w:rPr>
        <w:t> </w:t>
      </w:r>
      <w:r>
        <w:rPr/>
        <w:t>□不适用</w:t>
      </w:r>
    </w:p>
    <w:p>
      <w:pPr>
        <w:spacing w:line="240" w:lineRule="auto" w:before="5"/>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3092"/>
        <w:gridCol w:w="5655"/>
      </w:tblGrid>
      <w:tr>
        <w:trPr>
          <w:trHeight w:val="336"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565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986"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103" w:right="98"/>
              <w:jc w:val="both"/>
              <w:rPr>
                <w:rFonts w:ascii="宋体" w:hAnsi="宋体" w:cs="宋体" w:eastAsia="宋体" w:hint="default"/>
                <w:sz w:val="21"/>
                <w:szCs w:val="21"/>
              </w:rPr>
            </w:pPr>
            <w:r>
              <w:rPr>
                <w:rFonts w:ascii="宋体" w:hAnsi="宋体" w:cs="宋体" w:eastAsia="宋体" w:hint="default"/>
                <w:spacing w:val="8"/>
                <w:sz w:val="21"/>
                <w:szCs w:val="21"/>
              </w:rPr>
              <w:t>公司第二届董事会第二十七次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会议审议通过了实施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年限</w:t>
            </w:r>
            <w:r>
              <w:rPr>
                <w:rFonts w:ascii="宋体" w:hAnsi="宋体" w:cs="宋体" w:eastAsia="宋体" w:hint="default"/>
                <w:w w:val="100"/>
                <w:sz w:val="21"/>
                <w:szCs w:val="21"/>
              </w:rPr>
              <w:t> </w:t>
            </w:r>
            <w:r>
              <w:rPr>
                <w:rFonts w:ascii="宋体" w:hAnsi="宋体" w:cs="宋体" w:eastAsia="宋体" w:hint="default"/>
                <w:sz w:val="21"/>
                <w:szCs w:val="21"/>
              </w:rPr>
              <w:t>制性股票激励计划的有关事项</w:t>
            </w:r>
          </w:p>
        </w:tc>
        <w:tc>
          <w:tcPr>
            <w:tcW w:w="5655"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72"/>
                <w:sz w:val="21"/>
                <w:szCs w:val="21"/>
              </w:rPr>
              <w:t> </w:t>
            </w:r>
            <w:r>
              <w:rPr>
                <w:rFonts w:ascii="宋体" w:hAnsi="宋体" w:cs="宋体" w:eastAsia="宋体" w:hint="default"/>
                <w:sz w:val="21"/>
                <w:szCs w:val="21"/>
              </w:rPr>
              <w:t>见</w:t>
            </w:r>
            <w:r>
              <w:rPr>
                <w:rFonts w:ascii="宋体" w:hAnsi="宋体" w:cs="宋体" w:eastAsia="宋体" w:hint="default"/>
                <w:spacing w:val="-72"/>
                <w:sz w:val="21"/>
                <w:szCs w:val="21"/>
              </w:rPr>
              <w:t> </w:t>
            </w:r>
            <w:r>
              <w:rPr>
                <w:rFonts w:ascii="宋体" w:hAnsi="宋体" w:cs="宋体" w:eastAsia="宋体" w:hint="default"/>
                <w:sz w:val="21"/>
                <w:szCs w:val="21"/>
              </w:rPr>
              <w:t>公</w:t>
            </w:r>
            <w:r>
              <w:rPr>
                <w:rFonts w:ascii="宋体" w:hAnsi="宋体" w:cs="宋体" w:eastAsia="宋体" w:hint="default"/>
                <w:spacing w:val="-74"/>
                <w:sz w:val="21"/>
                <w:szCs w:val="21"/>
              </w:rPr>
              <w:t> </w:t>
            </w:r>
            <w:r>
              <w:rPr>
                <w:rFonts w:ascii="宋体" w:hAnsi="宋体" w:cs="宋体" w:eastAsia="宋体" w:hint="default"/>
                <w:sz w:val="21"/>
                <w:szCs w:val="21"/>
              </w:rPr>
              <w:t>司</w:t>
            </w:r>
            <w:r>
              <w:rPr>
                <w:rFonts w:ascii="宋体" w:hAnsi="宋体" w:cs="宋体" w:eastAsia="宋体" w:hint="default"/>
                <w:spacing w:val="-72"/>
                <w:sz w:val="21"/>
                <w:szCs w:val="21"/>
              </w:rPr>
              <w:t> </w:t>
            </w:r>
            <w:r>
              <w:rPr>
                <w:rFonts w:ascii="宋体" w:hAnsi="宋体" w:cs="宋体" w:eastAsia="宋体" w:hint="default"/>
                <w:sz w:val="21"/>
                <w:szCs w:val="21"/>
              </w:rPr>
              <w:t>于</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2016 </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15 </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日</w:t>
            </w:r>
            <w:r>
              <w:rPr>
                <w:rFonts w:ascii="宋体" w:hAnsi="宋体" w:cs="宋体" w:eastAsia="宋体" w:hint="default"/>
                <w:spacing w:val="-74"/>
                <w:sz w:val="21"/>
                <w:szCs w:val="21"/>
              </w:rPr>
              <w:t> </w:t>
            </w:r>
            <w:r>
              <w:rPr>
                <w:rFonts w:ascii="宋体" w:hAnsi="宋体" w:cs="宋体" w:eastAsia="宋体" w:hint="default"/>
                <w:sz w:val="21"/>
                <w:szCs w:val="21"/>
              </w:rPr>
              <w:t>在</w:t>
            </w:r>
            <w:r>
              <w:rPr>
                <w:rFonts w:ascii="宋体" w:hAnsi="宋体" w:cs="宋体" w:eastAsia="宋体" w:hint="default"/>
                <w:spacing w:val="-72"/>
                <w:sz w:val="21"/>
                <w:szCs w:val="21"/>
              </w:rPr>
              <w:t> </w:t>
            </w:r>
            <w:r>
              <w:rPr>
                <w:rFonts w:ascii="宋体" w:hAnsi="宋体" w:cs="宋体" w:eastAsia="宋体" w:hint="default"/>
                <w:sz w:val="21"/>
                <w:szCs w:val="21"/>
              </w:rPr>
              <w:t>上</w:t>
            </w:r>
            <w:r>
              <w:rPr>
                <w:rFonts w:ascii="宋体" w:hAnsi="宋体" w:cs="宋体" w:eastAsia="宋体" w:hint="default"/>
                <w:spacing w:val="-74"/>
                <w:sz w:val="21"/>
                <w:szCs w:val="21"/>
              </w:rPr>
              <w:t> </w:t>
            </w:r>
            <w:r>
              <w:rPr>
                <w:rFonts w:ascii="宋体" w:hAnsi="宋体" w:cs="宋体" w:eastAsia="宋体" w:hint="default"/>
                <w:sz w:val="21"/>
                <w:szCs w:val="21"/>
              </w:rPr>
              <w:t>海</w:t>
            </w:r>
            <w:r>
              <w:rPr>
                <w:rFonts w:ascii="宋体" w:hAnsi="宋体" w:cs="宋体" w:eastAsia="宋体" w:hint="default"/>
                <w:spacing w:val="-72"/>
                <w:sz w:val="21"/>
                <w:szCs w:val="21"/>
              </w:rPr>
              <w:t> </w:t>
            </w:r>
            <w:r>
              <w:rPr>
                <w:rFonts w:ascii="宋体" w:hAnsi="宋体" w:cs="宋体" w:eastAsia="宋体" w:hint="default"/>
                <w:sz w:val="21"/>
                <w:szCs w:val="21"/>
              </w:rPr>
              <w:t>证</w:t>
            </w:r>
            <w:r>
              <w:rPr>
                <w:rFonts w:ascii="宋体" w:hAnsi="宋体" w:cs="宋体" w:eastAsia="宋体" w:hint="default"/>
                <w:spacing w:val="-72"/>
                <w:sz w:val="21"/>
                <w:szCs w:val="21"/>
              </w:rPr>
              <w:t> </w:t>
            </w:r>
            <w:r>
              <w:rPr>
                <w:rFonts w:ascii="宋体" w:hAnsi="宋体" w:cs="宋体" w:eastAsia="宋体" w:hint="default"/>
                <w:sz w:val="21"/>
                <w:szCs w:val="21"/>
              </w:rPr>
              <w:t>券</w:t>
            </w:r>
            <w:r>
              <w:rPr>
                <w:rFonts w:ascii="宋体" w:hAnsi="宋体" w:cs="宋体" w:eastAsia="宋体" w:hint="default"/>
                <w:spacing w:val="-74"/>
                <w:sz w:val="21"/>
                <w:szCs w:val="21"/>
              </w:rPr>
              <w:t> </w:t>
            </w:r>
            <w:r>
              <w:rPr>
                <w:rFonts w:ascii="宋体" w:hAnsi="宋体" w:cs="宋体" w:eastAsia="宋体" w:hint="default"/>
                <w:sz w:val="21"/>
                <w:szCs w:val="21"/>
              </w:rPr>
              <w:t>交</w:t>
            </w:r>
            <w:r>
              <w:rPr>
                <w:rFonts w:ascii="宋体" w:hAnsi="宋体" w:cs="宋体" w:eastAsia="宋体" w:hint="default"/>
                <w:spacing w:val="-72"/>
                <w:sz w:val="21"/>
                <w:szCs w:val="21"/>
              </w:rPr>
              <w:t> </w:t>
            </w:r>
            <w:r>
              <w:rPr>
                <w:rFonts w:ascii="宋体" w:hAnsi="宋体" w:cs="宋体" w:eastAsia="宋体" w:hint="default"/>
                <w:sz w:val="21"/>
                <w:szCs w:val="21"/>
              </w:rPr>
              <w:t>易</w:t>
            </w:r>
            <w:r>
              <w:rPr>
                <w:rFonts w:ascii="宋体" w:hAnsi="宋体" w:cs="宋体" w:eastAsia="宋体" w:hint="default"/>
                <w:spacing w:val="-72"/>
                <w:sz w:val="21"/>
                <w:szCs w:val="21"/>
              </w:rPr>
              <w:t> </w:t>
            </w:r>
            <w:r>
              <w:rPr>
                <w:rFonts w:ascii="宋体" w:hAnsi="宋体" w:cs="宋体" w:eastAsia="宋体" w:hint="default"/>
                <w:sz w:val="21"/>
                <w:szCs w:val="21"/>
              </w:rPr>
              <w:t>所</w:t>
            </w:r>
          </w:p>
          <w:p>
            <w:pPr>
              <w:pStyle w:val="TableParagraph"/>
              <w:spacing w:line="266" w:lineRule="auto" w:before="35"/>
              <w:ind w:left="103" w:right="101"/>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http://www.sse.com.cn/</w:t>
              </w:r>
            </w:hyperlink>
            <w:r>
              <w:rPr>
                <w:rFonts w:ascii="宋体" w:hAnsi="宋体" w:cs="宋体" w:eastAsia="宋体" w:hint="default"/>
                <w:sz w:val="21"/>
                <w:szCs w:val="21"/>
              </w:rPr>
              <w:t>）披露的《第二届董事会第二十七</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次会议决议公告》（公告编号：</w:t>
            </w:r>
            <w:r>
              <w:rPr>
                <w:rFonts w:ascii="Times New Roman" w:hAnsi="Times New Roman" w:cs="Times New Roman" w:eastAsia="Times New Roman" w:hint="default"/>
                <w:sz w:val="21"/>
                <w:szCs w:val="21"/>
              </w:rPr>
              <w:t>2016-065</w:t>
            </w:r>
            <w:r>
              <w:rPr>
                <w:rFonts w:ascii="宋体" w:hAnsi="宋体" w:cs="宋体" w:eastAsia="宋体" w:hint="default"/>
                <w:sz w:val="21"/>
                <w:szCs w:val="21"/>
              </w:rPr>
              <w:t>）</w:t>
            </w:r>
          </w:p>
        </w:tc>
      </w:tr>
      <w:tr>
        <w:trPr>
          <w:trHeight w:val="989"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103" w:right="99"/>
              <w:jc w:val="both"/>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年第二次临时股东大</w:t>
            </w:r>
            <w:r>
              <w:rPr>
                <w:rFonts w:ascii="宋体" w:hAnsi="宋体" w:cs="宋体" w:eastAsia="宋体" w:hint="default"/>
                <w:w w:val="100"/>
                <w:sz w:val="21"/>
                <w:szCs w:val="21"/>
              </w:rPr>
              <w:t> </w:t>
            </w:r>
            <w:r>
              <w:rPr>
                <w:rFonts w:ascii="宋体" w:hAnsi="宋体" w:cs="宋体" w:eastAsia="宋体" w:hint="default"/>
                <w:spacing w:val="8"/>
                <w:sz w:val="21"/>
                <w:szCs w:val="21"/>
              </w:rPr>
              <w:t>会决议通过了实施股权激励计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划等事项</w:t>
            </w:r>
          </w:p>
        </w:tc>
        <w:tc>
          <w:tcPr>
            <w:tcW w:w="5655"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宋体" w:hAnsi="宋体" w:cs="宋体" w:eastAsia="宋体" w:hint="default"/>
                <w:spacing w:val="29"/>
                <w:sz w:val="21"/>
                <w:szCs w:val="21"/>
              </w:rPr>
              <w:t>详见公司于 </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11   </w:t>
            </w:r>
            <w:r>
              <w:rPr>
                <w:rFonts w:ascii="宋体" w:hAnsi="宋体" w:cs="宋体" w:eastAsia="宋体" w:hint="default"/>
                <w:sz w:val="21"/>
                <w:szCs w:val="21"/>
              </w:rPr>
              <w:t>月 </w:t>
            </w: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33"/>
                <w:sz w:val="21"/>
                <w:szCs w:val="21"/>
              </w:rPr>
              <w:t> </w:t>
            </w:r>
            <w:r>
              <w:rPr>
                <w:rFonts w:ascii="宋体" w:hAnsi="宋体" w:cs="宋体" w:eastAsia="宋体" w:hint="default"/>
                <w:spacing w:val="32"/>
                <w:sz w:val="21"/>
                <w:szCs w:val="21"/>
              </w:rPr>
              <w:t>日在上海证券交易所</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68" w:lineRule="auto" w:before="35"/>
              <w:ind w:left="103" w:right="99"/>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http://www.sse.com.cn/</w:t>
              </w:r>
            </w:hyperlink>
            <w:r>
              <w:rPr>
                <w:rFonts w:ascii="宋体" w:hAnsi="宋体" w:cs="宋体" w:eastAsia="宋体" w:hint="default"/>
                <w:sz w:val="21"/>
                <w:szCs w:val="21"/>
              </w:rPr>
              <w:t>）披露的《</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年第二次临时股东</w:t>
            </w:r>
            <w:r>
              <w:rPr>
                <w:rFonts w:ascii="宋体" w:hAnsi="宋体" w:cs="宋体" w:eastAsia="宋体" w:hint="default"/>
                <w:w w:val="100"/>
                <w:sz w:val="21"/>
                <w:szCs w:val="21"/>
              </w:rPr>
              <w:t> </w:t>
            </w:r>
            <w:r>
              <w:rPr>
                <w:rFonts w:ascii="宋体" w:hAnsi="宋体" w:cs="宋体" w:eastAsia="宋体" w:hint="default"/>
                <w:sz w:val="21"/>
                <w:szCs w:val="21"/>
              </w:rPr>
              <w:t>大会决议公告》（公告编号：</w:t>
            </w:r>
            <w:r>
              <w:rPr>
                <w:rFonts w:ascii="Times New Roman" w:hAnsi="Times New Roman" w:cs="Times New Roman" w:eastAsia="Times New Roman" w:hint="default"/>
                <w:sz w:val="21"/>
                <w:szCs w:val="21"/>
              </w:rPr>
              <w:t>2016-076</w:t>
            </w:r>
            <w:r>
              <w:rPr>
                <w:rFonts w:ascii="宋体" w:hAnsi="宋体" w:cs="宋体" w:eastAsia="宋体" w:hint="default"/>
                <w:sz w:val="21"/>
                <w:szCs w:val="21"/>
              </w:rPr>
              <w:t>）</w:t>
            </w:r>
          </w:p>
        </w:tc>
      </w:tr>
      <w:tr>
        <w:trPr>
          <w:trHeight w:val="989"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2"/>
              <w:jc w:val="both"/>
              <w:rPr>
                <w:rFonts w:ascii="宋体" w:hAnsi="宋体" w:cs="宋体" w:eastAsia="宋体" w:hint="default"/>
                <w:sz w:val="21"/>
                <w:szCs w:val="21"/>
              </w:rPr>
            </w:pPr>
            <w:r>
              <w:rPr>
                <w:rFonts w:ascii="宋体" w:hAnsi="宋体" w:cs="宋体" w:eastAsia="宋体" w:hint="default"/>
                <w:spacing w:val="8"/>
                <w:sz w:val="21"/>
                <w:szCs w:val="21"/>
              </w:rPr>
              <w:t>公司第二届董事会第二十九次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8"/>
                <w:sz w:val="21"/>
                <w:szCs w:val="21"/>
              </w:rPr>
              <w:t>会议决议通过了股权激励计划</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股份授予等事项</w:t>
            </w:r>
          </w:p>
        </w:tc>
        <w:tc>
          <w:tcPr>
            <w:tcW w:w="5655"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72"/>
                <w:sz w:val="21"/>
                <w:szCs w:val="21"/>
              </w:rPr>
              <w:t> </w:t>
            </w:r>
            <w:r>
              <w:rPr>
                <w:rFonts w:ascii="宋体" w:hAnsi="宋体" w:cs="宋体" w:eastAsia="宋体" w:hint="default"/>
                <w:sz w:val="21"/>
                <w:szCs w:val="21"/>
              </w:rPr>
              <w:t>见</w:t>
            </w:r>
            <w:r>
              <w:rPr>
                <w:rFonts w:ascii="宋体" w:hAnsi="宋体" w:cs="宋体" w:eastAsia="宋体" w:hint="default"/>
                <w:spacing w:val="-72"/>
                <w:sz w:val="21"/>
                <w:szCs w:val="21"/>
              </w:rPr>
              <w:t> </w:t>
            </w:r>
            <w:r>
              <w:rPr>
                <w:rFonts w:ascii="宋体" w:hAnsi="宋体" w:cs="宋体" w:eastAsia="宋体" w:hint="default"/>
                <w:sz w:val="21"/>
                <w:szCs w:val="21"/>
              </w:rPr>
              <w:t>公</w:t>
            </w:r>
            <w:r>
              <w:rPr>
                <w:rFonts w:ascii="宋体" w:hAnsi="宋体" w:cs="宋体" w:eastAsia="宋体" w:hint="default"/>
                <w:spacing w:val="-74"/>
                <w:sz w:val="21"/>
                <w:szCs w:val="21"/>
              </w:rPr>
              <w:t> </w:t>
            </w:r>
            <w:r>
              <w:rPr>
                <w:rFonts w:ascii="宋体" w:hAnsi="宋体" w:cs="宋体" w:eastAsia="宋体" w:hint="default"/>
                <w:sz w:val="21"/>
                <w:szCs w:val="21"/>
              </w:rPr>
              <w:t>司</w:t>
            </w:r>
            <w:r>
              <w:rPr>
                <w:rFonts w:ascii="宋体" w:hAnsi="宋体" w:cs="宋体" w:eastAsia="宋体" w:hint="default"/>
                <w:spacing w:val="-72"/>
                <w:sz w:val="21"/>
                <w:szCs w:val="21"/>
              </w:rPr>
              <w:t> </w:t>
            </w:r>
            <w:r>
              <w:rPr>
                <w:rFonts w:ascii="宋体" w:hAnsi="宋体" w:cs="宋体" w:eastAsia="宋体" w:hint="default"/>
                <w:sz w:val="21"/>
                <w:szCs w:val="21"/>
              </w:rPr>
              <w:t>于</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2016 </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11 </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30 </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日</w:t>
            </w:r>
            <w:r>
              <w:rPr>
                <w:rFonts w:ascii="宋体" w:hAnsi="宋体" w:cs="宋体" w:eastAsia="宋体" w:hint="default"/>
                <w:spacing w:val="-74"/>
                <w:sz w:val="21"/>
                <w:szCs w:val="21"/>
              </w:rPr>
              <w:t> </w:t>
            </w:r>
            <w:r>
              <w:rPr>
                <w:rFonts w:ascii="宋体" w:hAnsi="宋体" w:cs="宋体" w:eastAsia="宋体" w:hint="default"/>
                <w:sz w:val="21"/>
                <w:szCs w:val="21"/>
              </w:rPr>
              <w:t>在</w:t>
            </w:r>
            <w:r>
              <w:rPr>
                <w:rFonts w:ascii="宋体" w:hAnsi="宋体" w:cs="宋体" w:eastAsia="宋体" w:hint="default"/>
                <w:spacing w:val="-72"/>
                <w:sz w:val="21"/>
                <w:szCs w:val="21"/>
              </w:rPr>
              <w:t> </w:t>
            </w:r>
            <w:r>
              <w:rPr>
                <w:rFonts w:ascii="宋体" w:hAnsi="宋体" w:cs="宋体" w:eastAsia="宋体" w:hint="default"/>
                <w:sz w:val="21"/>
                <w:szCs w:val="21"/>
              </w:rPr>
              <w:t>上</w:t>
            </w:r>
            <w:r>
              <w:rPr>
                <w:rFonts w:ascii="宋体" w:hAnsi="宋体" w:cs="宋体" w:eastAsia="宋体" w:hint="default"/>
                <w:spacing w:val="-74"/>
                <w:sz w:val="21"/>
                <w:szCs w:val="21"/>
              </w:rPr>
              <w:t> </w:t>
            </w:r>
            <w:r>
              <w:rPr>
                <w:rFonts w:ascii="宋体" w:hAnsi="宋体" w:cs="宋体" w:eastAsia="宋体" w:hint="default"/>
                <w:sz w:val="21"/>
                <w:szCs w:val="21"/>
              </w:rPr>
              <w:t>海</w:t>
            </w:r>
            <w:r>
              <w:rPr>
                <w:rFonts w:ascii="宋体" w:hAnsi="宋体" w:cs="宋体" w:eastAsia="宋体" w:hint="default"/>
                <w:spacing w:val="-72"/>
                <w:sz w:val="21"/>
                <w:szCs w:val="21"/>
              </w:rPr>
              <w:t> </w:t>
            </w:r>
            <w:r>
              <w:rPr>
                <w:rFonts w:ascii="宋体" w:hAnsi="宋体" w:cs="宋体" w:eastAsia="宋体" w:hint="default"/>
                <w:sz w:val="21"/>
                <w:szCs w:val="21"/>
              </w:rPr>
              <w:t>证</w:t>
            </w:r>
            <w:r>
              <w:rPr>
                <w:rFonts w:ascii="宋体" w:hAnsi="宋体" w:cs="宋体" w:eastAsia="宋体" w:hint="default"/>
                <w:spacing w:val="-72"/>
                <w:sz w:val="21"/>
                <w:szCs w:val="21"/>
              </w:rPr>
              <w:t> </w:t>
            </w:r>
            <w:r>
              <w:rPr>
                <w:rFonts w:ascii="宋体" w:hAnsi="宋体" w:cs="宋体" w:eastAsia="宋体" w:hint="default"/>
                <w:sz w:val="21"/>
                <w:szCs w:val="21"/>
              </w:rPr>
              <w:t>券</w:t>
            </w:r>
            <w:r>
              <w:rPr>
                <w:rFonts w:ascii="宋体" w:hAnsi="宋体" w:cs="宋体" w:eastAsia="宋体" w:hint="default"/>
                <w:spacing w:val="-74"/>
                <w:sz w:val="21"/>
                <w:szCs w:val="21"/>
              </w:rPr>
              <w:t> </w:t>
            </w:r>
            <w:r>
              <w:rPr>
                <w:rFonts w:ascii="宋体" w:hAnsi="宋体" w:cs="宋体" w:eastAsia="宋体" w:hint="default"/>
                <w:sz w:val="21"/>
                <w:szCs w:val="21"/>
              </w:rPr>
              <w:t>交</w:t>
            </w:r>
            <w:r>
              <w:rPr>
                <w:rFonts w:ascii="宋体" w:hAnsi="宋体" w:cs="宋体" w:eastAsia="宋体" w:hint="default"/>
                <w:spacing w:val="-72"/>
                <w:sz w:val="21"/>
                <w:szCs w:val="21"/>
              </w:rPr>
              <w:t> </w:t>
            </w:r>
            <w:r>
              <w:rPr>
                <w:rFonts w:ascii="宋体" w:hAnsi="宋体" w:cs="宋体" w:eastAsia="宋体" w:hint="default"/>
                <w:sz w:val="21"/>
                <w:szCs w:val="21"/>
              </w:rPr>
              <w:t>易</w:t>
            </w:r>
            <w:r>
              <w:rPr>
                <w:rFonts w:ascii="宋体" w:hAnsi="宋体" w:cs="宋体" w:eastAsia="宋体" w:hint="default"/>
                <w:spacing w:val="-72"/>
                <w:sz w:val="21"/>
                <w:szCs w:val="21"/>
              </w:rPr>
              <w:t> </w:t>
            </w:r>
            <w:r>
              <w:rPr>
                <w:rFonts w:ascii="宋体" w:hAnsi="宋体" w:cs="宋体" w:eastAsia="宋体" w:hint="default"/>
                <w:sz w:val="21"/>
                <w:szCs w:val="21"/>
              </w:rPr>
              <w:t>所</w:t>
            </w:r>
          </w:p>
          <w:p>
            <w:pPr>
              <w:pStyle w:val="TableParagraph"/>
              <w:spacing w:line="268" w:lineRule="auto" w:before="35"/>
              <w:ind w:left="103" w:right="101"/>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http://www.sse.com.cn/</w:t>
              </w:r>
            </w:hyperlink>
            <w:r>
              <w:rPr>
                <w:rFonts w:ascii="宋体" w:hAnsi="宋体" w:cs="宋体" w:eastAsia="宋体" w:hint="default"/>
                <w:sz w:val="21"/>
                <w:szCs w:val="21"/>
              </w:rPr>
              <w:t>）披露的《第二届董事会第二十九</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次会议决议公告》（公告编号：</w:t>
            </w:r>
            <w:r>
              <w:rPr>
                <w:rFonts w:ascii="Times New Roman" w:hAnsi="Times New Roman" w:cs="Times New Roman" w:eastAsia="Times New Roman" w:hint="default"/>
                <w:sz w:val="21"/>
                <w:szCs w:val="21"/>
              </w:rPr>
              <w:t>2016-080</w:t>
            </w:r>
            <w:r>
              <w:rPr>
                <w:rFonts w:ascii="宋体" w:hAnsi="宋体" w:cs="宋体" w:eastAsia="宋体" w:hint="default"/>
                <w:sz w:val="21"/>
                <w:szCs w:val="21"/>
              </w:rPr>
              <w:t>）</w:t>
            </w:r>
          </w:p>
        </w:tc>
      </w:tr>
      <w:tr>
        <w:trPr>
          <w:trHeight w:val="986"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58"/>
              <w:ind w:left="103" w:right="99"/>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年限制性股票激励计划首</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次授予部分完成授予登记</w:t>
            </w:r>
          </w:p>
        </w:tc>
        <w:tc>
          <w:tcPr>
            <w:tcW w:w="5655"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72"/>
                <w:sz w:val="21"/>
                <w:szCs w:val="21"/>
              </w:rPr>
              <w:t> </w:t>
            </w:r>
            <w:r>
              <w:rPr>
                <w:rFonts w:ascii="宋体" w:hAnsi="宋体" w:cs="宋体" w:eastAsia="宋体" w:hint="default"/>
                <w:sz w:val="21"/>
                <w:szCs w:val="21"/>
              </w:rPr>
              <w:t>见</w:t>
            </w:r>
            <w:r>
              <w:rPr>
                <w:rFonts w:ascii="宋体" w:hAnsi="宋体" w:cs="宋体" w:eastAsia="宋体" w:hint="default"/>
                <w:spacing w:val="-72"/>
                <w:sz w:val="21"/>
                <w:szCs w:val="21"/>
              </w:rPr>
              <w:t> </w:t>
            </w:r>
            <w:r>
              <w:rPr>
                <w:rFonts w:ascii="宋体" w:hAnsi="宋体" w:cs="宋体" w:eastAsia="宋体" w:hint="default"/>
                <w:sz w:val="21"/>
                <w:szCs w:val="21"/>
              </w:rPr>
              <w:t>公</w:t>
            </w:r>
            <w:r>
              <w:rPr>
                <w:rFonts w:ascii="宋体" w:hAnsi="宋体" w:cs="宋体" w:eastAsia="宋体" w:hint="default"/>
                <w:spacing w:val="-74"/>
                <w:sz w:val="21"/>
                <w:szCs w:val="21"/>
              </w:rPr>
              <w:t> </w:t>
            </w:r>
            <w:r>
              <w:rPr>
                <w:rFonts w:ascii="宋体" w:hAnsi="宋体" w:cs="宋体" w:eastAsia="宋体" w:hint="default"/>
                <w:sz w:val="21"/>
                <w:szCs w:val="21"/>
              </w:rPr>
              <w:t>司</w:t>
            </w:r>
            <w:r>
              <w:rPr>
                <w:rFonts w:ascii="宋体" w:hAnsi="宋体" w:cs="宋体" w:eastAsia="宋体" w:hint="default"/>
                <w:spacing w:val="-72"/>
                <w:sz w:val="21"/>
                <w:szCs w:val="21"/>
              </w:rPr>
              <w:t> </w:t>
            </w:r>
            <w:r>
              <w:rPr>
                <w:rFonts w:ascii="宋体" w:hAnsi="宋体" w:cs="宋体" w:eastAsia="宋体" w:hint="default"/>
                <w:sz w:val="21"/>
                <w:szCs w:val="21"/>
              </w:rPr>
              <w:t>于</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2016 </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12 </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21 </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日</w:t>
            </w:r>
            <w:r>
              <w:rPr>
                <w:rFonts w:ascii="宋体" w:hAnsi="宋体" w:cs="宋体" w:eastAsia="宋体" w:hint="default"/>
                <w:spacing w:val="-74"/>
                <w:sz w:val="21"/>
                <w:szCs w:val="21"/>
              </w:rPr>
              <w:t> </w:t>
            </w:r>
            <w:r>
              <w:rPr>
                <w:rFonts w:ascii="宋体" w:hAnsi="宋体" w:cs="宋体" w:eastAsia="宋体" w:hint="default"/>
                <w:sz w:val="21"/>
                <w:szCs w:val="21"/>
              </w:rPr>
              <w:t>在</w:t>
            </w:r>
            <w:r>
              <w:rPr>
                <w:rFonts w:ascii="宋体" w:hAnsi="宋体" w:cs="宋体" w:eastAsia="宋体" w:hint="default"/>
                <w:spacing w:val="-72"/>
                <w:sz w:val="21"/>
                <w:szCs w:val="21"/>
              </w:rPr>
              <w:t> </w:t>
            </w:r>
            <w:r>
              <w:rPr>
                <w:rFonts w:ascii="宋体" w:hAnsi="宋体" w:cs="宋体" w:eastAsia="宋体" w:hint="default"/>
                <w:sz w:val="21"/>
                <w:szCs w:val="21"/>
              </w:rPr>
              <w:t>上</w:t>
            </w:r>
            <w:r>
              <w:rPr>
                <w:rFonts w:ascii="宋体" w:hAnsi="宋体" w:cs="宋体" w:eastAsia="宋体" w:hint="default"/>
                <w:spacing w:val="-74"/>
                <w:sz w:val="21"/>
                <w:szCs w:val="21"/>
              </w:rPr>
              <w:t> </w:t>
            </w:r>
            <w:r>
              <w:rPr>
                <w:rFonts w:ascii="宋体" w:hAnsi="宋体" w:cs="宋体" w:eastAsia="宋体" w:hint="default"/>
                <w:sz w:val="21"/>
                <w:szCs w:val="21"/>
              </w:rPr>
              <w:t>海</w:t>
            </w:r>
            <w:r>
              <w:rPr>
                <w:rFonts w:ascii="宋体" w:hAnsi="宋体" w:cs="宋体" w:eastAsia="宋体" w:hint="default"/>
                <w:spacing w:val="-72"/>
                <w:sz w:val="21"/>
                <w:szCs w:val="21"/>
              </w:rPr>
              <w:t> </w:t>
            </w:r>
            <w:r>
              <w:rPr>
                <w:rFonts w:ascii="宋体" w:hAnsi="宋体" w:cs="宋体" w:eastAsia="宋体" w:hint="default"/>
                <w:sz w:val="21"/>
                <w:szCs w:val="21"/>
              </w:rPr>
              <w:t>证</w:t>
            </w:r>
            <w:r>
              <w:rPr>
                <w:rFonts w:ascii="宋体" w:hAnsi="宋体" w:cs="宋体" w:eastAsia="宋体" w:hint="default"/>
                <w:spacing w:val="-72"/>
                <w:sz w:val="21"/>
                <w:szCs w:val="21"/>
              </w:rPr>
              <w:t> </w:t>
            </w:r>
            <w:r>
              <w:rPr>
                <w:rFonts w:ascii="宋体" w:hAnsi="宋体" w:cs="宋体" w:eastAsia="宋体" w:hint="default"/>
                <w:sz w:val="21"/>
                <w:szCs w:val="21"/>
              </w:rPr>
              <w:t>券</w:t>
            </w:r>
            <w:r>
              <w:rPr>
                <w:rFonts w:ascii="宋体" w:hAnsi="宋体" w:cs="宋体" w:eastAsia="宋体" w:hint="default"/>
                <w:spacing w:val="-74"/>
                <w:sz w:val="21"/>
                <w:szCs w:val="21"/>
              </w:rPr>
              <w:t> </w:t>
            </w:r>
            <w:r>
              <w:rPr>
                <w:rFonts w:ascii="宋体" w:hAnsi="宋体" w:cs="宋体" w:eastAsia="宋体" w:hint="default"/>
                <w:sz w:val="21"/>
                <w:szCs w:val="21"/>
              </w:rPr>
              <w:t>交</w:t>
            </w:r>
            <w:r>
              <w:rPr>
                <w:rFonts w:ascii="宋体" w:hAnsi="宋体" w:cs="宋体" w:eastAsia="宋体" w:hint="default"/>
                <w:spacing w:val="-72"/>
                <w:sz w:val="21"/>
                <w:szCs w:val="21"/>
              </w:rPr>
              <w:t> </w:t>
            </w:r>
            <w:r>
              <w:rPr>
                <w:rFonts w:ascii="宋体" w:hAnsi="宋体" w:cs="宋体" w:eastAsia="宋体" w:hint="default"/>
                <w:sz w:val="21"/>
                <w:szCs w:val="21"/>
              </w:rPr>
              <w:t>易</w:t>
            </w:r>
            <w:r>
              <w:rPr>
                <w:rFonts w:ascii="宋体" w:hAnsi="宋体" w:cs="宋体" w:eastAsia="宋体" w:hint="default"/>
                <w:spacing w:val="-72"/>
                <w:sz w:val="21"/>
                <w:szCs w:val="21"/>
              </w:rPr>
              <w:t> </w:t>
            </w:r>
            <w:r>
              <w:rPr>
                <w:rFonts w:ascii="宋体" w:hAnsi="宋体" w:cs="宋体" w:eastAsia="宋体" w:hint="default"/>
                <w:sz w:val="21"/>
                <w:szCs w:val="21"/>
              </w:rPr>
              <w:t>所</w:t>
            </w:r>
          </w:p>
          <w:p>
            <w:pPr>
              <w:pStyle w:val="TableParagraph"/>
              <w:spacing w:line="266" w:lineRule="auto" w:before="35"/>
              <w:ind w:left="103" w:right="101"/>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http://www.sse.com.cn/</w:t>
              </w:r>
            </w:hyperlink>
            <w:r>
              <w:rPr>
                <w:rFonts w:ascii="宋体" w:hAnsi="宋体" w:cs="宋体" w:eastAsia="宋体" w:hint="default"/>
                <w:sz w:val="21"/>
                <w:szCs w:val="21"/>
              </w:rPr>
              <w:t>）披露的《关于限制性股票激励计</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划首次授予登记完成的公告》（公告编号：</w:t>
            </w:r>
            <w:r>
              <w:rPr>
                <w:rFonts w:ascii="Times New Roman" w:hAnsi="Times New Roman" w:cs="Times New Roman" w:eastAsia="Times New Roman" w:hint="default"/>
                <w:sz w:val="21"/>
                <w:szCs w:val="21"/>
              </w:rPr>
              <w:t>2016-086</w:t>
            </w:r>
            <w:r>
              <w:rPr>
                <w:rFonts w:ascii="宋体" w:hAnsi="宋体" w:cs="宋体" w:eastAsia="宋体" w:hint="default"/>
                <w:sz w:val="21"/>
                <w:szCs w:val="21"/>
              </w:rPr>
              <w:t>）</w:t>
            </w:r>
          </w:p>
        </w:tc>
      </w:tr>
      <w:tr>
        <w:trPr>
          <w:trHeight w:val="989"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158"/>
              <w:ind w:left="103" w:right="99"/>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年限制性股票激励计划预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留部分完成授予登记</w:t>
            </w:r>
          </w:p>
        </w:tc>
        <w:tc>
          <w:tcPr>
            <w:tcW w:w="5655"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72"/>
                <w:sz w:val="21"/>
                <w:szCs w:val="21"/>
              </w:rPr>
              <w:t> </w:t>
            </w:r>
            <w:r>
              <w:rPr>
                <w:rFonts w:ascii="宋体" w:hAnsi="宋体" w:cs="宋体" w:eastAsia="宋体" w:hint="default"/>
                <w:sz w:val="21"/>
                <w:szCs w:val="21"/>
              </w:rPr>
              <w:t>见</w:t>
            </w:r>
            <w:r>
              <w:rPr>
                <w:rFonts w:ascii="宋体" w:hAnsi="宋体" w:cs="宋体" w:eastAsia="宋体" w:hint="default"/>
                <w:spacing w:val="-72"/>
                <w:sz w:val="21"/>
                <w:szCs w:val="21"/>
              </w:rPr>
              <w:t> </w:t>
            </w:r>
            <w:r>
              <w:rPr>
                <w:rFonts w:ascii="宋体" w:hAnsi="宋体" w:cs="宋体" w:eastAsia="宋体" w:hint="default"/>
                <w:sz w:val="21"/>
                <w:szCs w:val="21"/>
              </w:rPr>
              <w:t>公</w:t>
            </w:r>
            <w:r>
              <w:rPr>
                <w:rFonts w:ascii="宋体" w:hAnsi="宋体" w:cs="宋体" w:eastAsia="宋体" w:hint="default"/>
                <w:spacing w:val="-74"/>
                <w:sz w:val="21"/>
                <w:szCs w:val="21"/>
              </w:rPr>
              <w:t> </w:t>
            </w:r>
            <w:r>
              <w:rPr>
                <w:rFonts w:ascii="宋体" w:hAnsi="宋体" w:cs="宋体" w:eastAsia="宋体" w:hint="default"/>
                <w:sz w:val="21"/>
                <w:szCs w:val="21"/>
              </w:rPr>
              <w:t>司</w:t>
            </w:r>
            <w:r>
              <w:rPr>
                <w:rFonts w:ascii="宋体" w:hAnsi="宋体" w:cs="宋体" w:eastAsia="宋体" w:hint="default"/>
                <w:spacing w:val="-72"/>
                <w:sz w:val="21"/>
                <w:szCs w:val="21"/>
              </w:rPr>
              <w:t> </w:t>
            </w:r>
            <w:r>
              <w:rPr>
                <w:rFonts w:ascii="宋体" w:hAnsi="宋体" w:cs="宋体" w:eastAsia="宋体" w:hint="default"/>
                <w:sz w:val="21"/>
                <w:szCs w:val="21"/>
              </w:rPr>
              <w:t>于</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2017 </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11 </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25 </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日</w:t>
            </w:r>
            <w:r>
              <w:rPr>
                <w:rFonts w:ascii="宋体" w:hAnsi="宋体" w:cs="宋体" w:eastAsia="宋体" w:hint="default"/>
                <w:spacing w:val="-74"/>
                <w:sz w:val="21"/>
                <w:szCs w:val="21"/>
              </w:rPr>
              <w:t> </w:t>
            </w:r>
            <w:r>
              <w:rPr>
                <w:rFonts w:ascii="宋体" w:hAnsi="宋体" w:cs="宋体" w:eastAsia="宋体" w:hint="default"/>
                <w:sz w:val="21"/>
                <w:szCs w:val="21"/>
              </w:rPr>
              <w:t>在</w:t>
            </w:r>
            <w:r>
              <w:rPr>
                <w:rFonts w:ascii="宋体" w:hAnsi="宋体" w:cs="宋体" w:eastAsia="宋体" w:hint="default"/>
                <w:spacing w:val="-72"/>
                <w:sz w:val="21"/>
                <w:szCs w:val="21"/>
              </w:rPr>
              <w:t> </w:t>
            </w:r>
            <w:r>
              <w:rPr>
                <w:rFonts w:ascii="宋体" w:hAnsi="宋体" w:cs="宋体" w:eastAsia="宋体" w:hint="default"/>
                <w:sz w:val="21"/>
                <w:szCs w:val="21"/>
              </w:rPr>
              <w:t>上</w:t>
            </w:r>
            <w:r>
              <w:rPr>
                <w:rFonts w:ascii="宋体" w:hAnsi="宋体" w:cs="宋体" w:eastAsia="宋体" w:hint="default"/>
                <w:spacing w:val="-74"/>
                <w:sz w:val="21"/>
                <w:szCs w:val="21"/>
              </w:rPr>
              <w:t> </w:t>
            </w:r>
            <w:r>
              <w:rPr>
                <w:rFonts w:ascii="宋体" w:hAnsi="宋体" w:cs="宋体" w:eastAsia="宋体" w:hint="default"/>
                <w:sz w:val="21"/>
                <w:szCs w:val="21"/>
              </w:rPr>
              <w:t>海</w:t>
            </w:r>
            <w:r>
              <w:rPr>
                <w:rFonts w:ascii="宋体" w:hAnsi="宋体" w:cs="宋体" w:eastAsia="宋体" w:hint="default"/>
                <w:spacing w:val="-72"/>
                <w:sz w:val="21"/>
                <w:szCs w:val="21"/>
              </w:rPr>
              <w:t> </w:t>
            </w:r>
            <w:r>
              <w:rPr>
                <w:rFonts w:ascii="宋体" w:hAnsi="宋体" w:cs="宋体" w:eastAsia="宋体" w:hint="default"/>
                <w:sz w:val="21"/>
                <w:szCs w:val="21"/>
              </w:rPr>
              <w:t>证</w:t>
            </w:r>
            <w:r>
              <w:rPr>
                <w:rFonts w:ascii="宋体" w:hAnsi="宋体" w:cs="宋体" w:eastAsia="宋体" w:hint="default"/>
                <w:spacing w:val="-72"/>
                <w:sz w:val="21"/>
                <w:szCs w:val="21"/>
              </w:rPr>
              <w:t> </w:t>
            </w:r>
            <w:r>
              <w:rPr>
                <w:rFonts w:ascii="宋体" w:hAnsi="宋体" w:cs="宋体" w:eastAsia="宋体" w:hint="default"/>
                <w:sz w:val="21"/>
                <w:szCs w:val="21"/>
              </w:rPr>
              <w:t>券</w:t>
            </w:r>
            <w:r>
              <w:rPr>
                <w:rFonts w:ascii="宋体" w:hAnsi="宋体" w:cs="宋体" w:eastAsia="宋体" w:hint="default"/>
                <w:spacing w:val="-74"/>
                <w:sz w:val="21"/>
                <w:szCs w:val="21"/>
              </w:rPr>
              <w:t> </w:t>
            </w:r>
            <w:r>
              <w:rPr>
                <w:rFonts w:ascii="宋体" w:hAnsi="宋体" w:cs="宋体" w:eastAsia="宋体" w:hint="default"/>
                <w:sz w:val="21"/>
                <w:szCs w:val="21"/>
              </w:rPr>
              <w:t>交</w:t>
            </w:r>
            <w:r>
              <w:rPr>
                <w:rFonts w:ascii="宋体" w:hAnsi="宋体" w:cs="宋体" w:eastAsia="宋体" w:hint="default"/>
                <w:spacing w:val="-72"/>
                <w:sz w:val="21"/>
                <w:szCs w:val="21"/>
              </w:rPr>
              <w:t> </w:t>
            </w:r>
            <w:r>
              <w:rPr>
                <w:rFonts w:ascii="宋体" w:hAnsi="宋体" w:cs="宋体" w:eastAsia="宋体" w:hint="default"/>
                <w:sz w:val="21"/>
                <w:szCs w:val="21"/>
              </w:rPr>
              <w:t>易</w:t>
            </w:r>
            <w:r>
              <w:rPr>
                <w:rFonts w:ascii="宋体" w:hAnsi="宋体" w:cs="宋体" w:eastAsia="宋体" w:hint="default"/>
                <w:spacing w:val="-72"/>
                <w:sz w:val="21"/>
                <w:szCs w:val="21"/>
              </w:rPr>
              <w:t> </w:t>
            </w:r>
            <w:r>
              <w:rPr>
                <w:rFonts w:ascii="宋体" w:hAnsi="宋体" w:cs="宋体" w:eastAsia="宋体" w:hint="default"/>
                <w:sz w:val="21"/>
                <w:szCs w:val="21"/>
              </w:rPr>
              <w:t>所</w:t>
            </w:r>
          </w:p>
          <w:p>
            <w:pPr>
              <w:pStyle w:val="TableParagraph"/>
              <w:spacing w:line="268" w:lineRule="auto" w:before="35"/>
              <w:ind w:left="103" w:right="101"/>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http://www.sse.com.cn/</w:t>
              </w:r>
            </w:hyperlink>
            <w:r>
              <w:rPr>
                <w:rFonts w:ascii="宋体" w:hAnsi="宋体" w:cs="宋体" w:eastAsia="宋体" w:hint="default"/>
                <w:sz w:val="21"/>
                <w:szCs w:val="21"/>
              </w:rPr>
              <w:t>）披露的《关于限制性股票激励计</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划预留部分授予登记完成的公告》（公告编号：</w:t>
            </w:r>
            <w:r>
              <w:rPr>
                <w:rFonts w:ascii="Times New Roman" w:hAnsi="Times New Roman" w:cs="Times New Roman" w:eastAsia="Times New Roman" w:hint="default"/>
                <w:spacing w:val="-2"/>
                <w:sz w:val="21"/>
                <w:szCs w:val="21"/>
              </w:rPr>
              <w:t>2017-121</w:t>
            </w:r>
            <w:r>
              <w:rPr>
                <w:rFonts w:ascii="宋体" w:hAnsi="宋体" w:cs="宋体" w:eastAsia="宋体" w:hint="default"/>
                <w:spacing w:val="-2"/>
                <w:sz w:val="21"/>
                <w:szCs w:val="21"/>
              </w:rPr>
              <w:t>）</w:t>
            </w:r>
          </w:p>
        </w:tc>
      </w:tr>
      <w:tr>
        <w:trPr>
          <w:trHeight w:val="1313"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ind w:left="103" w:right="98"/>
              <w:jc w:val="both"/>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年限制性股票激励计划首</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8"/>
                <w:sz w:val="21"/>
                <w:szCs w:val="21"/>
              </w:rPr>
              <w:t>次授予的部分激励对象由于离</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6"/>
                <w:sz w:val="21"/>
                <w:szCs w:val="21"/>
              </w:rPr>
              <w:t>职或绩效未达标，依据激励计划</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规定回购注销相应股份</w:t>
            </w:r>
          </w:p>
        </w:tc>
        <w:tc>
          <w:tcPr>
            <w:tcW w:w="5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72"/>
                <w:sz w:val="21"/>
                <w:szCs w:val="21"/>
              </w:rPr>
              <w:t> </w:t>
            </w:r>
            <w:r>
              <w:rPr>
                <w:rFonts w:ascii="宋体" w:hAnsi="宋体" w:cs="宋体" w:eastAsia="宋体" w:hint="default"/>
                <w:sz w:val="21"/>
                <w:szCs w:val="21"/>
              </w:rPr>
              <w:t>见</w:t>
            </w:r>
            <w:r>
              <w:rPr>
                <w:rFonts w:ascii="宋体" w:hAnsi="宋体" w:cs="宋体" w:eastAsia="宋体" w:hint="default"/>
                <w:spacing w:val="-72"/>
                <w:sz w:val="21"/>
                <w:szCs w:val="21"/>
              </w:rPr>
              <w:t> </w:t>
            </w:r>
            <w:r>
              <w:rPr>
                <w:rFonts w:ascii="宋体" w:hAnsi="宋体" w:cs="宋体" w:eastAsia="宋体" w:hint="default"/>
                <w:sz w:val="21"/>
                <w:szCs w:val="21"/>
              </w:rPr>
              <w:t>公</w:t>
            </w:r>
            <w:r>
              <w:rPr>
                <w:rFonts w:ascii="宋体" w:hAnsi="宋体" w:cs="宋体" w:eastAsia="宋体" w:hint="default"/>
                <w:spacing w:val="-74"/>
                <w:sz w:val="21"/>
                <w:szCs w:val="21"/>
              </w:rPr>
              <w:t> </w:t>
            </w:r>
            <w:r>
              <w:rPr>
                <w:rFonts w:ascii="宋体" w:hAnsi="宋体" w:cs="宋体" w:eastAsia="宋体" w:hint="default"/>
                <w:sz w:val="21"/>
                <w:szCs w:val="21"/>
              </w:rPr>
              <w:t>司</w:t>
            </w:r>
            <w:r>
              <w:rPr>
                <w:rFonts w:ascii="宋体" w:hAnsi="宋体" w:cs="宋体" w:eastAsia="宋体" w:hint="default"/>
                <w:spacing w:val="-72"/>
                <w:sz w:val="21"/>
                <w:szCs w:val="21"/>
              </w:rPr>
              <w:t> </w:t>
            </w:r>
            <w:r>
              <w:rPr>
                <w:rFonts w:ascii="宋体" w:hAnsi="宋体" w:cs="宋体" w:eastAsia="宋体" w:hint="default"/>
                <w:sz w:val="21"/>
                <w:szCs w:val="21"/>
              </w:rPr>
              <w:t>于</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2017 </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11 </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30 </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日</w:t>
            </w:r>
            <w:r>
              <w:rPr>
                <w:rFonts w:ascii="宋体" w:hAnsi="宋体" w:cs="宋体" w:eastAsia="宋体" w:hint="default"/>
                <w:spacing w:val="-74"/>
                <w:sz w:val="21"/>
                <w:szCs w:val="21"/>
              </w:rPr>
              <w:t> </w:t>
            </w:r>
            <w:r>
              <w:rPr>
                <w:rFonts w:ascii="宋体" w:hAnsi="宋体" w:cs="宋体" w:eastAsia="宋体" w:hint="default"/>
                <w:sz w:val="21"/>
                <w:szCs w:val="21"/>
              </w:rPr>
              <w:t>在</w:t>
            </w:r>
            <w:r>
              <w:rPr>
                <w:rFonts w:ascii="宋体" w:hAnsi="宋体" w:cs="宋体" w:eastAsia="宋体" w:hint="default"/>
                <w:spacing w:val="-72"/>
                <w:sz w:val="21"/>
                <w:szCs w:val="21"/>
              </w:rPr>
              <w:t> </w:t>
            </w:r>
            <w:r>
              <w:rPr>
                <w:rFonts w:ascii="宋体" w:hAnsi="宋体" w:cs="宋体" w:eastAsia="宋体" w:hint="default"/>
                <w:sz w:val="21"/>
                <w:szCs w:val="21"/>
              </w:rPr>
              <w:t>上</w:t>
            </w:r>
            <w:r>
              <w:rPr>
                <w:rFonts w:ascii="宋体" w:hAnsi="宋体" w:cs="宋体" w:eastAsia="宋体" w:hint="default"/>
                <w:spacing w:val="-74"/>
                <w:sz w:val="21"/>
                <w:szCs w:val="21"/>
              </w:rPr>
              <w:t> </w:t>
            </w:r>
            <w:r>
              <w:rPr>
                <w:rFonts w:ascii="宋体" w:hAnsi="宋体" w:cs="宋体" w:eastAsia="宋体" w:hint="default"/>
                <w:sz w:val="21"/>
                <w:szCs w:val="21"/>
              </w:rPr>
              <w:t>海</w:t>
            </w:r>
            <w:r>
              <w:rPr>
                <w:rFonts w:ascii="宋体" w:hAnsi="宋体" w:cs="宋体" w:eastAsia="宋体" w:hint="default"/>
                <w:spacing w:val="-72"/>
                <w:sz w:val="21"/>
                <w:szCs w:val="21"/>
              </w:rPr>
              <w:t> </w:t>
            </w:r>
            <w:r>
              <w:rPr>
                <w:rFonts w:ascii="宋体" w:hAnsi="宋体" w:cs="宋体" w:eastAsia="宋体" w:hint="default"/>
                <w:sz w:val="21"/>
                <w:szCs w:val="21"/>
              </w:rPr>
              <w:t>证</w:t>
            </w:r>
            <w:r>
              <w:rPr>
                <w:rFonts w:ascii="宋体" w:hAnsi="宋体" w:cs="宋体" w:eastAsia="宋体" w:hint="default"/>
                <w:spacing w:val="-72"/>
                <w:sz w:val="21"/>
                <w:szCs w:val="21"/>
              </w:rPr>
              <w:t> </w:t>
            </w:r>
            <w:r>
              <w:rPr>
                <w:rFonts w:ascii="宋体" w:hAnsi="宋体" w:cs="宋体" w:eastAsia="宋体" w:hint="default"/>
                <w:sz w:val="21"/>
                <w:szCs w:val="21"/>
              </w:rPr>
              <w:t>券</w:t>
            </w:r>
            <w:r>
              <w:rPr>
                <w:rFonts w:ascii="宋体" w:hAnsi="宋体" w:cs="宋体" w:eastAsia="宋体" w:hint="default"/>
                <w:spacing w:val="-74"/>
                <w:sz w:val="21"/>
                <w:szCs w:val="21"/>
              </w:rPr>
              <w:t> </w:t>
            </w:r>
            <w:r>
              <w:rPr>
                <w:rFonts w:ascii="宋体" w:hAnsi="宋体" w:cs="宋体" w:eastAsia="宋体" w:hint="default"/>
                <w:sz w:val="21"/>
                <w:szCs w:val="21"/>
              </w:rPr>
              <w:t>交</w:t>
            </w:r>
            <w:r>
              <w:rPr>
                <w:rFonts w:ascii="宋体" w:hAnsi="宋体" w:cs="宋体" w:eastAsia="宋体" w:hint="default"/>
                <w:spacing w:val="-72"/>
                <w:sz w:val="21"/>
                <w:szCs w:val="21"/>
              </w:rPr>
              <w:t> </w:t>
            </w:r>
            <w:r>
              <w:rPr>
                <w:rFonts w:ascii="宋体" w:hAnsi="宋体" w:cs="宋体" w:eastAsia="宋体" w:hint="default"/>
                <w:sz w:val="21"/>
                <w:szCs w:val="21"/>
              </w:rPr>
              <w:t>易</w:t>
            </w:r>
            <w:r>
              <w:rPr>
                <w:rFonts w:ascii="宋体" w:hAnsi="宋体" w:cs="宋体" w:eastAsia="宋体" w:hint="default"/>
                <w:spacing w:val="-72"/>
                <w:sz w:val="21"/>
                <w:szCs w:val="21"/>
              </w:rPr>
              <w:t> </w:t>
            </w:r>
            <w:r>
              <w:rPr>
                <w:rFonts w:ascii="宋体" w:hAnsi="宋体" w:cs="宋体" w:eastAsia="宋体" w:hint="default"/>
                <w:sz w:val="21"/>
                <w:szCs w:val="21"/>
              </w:rPr>
              <w:t>所</w:t>
            </w:r>
          </w:p>
          <w:p>
            <w:pPr>
              <w:pStyle w:val="TableParagraph"/>
              <w:spacing w:line="268" w:lineRule="auto" w:before="35"/>
              <w:ind w:left="103" w:right="101"/>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http://www.sse.com.cn/</w:t>
              </w:r>
            </w:hyperlink>
            <w:r>
              <w:rPr>
                <w:rFonts w:ascii="宋体" w:hAnsi="宋体" w:cs="宋体" w:eastAsia="宋体" w:hint="default"/>
                <w:sz w:val="21"/>
                <w:szCs w:val="21"/>
              </w:rPr>
              <w:t>）披露的《关于部分限制性股票回</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购注销完成的公告》（公告编号：</w:t>
            </w:r>
            <w:r>
              <w:rPr>
                <w:rFonts w:ascii="Times New Roman" w:hAnsi="Times New Roman" w:cs="Times New Roman" w:eastAsia="Times New Roman" w:hint="default"/>
                <w:sz w:val="21"/>
                <w:szCs w:val="21"/>
              </w:rPr>
              <w:t>2017-123</w:t>
            </w:r>
            <w:r>
              <w:rPr>
                <w:rFonts w:ascii="宋体" w:hAnsi="宋体" w:cs="宋体" w:eastAsia="宋体" w:hint="default"/>
                <w:sz w:val="21"/>
                <w:szCs w:val="21"/>
              </w:rPr>
              <w:t>）</w:t>
            </w:r>
          </w:p>
        </w:tc>
      </w:tr>
      <w:tr>
        <w:trPr>
          <w:trHeight w:val="1315"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58"/>
              <w:ind w:left="103" w:right="99"/>
              <w:jc w:val="both"/>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年限制性股票激励计划首</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8"/>
                <w:sz w:val="21"/>
                <w:szCs w:val="21"/>
              </w:rPr>
              <w:t>次授予的限制性股票第一个解</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锁期解锁并上市</w:t>
            </w:r>
          </w:p>
        </w:tc>
        <w:tc>
          <w:tcPr>
            <w:tcW w:w="5655"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pacing w:val="29"/>
                <w:sz w:val="21"/>
                <w:szCs w:val="21"/>
              </w:rPr>
              <w:t>详见公司于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3"/>
                <w:sz w:val="21"/>
                <w:szCs w:val="21"/>
              </w:rPr>
              <w:t> </w:t>
            </w:r>
            <w:r>
              <w:rPr>
                <w:rFonts w:ascii="宋体" w:hAnsi="宋体" w:cs="宋体" w:eastAsia="宋体" w:hint="default"/>
                <w:spacing w:val="32"/>
                <w:sz w:val="21"/>
                <w:szCs w:val="21"/>
              </w:rPr>
              <w:t>日在上海证券交易所</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68" w:lineRule="auto" w:before="33"/>
              <w:ind w:left="103" w:right="74"/>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http://www.sse.com.cn/</w:t>
              </w:r>
            </w:hyperlink>
            <w:r>
              <w:rPr>
                <w:rFonts w:ascii="宋体" w:hAnsi="宋体" w:cs="宋体" w:eastAsia="宋体" w:hint="default"/>
                <w:sz w:val="21"/>
                <w:szCs w:val="21"/>
              </w:rPr>
              <w:t>）披露的《关于限制性股票激励计</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划首次授予的限制性股票第一个解锁期解锁暨上市的公告》</w:t>
            </w:r>
          </w:p>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Times New Roman" w:hAnsi="Times New Roman" w:cs="Times New Roman" w:eastAsia="Times New Roman" w:hint="default"/>
                <w:sz w:val="21"/>
                <w:szCs w:val="21"/>
              </w:rPr>
              <w:t>2017-127</w:t>
            </w:r>
            <w:r>
              <w:rPr>
                <w:rFonts w:ascii="宋体" w:hAnsi="宋体" w:cs="宋体" w:eastAsia="宋体" w:hint="default"/>
                <w:sz w:val="21"/>
                <w:szCs w:val="21"/>
              </w:rPr>
              <w:t>）</w:t>
            </w:r>
          </w:p>
        </w:tc>
      </w:tr>
      <w:tr>
        <w:trPr>
          <w:trHeight w:val="1639"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2"/>
              <w:jc w:val="both"/>
              <w:rPr>
                <w:rFonts w:ascii="宋体" w:hAnsi="宋体" w:cs="宋体" w:eastAsia="宋体" w:hint="default"/>
                <w:sz w:val="21"/>
                <w:szCs w:val="21"/>
              </w:rPr>
            </w:pPr>
            <w:r>
              <w:rPr>
                <w:rFonts w:ascii="宋体" w:hAnsi="宋体" w:cs="宋体" w:eastAsia="宋体" w:hint="default"/>
                <w:spacing w:val="8"/>
                <w:sz w:val="21"/>
                <w:szCs w:val="21"/>
              </w:rPr>
              <w:t>公司第三届董事会第二十八次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8"/>
                <w:sz w:val="21"/>
                <w:szCs w:val="21"/>
              </w:rPr>
              <w:t>会议审议通过了关于回购注销</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8"/>
                <w:sz w:val="21"/>
                <w:szCs w:val="21"/>
              </w:rPr>
              <w:t>部分激励对象已获授但尚未解</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8"/>
                <w:sz w:val="21"/>
                <w:szCs w:val="21"/>
              </w:rPr>
              <w:t>除限售的限制性股票及调整回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购价格的有关事项</w:t>
            </w:r>
          </w:p>
        </w:tc>
        <w:tc>
          <w:tcPr>
            <w:tcW w:w="5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both"/>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72"/>
                <w:sz w:val="21"/>
                <w:szCs w:val="21"/>
              </w:rPr>
              <w:t> </w:t>
            </w:r>
            <w:r>
              <w:rPr>
                <w:rFonts w:ascii="宋体" w:hAnsi="宋体" w:cs="宋体" w:eastAsia="宋体" w:hint="default"/>
                <w:sz w:val="21"/>
                <w:szCs w:val="21"/>
              </w:rPr>
              <w:t>见</w:t>
            </w:r>
            <w:r>
              <w:rPr>
                <w:rFonts w:ascii="宋体" w:hAnsi="宋体" w:cs="宋体" w:eastAsia="宋体" w:hint="default"/>
                <w:spacing w:val="-72"/>
                <w:sz w:val="21"/>
                <w:szCs w:val="21"/>
              </w:rPr>
              <w:t> </w:t>
            </w:r>
            <w:r>
              <w:rPr>
                <w:rFonts w:ascii="宋体" w:hAnsi="宋体" w:cs="宋体" w:eastAsia="宋体" w:hint="default"/>
                <w:sz w:val="21"/>
                <w:szCs w:val="21"/>
              </w:rPr>
              <w:t>公</w:t>
            </w:r>
            <w:r>
              <w:rPr>
                <w:rFonts w:ascii="宋体" w:hAnsi="宋体" w:cs="宋体" w:eastAsia="宋体" w:hint="default"/>
                <w:spacing w:val="-74"/>
                <w:sz w:val="21"/>
                <w:szCs w:val="21"/>
              </w:rPr>
              <w:t> </w:t>
            </w:r>
            <w:r>
              <w:rPr>
                <w:rFonts w:ascii="宋体" w:hAnsi="宋体" w:cs="宋体" w:eastAsia="宋体" w:hint="default"/>
                <w:sz w:val="21"/>
                <w:szCs w:val="21"/>
              </w:rPr>
              <w:t>司</w:t>
            </w:r>
            <w:r>
              <w:rPr>
                <w:rFonts w:ascii="宋体" w:hAnsi="宋体" w:cs="宋体" w:eastAsia="宋体" w:hint="default"/>
                <w:spacing w:val="-72"/>
                <w:sz w:val="21"/>
                <w:szCs w:val="21"/>
              </w:rPr>
              <w:t> </w:t>
            </w:r>
            <w:r>
              <w:rPr>
                <w:rFonts w:ascii="宋体" w:hAnsi="宋体" w:cs="宋体" w:eastAsia="宋体" w:hint="default"/>
                <w:sz w:val="21"/>
                <w:szCs w:val="21"/>
              </w:rPr>
              <w:t>于</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2018 </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13 </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日</w:t>
            </w:r>
            <w:r>
              <w:rPr>
                <w:rFonts w:ascii="宋体" w:hAnsi="宋体" w:cs="宋体" w:eastAsia="宋体" w:hint="default"/>
                <w:spacing w:val="-74"/>
                <w:sz w:val="21"/>
                <w:szCs w:val="21"/>
              </w:rPr>
              <w:t> </w:t>
            </w:r>
            <w:r>
              <w:rPr>
                <w:rFonts w:ascii="宋体" w:hAnsi="宋体" w:cs="宋体" w:eastAsia="宋体" w:hint="default"/>
                <w:sz w:val="21"/>
                <w:szCs w:val="21"/>
              </w:rPr>
              <w:t>在</w:t>
            </w:r>
            <w:r>
              <w:rPr>
                <w:rFonts w:ascii="宋体" w:hAnsi="宋体" w:cs="宋体" w:eastAsia="宋体" w:hint="default"/>
                <w:spacing w:val="-72"/>
                <w:sz w:val="21"/>
                <w:szCs w:val="21"/>
              </w:rPr>
              <w:t> </w:t>
            </w:r>
            <w:r>
              <w:rPr>
                <w:rFonts w:ascii="宋体" w:hAnsi="宋体" w:cs="宋体" w:eastAsia="宋体" w:hint="default"/>
                <w:sz w:val="21"/>
                <w:szCs w:val="21"/>
              </w:rPr>
              <w:t>上</w:t>
            </w:r>
            <w:r>
              <w:rPr>
                <w:rFonts w:ascii="宋体" w:hAnsi="宋体" w:cs="宋体" w:eastAsia="宋体" w:hint="default"/>
                <w:spacing w:val="-74"/>
                <w:sz w:val="21"/>
                <w:szCs w:val="21"/>
              </w:rPr>
              <w:t> </w:t>
            </w:r>
            <w:r>
              <w:rPr>
                <w:rFonts w:ascii="宋体" w:hAnsi="宋体" w:cs="宋体" w:eastAsia="宋体" w:hint="default"/>
                <w:sz w:val="21"/>
                <w:szCs w:val="21"/>
              </w:rPr>
              <w:t>海</w:t>
            </w:r>
            <w:r>
              <w:rPr>
                <w:rFonts w:ascii="宋体" w:hAnsi="宋体" w:cs="宋体" w:eastAsia="宋体" w:hint="default"/>
                <w:spacing w:val="-72"/>
                <w:sz w:val="21"/>
                <w:szCs w:val="21"/>
              </w:rPr>
              <w:t> </w:t>
            </w:r>
            <w:r>
              <w:rPr>
                <w:rFonts w:ascii="宋体" w:hAnsi="宋体" w:cs="宋体" w:eastAsia="宋体" w:hint="default"/>
                <w:sz w:val="21"/>
                <w:szCs w:val="21"/>
              </w:rPr>
              <w:t>证</w:t>
            </w:r>
            <w:r>
              <w:rPr>
                <w:rFonts w:ascii="宋体" w:hAnsi="宋体" w:cs="宋体" w:eastAsia="宋体" w:hint="default"/>
                <w:spacing w:val="-72"/>
                <w:sz w:val="21"/>
                <w:szCs w:val="21"/>
              </w:rPr>
              <w:t> </w:t>
            </w:r>
            <w:r>
              <w:rPr>
                <w:rFonts w:ascii="宋体" w:hAnsi="宋体" w:cs="宋体" w:eastAsia="宋体" w:hint="default"/>
                <w:sz w:val="21"/>
                <w:szCs w:val="21"/>
              </w:rPr>
              <w:t>券</w:t>
            </w:r>
            <w:r>
              <w:rPr>
                <w:rFonts w:ascii="宋体" w:hAnsi="宋体" w:cs="宋体" w:eastAsia="宋体" w:hint="default"/>
                <w:spacing w:val="-74"/>
                <w:sz w:val="21"/>
                <w:szCs w:val="21"/>
              </w:rPr>
              <w:t> </w:t>
            </w:r>
            <w:r>
              <w:rPr>
                <w:rFonts w:ascii="宋体" w:hAnsi="宋体" w:cs="宋体" w:eastAsia="宋体" w:hint="default"/>
                <w:sz w:val="21"/>
                <w:szCs w:val="21"/>
              </w:rPr>
              <w:t>交</w:t>
            </w:r>
            <w:r>
              <w:rPr>
                <w:rFonts w:ascii="宋体" w:hAnsi="宋体" w:cs="宋体" w:eastAsia="宋体" w:hint="default"/>
                <w:spacing w:val="-72"/>
                <w:sz w:val="21"/>
                <w:szCs w:val="21"/>
              </w:rPr>
              <w:t> </w:t>
            </w:r>
            <w:r>
              <w:rPr>
                <w:rFonts w:ascii="宋体" w:hAnsi="宋体" w:cs="宋体" w:eastAsia="宋体" w:hint="default"/>
                <w:sz w:val="21"/>
                <w:szCs w:val="21"/>
              </w:rPr>
              <w:t>易</w:t>
            </w:r>
            <w:r>
              <w:rPr>
                <w:rFonts w:ascii="宋体" w:hAnsi="宋体" w:cs="宋体" w:eastAsia="宋体" w:hint="default"/>
                <w:spacing w:val="-72"/>
                <w:sz w:val="21"/>
                <w:szCs w:val="21"/>
              </w:rPr>
              <w:t> </w:t>
            </w:r>
            <w:r>
              <w:rPr>
                <w:rFonts w:ascii="宋体" w:hAnsi="宋体" w:cs="宋体" w:eastAsia="宋体" w:hint="default"/>
                <w:sz w:val="21"/>
                <w:szCs w:val="21"/>
              </w:rPr>
              <w:t>所</w:t>
            </w:r>
          </w:p>
          <w:p>
            <w:pPr>
              <w:pStyle w:val="TableParagraph"/>
              <w:spacing w:line="276" w:lineRule="auto" w:before="35"/>
              <w:ind w:left="103" w:right="101"/>
              <w:jc w:val="both"/>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http://www.sse.com.cn/</w:t>
              </w:r>
            </w:hyperlink>
            <w:r>
              <w:rPr>
                <w:rFonts w:ascii="宋体" w:hAnsi="宋体" w:cs="宋体" w:eastAsia="宋体" w:hint="default"/>
                <w:sz w:val="21"/>
                <w:szCs w:val="21"/>
              </w:rPr>
              <w:t>）披露的《关于回购注销部分激励</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4"/>
                <w:sz w:val="21"/>
                <w:szCs w:val="21"/>
              </w:rPr>
              <w:t>对象已获授但尚未解除限售的限制性股票及调整回购价格</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的公告》（公告编号：</w:t>
            </w:r>
            <w:r>
              <w:rPr>
                <w:rFonts w:ascii="Times New Roman" w:hAnsi="Times New Roman" w:cs="Times New Roman" w:eastAsia="Times New Roman" w:hint="default"/>
                <w:sz w:val="21"/>
                <w:szCs w:val="21"/>
              </w:rPr>
              <w:t>2018-115</w:t>
            </w:r>
            <w:r>
              <w:rPr>
                <w:rFonts w:ascii="宋体" w:hAnsi="宋体" w:cs="宋体" w:eastAsia="宋体" w:hint="default"/>
                <w:sz w:val="21"/>
                <w:szCs w:val="21"/>
              </w:rPr>
              <w:t>）</w:t>
            </w:r>
          </w:p>
        </w:tc>
      </w:tr>
      <w:tr>
        <w:trPr>
          <w:trHeight w:val="663"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2"/>
              <w:jc w:val="left"/>
              <w:rPr>
                <w:rFonts w:ascii="宋体" w:hAnsi="宋体" w:cs="宋体" w:eastAsia="宋体" w:hint="default"/>
                <w:sz w:val="21"/>
                <w:szCs w:val="21"/>
              </w:rPr>
            </w:pPr>
            <w:r>
              <w:rPr>
                <w:rFonts w:ascii="宋体" w:hAnsi="宋体" w:cs="宋体" w:eastAsia="宋体" w:hint="default"/>
                <w:spacing w:val="8"/>
                <w:sz w:val="21"/>
                <w:szCs w:val="21"/>
              </w:rPr>
              <w:t>公司第三届董事会第三十次会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8"/>
                <w:sz w:val="21"/>
                <w:szCs w:val="21"/>
              </w:rPr>
              <w:t>议审议通过了关于限制性股票</w:t>
            </w:r>
          </w:p>
        </w:tc>
        <w:tc>
          <w:tcPr>
            <w:tcW w:w="565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72"/>
                <w:sz w:val="21"/>
                <w:szCs w:val="21"/>
              </w:rPr>
              <w:t> </w:t>
            </w:r>
            <w:r>
              <w:rPr>
                <w:rFonts w:ascii="宋体" w:hAnsi="宋体" w:cs="宋体" w:eastAsia="宋体" w:hint="default"/>
                <w:sz w:val="21"/>
                <w:szCs w:val="21"/>
              </w:rPr>
              <w:t>见</w:t>
            </w:r>
            <w:r>
              <w:rPr>
                <w:rFonts w:ascii="宋体" w:hAnsi="宋体" w:cs="宋体" w:eastAsia="宋体" w:hint="default"/>
                <w:spacing w:val="-72"/>
                <w:sz w:val="21"/>
                <w:szCs w:val="21"/>
              </w:rPr>
              <w:t> </w:t>
            </w:r>
            <w:r>
              <w:rPr>
                <w:rFonts w:ascii="宋体" w:hAnsi="宋体" w:cs="宋体" w:eastAsia="宋体" w:hint="default"/>
                <w:sz w:val="21"/>
                <w:szCs w:val="21"/>
              </w:rPr>
              <w:t>公</w:t>
            </w:r>
            <w:r>
              <w:rPr>
                <w:rFonts w:ascii="宋体" w:hAnsi="宋体" w:cs="宋体" w:eastAsia="宋体" w:hint="default"/>
                <w:spacing w:val="-74"/>
                <w:sz w:val="21"/>
                <w:szCs w:val="21"/>
              </w:rPr>
              <w:t> </w:t>
            </w:r>
            <w:r>
              <w:rPr>
                <w:rFonts w:ascii="宋体" w:hAnsi="宋体" w:cs="宋体" w:eastAsia="宋体" w:hint="default"/>
                <w:sz w:val="21"/>
                <w:szCs w:val="21"/>
              </w:rPr>
              <w:t>司</w:t>
            </w:r>
            <w:r>
              <w:rPr>
                <w:rFonts w:ascii="宋体" w:hAnsi="宋体" w:cs="宋体" w:eastAsia="宋体" w:hint="default"/>
                <w:spacing w:val="-72"/>
                <w:sz w:val="21"/>
                <w:szCs w:val="21"/>
              </w:rPr>
              <w:t> </w:t>
            </w:r>
            <w:r>
              <w:rPr>
                <w:rFonts w:ascii="宋体" w:hAnsi="宋体" w:cs="宋体" w:eastAsia="宋体" w:hint="default"/>
                <w:sz w:val="21"/>
                <w:szCs w:val="21"/>
              </w:rPr>
              <w:t>于</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2018 </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12 </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21 </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日</w:t>
            </w:r>
            <w:r>
              <w:rPr>
                <w:rFonts w:ascii="宋体" w:hAnsi="宋体" w:cs="宋体" w:eastAsia="宋体" w:hint="default"/>
                <w:spacing w:val="-74"/>
                <w:sz w:val="21"/>
                <w:szCs w:val="21"/>
              </w:rPr>
              <w:t> </w:t>
            </w:r>
            <w:r>
              <w:rPr>
                <w:rFonts w:ascii="宋体" w:hAnsi="宋体" w:cs="宋体" w:eastAsia="宋体" w:hint="default"/>
                <w:sz w:val="21"/>
                <w:szCs w:val="21"/>
              </w:rPr>
              <w:t>在</w:t>
            </w:r>
            <w:r>
              <w:rPr>
                <w:rFonts w:ascii="宋体" w:hAnsi="宋体" w:cs="宋体" w:eastAsia="宋体" w:hint="default"/>
                <w:spacing w:val="-72"/>
                <w:sz w:val="21"/>
                <w:szCs w:val="21"/>
              </w:rPr>
              <w:t> </w:t>
            </w:r>
            <w:r>
              <w:rPr>
                <w:rFonts w:ascii="宋体" w:hAnsi="宋体" w:cs="宋体" w:eastAsia="宋体" w:hint="default"/>
                <w:sz w:val="21"/>
                <w:szCs w:val="21"/>
              </w:rPr>
              <w:t>上</w:t>
            </w:r>
            <w:r>
              <w:rPr>
                <w:rFonts w:ascii="宋体" w:hAnsi="宋体" w:cs="宋体" w:eastAsia="宋体" w:hint="default"/>
                <w:spacing w:val="-74"/>
                <w:sz w:val="21"/>
                <w:szCs w:val="21"/>
              </w:rPr>
              <w:t> </w:t>
            </w:r>
            <w:r>
              <w:rPr>
                <w:rFonts w:ascii="宋体" w:hAnsi="宋体" w:cs="宋体" w:eastAsia="宋体" w:hint="default"/>
                <w:sz w:val="21"/>
                <w:szCs w:val="21"/>
              </w:rPr>
              <w:t>海</w:t>
            </w:r>
            <w:r>
              <w:rPr>
                <w:rFonts w:ascii="宋体" w:hAnsi="宋体" w:cs="宋体" w:eastAsia="宋体" w:hint="default"/>
                <w:spacing w:val="-72"/>
                <w:sz w:val="21"/>
                <w:szCs w:val="21"/>
              </w:rPr>
              <w:t> </w:t>
            </w:r>
            <w:r>
              <w:rPr>
                <w:rFonts w:ascii="宋体" w:hAnsi="宋体" w:cs="宋体" w:eastAsia="宋体" w:hint="default"/>
                <w:sz w:val="21"/>
                <w:szCs w:val="21"/>
              </w:rPr>
              <w:t>证</w:t>
            </w:r>
            <w:r>
              <w:rPr>
                <w:rFonts w:ascii="宋体" w:hAnsi="宋体" w:cs="宋体" w:eastAsia="宋体" w:hint="default"/>
                <w:spacing w:val="-72"/>
                <w:sz w:val="21"/>
                <w:szCs w:val="21"/>
              </w:rPr>
              <w:t> </w:t>
            </w:r>
            <w:r>
              <w:rPr>
                <w:rFonts w:ascii="宋体" w:hAnsi="宋体" w:cs="宋体" w:eastAsia="宋体" w:hint="default"/>
                <w:sz w:val="21"/>
                <w:szCs w:val="21"/>
              </w:rPr>
              <w:t>券</w:t>
            </w:r>
            <w:r>
              <w:rPr>
                <w:rFonts w:ascii="宋体" w:hAnsi="宋体" w:cs="宋体" w:eastAsia="宋体" w:hint="default"/>
                <w:spacing w:val="-74"/>
                <w:sz w:val="21"/>
                <w:szCs w:val="21"/>
              </w:rPr>
              <w:t> </w:t>
            </w:r>
            <w:r>
              <w:rPr>
                <w:rFonts w:ascii="宋体" w:hAnsi="宋体" w:cs="宋体" w:eastAsia="宋体" w:hint="default"/>
                <w:sz w:val="21"/>
                <w:szCs w:val="21"/>
              </w:rPr>
              <w:t>交</w:t>
            </w:r>
            <w:r>
              <w:rPr>
                <w:rFonts w:ascii="宋体" w:hAnsi="宋体" w:cs="宋体" w:eastAsia="宋体" w:hint="default"/>
                <w:spacing w:val="-72"/>
                <w:sz w:val="21"/>
                <w:szCs w:val="21"/>
              </w:rPr>
              <w:t> </w:t>
            </w:r>
            <w:r>
              <w:rPr>
                <w:rFonts w:ascii="宋体" w:hAnsi="宋体" w:cs="宋体" w:eastAsia="宋体" w:hint="default"/>
                <w:sz w:val="21"/>
                <w:szCs w:val="21"/>
              </w:rPr>
              <w:t>易</w:t>
            </w:r>
            <w:r>
              <w:rPr>
                <w:rFonts w:ascii="宋体" w:hAnsi="宋体" w:cs="宋体" w:eastAsia="宋体" w:hint="default"/>
                <w:spacing w:val="-72"/>
                <w:sz w:val="21"/>
                <w:szCs w:val="21"/>
              </w:rPr>
              <w:t> </w:t>
            </w:r>
            <w:r>
              <w:rPr>
                <w:rFonts w:ascii="宋体" w:hAnsi="宋体" w:cs="宋体" w:eastAsia="宋体" w:hint="default"/>
                <w:sz w:val="21"/>
                <w:szCs w:val="21"/>
              </w:rPr>
              <w:t>所</w:t>
            </w:r>
          </w:p>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http://www.sse.com.cn/</w:t>
              </w:r>
            </w:hyperlink>
            <w:r>
              <w:rPr>
                <w:rFonts w:ascii="宋体" w:hAnsi="宋体" w:cs="宋体" w:eastAsia="宋体" w:hint="default"/>
                <w:sz w:val="21"/>
                <w:szCs w:val="21"/>
              </w:rPr>
              <w:t>）披露的《关于限制性股票激励计</w:t>
            </w:r>
          </w:p>
        </w:tc>
      </w:tr>
    </w:tbl>
    <w:p>
      <w:pPr>
        <w:spacing w:after="0" w:line="240" w:lineRule="auto"/>
        <w:jc w:val="left"/>
        <w:rPr>
          <w:rFonts w:ascii="宋体" w:hAnsi="宋体" w:cs="宋体" w:eastAsia="宋体" w:hint="default"/>
          <w:sz w:val="21"/>
          <w:szCs w:val="21"/>
        </w:rPr>
        <w:sectPr>
          <w:pgSz w:w="11910" w:h="16840"/>
          <w:pgMar w:header="855" w:footer="979" w:top="1120" w:bottom="1160" w:left="15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92"/>
        <w:gridCol w:w="5655"/>
      </w:tblGrid>
      <w:tr>
        <w:trPr>
          <w:trHeight w:val="989"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102"/>
              <w:jc w:val="both"/>
              <w:rPr>
                <w:rFonts w:ascii="宋体" w:hAnsi="宋体" w:cs="宋体" w:eastAsia="宋体" w:hint="default"/>
                <w:sz w:val="21"/>
                <w:szCs w:val="21"/>
              </w:rPr>
            </w:pPr>
            <w:r>
              <w:rPr>
                <w:rFonts w:ascii="宋体" w:hAnsi="宋体" w:cs="宋体" w:eastAsia="宋体" w:hint="default"/>
                <w:spacing w:val="8"/>
                <w:sz w:val="21"/>
                <w:szCs w:val="21"/>
              </w:rPr>
              <w:t>激励计划首次授予股票第二期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8"/>
                <w:sz w:val="21"/>
                <w:szCs w:val="21"/>
              </w:rPr>
              <w:t>解锁及预留授予股票第一期解</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锁的相关事项</w:t>
            </w:r>
          </w:p>
        </w:tc>
        <w:tc>
          <w:tcPr>
            <w:tcW w:w="5655"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107"/>
              <w:jc w:val="left"/>
              <w:rPr>
                <w:rFonts w:ascii="宋体" w:hAnsi="宋体" w:cs="宋体" w:eastAsia="宋体" w:hint="default"/>
                <w:sz w:val="21"/>
                <w:szCs w:val="21"/>
              </w:rPr>
            </w:pPr>
            <w:r>
              <w:rPr>
                <w:rFonts w:ascii="宋体" w:hAnsi="宋体" w:cs="宋体" w:eastAsia="宋体" w:hint="default"/>
                <w:spacing w:val="4"/>
                <w:sz w:val="21"/>
                <w:szCs w:val="21"/>
              </w:rPr>
              <w:t>划首次授予股票第二期解锁及预留授予股票第一期解锁暨</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上市的公告》（公告编号：</w:t>
            </w:r>
            <w:r>
              <w:rPr>
                <w:rFonts w:ascii="Times New Roman" w:hAnsi="Times New Roman" w:cs="Times New Roman" w:eastAsia="Times New Roman" w:hint="default"/>
                <w:sz w:val="21"/>
                <w:szCs w:val="21"/>
              </w:rPr>
              <w:t>2018-144</w:t>
            </w:r>
            <w:r>
              <w:rPr>
                <w:rFonts w:ascii="宋体" w:hAnsi="宋体" w:cs="宋体" w:eastAsia="宋体" w:hint="default"/>
                <w:sz w:val="21"/>
                <w:szCs w:val="21"/>
              </w:rPr>
              <w:t>）</w:t>
            </w:r>
          </w:p>
        </w:tc>
      </w:tr>
    </w:tbl>
    <w:p>
      <w:pPr>
        <w:spacing w:line="240" w:lineRule="auto" w:before="5"/>
        <w:rPr>
          <w:rFonts w:ascii="宋体" w:hAnsi="宋体" w:cs="宋体" w:eastAsia="宋体" w:hint="default"/>
          <w:sz w:val="26"/>
          <w:szCs w:val="26"/>
        </w:rPr>
      </w:pPr>
    </w:p>
    <w:p>
      <w:pPr>
        <w:spacing w:line="338" w:lineRule="auto" w:before="36"/>
        <w:ind w:left="218" w:right="4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40" w:lineRule="exact"/>
        <w:ind w:left="698" w:right="2631"/>
        <w:jc w:val="left"/>
      </w:pPr>
      <w:r>
        <w:rPr/>
        <w:t>□适用 √不适用</w:t>
      </w:r>
    </w:p>
    <w:p>
      <w:pPr>
        <w:pStyle w:val="BodyText"/>
        <w:spacing w:line="240" w:lineRule="auto" w:before="51"/>
        <w:ind w:right="2631"/>
        <w:jc w:val="left"/>
      </w:pPr>
      <w:r>
        <w:rPr/>
        <w:t>其他说明</w:t>
      </w:r>
    </w:p>
    <w:p>
      <w:pPr>
        <w:pStyle w:val="BodyText"/>
        <w:tabs>
          <w:tab w:pos="1060" w:val="left" w:leader="none"/>
        </w:tabs>
        <w:spacing w:line="285" w:lineRule="auto" w:before="49"/>
        <w:ind w:right="7283"/>
        <w:jc w:val="left"/>
      </w:pPr>
      <w:r>
        <w:rPr>
          <w:spacing w:val="-1"/>
        </w:rPr>
        <w:t>□适用</w:t>
        <w:tab/>
      </w:r>
      <w:r>
        <w:rPr>
          <w:spacing w:val="-2"/>
        </w:rPr>
        <w:t>√不适用</w:t>
      </w:r>
      <w:r>
        <w:rPr>
          <w:spacing w:val="-99"/>
        </w:rPr>
        <w:t> </w:t>
      </w:r>
      <w:r>
        <w:rPr>
          <w:spacing w:val="-99"/>
        </w:rPr>
      </w:r>
      <w:r>
        <w:rPr>
          <w:spacing w:val="-2"/>
        </w:rPr>
        <w:t>员工持股计划情况</w:t>
      </w:r>
    </w:p>
    <w:p>
      <w:pPr>
        <w:pStyle w:val="BodyText"/>
        <w:tabs>
          <w:tab w:pos="1060" w:val="left" w:leader="none"/>
        </w:tabs>
        <w:spacing w:line="285" w:lineRule="auto" w:before="12"/>
        <w:ind w:right="7283"/>
        <w:jc w:val="left"/>
      </w:pPr>
      <w:r>
        <w:rPr>
          <w:spacing w:val="-1"/>
        </w:rPr>
        <w:t>□适用</w:t>
        <w:tab/>
      </w:r>
      <w:r>
        <w:rPr>
          <w:spacing w:val="-2"/>
        </w:rPr>
        <w:t>√不适用</w:t>
      </w:r>
      <w:r>
        <w:rPr>
          <w:spacing w:val="-99"/>
        </w:rPr>
        <w:t> </w:t>
      </w:r>
      <w:r>
        <w:rPr>
          <w:spacing w:val="-99"/>
        </w:rPr>
      </w:r>
      <w:r>
        <w:rPr/>
        <w:t>其他激励措施</w:t>
      </w:r>
    </w:p>
    <w:p>
      <w:pPr>
        <w:spacing w:line="338" w:lineRule="auto" w:before="11"/>
        <w:ind w:left="218" w:right="70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十四、重大关联交易</w:t>
      </w:r>
      <w:r>
        <w:rPr>
          <w:rFonts w:ascii="宋体" w:hAnsi="宋体" w:cs="宋体" w:eastAsia="宋体" w:hint="default"/>
          <w:sz w:val="21"/>
          <w:szCs w:val="21"/>
        </w:rPr>
      </w:r>
    </w:p>
    <w:p>
      <w:pPr>
        <w:pStyle w:val="Heading4"/>
        <w:spacing w:line="240" w:lineRule="auto" w:before="23"/>
        <w:ind w:right="263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84"/>
        <w:ind w:right="2631"/>
        <w:jc w:val="left"/>
        <w:rPr>
          <w:b w:val="0"/>
          <w:bCs w:val="0"/>
        </w:rPr>
      </w:pPr>
      <w:r>
        <w:rPr>
          <w:rFonts w:ascii="Times New Roman" w:hAnsi="Times New Roman" w:cs="Times New Roman" w:eastAsia="Times New Roman" w:hint="default"/>
        </w:rPr>
        <w:t>1</w:t>
      </w:r>
      <w:r>
        <w:rPr/>
        <w:t>、</w:t>
      </w:r>
      <w:r>
        <w:rPr>
          <w:spacing w:val="-3"/>
        </w:rPr>
        <w:t> </w:t>
      </w:r>
      <w:r>
        <w:rPr/>
        <w:t>已在临时公告披露且后续实施无进展或变化的事项</w:t>
      </w:r>
      <w:r>
        <w:rPr>
          <w:b w:val="0"/>
          <w:bCs w:val="0"/>
        </w:rPr>
      </w:r>
    </w:p>
    <w:p>
      <w:pPr>
        <w:pStyle w:val="BodyText"/>
        <w:spacing w:line="240" w:lineRule="auto" w:before="95"/>
        <w:ind w:left="698" w:right="2631"/>
        <w:jc w:val="left"/>
      </w:pPr>
      <w:r>
        <w:rPr/>
        <w:t>□适用 √不适用</w:t>
      </w:r>
    </w:p>
    <w:p>
      <w:pPr>
        <w:pStyle w:val="Heading4"/>
        <w:spacing w:line="240" w:lineRule="auto" w:before="111"/>
        <w:ind w:right="2631"/>
        <w:jc w:val="left"/>
        <w:rPr>
          <w:b w:val="0"/>
          <w:bCs w:val="0"/>
        </w:rPr>
      </w:pPr>
      <w:r>
        <w:rPr>
          <w:rFonts w:ascii="Times New Roman" w:hAnsi="Times New Roman" w:cs="Times New Roman" w:eastAsia="Times New Roman" w:hint="default"/>
        </w:rPr>
        <w:t>2</w:t>
      </w:r>
      <w:r>
        <w:rPr/>
        <w:t>、</w:t>
      </w:r>
      <w:r>
        <w:rPr>
          <w:spacing w:val="-5"/>
        </w:rPr>
        <w:t> </w:t>
      </w:r>
      <w:r>
        <w:rPr/>
        <w:t>已在临时公告披露，但有后续实施的进展或变化的事项</w:t>
      </w:r>
      <w:r>
        <w:rPr>
          <w:b w:val="0"/>
          <w:bCs w:val="0"/>
        </w:rPr>
      </w:r>
    </w:p>
    <w:p>
      <w:pPr>
        <w:pStyle w:val="BodyText"/>
        <w:tabs>
          <w:tab w:pos="1060" w:val="left" w:leader="none"/>
        </w:tabs>
        <w:spacing w:line="240" w:lineRule="auto" w:before="95"/>
        <w:ind w:right="2631"/>
        <w:jc w:val="left"/>
      </w:pPr>
      <w:r>
        <w:rPr>
          <w:spacing w:val="-1"/>
        </w:rPr>
        <w:t>□适用</w:t>
        <w:tab/>
      </w:r>
      <w:r>
        <w:rPr>
          <w:spacing w:val="-2"/>
        </w:rPr>
        <w:t>√不适用</w:t>
      </w:r>
    </w:p>
    <w:p>
      <w:pPr>
        <w:pStyle w:val="Heading4"/>
        <w:spacing w:line="240" w:lineRule="auto" w:before="112"/>
        <w:ind w:right="2631"/>
        <w:jc w:val="left"/>
        <w:rPr>
          <w:b w:val="0"/>
          <w:bCs w:val="0"/>
        </w:rPr>
      </w:pPr>
      <w:r>
        <w:rPr>
          <w:rFonts w:ascii="Times New Roman" w:hAnsi="Times New Roman" w:cs="Times New Roman" w:eastAsia="Times New Roman" w:hint="default"/>
        </w:rPr>
        <w:t>3</w:t>
      </w:r>
      <w:r>
        <w:rPr/>
        <w:t>、</w:t>
      </w:r>
      <w:r>
        <w:rPr>
          <w:spacing w:val="-2"/>
        </w:rPr>
        <w:t> </w:t>
      </w:r>
      <w:r>
        <w:rPr/>
        <w:t>临时公告未披露的事项</w:t>
      </w:r>
      <w:r>
        <w:rPr>
          <w:b w:val="0"/>
          <w:bCs w:val="0"/>
        </w:rPr>
      </w:r>
    </w:p>
    <w:p>
      <w:pPr>
        <w:spacing w:line="338" w:lineRule="auto" w:before="93"/>
        <w:ind w:left="218" w:right="4942" w:firstLine="479"/>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4"/>
        <w:spacing w:line="240" w:lineRule="auto" w:before="25"/>
        <w:ind w:right="2631"/>
        <w:jc w:val="left"/>
        <w:rPr>
          <w:b w:val="0"/>
          <w:bCs w:val="0"/>
        </w:rPr>
      </w:pPr>
      <w:r>
        <w:rPr>
          <w:rFonts w:ascii="Times New Roman" w:hAnsi="Times New Roman" w:cs="Times New Roman" w:eastAsia="Times New Roman" w:hint="default"/>
        </w:rPr>
        <w:t>1</w:t>
      </w:r>
      <w:r>
        <w:rPr/>
        <w:t>、</w:t>
      </w:r>
      <w:r>
        <w:rPr>
          <w:spacing w:val="-3"/>
        </w:rPr>
        <w:t> </w:t>
      </w:r>
      <w:r>
        <w:rPr/>
        <w:t>已在临时公告披露且后续实施无进展或变化的事项</w:t>
      </w:r>
      <w:r>
        <w:rPr>
          <w:b w:val="0"/>
          <w:bCs w:val="0"/>
        </w:rPr>
      </w:r>
    </w:p>
    <w:p>
      <w:pPr>
        <w:pStyle w:val="BodyText"/>
        <w:spacing w:line="240" w:lineRule="auto" w:before="95"/>
        <w:ind w:left="698" w:right="2631"/>
        <w:jc w:val="left"/>
      </w:pPr>
      <w:r>
        <w:rPr/>
        <w:t>□适用 √不适用</w:t>
      </w:r>
    </w:p>
    <w:p>
      <w:pPr>
        <w:pStyle w:val="Heading4"/>
        <w:spacing w:line="240" w:lineRule="auto" w:before="111"/>
        <w:ind w:right="2631"/>
        <w:jc w:val="left"/>
        <w:rPr>
          <w:b w:val="0"/>
          <w:bCs w:val="0"/>
        </w:rPr>
      </w:pPr>
      <w:r>
        <w:rPr>
          <w:rFonts w:ascii="Times New Roman" w:hAnsi="Times New Roman" w:cs="Times New Roman" w:eastAsia="Times New Roman" w:hint="default"/>
        </w:rPr>
        <w:t>2</w:t>
      </w:r>
      <w:r>
        <w:rPr/>
        <w:t>、</w:t>
      </w:r>
      <w:r>
        <w:rPr>
          <w:spacing w:val="-5"/>
        </w:rPr>
        <w:t> </w:t>
      </w:r>
      <w:r>
        <w:rPr/>
        <w:t>已在临时公告披露，但有后续实施的进展或变化的事项</w:t>
      </w:r>
      <w:r>
        <w:rPr>
          <w:b w:val="0"/>
          <w:bCs w:val="0"/>
        </w:rPr>
      </w:r>
    </w:p>
    <w:p>
      <w:pPr>
        <w:pStyle w:val="BodyText"/>
        <w:tabs>
          <w:tab w:pos="1060" w:val="left" w:leader="none"/>
        </w:tabs>
        <w:spacing w:line="240" w:lineRule="auto" w:before="95"/>
        <w:ind w:right="2631"/>
        <w:jc w:val="left"/>
      </w:pPr>
      <w:r>
        <w:rPr>
          <w:spacing w:val="-1"/>
        </w:rPr>
        <w:t>□适用</w:t>
        <w:tab/>
      </w:r>
      <w:r>
        <w:rPr>
          <w:spacing w:val="-2"/>
        </w:rPr>
        <w:t>√不适用</w:t>
      </w:r>
    </w:p>
    <w:p>
      <w:pPr>
        <w:pStyle w:val="Heading4"/>
        <w:spacing w:line="240" w:lineRule="auto" w:before="109"/>
        <w:ind w:right="2631"/>
        <w:jc w:val="left"/>
        <w:rPr>
          <w:b w:val="0"/>
          <w:bCs w:val="0"/>
        </w:rPr>
      </w:pPr>
      <w:r>
        <w:rPr>
          <w:rFonts w:ascii="Times New Roman" w:hAnsi="Times New Roman" w:cs="Times New Roman" w:eastAsia="Times New Roman" w:hint="default"/>
        </w:rPr>
        <w:t>3</w:t>
      </w:r>
      <w:r>
        <w:rPr/>
        <w:t>、</w:t>
      </w:r>
      <w:r>
        <w:rPr>
          <w:spacing w:val="-2"/>
        </w:rPr>
        <w:t> </w:t>
      </w:r>
      <w:r>
        <w:rPr/>
        <w:t>临时公告未披露的事项</w:t>
      </w:r>
      <w:r>
        <w:rPr>
          <w:b w:val="0"/>
          <w:bCs w:val="0"/>
        </w:rPr>
      </w:r>
    </w:p>
    <w:p>
      <w:pPr>
        <w:pStyle w:val="BodyText"/>
        <w:spacing w:line="240" w:lineRule="auto" w:before="96"/>
        <w:ind w:right="2631"/>
        <w:jc w:val="left"/>
      </w:pPr>
      <w:r>
        <w:rPr/>
        <w:t>□适用</w:t>
      </w:r>
      <w:r>
        <w:rPr>
          <w:spacing w:val="-1"/>
        </w:rPr>
        <w:t> </w:t>
      </w:r>
      <w:r>
        <w:rPr/>
        <w:t>√不适用</w:t>
      </w:r>
    </w:p>
    <w:p>
      <w:pPr>
        <w:pStyle w:val="Heading4"/>
        <w:spacing w:line="240" w:lineRule="auto" w:before="111"/>
        <w:ind w:right="2631"/>
        <w:jc w:val="left"/>
        <w:rPr>
          <w:b w:val="0"/>
          <w:bCs w:val="0"/>
        </w:rPr>
      </w:pPr>
      <w:r>
        <w:rPr>
          <w:rFonts w:ascii="Times New Roman" w:hAnsi="Times New Roman" w:cs="Times New Roman" w:eastAsia="Times New Roman" w:hint="default"/>
        </w:rPr>
        <w:t>4</w:t>
      </w:r>
      <w:r>
        <w:rPr/>
        <w:t>、</w:t>
      </w:r>
      <w:r>
        <w:rPr>
          <w:spacing w:val="-6"/>
        </w:rPr>
        <w:t> </w:t>
      </w:r>
      <w:r>
        <w:rPr/>
        <w:t>涉及业绩约定的，应当披露报告期内的业绩实现情况</w:t>
      </w:r>
      <w:r>
        <w:rPr>
          <w:b w:val="0"/>
          <w:bCs w:val="0"/>
        </w:rPr>
      </w:r>
    </w:p>
    <w:p>
      <w:pPr>
        <w:pStyle w:val="BodyText"/>
        <w:tabs>
          <w:tab w:pos="1060" w:val="left" w:leader="none"/>
        </w:tabs>
        <w:spacing w:line="240" w:lineRule="auto" w:before="95"/>
        <w:ind w:right="2631"/>
        <w:jc w:val="left"/>
      </w:pPr>
      <w:r>
        <w:rPr>
          <w:spacing w:val="-1"/>
        </w:rPr>
        <w:t>□适用</w:t>
        <w:tab/>
      </w:r>
      <w:r>
        <w:rPr>
          <w:spacing w:val="-2"/>
        </w:rPr>
        <w:t>√不适用</w:t>
      </w:r>
    </w:p>
    <w:p>
      <w:pPr>
        <w:pStyle w:val="Heading4"/>
        <w:spacing w:line="240" w:lineRule="auto" w:before="111"/>
        <w:ind w:right="263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84"/>
        <w:ind w:right="2631"/>
        <w:jc w:val="left"/>
        <w:rPr>
          <w:b w:val="0"/>
          <w:bCs w:val="0"/>
        </w:rPr>
      </w:pPr>
      <w:r>
        <w:rPr>
          <w:rFonts w:ascii="Times New Roman" w:hAnsi="Times New Roman" w:cs="Times New Roman" w:eastAsia="Times New Roman" w:hint="default"/>
        </w:rPr>
        <w:t>1</w:t>
      </w:r>
      <w:r>
        <w:rPr/>
        <w:t>、</w:t>
      </w:r>
      <w:r>
        <w:rPr>
          <w:spacing w:val="-3"/>
        </w:rPr>
        <w:t> </w:t>
      </w:r>
      <w:r>
        <w:rPr/>
        <w:t>已在临时公告披露且后续实施无进展或变化的事项</w:t>
      </w:r>
      <w:r>
        <w:rPr>
          <w:b w:val="0"/>
          <w:bCs w:val="0"/>
        </w:rPr>
      </w:r>
    </w:p>
    <w:p>
      <w:pPr>
        <w:pStyle w:val="BodyText"/>
        <w:spacing w:line="240" w:lineRule="auto" w:before="93"/>
        <w:ind w:left="698" w:right="2631"/>
        <w:jc w:val="left"/>
      </w:pPr>
      <w:r>
        <w:rPr/>
        <w:t>□适用 √不适用</w:t>
      </w:r>
    </w:p>
    <w:p>
      <w:pPr>
        <w:pStyle w:val="Heading4"/>
        <w:spacing w:line="240" w:lineRule="auto" w:before="111"/>
        <w:ind w:right="2631"/>
        <w:jc w:val="left"/>
        <w:rPr>
          <w:b w:val="0"/>
          <w:bCs w:val="0"/>
        </w:rPr>
      </w:pPr>
      <w:r>
        <w:rPr>
          <w:rFonts w:ascii="Times New Roman" w:hAnsi="Times New Roman" w:cs="Times New Roman" w:eastAsia="Times New Roman" w:hint="default"/>
        </w:rPr>
        <w:t>2</w:t>
      </w:r>
      <w:r>
        <w:rPr/>
        <w:t>、</w:t>
      </w:r>
      <w:r>
        <w:rPr>
          <w:spacing w:val="-5"/>
        </w:rPr>
        <w:t> </w:t>
      </w:r>
      <w:r>
        <w:rPr/>
        <w:t>已在临时公告披露，但有后续实施的进展或变化的事项</w:t>
      </w:r>
      <w:r>
        <w:rPr>
          <w:b w:val="0"/>
          <w:bCs w:val="0"/>
        </w:rPr>
      </w:r>
    </w:p>
    <w:p>
      <w:pPr>
        <w:pStyle w:val="BodyText"/>
        <w:tabs>
          <w:tab w:pos="1060" w:val="left" w:leader="none"/>
        </w:tabs>
        <w:spacing w:line="240" w:lineRule="auto" w:before="95"/>
        <w:ind w:right="2631"/>
        <w:jc w:val="left"/>
      </w:pPr>
      <w:r>
        <w:rPr>
          <w:spacing w:val="-1"/>
        </w:rPr>
        <w:t>□适用</w:t>
        <w:tab/>
      </w:r>
      <w:r>
        <w:rPr>
          <w:spacing w:val="-2"/>
        </w:rPr>
        <w:t>√不适用</w:t>
      </w:r>
    </w:p>
    <w:p>
      <w:pPr>
        <w:pStyle w:val="Heading4"/>
        <w:spacing w:line="240" w:lineRule="auto" w:before="112"/>
        <w:ind w:right="2631"/>
        <w:jc w:val="left"/>
        <w:rPr>
          <w:b w:val="0"/>
          <w:bCs w:val="0"/>
        </w:rPr>
      </w:pPr>
      <w:r>
        <w:rPr>
          <w:rFonts w:ascii="Times New Roman" w:hAnsi="Times New Roman" w:cs="Times New Roman" w:eastAsia="Times New Roman" w:hint="default"/>
        </w:rPr>
        <w:t>3</w:t>
      </w:r>
      <w:r>
        <w:rPr/>
        <w:t>、</w:t>
      </w:r>
      <w:r>
        <w:rPr>
          <w:spacing w:val="-2"/>
        </w:rPr>
        <w:t> </w:t>
      </w:r>
      <w:r>
        <w:rPr/>
        <w:t>临时公告未披露的事项</w:t>
      </w:r>
      <w:r>
        <w:rPr>
          <w:b w:val="0"/>
          <w:bCs w:val="0"/>
        </w:rPr>
      </w:r>
    </w:p>
    <w:p>
      <w:pPr>
        <w:pStyle w:val="BodyText"/>
        <w:spacing w:line="240" w:lineRule="auto" w:before="95"/>
        <w:ind w:right="2631"/>
        <w:jc w:val="left"/>
      </w:pPr>
      <w:r>
        <w:rPr/>
        <w:t>□适用</w:t>
      </w:r>
      <w:r>
        <w:rPr>
          <w:spacing w:val="-1"/>
        </w:rPr>
        <w:t> </w:t>
      </w:r>
      <w:r>
        <w:rPr/>
        <w:t>√不适用</w:t>
      </w:r>
    </w:p>
    <w:p>
      <w:pPr>
        <w:spacing w:after="0" w:line="240" w:lineRule="auto"/>
        <w:jc w:val="left"/>
        <w:sectPr>
          <w:pgSz w:w="11910" w:h="16840"/>
          <w:pgMar w:header="855" w:footer="979" w:top="1120" w:bottom="1160" w:left="1580" w:right="1140"/>
        </w:sectPr>
      </w:pPr>
    </w:p>
    <w:p>
      <w:pPr>
        <w:spacing w:line="240" w:lineRule="auto" w:before="4"/>
        <w:rPr>
          <w:rFonts w:ascii="宋体" w:hAnsi="宋体" w:cs="宋体" w:eastAsia="宋体" w:hint="default"/>
          <w:sz w:val="27"/>
          <w:szCs w:val="27"/>
        </w:rPr>
      </w:pPr>
    </w:p>
    <w:p>
      <w:pPr>
        <w:pStyle w:val="Heading4"/>
        <w:spacing w:line="240" w:lineRule="auto"/>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84"/>
        <w:ind w:left="138" w:right="0"/>
        <w:jc w:val="left"/>
        <w:rPr>
          <w:b w:val="0"/>
          <w:bCs w:val="0"/>
        </w:rPr>
      </w:pPr>
      <w:r>
        <w:rPr>
          <w:rFonts w:ascii="Times New Roman" w:hAnsi="Times New Roman" w:cs="Times New Roman" w:eastAsia="Times New Roman" w:hint="default"/>
        </w:rPr>
        <w:t>1</w:t>
      </w:r>
      <w:r>
        <w:rPr/>
        <w:t>、</w:t>
      </w:r>
      <w:r>
        <w:rPr>
          <w:spacing w:val="-3"/>
        </w:rPr>
        <w:t> </w:t>
      </w:r>
      <w:r>
        <w:rPr/>
        <w:t>已在临时公告披露且后续实施无进展或变化的事项</w:t>
      </w:r>
      <w:r>
        <w:rPr>
          <w:b w:val="0"/>
          <w:bCs w:val="0"/>
        </w:rPr>
      </w:r>
    </w:p>
    <w:p>
      <w:pPr>
        <w:pStyle w:val="BodyText"/>
        <w:spacing w:line="240" w:lineRule="auto" w:before="95"/>
        <w:ind w:left="539" w:right="6830"/>
        <w:jc w:val="center"/>
      </w:pPr>
      <w:r>
        <w:rPr/>
        <w:t>□适用 √不适用</w:t>
      </w:r>
    </w:p>
    <w:p>
      <w:pPr>
        <w:pStyle w:val="Heading4"/>
        <w:spacing w:line="240" w:lineRule="auto" w:before="111"/>
        <w:ind w:left="138" w:right="0"/>
        <w:jc w:val="left"/>
        <w:rPr>
          <w:b w:val="0"/>
          <w:bCs w:val="0"/>
        </w:rPr>
      </w:pPr>
      <w:r>
        <w:rPr>
          <w:rFonts w:ascii="Times New Roman" w:hAnsi="Times New Roman" w:cs="Times New Roman" w:eastAsia="Times New Roman" w:hint="default"/>
        </w:rPr>
        <w:t>2</w:t>
      </w:r>
      <w:r>
        <w:rPr/>
        <w:t>、</w:t>
      </w:r>
      <w:r>
        <w:rPr>
          <w:spacing w:val="-5"/>
        </w:rPr>
        <w:t> </w:t>
      </w:r>
      <w:r>
        <w:rPr/>
        <w:t>已在临时公告披露，但有后续实施的进展或变化的事项</w:t>
      </w:r>
      <w:r>
        <w:rPr>
          <w:b w:val="0"/>
          <w:bCs w:val="0"/>
        </w:rPr>
      </w:r>
    </w:p>
    <w:p>
      <w:pPr>
        <w:pStyle w:val="BodyText"/>
        <w:tabs>
          <w:tab w:pos="980" w:val="left" w:leader="none"/>
        </w:tabs>
        <w:spacing w:line="240" w:lineRule="auto" w:before="95"/>
        <w:ind w:left="138" w:right="0"/>
        <w:jc w:val="left"/>
      </w:pPr>
      <w:r>
        <w:rPr>
          <w:spacing w:val="-1"/>
        </w:rPr>
        <w:t>□适用</w:t>
        <w:tab/>
      </w:r>
      <w:r>
        <w:rPr>
          <w:spacing w:val="-2"/>
        </w:rPr>
        <w:t>√不适用</w:t>
      </w:r>
    </w:p>
    <w:p>
      <w:pPr>
        <w:pStyle w:val="Heading4"/>
        <w:spacing w:line="240" w:lineRule="auto" w:before="111"/>
        <w:ind w:left="138" w:right="0"/>
        <w:jc w:val="left"/>
        <w:rPr>
          <w:b w:val="0"/>
          <w:bCs w:val="0"/>
        </w:rPr>
      </w:pPr>
      <w:r>
        <w:rPr>
          <w:rFonts w:ascii="Times New Roman" w:hAnsi="Times New Roman" w:cs="Times New Roman" w:eastAsia="Times New Roman" w:hint="default"/>
        </w:rPr>
        <w:t>3</w:t>
      </w:r>
      <w:r>
        <w:rPr/>
        <w:t>、</w:t>
      </w:r>
      <w:r>
        <w:rPr>
          <w:spacing w:val="-2"/>
        </w:rPr>
        <w:t> </w:t>
      </w:r>
      <w:r>
        <w:rPr/>
        <w:t>临时公告未披露的事项</w:t>
      </w:r>
      <w:r>
        <w:rPr>
          <w:b w:val="0"/>
          <w:bCs w:val="0"/>
        </w:rPr>
      </w:r>
    </w:p>
    <w:p>
      <w:pPr>
        <w:pStyle w:val="BodyText"/>
        <w:spacing w:line="240" w:lineRule="auto" w:before="93"/>
        <w:ind w:left="539" w:right="6830"/>
        <w:jc w:val="center"/>
      </w:pPr>
      <w:r>
        <w:rPr/>
        <w:t>□适用 √不适用</w:t>
      </w:r>
    </w:p>
    <w:p>
      <w:pPr>
        <w:pStyle w:val="Heading4"/>
        <w:spacing w:line="240" w:lineRule="auto" w:before="111"/>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Heading4"/>
        <w:tabs>
          <w:tab w:pos="977" w:val="left" w:leader="none"/>
        </w:tabs>
        <w:spacing w:line="338" w:lineRule="auto" w:before="84"/>
        <w:ind w:left="138" w:right="6016"/>
        <w:jc w:val="left"/>
        <w:rPr>
          <w:b w:val="0"/>
          <w:bCs w:val="0"/>
        </w:rPr>
      </w:pPr>
      <w:r>
        <w:rPr>
          <w:rFonts w:ascii="宋体" w:hAnsi="宋体" w:cs="宋体" w:eastAsia="宋体" w:hint="default"/>
          <w:b w:val="0"/>
          <w:bCs w:val="0"/>
          <w:spacing w:val="-1"/>
        </w:rPr>
        <w:t>□适用</w:t>
        <w:tab/>
      </w:r>
      <w:r>
        <w:rPr>
          <w:rFonts w:ascii="宋体" w:hAnsi="宋体" w:cs="宋体" w:eastAsia="宋体" w:hint="default"/>
          <w:b w:val="0"/>
          <w:bCs w:val="0"/>
          <w:spacing w:val="-2"/>
        </w:rPr>
        <w:t>√不适用</w:t>
      </w:r>
      <w:r>
        <w:rPr>
          <w:rFonts w:ascii="宋体" w:hAnsi="宋体" w:cs="宋体" w:eastAsia="宋体" w:hint="default"/>
          <w:b w:val="0"/>
          <w:bCs w:val="0"/>
          <w:spacing w:val="-99"/>
        </w:rPr>
        <w:t> </w:t>
      </w:r>
      <w:r>
        <w:rPr>
          <w:rFonts w:ascii="宋体" w:hAnsi="宋体" w:cs="宋体" w:eastAsia="宋体" w:hint="default"/>
          <w:b w:val="0"/>
          <w:bCs w:val="0"/>
          <w:spacing w:val="-99"/>
        </w:rPr>
      </w: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Times New Roman" w:hAnsi="Times New Roman" w:cs="Times New Roman" w:eastAsia="Times New Roman" w:hint="default"/>
        </w:rPr>
        <w:t>1</w:t>
      </w:r>
      <w:r>
        <w:rPr/>
        <w:t>、</w:t>
      </w:r>
      <w:r>
        <w:rPr>
          <w:spacing w:val="-1"/>
        </w:rPr>
        <w:t> </w:t>
      </w:r>
      <w:r>
        <w:rPr/>
        <w:t>托管情况</w:t>
      </w:r>
      <w:r>
        <w:rPr>
          <w:b w:val="0"/>
          <w:bCs w:val="0"/>
        </w:rPr>
      </w:r>
    </w:p>
    <w:p>
      <w:pPr>
        <w:pStyle w:val="BodyText"/>
        <w:spacing w:line="273" w:lineRule="exact"/>
        <w:ind w:left="539" w:right="6830"/>
        <w:jc w:val="center"/>
      </w:pPr>
      <w:r>
        <w:rPr/>
        <w:t>□适用 √不适用</w:t>
      </w:r>
    </w:p>
    <w:p>
      <w:pPr>
        <w:pStyle w:val="Heading4"/>
        <w:spacing w:line="240" w:lineRule="auto" w:before="111"/>
        <w:ind w:left="138" w:right="0"/>
        <w:jc w:val="left"/>
        <w:rPr>
          <w:b w:val="0"/>
          <w:bCs w:val="0"/>
        </w:rPr>
      </w:pPr>
      <w:r>
        <w:rPr>
          <w:rFonts w:ascii="Times New Roman" w:hAnsi="Times New Roman" w:cs="Times New Roman" w:eastAsia="Times New Roman" w:hint="default"/>
        </w:rPr>
        <w:t>2</w:t>
      </w:r>
      <w:r>
        <w:rPr/>
        <w:t>、</w:t>
      </w:r>
      <w:r>
        <w:rPr>
          <w:spacing w:val="-1"/>
        </w:rPr>
        <w:t> </w:t>
      </w:r>
      <w:r>
        <w:rPr/>
        <w:t>承包情况</w:t>
      </w:r>
      <w:r>
        <w:rPr>
          <w:b w:val="0"/>
          <w:bCs w:val="0"/>
        </w:rPr>
      </w:r>
    </w:p>
    <w:p>
      <w:pPr>
        <w:pStyle w:val="BodyText"/>
        <w:spacing w:line="240" w:lineRule="auto" w:before="95"/>
        <w:ind w:left="138" w:right="0"/>
        <w:jc w:val="left"/>
      </w:pPr>
      <w:r>
        <w:rPr/>
        <w:t>□适用</w:t>
      </w:r>
      <w:r>
        <w:rPr>
          <w:spacing w:val="-1"/>
        </w:rPr>
        <w:t> </w:t>
      </w:r>
      <w:r>
        <w:rPr/>
        <w:t>√不适用</w:t>
      </w:r>
    </w:p>
    <w:p>
      <w:pPr>
        <w:pStyle w:val="Heading4"/>
        <w:spacing w:line="240" w:lineRule="auto" w:before="111"/>
        <w:ind w:left="138" w:right="0"/>
        <w:jc w:val="left"/>
        <w:rPr>
          <w:b w:val="0"/>
          <w:bCs w:val="0"/>
        </w:rPr>
      </w:pPr>
      <w:r>
        <w:rPr>
          <w:rFonts w:ascii="Times New Roman" w:hAnsi="Times New Roman" w:cs="Times New Roman" w:eastAsia="Times New Roman" w:hint="default"/>
        </w:rPr>
        <w:t>3</w:t>
      </w:r>
      <w:r>
        <w:rPr/>
        <w:t>、</w:t>
      </w:r>
      <w:r>
        <w:rPr>
          <w:spacing w:val="-1"/>
        </w:rPr>
        <w:t> </w:t>
      </w:r>
      <w:r>
        <w:rPr/>
        <w:t>租赁情况</w:t>
      </w:r>
      <w:r>
        <w:rPr>
          <w:b w:val="0"/>
          <w:bCs w:val="0"/>
        </w:rPr>
      </w:r>
    </w:p>
    <w:p>
      <w:pPr>
        <w:pStyle w:val="BodyText"/>
        <w:spacing w:line="240" w:lineRule="auto" w:before="95"/>
        <w:ind w:left="138" w:right="0"/>
        <w:jc w:val="left"/>
      </w:pPr>
      <w:r>
        <w:rPr/>
        <w:t>□适用</w:t>
      </w:r>
      <w:r>
        <w:rPr>
          <w:spacing w:val="-1"/>
        </w:rPr>
        <w:t> </w:t>
      </w:r>
      <w:r>
        <w:rPr/>
        <w:t>√不适用</w:t>
      </w:r>
    </w:p>
    <w:p>
      <w:pPr>
        <w:spacing w:after="0" w:line="240" w:lineRule="auto"/>
        <w:jc w:val="left"/>
        <w:sectPr>
          <w:pgSz w:w="11910" w:h="16840"/>
          <w:pgMar w:header="855" w:footer="979" w:top="1120" w:bottom="116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0"/>
          <w:footerReference w:type="default" r:id="rId21"/>
          <w:pgSz w:w="16840" w:h="11910" w:orient="landscape"/>
          <w:pgMar w:header="855" w:footer="980" w:top="1120" w:bottom="1160" w:left="1300" w:right="1380"/>
          <w:pgNumType w:start="42"/>
        </w:sectPr>
      </w:pPr>
    </w:p>
    <w:p>
      <w:pPr>
        <w:spacing w:line="240" w:lineRule="auto" w:before="7"/>
        <w:rPr>
          <w:rFonts w:ascii="宋体" w:hAnsi="宋体" w:cs="宋体" w:eastAsia="宋体" w:hint="default"/>
          <w:sz w:val="15"/>
          <w:szCs w:val="15"/>
        </w:rPr>
      </w:pPr>
    </w:p>
    <w:p>
      <w:pPr>
        <w:pStyle w:val="Heading4"/>
        <w:tabs>
          <w:tab w:pos="980" w:val="left" w:leader="none"/>
        </w:tabs>
        <w:spacing w:line="240" w:lineRule="auto" w:before="0"/>
        <w:ind w:left="140" w:right="-19"/>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111"/>
        <w:ind w:left="14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402" w:val="left" w:leader="none"/>
        </w:tabs>
        <w:spacing w:line="240" w:lineRule="auto"/>
        <w:ind w:left="140" w:right="0"/>
        <w:jc w:val="left"/>
      </w:pPr>
      <w:r>
        <w:rPr/>
        <w:t>单位</w:t>
      </w:r>
      <w:r>
        <w:rPr>
          <w:rFonts w:ascii="宋体" w:hAnsi="宋体" w:cs="宋体" w:eastAsia="宋体" w:hint="default"/>
        </w:rPr>
        <w:t>:</w:t>
      </w:r>
      <w:r>
        <w:rPr>
          <w:rFonts w:ascii="宋体" w:hAnsi="宋体" w:cs="宋体" w:eastAsia="宋体" w:hint="default"/>
          <w:spacing w:val="3"/>
        </w:rPr>
        <w:t> </w:t>
      </w:r>
      <w:r>
        <w:rPr/>
        <w:t>万元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6840" w:h="11910" w:orient="landscape"/>
          <w:pgMar w:top="1580" w:bottom="280" w:left="1300" w:right="1380"/>
          <w:cols w:num="2" w:equalWidth="0">
            <w:col w:w="1826" w:space="9526"/>
            <w:col w:w="2808"/>
          </w:cols>
        </w:sectPr>
      </w:pPr>
    </w:p>
    <w:p>
      <w:pPr>
        <w:spacing w:line="240" w:lineRule="auto" w:before="5"/>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980"/>
        <w:gridCol w:w="977"/>
        <w:gridCol w:w="1176"/>
        <w:gridCol w:w="1136"/>
        <w:gridCol w:w="1426"/>
        <w:gridCol w:w="1143"/>
        <w:gridCol w:w="1140"/>
        <w:gridCol w:w="710"/>
        <w:gridCol w:w="998"/>
        <w:gridCol w:w="855"/>
        <w:gridCol w:w="998"/>
        <w:gridCol w:w="710"/>
        <w:gridCol w:w="715"/>
        <w:gridCol w:w="972"/>
      </w:tblGrid>
      <w:tr>
        <w:trPr>
          <w:trHeight w:val="370" w:hRule="exact"/>
        </w:trPr>
        <w:tc>
          <w:tcPr>
            <w:tcW w:w="13937"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09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67"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62" w:right="60"/>
              <w:jc w:val="both"/>
              <w:rPr>
                <w:rFonts w:ascii="宋体" w:hAnsi="宋体" w:cs="宋体" w:eastAsia="宋体" w:hint="default"/>
                <w:sz w:val="21"/>
                <w:szCs w:val="21"/>
              </w:rPr>
            </w:pPr>
            <w:r>
              <w:rPr>
                <w:rFonts w:ascii="宋体" w:hAnsi="宋体" w:cs="宋体" w:eastAsia="宋体" w:hint="default"/>
                <w:sz w:val="21"/>
                <w:szCs w:val="21"/>
              </w:rPr>
              <w:t>担保方与</w:t>
            </w:r>
            <w:r>
              <w:rPr>
                <w:rFonts w:ascii="宋体" w:hAnsi="宋体" w:cs="宋体" w:eastAsia="宋体" w:hint="default"/>
                <w:w w:val="100"/>
                <w:sz w:val="21"/>
                <w:szCs w:val="21"/>
              </w:rPr>
              <w:t> </w:t>
            </w:r>
            <w:r>
              <w:rPr>
                <w:rFonts w:ascii="宋体" w:hAnsi="宋体" w:cs="宋体" w:eastAsia="宋体" w:hint="default"/>
                <w:sz w:val="21"/>
                <w:szCs w:val="21"/>
              </w:rPr>
              <w:t>上市公司</w:t>
            </w:r>
            <w:r>
              <w:rPr>
                <w:rFonts w:ascii="宋体" w:hAnsi="宋体" w:cs="宋体" w:eastAsia="宋体" w:hint="default"/>
                <w:w w:val="100"/>
                <w:sz w:val="21"/>
                <w:szCs w:val="21"/>
              </w:rPr>
              <w:t> </w:t>
            </w:r>
            <w:r>
              <w:rPr>
                <w:rFonts w:ascii="宋体" w:hAnsi="宋体" w:cs="宋体" w:eastAsia="宋体" w:hint="default"/>
                <w:sz w:val="21"/>
                <w:szCs w:val="21"/>
              </w:rPr>
              <w:t>的关系</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60"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140"/>
              <w:jc w:val="right"/>
              <w:rPr>
                <w:rFonts w:ascii="宋体" w:hAnsi="宋体" w:cs="宋体" w:eastAsia="宋体" w:hint="default"/>
                <w:sz w:val="21"/>
                <w:szCs w:val="21"/>
              </w:rPr>
            </w:pPr>
            <w:r>
              <w:rPr>
                <w:rFonts w:ascii="宋体" w:hAnsi="宋体" w:cs="宋体" w:eastAsia="宋体" w:hint="default"/>
                <w:spacing w:val="-1"/>
                <w:sz w:val="21"/>
                <w:szCs w:val="21"/>
              </w:rPr>
              <w:t>担保金额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76" w:right="74"/>
              <w:jc w:val="left"/>
              <w:rPr>
                <w:rFonts w:ascii="宋体" w:hAnsi="宋体" w:cs="宋体" w:eastAsia="宋体" w:hint="default"/>
                <w:sz w:val="21"/>
                <w:szCs w:val="21"/>
              </w:rPr>
            </w:pPr>
            <w:r>
              <w:rPr>
                <w:rFonts w:ascii="宋体" w:hAnsi="宋体" w:cs="宋体" w:eastAsia="宋体" w:hint="default"/>
                <w:sz w:val="21"/>
                <w:szCs w:val="21"/>
              </w:rPr>
              <w:t>担保发生日期</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协议签署日</w:t>
            </w:r>
            <w:r>
              <w:rPr>
                <w:rFonts w:ascii="宋体" w:hAnsi="宋体" w:cs="宋体" w:eastAsia="宋体" w:hint="default"/>
                <w:sz w:val="21"/>
                <w:szCs w:val="21"/>
              </w:rPr>
              <w:t>)</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249" w:right="249"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247" w:right="247"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242" w:right="31" w:hanging="209"/>
              <w:jc w:val="left"/>
              <w:rPr>
                <w:rFonts w:ascii="宋体" w:hAnsi="宋体" w:cs="宋体" w:eastAsia="宋体" w:hint="default"/>
                <w:sz w:val="21"/>
                <w:szCs w:val="21"/>
              </w:rPr>
            </w:pPr>
            <w:r>
              <w:rPr>
                <w:rFonts w:ascii="宋体" w:hAnsi="宋体" w:cs="宋体" w:eastAsia="宋体" w:hint="default"/>
                <w:sz w:val="21"/>
                <w:szCs w:val="21"/>
              </w:rPr>
              <w:t>担保类</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74" w:right="69"/>
              <w:jc w:val="center"/>
              <w:rPr>
                <w:rFonts w:ascii="宋体" w:hAnsi="宋体" w:cs="宋体" w:eastAsia="宋体" w:hint="default"/>
                <w:sz w:val="21"/>
                <w:szCs w:val="21"/>
              </w:rPr>
            </w:pPr>
            <w:r>
              <w:rPr>
                <w:rFonts w:ascii="宋体" w:hAnsi="宋体" w:cs="宋体" w:eastAsia="宋体" w:hint="default"/>
                <w:sz w:val="21"/>
                <w:szCs w:val="21"/>
              </w:rPr>
              <w:t>担保是否</w:t>
            </w:r>
            <w:r>
              <w:rPr>
                <w:rFonts w:ascii="宋体" w:hAnsi="宋体" w:cs="宋体" w:eastAsia="宋体" w:hint="default"/>
                <w:w w:val="100"/>
                <w:sz w:val="21"/>
                <w:szCs w:val="21"/>
              </w:rPr>
              <w:t> </w:t>
            </w:r>
            <w:r>
              <w:rPr>
                <w:rFonts w:ascii="宋体" w:hAnsi="宋体" w:cs="宋体" w:eastAsia="宋体" w:hint="default"/>
                <w:sz w:val="21"/>
                <w:szCs w:val="21"/>
              </w:rPr>
              <w:t>已经履行</w:t>
            </w:r>
            <w:r>
              <w:rPr>
                <w:rFonts w:ascii="宋体" w:hAnsi="宋体" w:cs="宋体" w:eastAsia="宋体" w:hint="default"/>
                <w:w w:val="100"/>
                <w:sz w:val="21"/>
                <w:szCs w:val="21"/>
              </w:rPr>
              <w:t> </w:t>
            </w:r>
            <w:r>
              <w:rPr>
                <w:rFonts w:ascii="宋体" w:hAnsi="宋体" w:cs="宋体" w:eastAsia="宋体" w:hint="default"/>
                <w:sz w:val="21"/>
                <w:szCs w:val="21"/>
              </w:rPr>
              <w:t>完毕</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107" w:right="101"/>
              <w:jc w:val="left"/>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spacing w:val="-102"/>
                <w:sz w:val="21"/>
                <w:szCs w:val="21"/>
              </w:rPr>
              <w:t> </w:t>
            </w:r>
            <w:r>
              <w:rPr>
                <w:rFonts w:ascii="宋体" w:hAnsi="宋体" w:cs="宋体" w:eastAsia="宋体" w:hint="default"/>
                <w:sz w:val="21"/>
                <w:szCs w:val="21"/>
              </w:rPr>
              <w:t>否逾期</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285" w:right="69" w:hanging="212"/>
              <w:jc w:val="left"/>
              <w:rPr>
                <w:rFonts w:ascii="宋体" w:hAnsi="宋体" w:cs="宋体" w:eastAsia="宋体" w:hint="default"/>
                <w:sz w:val="21"/>
                <w:szCs w:val="21"/>
              </w:rPr>
            </w:pPr>
            <w:r>
              <w:rPr>
                <w:rFonts w:ascii="宋体" w:hAnsi="宋体" w:cs="宋体" w:eastAsia="宋体" w:hint="default"/>
                <w:sz w:val="21"/>
                <w:szCs w:val="21"/>
              </w:rPr>
              <w:t>担保逾期</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35" w:right="29"/>
              <w:jc w:val="center"/>
              <w:rPr>
                <w:rFonts w:ascii="宋体" w:hAnsi="宋体" w:cs="宋体" w:eastAsia="宋体" w:hint="default"/>
                <w:sz w:val="21"/>
                <w:szCs w:val="21"/>
              </w:rPr>
            </w:pPr>
            <w:r>
              <w:rPr>
                <w:rFonts w:ascii="宋体" w:hAnsi="宋体" w:cs="宋体" w:eastAsia="宋体" w:hint="default"/>
                <w:sz w:val="21"/>
                <w:szCs w:val="21"/>
              </w:rPr>
              <w:t>是否存</w:t>
            </w:r>
            <w:r>
              <w:rPr>
                <w:rFonts w:ascii="宋体" w:hAnsi="宋体" w:cs="宋体" w:eastAsia="宋体" w:hint="default"/>
                <w:w w:val="100"/>
                <w:sz w:val="21"/>
                <w:szCs w:val="21"/>
              </w:rPr>
              <w:t> </w:t>
            </w:r>
            <w:r>
              <w:rPr>
                <w:rFonts w:ascii="宋体" w:hAnsi="宋体" w:cs="宋体" w:eastAsia="宋体" w:hint="default"/>
                <w:sz w:val="21"/>
                <w:szCs w:val="21"/>
              </w:rPr>
              <w:t>在反担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36" w:right="35"/>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268" w:right="269"/>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1090"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22"/>
              <w:jc w:val="both"/>
              <w:rPr>
                <w:rFonts w:ascii="宋体" w:hAnsi="宋体" w:cs="宋体" w:eastAsia="宋体" w:hint="default"/>
                <w:sz w:val="21"/>
                <w:szCs w:val="21"/>
              </w:rPr>
            </w:pPr>
            <w:r>
              <w:rPr>
                <w:rFonts w:ascii="宋体" w:hAnsi="宋体" w:cs="宋体" w:eastAsia="宋体" w:hint="default"/>
                <w:spacing w:val="11"/>
                <w:sz w:val="21"/>
                <w:szCs w:val="21"/>
              </w:rPr>
              <w:t>南威</w:t>
            </w:r>
            <w:r>
              <w:rPr>
                <w:rFonts w:ascii="宋体" w:hAnsi="宋体" w:cs="宋体" w:eastAsia="宋体" w:hint="default"/>
                <w:spacing w:val="-75"/>
                <w:sz w:val="21"/>
                <w:szCs w:val="21"/>
              </w:rPr>
              <w:t> </w:t>
            </w:r>
            <w:r>
              <w:rPr>
                <w:rFonts w:ascii="宋体" w:hAnsi="宋体" w:cs="宋体" w:eastAsia="宋体" w:hint="default"/>
                <w:spacing w:val="11"/>
                <w:sz w:val="21"/>
                <w:szCs w:val="21"/>
              </w:rPr>
              <w:t>软件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股份</w:t>
            </w:r>
            <w:r>
              <w:rPr>
                <w:rFonts w:ascii="宋体" w:hAnsi="宋体" w:cs="宋体" w:eastAsia="宋体" w:hint="default"/>
                <w:spacing w:val="-75"/>
                <w:sz w:val="21"/>
                <w:szCs w:val="21"/>
              </w:rPr>
              <w:t> </w:t>
            </w:r>
            <w:r>
              <w:rPr>
                <w:rFonts w:ascii="宋体" w:hAnsi="宋体" w:cs="宋体" w:eastAsia="宋体" w:hint="default"/>
                <w:spacing w:val="11"/>
                <w:sz w:val="21"/>
                <w:szCs w:val="21"/>
              </w:rPr>
              <w:t>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3" w:right="22"/>
              <w:jc w:val="both"/>
              <w:rPr>
                <w:rFonts w:ascii="宋体" w:hAnsi="宋体" w:cs="宋体" w:eastAsia="宋体" w:hint="default"/>
                <w:sz w:val="21"/>
                <w:szCs w:val="21"/>
              </w:rPr>
            </w:pPr>
            <w:r>
              <w:rPr>
                <w:rFonts w:ascii="宋体" w:hAnsi="宋体" w:cs="宋体" w:eastAsia="宋体" w:hint="default"/>
                <w:spacing w:val="11"/>
                <w:sz w:val="21"/>
                <w:szCs w:val="21"/>
              </w:rPr>
              <w:t>福建神威系</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统集成有限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责任公司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0"/>
                <w:szCs w:val="30"/>
              </w:rPr>
            </w:pPr>
          </w:p>
          <w:p>
            <w:pPr>
              <w:pStyle w:val="TableParagraph"/>
              <w:spacing w:line="240" w:lineRule="auto"/>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p>
          <w:p>
            <w:pPr>
              <w:pStyle w:val="TableParagraph"/>
              <w:spacing w:line="240" w:lineRule="auto" w:before="69"/>
              <w:ind w:left="6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p>
          <w:p>
            <w:pPr>
              <w:pStyle w:val="TableParagraph"/>
              <w:spacing w:line="240" w:lineRule="auto" w:before="69"/>
              <w:ind w:left="6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24" w:right="12"/>
              <w:jc w:val="left"/>
              <w:rPr>
                <w:rFonts w:ascii="宋体" w:hAnsi="宋体" w:cs="宋体" w:eastAsia="宋体" w:hint="default"/>
                <w:sz w:val="21"/>
                <w:szCs w:val="21"/>
              </w:rPr>
            </w:pPr>
            <w:r>
              <w:rPr>
                <w:rFonts w:ascii="宋体" w:hAnsi="宋体" w:cs="宋体" w:eastAsia="宋体" w:hint="default"/>
                <w:spacing w:val="8"/>
                <w:sz w:val="21"/>
                <w:szCs w:val="21"/>
              </w:rPr>
              <w:t>连带责</w:t>
            </w:r>
            <w:r>
              <w:rPr>
                <w:rFonts w:ascii="宋体" w:hAnsi="宋体" w:cs="宋体" w:eastAsia="宋体" w:hint="default"/>
                <w:spacing w:val="-99"/>
                <w:sz w:val="21"/>
                <w:szCs w:val="21"/>
              </w:rPr>
              <w:t> </w:t>
            </w:r>
            <w:r>
              <w:rPr>
                <w:rFonts w:ascii="宋体" w:hAnsi="宋体" w:cs="宋体" w:eastAsia="宋体" w:hint="default"/>
                <w:sz w:val="21"/>
                <w:szCs w:val="21"/>
              </w:rPr>
              <w:t>任担保</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联营公司</w:t>
            </w:r>
          </w:p>
        </w:tc>
      </w:tr>
      <w:tr>
        <w:trPr>
          <w:trHeight w:val="1090"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22"/>
              <w:jc w:val="both"/>
              <w:rPr>
                <w:rFonts w:ascii="宋体" w:hAnsi="宋体" w:cs="宋体" w:eastAsia="宋体" w:hint="default"/>
                <w:sz w:val="21"/>
                <w:szCs w:val="21"/>
              </w:rPr>
            </w:pPr>
            <w:r>
              <w:rPr>
                <w:rFonts w:ascii="宋体" w:hAnsi="宋体" w:cs="宋体" w:eastAsia="宋体" w:hint="default"/>
                <w:spacing w:val="11"/>
                <w:sz w:val="21"/>
                <w:szCs w:val="21"/>
              </w:rPr>
              <w:t>南威</w:t>
            </w:r>
            <w:r>
              <w:rPr>
                <w:rFonts w:ascii="宋体" w:hAnsi="宋体" w:cs="宋体" w:eastAsia="宋体" w:hint="default"/>
                <w:spacing w:val="-75"/>
                <w:sz w:val="21"/>
                <w:szCs w:val="21"/>
              </w:rPr>
              <w:t> </w:t>
            </w:r>
            <w:r>
              <w:rPr>
                <w:rFonts w:ascii="宋体" w:hAnsi="宋体" w:cs="宋体" w:eastAsia="宋体" w:hint="default"/>
                <w:spacing w:val="11"/>
                <w:sz w:val="21"/>
                <w:szCs w:val="21"/>
              </w:rPr>
              <w:t>软件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股份</w:t>
            </w:r>
            <w:r>
              <w:rPr>
                <w:rFonts w:ascii="宋体" w:hAnsi="宋体" w:cs="宋体" w:eastAsia="宋体" w:hint="default"/>
                <w:spacing w:val="-75"/>
                <w:sz w:val="21"/>
                <w:szCs w:val="21"/>
              </w:rPr>
              <w:t> </w:t>
            </w:r>
            <w:r>
              <w:rPr>
                <w:rFonts w:ascii="宋体" w:hAnsi="宋体" w:cs="宋体" w:eastAsia="宋体" w:hint="default"/>
                <w:spacing w:val="11"/>
                <w:sz w:val="21"/>
                <w:szCs w:val="21"/>
              </w:rPr>
              <w:t>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3" w:right="22"/>
              <w:jc w:val="both"/>
              <w:rPr>
                <w:rFonts w:ascii="宋体" w:hAnsi="宋体" w:cs="宋体" w:eastAsia="宋体" w:hint="default"/>
                <w:sz w:val="21"/>
                <w:szCs w:val="21"/>
              </w:rPr>
            </w:pPr>
            <w:r>
              <w:rPr>
                <w:rFonts w:ascii="宋体" w:hAnsi="宋体" w:cs="宋体" w:eastAsia="宋体" w:hint="default"/>
                <w:spacing w:val="11"/>
                <w:sz w:val="21"/>
                <w:szCs w:val="21"/>
              </w:rPr>
              <w:t>福建神威系</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统集成有限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责任公司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1,400.00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69"/>
              <w:ind w:right="24"/>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p>
          <w:p>
            <w:pPr>
              <w:pStyle w:val="TableParagraph"/>
              <w:spacing w:line="240" w:lineRule="auto" w:before="69"/>
              <w:ind w:left="6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p>
          <w:p>
            <w:pPr>
              <w:pStyle w:val="TableParagraph"/>
              <w:spacing w:line="240" w:lineRule="auto" w:before="69"/>
              <w:ind w:left="6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24" w:right="12"/>
              <w:jc w:val="left"/>
              <w:rPr>
                <w:rFonts w:ascii="宋体" w:hAnsi="宋体" w:cs="宋体" w:eastAsia="宋体" w:hint="default"/>
                <w:sz w:val="21"/>
                <w:szCs w:val="21"/>
              </w:rPr>
            </w:pPr>
            <w:r>
              <w:rPr>
                <w:rFonts w:ascii="宋体" w:hAnsi="宋体" w:cs="宋体" w:eastAsia="宋体" w:hint="default"/>
                <w:spacing w:val="8"/>
                <w:sz w:val="21"/>
                <w:szCs w:val="21"/>
              </w:rPr>
              <w:t>连带责</w:t>
            </w:r>
            <w:r>
              <w:rPr>
                <w:rFonts w:ascii="宋体" w:hAnsi="宋体" w:cs="宋体" w:eastAsia="宋体" w:hint="default"/>
                <w:spacing w:val="-99"/>
                <w:sz w:val="21"/>
                <w:szCs w:val="21"/>
              </w:rPr>
              <w:t> </w:t>
            </w:r>
            <w:r>
              <w:rPr>
                <w:rFonts w:ascii="宋体" w:hAnsi="宋体" w:cs="宋体" w:eastAsia="宋体" w:hint="default"/>
                <w:sz w:val="21"/>
                <w:szCs w:val="21"/>
              </w:rPr>
              <w:t>任担保</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联营公司</w:t>
            </w:r>
          </w:p>
        </w:tc>
      </w:tr>
      <w:tr>
        <w:trPr>
          <w:trHeight w:val="370" w:hRule="exact"/>
        </w:trPr>
        <w:tc>
          <w:tcPr>
            <w:tcW w:w="68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71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
              <w:jc w:val="right"/>
              <w:rPr>
                <w:rFonts w:ascii="Times New Roman" w:hAnsi="Times New Roman" w:cs="Times New Roman" w:eastAsia="Times New Roman" w:hint="default"/>
                <w:sz w:val="21"/>
                <w:szCs w:val="21"/>
              </w:rPr>
            </w:pPr>
            <w:r>
              <w:rPr>
                <w:rFonts w:ascii="Times New Roman"/>
                <w:spacing w:val="-1"/>
                <w:sz w:val="21"/>
              </w:rPr>
              <w:t>3,688.37</w:t>
            </w:r>
          </w:p>
        </w:tc>
      </w:tr>
      <w:tr>
        <w:trPr>
          <w:trHeight w:val="370" w:hRule="exact"/>
        </w:trPr>
        <w:tc>
          <w:tcPr>
            <w:tcW w:w="68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Times New Roman" w:hAnsi="Times New Roman" w:cs="Times New Roman" w:eastAsia="Times New Roman" w:hint="default"/>
                <w:sz w:val="21"/>
                <w:szCs w:val="21"/>
              </w:rPr>
              <w:t>A</w:t>
            </w:r>
            <w:r>
              <w:rPr>
                <w:rFonts w:ascii="宋体" w:hAnsi="宋体" w:cs="宋体" w:eastAsia="宋体" w:hint="default"/>
                <w:sz w:val="21"/>
                <w:szCs w:val="21"/>
              </w:rPr>
              <w:t>）（不包括对子公司的担保）</w:t>
            </w:r>
          </w:p>
        </w:tc>
        <w:tc>
          <w:tcPr>
            <w:tcW w:w="71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
              <w:jc w:val="right"/>
              <w:rPr>
                <w:rFonts w:ascii="Times New Roman" w:hAnsi="Times New Roman" w:cs="Times New Roman" w:eastAsia="Times New Roman" w:hint="default"/>
                <w:sz w:val="21"/>
                <w:szCs w:val="21"/>
              </w:rPr>
            </w:pPr>
            <w:r>
              <w:rPr>
                <w:rFonts w:ascii="Times New Roman"/>
                <w:spacing w:val="-1"/>
                <w:sz w:val="21"/>
              </w:rPr>
              <w:t>3,641.74</w:t>
            </w:r>
          </w:p>
        </w:tc>
      </w:tr>
      <w:tr>
        <w:trPr>
          <w:trHeight w:val="370" w:hRule="exact"/>
        </w:trPr>
        <w:tc>
          <w:tcPr>
            <w:tcW w:w="13937"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9"/>
              <w:jc w:val="center"/>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72" w:hRule="exact"/>
        </w:trPr>
        <w:tc>
          <w:tcPr>
            <w:tcW w:w="68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71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8"/>
              <w:jc w:val="right"/>
              <w:rPr>
                <w:rFonts w:ascii="Times New Roman" w:hAnsi="Times New Roman" w:cs="Times New Roman" w:eastAsia="Times New Roman" w:hint="default"/>
                <w:sz w:val="21"/>
                <w:szCs w:val="21"/>
              </w:rPr>
            </w:pPr>
            <w:r>
              <w:rPr>
                <w:rFonts w:ascii="Times New Roman"/>
                <w:spacing w:val="-1"/>
                <w:sz w:val="21"/>
              </w:rPr>
              <w:t>1,719.27</w:t>
            </w:r>
            <w:r>
              <w:rPr>
                <w:rFonts w:ascii="Times New Roman"/>
                <w:sz w:val="21"/>
              </w:rPr>
            </w:r>
          </w:p>
        </w:tc>
      </w:tr>
      <w:tr>
        <w:trPr>
          <w:trHeight w:val="370" w:hRule="exact"/>
        </w:trPr>
        <w:tc>
          <w:tcPr>
            <w:tcW w:w="68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71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
              <w:jc w:val="right"/>
              <w:rPr>
                <w:rFonts w:ascii="Times New Roman" w:hAnsi="Times New Roman" w:cs="Times New Roman" w:eastAsia="Times New Roman" w:hint="default"/>
                <w:sz w:val="21"/>
                <w:szCs w:val="21"/>
              </w:rPr>
            </w:pPr>
            <w:r>
              <w:rPr>
                <w:rFonts w:ascii="Times New Roman"/>
                <w:sz w:val="21"/>
              </w:rPr>
              <w:t>274.09</w:t>
            </w:r>
          </w:p>
        </w:tc>
      </w:tr>
      <w:tr>
        <w:trPr>
          <w:trHeight w:val="370" w:hRule="exact"/>
        </w:trPr>
        <w:tc>
          <w:tcPr>
            <w:tcW w:w="13937"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9"/>
              <w:jc w:val="center"/>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1" w:hRule="exact"/>
        </w:trPr>
        <w:tc>
          <w:tcPr>
            <w:tcW w:w="68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71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8"/>
              <w:jc w:val="right"/>
              <w:rPr>
                <w:rFonts w:ascii="Times New Roman" w:hAnsi="Times New Roman" w:cs="Times New Roman" w:eastAsia="Times New Roman" w:hint="default"/>
                <w:sz w:val="21"/>
                <w:szCs w:val="21"/>
              </w:rPr>
            </w:pPr>
            <w:r>
              <w:rPr>
                <w:rFonts w:ascii="Times New Roman"/>
                <w:spacing w:val="-1"/>
                <w:sz w:val="21"/>
              </w:rPr>
              <w:t>3,915.83</w:t>
            </w:r>
            <w:r>
              <w:rPr>
                <w:rFonts w:ascii="Times New Roman"/>
                <w:sz w:val="21"/>
              </w:rPr>
            </w:r>
          </w:p>
        </w:tc>
      </w:tr>
      <w:tr>
        <w:trPr>
          <w:trHeight w:val="370" w:hRule="exact"/>
        </w:trPr>
        <w:tc>
          <w:tcPr>
            <w:tcW w:w="68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71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z w:val="21"/>
              </w:rPr>
              <w:t>2.21%</w:t>
            </w:r>
          </w:p>
        </w:tc>
      </w:tr>
      <w:tr>
        <w:trPr>
          <w:trHeight w:val="370" w:hRule="exact"/>
        </w:trPr>
        <w:tc>
          <w:tcPr>
            <w:tcW w:w="13937"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72" w:hRule="exact"/>
        </w:trPr>
        <w:tc>
          <w:tcPr>
            <w:tcW w:w="68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7100" w:type="dxa"/>
            <w:gridSpan w:val="8"/>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83" w:type="dxa"/>
        <w:tblLayout w:type="fixed"/>
        <w:tblCellMar>
          <w:top w:w="0" w:type="dxa"/>
          <w:left w:w="0" w:type="dxa"/>
          <w:bottom w:w="0" w:type="dxa"/>
          <w:right w:w="0" w:type="dxa"/>
        </w:tblCellMar>
        <w:tblLook w:val="01E0"/>
      </w:tblPr>
      <w:tblGrid>
        <w:gridCol w:w="6837"/>
        <w:gridCol w:w="7100"/>
      </w:tblGrid>
      <w:tr>
        <w:trPr>
          <w:trHeight w:val="370" w:hRule="exact"/>
        </w:trPr>
        <w:tc>
          <w:tcPr>
            <w:tcW w:w="6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39"/>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Times New Roman" w:hAnsi="Times New Roman" w:cs="Times New Roman" w:eastAsia="Times New Roman" w:hint="default"/>
                <w:spacing w:val="-2"/>
                <w:sz w:val="21"/>
                <w:szCs w:val="21"/>
              </w:rPr>
              <w:t>70%</w:t>
            </w:r>
            <w:r>
              <w:rPr>
                <w:rFonts w:ascii="宋体" w:hAnsi="宋体" w:cs="宋体" w:eastAsia="宋体" w:hint="default"/>
                <w:spacing w:val="-2"/>
                <w:sz w:val="21"/>
                <w:szCs w:val="21"/>
              </w:rPr>
              <w:t>的被担保对象提供的债务担保金额（</w:t>
            </w:r>
            <w:r>
              <w:rPr>
                <w:rFonts w:ascii="Times New Roman" w:hAnsi="Times New Roman" w:cs="Times New Roman" w:eastAsia="Times New Roman" w:hint="default"/>
                <w:spacing w:val="-2"/>
                <w:sz w:val="21"/>
                <w:szCs w:val="21"/>
              </w:rPr>
              <w:t>D</w:t>
            </w:r>
            <w:r>
              <w:rPr>
                <w:rFonts w:ascii="宋体" w:hAnsi="宋体" w:cs="宋体" w:eastAsia="宋体" w:hint="default"/>
                <w:spacing w:val="-2"/>
                <w:sz w:val="21"/>
                <w:szCs w:val="21"/>
              </w:rPr>
              <w:t>）</w:t>
            </w:r>
          </w:p>
        </w:tc>
        <w:tc>
          <w:tcPr>
            <w:tcW w:w="71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71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71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7100" w:type="dxa"/>
            <w:tcBorders>
              <w:top w:val="single" w:sz="4" w:space="0" w:color="000000"/>
              <w:left w:val="single" w:sz="4" w:space="0" w:color="000000"/>
              <w:bottom w:val="single" w:sz="4" w:space="0" w:color="000000"/>
              <w:right w:val="single" w:sz="4" w:space="0" w:color="000000"/>
            </w:tcBorders>
          </w:tcPr>
          <w:p>
            <w:pPr/>
          </w:p>
        </w:tc>
      </w:tr>
      <w:tr>
        <w:trPr>
          <w:trHeight w:val="4693" w:hRule="exact"/>
        </w:trPr>
        <w:tc>
          <w:tcPr>
            <w:tcW w:w="6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71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5"/>
              <w:ind w:left="24" w:right="23" w:firstLine="420"/>
              <w:jc w:val="both"/>
              <w:rPr>
                <w:rFonts w:ascii="宋体" w:hAnsi="宋体" w:cs="宋体" w:eastAsia="宋体" w:hint="default"/>
                <w:sz w:val="21"/>
                <w:szCs w:val="21"/>
              </w:rPr>
            </w:pPr>
            <w:r>
              <w:rPr>
                <w:rFonts w:ascii="宋体" w:hAnsi="宋体" w:cs="宋体" w:eastAsia="宋体" w:hint="default"/>
                <w:spacing w:val="-2"/>
                <w:sz w:val="21"/>
                <w:szCs w:val="21"/>
              </w:rPr>
              <w:t>福建神威系统集成有限责任公司（以下简称“福建神威”）自</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w:t>
            </w:r>
            <w:r>
              <w:rPr>
                <w:rFonts w:ascii="宋体" w:hAnsi="宋体" w:cs="宋体" w:eastAsia="宋体" w:hint="default"/>
                <w:w w:val="100"/>
                <w:sz w:val="21"/>
                <w:szCs w:val="21"/>
              </w:rPr>
              <w:t> </w:t>
            </w:r>
            <w:r>
              <w:rPr>
                <w:rFonts w:ascii="宋体" w:hAnsi="宋体" w:cs="宋体" w:eastAsia="宋体" w:hint="default"/>
                <w:spacing w:val="-2"/>
                <w:sz w:val="21"/>
                <w:szCs w:val="21"/>
              </w:rPr>
              <w:t>设立时即为公司之控股子公司；</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月，公司与珠海汇垠意中投资合伙企</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5"/>
                <w:sz w:val="21"/>
                <w:szCs w:val="21"/>
              </w:rPr>
              <w:t>业（有限合伙）（以下简称“珠海汇垠”）签订《股权转让协议书》，约定将</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其持有的福建神威</w:t>
            </w:r>
            <w:r>
              <w:rPr>
                <w:rFonts w:ascii="Times New Roman" w:hAnsi="Times New Roman" w:cs="Times New Roman" w:eastAsia="Times New Roman" w:hint="default"/>
                <w:spacing w:val="2"/>
                <w:sz w:val="21"/>
                <w:szCs w:val="21"/>
              </w:rPr>
              <w:t>51%</w:t>
            </w:r>
            <w:r>
              <w:rPr>
                <w:rFonts w:ascii="宋体" w:hAnsi="宋体" w:cs="宋体" w:eastAsia="宋体" w:hint="default"/>
                <w:spacing w:val="2"/>
                <w:sz w:val="21"/>
                <w:szCs w:val="21"/>
              </w:rPr>
              <w:t>的股权转让给珠海汇垠。</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日股权转让完成</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后，福建神威变更为公司持股</w:t>
            </w:r>
            <w:r>
              <w:rPr>
                <w:rFonts w:ascii="Times New Roman" w:hAnsi="Times New Roman" w:cs="Times New Roman" w:eastAsia="Times New Roman" w:hint="default"/>
                <w:spacing w:val="-4"/>
                <w:sz w:val="21"/>
                <w:szCs w:val="21"/>
              </w:rPr>
              <w:t>49%</w:t>
            </w:r>
            <w:r>
              <w:rPr>
                <w:rFonts w:ascii="宋体" w:hAnsi="宋体" w:cs="宋体" w:eastAsia="宋体" w:hint="default"/>
                <w:spacing w:val="-4"/>
                <w:sz w:val="21"/>
                <w:szCs w:val="21"/>
              </w:rPr>
              <w:t>的联营企业。报告期内，福建神威系统集成</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有限责任公司均能及时偿还各类贷款，未发生逾期违约。</w:t>
            </w:r>
          </w:p>
          <w:p>
            <w:pPr>
              <w:pStyle w:val="TableParagraph"/>
              <w:spacing w:line="300" w:lineRule="auto" w:before="32"/>
              <w:ind w:left="24" w:right="19"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29</w:t>
            </w:r>
            <w:r>
              <w:rPr>
                <w:rFonts w:ascii="宋体" w:hAnsi="宋体" w:cs="宋体" w:eastAsia="宋体" w:hint="default"/>
                <w:spacing w:val="-2"/>
                <w:sz w:val="21"/>
                <w:szCs w:val="21"/>
              </w:rPr>
              <w:t>日，经公司第三届董事会第十九次会议审议通过《关于为子</w:t>
            </w:r>
            <w:r>
              <w:rPr>
                <w:rFonts w:ascii="宋体" w:hAnsi="宋体" w:cs="宋体" w:eastAsia="宋体" w:hint="default"/>
                <w:w w:val="100"/>
                <w:sz w:val="21"/>
                <w:szCs w:val="21"/>
              </w:rPr>
              <w:t> </w:t>
            </w:r>
            <w:r>
              <w:rPr>
                <w:rFonts w:ascii="宋体" w:hAnsi="宋体" w:cs="宋体" w:eastAsia="宋体" w:hint="default"/>
                <w:spacing w:val="-3"/>
                <w:sz w:val="21"/>
                <w:szCs w:val="21"/>
              </w:rPr>
              <w:t>公司银行授信提供担保的议案》（详见公告编号：</w:t>
            </w:r>
            <w:r>
              <w:rPr>
                <w:rFonts w:ascii="Times New Roman" w:hAnsi="Times New Roman" w:cs="Times New Roman" w:eastAsia="Times New Roman" w:hint="default"/>
                <w:spacing w:val="-3"/>
                <w:sz w:val="21"/>
                <w:szCs w:val="21"/>
              </w:rPr>
              <w:t>2018-035</w:t>
            </w:r>
            <w:r>
              <w:rPr>
                <w:rFonts w:ascii="宋体" w:hAnsi="宋体" w:cs="宋体" w:eastAsia="宋体" w:hint="default"/>
                <w:spacing w:val="-3"/>
                <w:sz w:val="21"/>
                <w:szCs w:val="21"/>
              </w:rPr>
              <w:t>），母公司为福建</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5"/>
                <w:w w:val="100"/>
                <w:sz w:val="21"/>
                <w:szCs w:val="21"/>
              </w:rPr>
              <w:t>南威提供担保：南威软件股份有限公司与中国民生银行股份有限公司福州分行</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r>
              <w:rPr>
                <w:rFonts w:ascii="宋体" w:hAnsi="宋体" w:cs="宋体" w:eastAsia="宋体" w:hint="default"/>
                <w:sz w:val="21"/>
                <w:szCs w:val="21"/>
              </w:rPr>
              <w:t>签订最高额保证合同，金额</w:t>
            </w:r>
            <w:r>
              <w:rPr>
                <w:rFonts w:ascii="Times New Roman" w:hAnsi="Times New Roman" w:cs="Times New Roman" w:eastAsia="Times New Roman" w:hint="default"/>
                <w:sz w:val="21"/>
                <w:szCs w:val="21"/>
              </w:rPr>
              <w:t>5,000</w:t>
            </w:r>
            <w:r>
              <w:rPr>
                <w:rFonts w:ascii="宋体" w:hAnsi="宋体" w:cs="宋体" w:eastAsia="宋体" w:hint="default"/>
                <w:sz w:val="21"/>
                <w:szCs w:val="21"/>
              </w:rPr>
              <w:t>万元，有效使用期限为</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日至</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日。</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17</w:t>
            </w:r>
            <w:r>
              <w:rPr>
                <w:rFonts w:ascii="宋体" w:hAnsi="宋体" w:cs="宋体" w:eastAsia="宋体" w:hint="default"/>
                <w:spacing w:val="-2"/>
                <w:sz w:val="21"/>
                <w:szCs w:val="21"/>
              </w:rPr>
              <w:t>日，南威软件股份有限公司与中国光大银行股份有限</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公司福州分行签订最高额保证合同，金额</w:t>
            </w:r>
            <w:r>
              <w:rPr>
                <w:rFonts w:ascii="Times New Roman" w:hAnsi="Times New Roman" w:cs="Times New Roman" w:eastAsia="Times New Roman" w:hint="default"/>
                <w:sz w:val="21"/>
                <w:szCs w:val="21"/>
              </w:rPr>
              <w:t>2,002</w:t>
            </w:r>
            <w:r>
              <w:rPr>
                <w:rFonts w:ascii="宋体" w:hAnsi="宋体" w:cs="宋体" w:eastAsia="宋体" w:hint="default"/>
                <w:sz w:val="21"/>
                <w:szCs w:val="21"/>
              </w:rPr>
              <w:t>万元。报告期内，福建南威均</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能及时偿还各类贷款，未发生逾期违约。</w:t>
            </w:r>
          </w:p>
        </w:tc>
      </w:tr>
    </w:tbl>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55" w:footer="980" w:top="1120" w:bottom="1160" w:left="1220" w:right="1380"/>
        </w:sectPr>
      </w:pPr>
    </w:p>
    <w:p>
      <w:pPr>
        <w:pStyle w:val="Heading4"/>
        <w:tabs>
          <w:tab w:pos="1060" w:val="left" w:leader="none"/>
        </w:tabs>
        <w:spacing w:line="240" w:lineRule="auto"/>
        <w:ind w:left="220" w:right="-4"/>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spacing w:val="-1"/>
        </w:rPr>
        <w:t>委托他人进行现金资产管理的情况</w:t>
      </w:r>
      <w:r>
        <w:rPr>
          <w:b w:val="0"/>
          <w:bCs w:val="0"/>
          <w:spacing w:val="-1"/>
        </w:rPr>
      </w:r>
    </w:p>
    <w:p>
      <w:pPr>
        <w:pStyle w:val="Heading4"/>
        <w:tabs>
          <w:tab w:pos="645" w:val="left" w:leader="none"/>
        </w:tabs>
        <w:spacing w:line="240" w:lineRule="auto" w:before="109"/>
        <w:ind w:left="220" w:right="-4"/>
        <w:jc w:val="left"/>
        <w:rPr>
          <w:b w:val="0"/>
          <w:bCs w:val="0"/>
        </w:rPr>
      </w:pPr>
      <w:r>
        <w:rPr>
          <w:rFonts w:ascii="Times New Roman" w:hAnsi="Times New Roman" w:cs="Times New Roman" w:eastAsia="Times New Roman" w:hint="default"/>
        </w:rPr>
        <w:t>1.</w:t>
        <w:tab/>
      </w:r>
      <w:r>
        <w:rPr/>
        <w:t>委托理财情况</w:t>
      </w:r>
      <w:r>
        <w:rPr>
          <w:b w:val="0"/>
          <w:bCs w:val="0"/>
        </w:rPr>
      </w:r>
    </w:p>
    <w:p>
      <w:pPr>
        <w:pStyle w:val="Heading4"/>
        <w:spacing w:line="240" w:lineRule="auto" w:before="95"/>
        <w:ind w:left="220" w:right="-4"/>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2"/>
        </w:rPr>
        <w:t> </w:t>
      </w:r>
      <w:r>
        <w:rPr/>
        <w:t>委托理财总体情况</w:t>
      </w:r>
      <w:r>
        <w:rPr>
          <w:b w:val="0"/>
          <w:bCs w:val="0"/>
        </w:rPr>
      </w:r>
    </w:p>
    <w:p>
      <w:pPr>
        <w:pStyle w:val="BodyText"/>
        <w:tabs>
          <w:tab w:pos="1062" w:val="left" w:leader="none"/>
        </w:tabs>
        <w:spacing w:line="240" w:lineRule="auto" w:before="95"/>
        <w:ind w:left="220" w:right="-4"/>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580" w:bottom="280" w:left="1220" w:right="1380"/>
          <w:cols w:num="2" w:equalWidth="0">
            <w:col w:w="4224" w:space="7339"/>
            <w:col w:w="2677"/>
          </w:cols>
        </w:sectPr>
      </w:pPr>
    </w:p>
    <w:p>
      <w:pPr>
        <w:spacing w:line="240" w:lineRule="auto" w:before="5"/>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2547"/>
        <w:gridCol w:w="2410"/>
        <w:gridCol w:w="2696"/>
        <w:gridCol w:w="2549"/>
        <w:gridCol w:w="3687"/>
      </w:tblGrid>
      <w:tr>
        <w:trPr>
          <w:trHeight w:val="370"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76"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0"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64"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83"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341"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bl>
    <w:p>
      <w:pPr>
        <w:spacing w:after="0" w:line="240" w:lineRule="auto"/>
        <w:jc w:val="left"/>
        <w:rPr>
          <w:rFonts w:ascii="宋体" w:hAnsi="宋体" w:cs="宋体" w:eastAsia="宋体" w:hint="default"/>
          <w:sz w:val="21"/>
          <w:szCs w:val="21"/>
        </w:rPr>
        <w:sectPr>
          <w:type w:val="continuous"/>
          <w:pgSz w:w="16840" w:h="11910" w:orient="landscape"/>
          <w:pgMar w:top="1580" w:bottom="280" w:left="122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547"/>
        <w:gridCol w:w="2410"/>
        <w:gridCol w:w="2696"/>
        <w:gridCol w:w="2549"/>
        <w:gridCol w:w="3687"/>
      </w:tblGrid>
      <w:tr>
        <w:trPr>
          <w:trHeight w:val="370"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募集资金</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345,000,000.00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w w:val="100"/>
                <w:sz w:val="21"/>
              </w:rPr>
              <w:t>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1,203,801,399.75</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w w:val="100"/>
                <w:sz w:val="21"/>
              </w:rPr>
              <w:t>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55" w:footer="980" w:top="1120" w:bottom="1160" w:left="1220" w:right="1400"/>
        </w:sectPr>
      </w:pPr>
    </w:p>
    <w:p>
      <w:pPr>
        <w:pStyle w:val="Heading2"/>
        <w:spacing w:line="240" w:lineRule="auto"/>
        <w:ind w:left="220" w:right="-12"/>
        <w:jc w:val="left"/>
        <w:rPr>
          <w:b w:val="0"/>
          <w:bCs w:val="0"/>
        </w:rPr>
      </w:pPr>
      <w:r>
        <w:rPr/>
        <w:t>其他情况</w:t>
      </w:r>
      <w:r>
        <w:rPr>
          <w:b w:val="0"/>
          <w:bCs w:val="0"/>
        </w:rPr>
      </w:r>
    </w:p>
    <w:p>
      <w:pPr>
        <w:pStyle w:val="BodyText"/>
        <w:tabs>
          <w:tab w:pos="1542" w:val="left" w:leader="none"/>
        </w:tabs>
        <w:spacing w:line="240" w:lineRule="auto" w:before="37"/>
        <w:ind w:left="700" w:right="-12"/>
        <w:jc w:val="left"/>
      </w:pPr>
      <w:r>
        <w:rPr>
          <w:spacing w:val="-1"/>
        </w:rPr>
        <w:t>□适用</w:t>
        <w:tab/>
      </w:r>
      <w:r>
        <w:rPr>
          <w:spacing w:val="-2"/>
        </w:rPr>
        <w:t>√不适用</w:t>
      </w:r>
    </w:p>
    <w:p>
      <w:pPr>
        <w:pStyle w:val="Heading4"/>
        <w:spacing w:line="240" w:lineRule="auto" w:before="112"/>
        <w:ind w:left="220" w:right="-12"/>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12"/>
        </w:rPr>
        <w:t> </w:t>
      </w:r>
      <w:r>
        <w:rPr/>
        <w:t>单项委托理财情况</w:t>
      </w:r>
      <w:r>
        <w:rPr>
          <w:b w:val="0"/>
          <w:bCs w:val="0"/>
        </w:rPr>
      </w:r>
    </w:p>
    <w:p>
      <w:pPr>
        <w:pStyle w:val="BodyText"/>
        <w:tabs>
          <w:tab w:pos="1062" w:val="left" w:leader="none"/>
        </w:tabs>
        <w:spacing w:line="240" w:lineRule="auto" w:before="95"/>
        <w:ind w:left="220" w:right="-12"/>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71" w:val="left" w:leader="none"/>
        </w:tabs>
        <w:spacing w:line="240" w:lineRule="auto" w:before="166"/>
        <w:ind w:left="220" w:right="0"/>
        <w:jc w:val="left"/>
      </w:pPr>
      <w:r>
        <w:rPr>
          <w:spacing w:val="-1"/>
        </w:rPr>
        <w:t>单位：元</w:t>
        <w:tab/>
        <w:t>币种：人民币</w:t>
      </w:r>
    </w:p>
    <w:p>
      <w:pPr>
        <w:spacing w:after="0" w:line="240" w:lineRule="auto"/>
        <w:jc w:val="left"/>
        <w:sectPr>
          <w:type w:val="continuous"/>
          <w:pgSz w:w="16840" w:h="11910" w:orient="landscape"/>
          <w:pgMar w:top="1580" w:bottom="280" w:left="1220" w:right="1400"/>
          <w:cols w:num="2" w:equalWidth="0">
            <w:col w:w="2383" w:space="9179"/>
            <w:col w:w="2658"/>
          </w:cols>
        </w:sectPr>
      </w:pPr>
    </w:p>
    <w:p>
      <w:pPr>
        <w:spacing w:line="240" w:lineRule="auto" w:before="5"/>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704"/>
        <w:gridCol w:w="710"/>
        <w:gridCol w:w="1558"/>
        <w:gridCol w:w="1277"/>
        <w:gridCol w:w="1135"/>
        <w:gridCol w:w="850"/>
        <w:gridCol w:w="708"/>
        <w:gridCol w:w="991"/>
        <w:gridCol w:w="994"/>
        <w:gridCol w:w="1275"/>
        <w:gridCol w:w="1534"/>
        <w:gridCol w:w="878"/>
        <w:gridCol w:w="425"/>
        <w:gridCol w:w="425"/>
        <w:gridCol w:w="425"/>
      </w:tblGrid>
      <w:tr>
        <w:trPr>
          <w:trHeight w:val="4331"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4" w:lineRule="auto"/>
              <w:ind w:left="240" w:right="132" w:hanging="104"/>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pacing w:val="-103"/>
                <w:sz w:val="21"/>
                <w:szCs w:val="21"/>
              </w:rPr>
              <w:t> </w:t>
            </w:r>
            <w:r>
              <w:rPr>
                <w:rFonts w:ascii="宋体" w:hAnsi="宋体" w:cs="宋体" w:eastAsia="宋体" w:hint="default"/>
                <w:sz w:val="21"/>
                <w:szCs w:val="21"/>
              </w:rPr>
              <w:t>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314" w:lineRule="auto"/>
              <w:ind w:left="139" w:right="137"/>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委托理财金额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4" w:lineRule="auto"/>
              <w:ind w:left="316" w:right="104" w:hanging="209"/>
              <w:jc w:val="left"/>
              <w:rPr>
                <w:rFonts w:ascii="宋体" w:hAnsi="宋体" w:cs="宋体" w:eastAsia="宋体" w:hint="default"/>
                <w:sz w:val="21"/>
                <w:szCs w:val="21"/>
              </w:rPr>
            </w:pPr>
            <w:r>
              <w:rPr>
                <w:rFonts w:ascii="宋体" w:hAnsi="宋体" w:cs="宋体" w:eastAsia="宋体" w:hint="default"/>
                <w:sz w:val="21"/>
                <w:szCs w:val="21"/>
              </w:rPr>
              <w:t>委托理财起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始日期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4" w:lineRule="auto"/>
              <w:ind w:left="141" w:right="139"/>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终止日期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314" w:lineRule="auto"/>
              <w:ind w:left="206" w:right="209"/>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4" w:lineRule="auto"/>
              <w:ind w:left="139" w:right="135"/>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投向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314" w:lineRule="auto"/>
              <w:ind w:left="280" w:right="170" w:hanging="106"/>
              <w:jc w:val="left"/>
              <w:rPr>
                <w:rFonts w:ascii="宋体" w:hAnsi="宋体" w:cs="宋体" w:eastAsia="宋体" w:hint="default"/>
                <w:sz w:val="21"/>
                <w:szCs w:val="21"/>
              </w:rPr>
            </w:pPr>
            <w:r>
              <w:rPr>
                <w:rFonts w:ascii="宋体" w:hAnsi="宋体" w:cs="宋体" w:eastAsia="宋体" w:hint="default"/>
                <w:sz w:val="21"/>
                <w:szCs w:val="21"/>
              </w:rPr>
              <w:t>报酬确</w:t>
            </w:r>
            <w:r>
              <w:rPr>
                <w:rFonts w:ascii="宋体" w:hAnsi="宋体" w:cs="宋体" w:eastAsia="宋体" w:hint="default"/>
                <w:spacing w:val="-102"/>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4" w:lineRule="auto"/>
              <w:ind w:left="175" w:right="173" w:firstLine="105"/>
              <w:jc w:val="left"/>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314" w:lineRule="auto"/>
              <w:ind w:left="316" w:right="209" w:hanging="106"/>
              <w:jc w:val="left"/>
              <w:rPr>
                <w:rFonts w:ascii="宋体" w:hAnsi="宋体" w:cs="宋体" w:eastAsia="宋体" w:hint="default"/>
                <w:sz w:val="21"/>
                <w:szCs w:val="21"/>
              </w:rPr>
            </w:pPr>
            <w:r>
              <w:rPr>
                <w:rFonts w:ascii="宋体" w:hAnsi="宋体" w:cs="宋体" w:eastAsia="宋体" w:hint="default"/>
                <w:sz w:val="21"/>
                <w:szCs w:val="21"/>
              </w:rPr>
              <w:t>预期收益</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如有</w:t>
            </w:r>
            <w:r>
              <w:rPr>
                <w:rFonts w:ascii="宋体" w:hAnsi="宋体" w:cs="宋体" w:eastAsia="宋体" w:hint="default"/>
                <w:sz w:val="21"/>
                <w:szCs w:val="21"/>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4" w:lineRule="auto"/>
              <w:ind w:left="235" w:right="233" w:firstLine="316"/>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收益或损失</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4" w:lineRule="auto"/>
              <w:ind w:left="117" w:right="115"/>
              <w:jc w:val="left"/>
              <w:rPr>
                <w:rFonts w:ascii="宋体" w:hAnsi="宋体" w:cs="宋体" w:eastAsia="宋体" w:hint="default"/>
                <w:sz w:val="21"/>
                <w:szCs w:val="21"/>
              </w:rPr>
            </w:pPr>
            <w:r>
              <w:rPr>
                <w:rFonts w:ascii="宋体" w:hAnsi="宋体" w:cs="宋体" w:eastAsia="宋体" w:hint="default"/>
                <w:sz w:val="21"/>
                <w:szCs w:val="21"/>
              </w:rPr>
              <w:t>实际收</w:t>
            </w:r>
            <w:r>
              <w:rPr>
                <w:rFonts w:ascii="宋体" w:hAnsi="宋体" w:cs="宋体" w:eastAsia="宋体" w:hint="default"/>
                <w:spacing w:val="-102"/>
                <w:sz w:val="21"/>
                <w:szCs w:val="21"/>
              </w:rPr>
              <w:t> </w:t>
            </w:r>
            <w:r>
              <w:rPr>
                <w:rFonts w:ascii="宋体" w:hAnsi="宋体" w:cs="宋体" w:eastAsia="宋体" w:hint="default"/>
                <w:sz w:val="21"/>
                <w:szCs w:val="21"/>
              </w:rPr>
              <w:t>回情况</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4" w:lineRule="auto"/>
              <w:ind w:left="103" w:right="98"/>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03" w:right="99"/>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委</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314" w:lineRule="auto" w:before="20"/>
              <w:ind w:left="103" w:right="98"/>
              <w:jc w:val="both"/>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有</w:t>
            </w:r>
          </w:p>
          <w:p>
            <w:pPr>
              <w:pStyle w:val="TableParagraph"/>
              <w:spacing w:line="240" w:lineRule="auto" w:before="20"/>
              <w:ind w:right="0"/>
              <w:jc w:val="center"/>
              <w:rPr>
                <w:rFonts w:ascii="宋体" w:hAnsi="宋体" w:cs="宋体" w:eastAsia="宋体" w:hint="default"/>
                <w:sz w:val="21"/>
                <w:szCs w:val="21"/>
              </w:rPr>
            </w:pPr>
            <w:r>
              <w:rPr>
                <w:rFonts w:ascii="宋体"/>
                <w:w w:val="100"/>
                <w:sz w:val="21"/>
              </w:rPr>
              <w:t>)</w:t>
            </w:r>
          </w:p>
        </w:tc>
      </w:tr>
      <w:tr>
        <w:trPr>
          <w:trHeight w:val="732"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33"/>
              <w:jc w:val="left"/>
              <w:rPr>
                <w:rFonts w:ascii="宋体" w:hAnsi="宋体" w:cs="宋体" w:eastAsia="宋体" w:hint="default"/>
                <w:sz w:val="21"/>
                <w:szCs w:val="21"/>
              </w:rPr>
            </w:pPr>
            <w:r>
              <w:rPr>
                <w:rFonts w:ascii="宋体" w:hAnsi="宋体" w:cs="宋体" w:eastAsia="宋体" w:hint="default"/>
                <w:spacing w:val="33"/>
                <w:sz w:val="21"/>
                <w:szCs w:val="21"/>
              </w:rPr>
              <w:t>长江</w:t>
            </w:r>
            <w:r>
              <w:rPr>
                <w:rFonts w:ascii="宋体" w:hAnsi="宋体" w:cs="宋体" w:eastAsia="宋体" w:hint="default"/>
                <w:spacing w:val="-102"/>
                <w:sz w:val="21"/>
                <w:szCs w:val="21"/>
              </w:rPr>
              <w:t> </w:t>
            </w:r>
            <w:r>
              <w:rPr>
                <w:rFonts w:ascii="宋体" w:hAnsi="宋体" w:cs="宋体" w:eastAsia="宋体" w:hint="default"/>
                <w:sz w:val="21"/>
                <w:szCs w:val="21"/>
              </w:rPr>
              <w:t>证券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19,999,999.80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81" w:right="0"/>
              <w:jc w:val="center"/>
              <w:rPr>
                <w:rFonts w:ascii="Times New Roman" w:hAnsi="Times New Roman" w:cs="Times New Roman" w:eastAsia="Times New Roman" w:hint="default"/>
                <w:sz w:val="21"/>
                <w:szCs w:val="21"/>
              </w:rPr>
            </w:pPr>
            <w:r>
              <w:rPr>
                <w:rFonts w:ascii="Times New Roman"/>
                <w:sz w:val="21"/>
              </w:rPr>
              <w:t>2017-12-20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2018-1-3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99"/>
                <w:sz w:val="21"/>
                <w:szCs w:val="21"/>
              </w:rPr>
              <w:t> </w:t>
            </w: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0.0663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48,885.29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46,118.20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33"/>
              <w:jc w:val="left"/>
              <w:rPr>
                <w:rFonts w:ascii="宋体" w:hAnsi="宋体" w:cs="宋体" w:eastAsia="宋体" w:hint="default"/>
                <w:sz w:val="21"/>
                <w:szCs w:val="21"/>
              </w:rPr>
            </w:pPr>
            <w:r>
              <w:rPr>
                <w:rFonts w:ascii="宋体" w:hAnsi="宋体" w:cs="宋体" w:eastAsia="宋体" w:hint="default"/>
                <w:spacing w:val="33"/>
                <w:sz w:val="21"/>
                <w:szCs w:val="21"/>
              </w:rPr>
              <w:t>长江</w:t>
            </w:r>
            <w:r>
              <w:rPr>
                <w:rFonts w:ascii="宋体" w:hAnsi="宋体" w:cs="宋体" w:eastAsia="宋体" w:hint="default"/>
                <w:spacing w:val="-102"/>
                <w:sz w:val="21"/>
                <w:szCs w:val="21"/>
              </w:rPr>
              <w:t> </w:t>
            </w:r>
            <w:r>
              <w:rPr>
                <w:rFonts w:ascii="宋体" w:hAnsi="宋体" w:cs="宋体" w:eastAsia="宋体" w:hint="default"/>
                <w:sz w:val="21"/>
                <w:szCs w:val="21"/>
              </w:rPr>
              <w:t>证券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19,999,599.97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81" w:right="0"/>
              <w:jc w:val="center"/>
              <w:rPr>
                <w:rFonts w:ascii="Times New Roman" w:hAnsi="Times New Roman" w:cs="Times New Roman" w:eastAsia="Times New Roman" w:hint="default"/>
                <w:sz w:val="21"/>
                <w:szCs w:val="21"/>
              </w:rPr>
            </w:pPr>
            <w:r>
              <w:rPr>
                <w:rFonts w:ascii="Times New Roman"/>
                <w:sz w:val="21"/>
              </w:rPr>
              <w:t>2017-12-27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2018-1-2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99"/>
                <w:sz w:val="21"/>
                <w:szCs w:val="21"/>
              </w:rPr>
              <w:t> </w:t>
            </w: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0.1535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49,838.04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47,017.02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04"/>
        <w:gridCol w:w="710"/>
        <w:gridCol w:w="1558"/>
        <w:gridCol w:w="1277"/>
        <w:gridCol w:w="1135"/>
        <w:gridCol w:w="850"/>
        <w:gridCol w:w="708"/>
        <w:gridCol w:w="991"/>
        <w:gridCol w:w="994"/>
        <w:gridCol w:w="1275"/>
        <w:gridCol w:w="1534"/>
        <w:gridCol w:w="878"/>
        <w:gridCol w:w="425"/>
        <w:gridCol w:w="425"/>
        <w:gridCol w:w="425"/>
      </w:tblGrid>
      <w:tr>
        <w:trPr>
          <w:trHeight w:val="73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33"/>
              <w:jc w:val="left"/>
              <w:rPr>
                <w:rFonts w:ascii="宋体" w:hAnsi="宋体" w:cs="宋体" w:eastAsia="宋体" w:hint="default"/>
                <w:sz w:val="21"/>
                <w:szCs w:val="21"/>
              </w:rPr>
            </w:pPr>
            <w:r>
              <w:rPr>
                <w:rFonts w:ascii="宋体" w:hAnsi="宋体" w:cs="宋体" w:eastAsia="宋体" w:hint="default"/>
                <w:spacing w:val="33"/>
                <w:sz w:val="21"/>
                <w:szCs w:val="21"/>
              </w:rPr>
              <w:t>长江</w:t>
            </w:r>
            <w:r>
              <w:rPr>
                <w:rFonts w:ascii="宋体" w:hAnsi="宋体" w:cs="宋体" w:eastAsia="宋体" w:hint="default"/>
                <w:spacing w:val="-102"/>
                <w:sz w:val="21"/>
                <w:szCs w:val="21"/>
              </w:rPr>
              <w:t> </w:t>
            </w:r>
            <w:r>
              <w:rPr>
                <w:rFonts w:ascii="宋体" w:hAnsi="宋体" w:cs="宋体" w:eastAsia="宋体" w:hint="default"/>
                <w:sz w:val="21"/>
                <w:szCs w:val="21"/>
              </w:rPr>
              <w:t>证券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20,000,200.00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2018-1-3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2018-1-4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99"/>
                <w:sz w:val="21"/>
                <w:szCs w:val="21"/>
              </w:rPr>
              <w:t> </w:t>
            </w: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0.049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2,484.93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2,344.27</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81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33"/>
              <w:jc w:val="both"/>
              <w:rPr>
                <w:rFonts w:ascii="宋体" w:hAnsi="宋体" w:cs="宋体" w:eastAsia="宋体" w:hint="default"/>
                <w:sz w:val="21"/>
                <w:szCs w:val="21"/>
              </w:rPr>
            </w:pPr>
            <w:r>
              <w:rPr>
                <w:rFonts w:ascii="宋体" w:hAnsi="宋体" w:cs="宋体" w:eastAsia="宋体" w:hint="default"/>
                <w:spacing w:val="33"/>
                <w:sz w:val="21"/>
                <w:szCs w:val="21"/>
              </w:rPr>
              <w:t>上海</w:t>
            </w:r>
            <w:r>
              <w:rPr>
                <w:rFonts w:ascii="宋体" w:hAnsi="宋体" w:cs="宋体" w:eastAsia="宋体" w:hint="default"/>
                <w:spacing w:val="-102"/>
                <w:sz w:val="21"/>
                <w:szCs w:val="21"/>
              </w:rPr>
              <w:t> </w:t>
            </w:r>
            <w:r>
              <w:rPr>
                <w:rFonts w:ascii="宋体" w:hAnsi="宋体" w:cs="宋体" w:eastAsia="宋体" w:hint="default"/>
                <w:spacing w:val="33"/>
                <w:sz w:val="21"/>
                <w:szCs w:val="21"/>
              </w:rPr>
              <w:t>国际</w:t>
            </w:r>
            <w:r>
              <w:rPr>
                <w:rFonts w:ascii="宋体" w:hAnsi="宋体" w:cs="宋体" w:eastAsia="宋体" w:hint="default"/>
                <w:spacing w:val="-102"/>
                <w:sz w:val="21"/>
                <w:szCs w:val="21"/>
              </w:rPr>
              <w:t> </w:t>
            </w:r>
            <w:r>
              <w:rPr>
                <w:rFonts w:ascii="宋体" w:hAnsi="宋体" w:cs="宋体" w:eastAsia="宋体" w:hint="default"/>
                <w:spacing w:val="33"/>
                <w:sz w:val="21"/>
                <w:szCs w:val="21"/>
              </w:rPr>
              <w:t>信托</w:t>
            </w:r>
            <w:r>
              <w:rPr>
                <w:rFonts w:ascii="宋体" w:hAnsi="宋体" w:cs="宋体" w:eastAsia="宋体" w:hint="default"/>
                <w:spacing w:val="-102"/>
                <w:sz w:val="21"/>
                <w:szCs w:val="21"/>
              </w:rPr>
              <w:t> </w:t>
            </w:r>
            <w:r>
              <w:rPr>
                <w:rFonts w:ascii="宋体" w:hAnsi="宋体" w:cs="宋体" w:eastAsia="宋体" w:hint="default"/>
                <w:spacing w:val="33"/>
                <w:sz w:val="21"/>
                <w:szCs w:val="21"/>
              </w:rPr>
              <w:t>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22"/>
              <w:ind w:left="103" w:right="29"/>
              <w:jc w:val="left"/>
              <w:rPr>
                <w:rFonts w:ascii="宋体" w:hAnsi="宋体" w:cs="宋体" w:eastAsia="宋体" w:hint="default"/>
                <w:sz w:val="21"/>
                <w:szCs w:val="21"/>
              </w:rPr>
            </w:pPr>
            <w:r>
              <w:rPr>
                <w:rFonts w:ascii="宋体" w:hAnsi="宋体" w:cs="宋体" w:eastAsia="宋体" w:hint="default"/>
                <w:spacing w:val="35"/>
                <w:sz w:val="21"/>
                <w:szCs w:val="21"/>
              </w:rPr>
              <w:t>证券</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96"/>
              <w:jc w:val="right"/>
              <w:rPr>
                <w:rFonts w:ascii="Times New Roman" w:hAnsi="Times New Roman" w:cs="Times New Roman" w:eastAsia="Times New Roman" w:hint="default"/>
                <w:sz w:val="21"/>
                <w:szCs w:val="21"/>
              </w:rPr>
            </w:pPr>
            <w:r>
              <w:rPr>
                <w:rFonts w:ascii="Times New Roman"/>
                <w:spacing w:val="-1"/>
                <w:sz w:val="21"/>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01"/>
              <w:jc w:val="right"/>
              <w:rPr>
                <w:rFonts w:ascii="Times New Roman" w:hAnsi="Times New Roman" w:cs="Times New Roman" w:eastAsia="Times New Roman" w:hint="default"/>
                <w:sz w:val="21"/>
                <w:szCs w:val="21"/>
              </w:rPr>
            </w:pPr>
            <w:r>
              <w:rPr>
                <w:rFonts w:ascii="Times New Roman"/>
                <w:spacing w:val="-1"/>
                <w:sz w:val="21"/>
              </w:rPr>
              <w:t>2017-12-14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07"/>
              <w:jc w:val="right"/>
              <w:rPr>
                <w:rFonts w:ascii="Times New Roman" w:hAnsi="Times New Roman" w:cs="Times New Roman" w:eastAsia="Times New Roman" w:hint="default"/>
                <w:sz w:val="21"/>
                <w:szCs w:val="21"/>
              </w:rPr>
            </w:pPr>
            <w:r>
              <w:rPr>
                <w:rFonts w:ascii="Times New Roman"/>
                <w:spacing w:val="-1"/>
                <w:sz w:val="21"/>
              </w:rPr>
              <w:t>2018-2-12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2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98"/>
              <w:jc w:val="right"/>
              <w:rPr>
                <w:rFonts w:ascii="Times New Roman" w:hAnsi="Times New Roman" w:cs="Times New Roman" w:eastAsia="Times New Roman" w:hint="default"/>
                <w:sz w:val="21"/>
                <w:szCs w:val="21"/>
              </w:rPr>
            </w:pPr>
            <w:r>
              <w:rPr>
                <w:rFonts w:ascii="Times New Roman"/>
                <w:sz w:val="21"/>
              </w:rPr>
              <w:t>0.057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99"/>
              <w:jc w:val="right"/>
              <w:rPr>
                <w:rFonts w:ascii="Times New Roman" w:hAnsi="Times New Roman" w:cs="Times New Roman" w:eastAsia="Times New Roman" w:hint="default"/>
                <w:sz w:val="21"/>
                <w:szCs w:val="21"/>
              </w:rPr>
            </w:pPr>
            <w:r>
              <w:rPr>
                <w:rFonts w:ascii="Times New Roman"/>
                <w:spacing w:val="-1"/>
                <w:sz w:val="21"/>
              </w:rPr>
              <w:t>285,000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98"/>
              <w:jc w:val="right"/>
              <w:rPr>
                <w:rFonts w:ascii="Times New Roman" w:hAnsi="Times New Roman" w:cs="Times New Roman" w:eastAsia="Times New Roman" w:hint="default"/>
                <w:sz w:val="21"/>
                <w:szCs w:val="21"/>
              </w:rPr>
            </w:pPr>
            <w:r>
              <w:rPr>
                <w:rFonts w:ascii="Times New Roman"/>
                <w:spacing w:val="-1"/>
                <w:sz w:val="21"/>
              </w:rPr>
              <w:t>281,095.89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东兴</w:t>
            </w:r>
            <w:r>
              <w:rPr>
                <w:rFonts w:ascii="宋体" w:hAnsi="宋体" w:cs="宋体" w:eastAsia="宋体" w:hint="default"/>
                <w:spacing w:val="-102"/>
                <w:sz w:val="21"/>
                <w:szCs w:val="21"/>
              </w:rPr>
              <w:t> </w:t>
            </w:r>
            <w:r>
              <w:rPr>
                <w:rFonts w:ascii="宋体" w:hAnsi="宋体" w:cs="宋体" w:eastAsia="宋体" w:hint="default"/>
                <w:sz w:val="21"/>
                <w:szCs w:val="21"/>
              </w:rPr>
              <w:t>证券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证券</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Times New Roman" w:hAnsi="Times New Roman" w:cs="Times New Roman" w:eastAsia="Times New Roman" w:hint="default"/>
                <w:sz w:val="21"/>
                <w:szCs w:val="21"/>
              </w:rPr>
            </w:pPr>
            <w:r>
              <w:rPr>
                <w:rFonts w:ascii="Times New Roman"/>
                <w:spacing w:val="-1"/>
                <w:sz w:val="21"/>
              </w:rPr>
              <w:t>2017-12-18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2018-3-18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0.057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427,500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421,843.71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光大</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Times New Roman" w:hAnsi="Times New Roman" w:cs="Times New Roman" w:eastAsia="Times New Roman" w:hint="default"/>
                <w:sz w:val="21"/>
                <w:szCs w:val="21"/>
              </w:rPr>
            </w:pPr>
            <w:r>
              <w:rPr>
                <w:rFonts w:ascii="Times New Roman"/>
                <w:spacing w:val="-1"/>
                <w:sz w:val="21"/>
              </w:rPr>
              <w:t>2017-12-14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2018-3-14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0.051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127,500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125,753.42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2"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4" w:lineRule="auto"/>
              <w:ind w:left="103" w:right="33"/>
              <w:jc w:val="both"/>
              <w:rPr>
                <w:rFonts w:ascii="宋体" w:hAnsi="宋体" w:cs="宋体" w:eastAsia="宋体" w:hint="default"/>
                <w:sz w:val="21"/>
                <w:szCs w:val="21"/>
              </w:rPr>
            </w:pPr>
            <w:r>
              <w:rPr>
                <w:rFonts w:ascii="宋体" w:hAnsi="宋体" w:cs="宋体" w:eastAsia="宋体" w:hint="default"/>
                <w:spacing w:val="33"/>
                <w:sz w:val="21"/>
                <w:szCs w:val="21"/>
              </w:rPr>
              <w:t>厦门</w:t>
            </w:r>
            <w:r>
              <w:rPr>
                <w:rFonts w:ascii="宋体" w:hAnsi="宋体" w:cs="宋体" w:eastAsia="宋体" w:hint="default"/>
                <w:spacing w:val="-102"/>
                <w:sz w:val="21"/>
                <w:szCs w:val="21"/>
              </w:rPr>
              <w:t> </w:t>
            </w:r>
            <w:r>
              <w:rPr>
                <w:rFonts w:ascii="宋体" w:hAnsi="宋体" w:cs="宋体" w:eastAsia="宋体" w:hint="default"/>
                <w:spacing w:val="33"/>
                <w:sz w:val="21"/>
                <w:szCs w:val="21"/>
              </w:rPr>
              <w:t>国际</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1"/>
              <w:jc w:val="right"/>
              <w:rPr>
                <w:rFonts w:ascii="Times New Roman" w:hAnsi="Times New Roman" w:cs="Times New Roman" w:eastAsia="Times New Roman" w:hint="default"/>
                <w:sz w:val="21"/>
                <w:szCs w:val="21"/>
              </w:rPr>
            </w:pPr>
            <w:r>
              <w:rPr>
                <w:rFonts w:ascii="Times New Roman"/>
                <w:spacing w:val="-1"/>
                <w:sz w:val="21"/>
              </w:rPr>
              <w:t>2017-12-15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7"/>
              <w:jc w:val="right"/>
              <w:rPr>
                <w:rFonts w:ascii="Times New Roman" w:hAnsi="Times New Roman" w:cs="Times New Roman" w:eastAsia="Times New Roman" w:hint="default"/>
                <w:sz w:val="21"/>
                <w:szCs w:val="21"/>
              </w:rPr>
            </w:pPr>
            <w:r>
              <w:rPr>
                <w:rFonts w:ascii="Times New Roman"/>
                <w:spacing w:val="-1"/>
                <w:sz w:val="21"/>
              </w:rPr>
              <w:t>2018-3-14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保本浮</w:t>
            </w:r>
            <w:r>
              <w:rPr>
                <w:rFonts w:ascii="宋体" w:hAnsi="宋体" w:cs="宋体" w:eastAsia="宋体" w:hint="default"/>
                <w:spacing w:val="-99"/>
                <w:sz w:val="21"/>
                <w:szCs w:val="21"/>
              </w:rPr>
              <w:t> </w:t>
            </w:r>
            <w:r>
              <w:rPr>
                <w:rFonts w:ascii="宋体" w:hAnsi="宋体" w:cs="宋体" w:eastAsia="宋体" w:hint="default"/>
                <w:sz w:val="21"/>
                <w:szCs w:val="21"/>
              </w:rPr>
              <w:t>动收益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8"/>
              <w:jc w:val="right"/>
              <w:rPr>
                <w:rFonts w:ascii="Times New Roman" w:hAnsi="Times New Roman" w:cs="Times New Roman" w:eastAsia="Times New Roman" w:hint="default"/>
                <w:sz w:val="21"/>
                <w:szCs w:val="21"/>
              </w:rPr>
            </w:pPr>
            <w:r>
              <w:rPr>
                <w:rFonts w:ascii="Times New Roman"/>
                <w:sz w:val="21"/>
              </w:rPr>
              <w:t>0.051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9"/>
              <w:jc w:val="right"/>
              <w:rPr>
                <w:rFonts w:ascii="Times New Roman" w:hAnsi="Times New Roman" w:cs="Times New Roman" w:eastAsia="Times New Roman" w:hint="default"/>
                <w:sz w:val="21"/>
                <w:szCs w:val="21"/>
              </w:rPr>
            </w:pPr>
            <w:r>
              <w:rPr>
                <w:rFonts w:ascii="Times New Roman"/>
                <w:spacing w:val="-1"/>
                <w:sz w:val="21"/>
              </w:rPr>
              <w:t>126,083.33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8"/>
              <w:jc w:val="right"/>
              <w:rPr>
                <w:rFonts w:ascii="Times New Roman" w:hAnsi="Times New Roman" w:cs="Times New Roman" w:eastAsia="Times New Roman" w:hint="default"/>
                <w:sz w:val="21"/>
                <w:szCs w:val="21"/>
              </w:rPr>
            </w:pPr>
            <w:r>
              <w:rPr>
                <w:rFonts w:ascii="Times New Roman"/>
                <w:spacing w:val="-1"/>
                <w:sz w:val="21"/>
              </w:rPr>
              <w:t>126,965.41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33"/>
              <w:jc w:val="left"/>
              <w:rPr>
                <w:rFonts w:ascii="宋体" w:hAnsi="宋体" w:cs="宋体" w:eastAsia="宋体" w:hint="default"/>
                <w:sz w:val="21"/>
                <w:szCs w:val="21"/>
              </w:rPr>
            </w:pPr>
            <w:r>
              <w:rPr>
                <w:rFonts w:ascii="宋体" w:hAnsi="宋体" w:cs="宋体" w:eastAsia="宋体" w:hint="default"/>
                <w:spacing w:val="33"/>
                <w:sz w:val="21"/>
                <w:szCs w:val="21"/>
              </w:rPr>
              <w:t>长江</w:t>
            </w:r>
            <w:r>
              <w:rPr>
                <w:rFonts w:ascii="宋体" w:hAnsi="宋体" w:cs="宋体" w:eastAsia="宋体" w:hint="default"/>
                <w:spacing w:val="-102"/>
                <w:sz w:val="21"/>
                <w:szCs w:val="21"/>
              </w:rPr>
              <w:t> </w:t>
            </w:r>
            <w:r>
              <w:rPr>
                <w:rFonts w:ascii="宋体" w:hAnsi="宋体" w:cs="宋体" w:eastAsia="宋体" w:hint="default"/>
                <w:sz w:val="21"/>
                <w:szCs w:val="21"/>
              </w:rPr>
              <w:t>证券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19,900,398.00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2018-4-23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2018-4-25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99"/>
                <w:sz w:val="21"/>
                <w:szCs w:val="21"/>
              </w:rPr>
              <w:t> </w:t>
            </w: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0.09025</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8,908.45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33"/>
              <w:jc w:val="left"/>
              <w:rPr>
                <w:rFonts w:ascii="宋体" w:hAnsi="宋体" w:cs="宋体" w:eastAsia="宋体" w:hint="default"/>
                <w:sz w:val="21"/>
                <w:szCs w:val="21"/>
              </w:rPr>
            </w:pPr>
            <w:r>
              <w:rPr>
                <w:rFonts w:ascii="宋体" w:hAnsi="宋体" w:cs="宋体" w:eastAsia="宋体" w:hint="default"/>
                <w:spacing w:val="33"/>
                <w:sz w:val="21"/>
                <w:szCs w:val="21"/>
              </w:rPr>
              <w:t>长江</w:t>
            </w:r>
            <w:r>
              <w:rPr>
                <w:rFonts w:ascii="宋体" w:hAnsi="宋体" w:cs="宋体" w:eastAsia="宋体" w:hint="default"/>
                <w:spacing w:val="-102"/>
                <w:sz w:val="21"/>
                <w:szCs w:val="21"/>
              </w:rPr>
              <w:t> </w:t>
            </w:r>
            <w:r>
              <w:rPr>
                <w:rFonts w:ascii="宋体" w:hAnsi="宋体" w:cs="宋体" w:eastAsia="宋体" w:hint="default"/>
                <w:sz w:val="21"/>
                <w:szCs w:val="21"/>
              </w:rPr>
              <w:t>证券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99,001.98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2018-4-23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2018-4-25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99"/>
                <w:sz w:val="21"/>
                <w:szCs w:val="21"/>
              </w:rPr>
              <w:t> </w:t>
            </w: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0.0835</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40.87</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3"/>
                <w:sz w:val="21"/>
                <w:szCs w:val="21"/>
              </w:rPr>
              <w:t>国泰</w:t>
            </w:r>
            <w:r>
              <w:rPr>
                <w:rFonts w:ascii="宋体" w:hAnsi="宋体" w:cs="宋体" w:eastAsia="宋体" w:hint="default"/>
                <w:spacing w:val="-38"/>
                <w:sz w:val="21"/>
                <w:szCs w:val="21"/>
              </w:rPr>
              <w:t> </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证券</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2018-1-24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
              <w:jc w:val="right"/>
              <w:rPr>
                <w:rFonts w:ascii="Times New Roman" w:hAnsi="Times New Roman" w:cs="Times New Roman" w:eastAsia="Times New Roman" w:hint="default"/>
                <w:sz w:val="21"/>
                <w:szCs w:val="21"/>
              </w:rPr>
            </w:pPr>
            <w:r>
              <w:rPr>
                <w:rFonts w:ascii="Times New Roman"/>
                <w:spacing w:val="-1"/>
                <w:sz w:val="21"/>
              </w:rPr>
              <w:t>2018-4-24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自有资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0.05</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588,007.24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04"/>
        <w:gridCol w:w="710"/>
        <w:gridCol w:w="1558"/>
        <w:gridCol w:w="1277"/>
        <w:gridCol w:w="1135"/>
        <w:gridCol w:w="850"/>
        <w:gridCol w:w="708"/>
        <w:gridCol w:w="991"/>
        <w:gridCol w:w="994"/>
        <w:gridCol w:w="1275"/>
        <w:gridCol w:w="1534"/>
        <w:gridCol w:w="878"/>
        <w:gridCol w:w="425"/>
        <w:gridCol w:w="425"/>
        <w:gridCol w:w="425"/>
      </w:tblGrid>
      <w:tr>
        <w:trPr>
          <w:trHeight w:val="109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君安</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33"/>
              <w:jc w:val="left"/>
              <w:rPr>
                <w:rFonts w:ascii="宋体" w:hAnsi="宋体" w:cs="宋体" w:eastAsia="宋体" w:hint="default"/>
                <w:sz w:val="21"/>
                <w:szCs w:val="21"/>
              </w:rPr>
            </w:pPr>
            <w:r>
              <w:rPr>
                <w:rFonts w:ascii="宋体" w:hAnsi="宋体" w:cs="宋体" w:eastAsia="宋体" w:hint="default"/>
                <w:spacing w:val="33"/>
                <w:sz w:val="21"/>
                <w:szCs w:val="21"/>
              </w:rPr>
              <w:t>长江</w:t>
            </w:r>
            <w:r>
              <w:rPr>
                <w:rFonts w:ascii="宋体" w:hAnsi="宋体" w:cs="宋体" w:eastAsia="宋体" w:hint="default"/>
                <w:spacing w:val="-102"/>
                <w:sz w:val="21"/>
                <w:szCs w:val="21"/>
              </w:rPr>
              <w:t> </w:t>
            </w:r>
            <w:r>
              <w:rPr>
                <w:rFonts w:ascii="宋体" w:hAnsi="宋体" w:cs="宋体" w:eastAsia="宋体" w:hint="default"/>
                <w:sz w:val="21"/>
                <w:szCs w:val="21"/>
              </w:rPr>
              <w:t>证券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20,001,000.00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2018-4-25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2018-5-2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99"/>
                <w:sz w:val="21"/>
                <w:szCs w:val="21"/>
              </w:rPr>
              <w:t> </w:t>
            </w: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0.0535</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18,415.61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33"/>
              <w:jc w:val="left"/>
              <w:rPr>
                <w:rFonts w:ascii="宋体" w:hAnsi="宋体" w:cs="宋体" w:eastAsia="宋体" w:hint="default"/>
                <w:sz w:val="21"/>
                <w:szCs w:val="21"/>
              </w:rPr>
            </w:pPr>
            <w:r>
              <w:rPr>
                <w:rFonts w:ascii="宋体" w:hAnsi="宋体" w:cs="宋体" w:eastAsia="宋体" w:hint="default"/>
                <w:spacing w:val="33"/>
                <w:sz w:val="21"/>
                <w:szCs w:val="21"/>
              </w:rPr>
              <w:t>长江</w:t>
            </w:r>
            <w:r>
              <w:rPr>
                <w:rFonts w:ascii="宋体" w:hAnsi="宋体" w:cs="宋体" w:eastAsia="宋体" w:hint="default"/>
                <w:spacing w:val="-102"/>
                <w:sz w:val="21"/>
                <w:szCs w:val="21"/>
              </w:rPr>
              <w:t> </w:t>
            </w:r>
            <w:r>
              <w:rPr>
                <w:rFonts w:ascii="宋体" w:hAnsi="宋体" w:cs="宋体" w:eastAsia="宋体" w:hint="default"/>
                <w:sz w:val="21"/>
                <w:szCs w:val="21"/>
              </w:rPr>
              <w:t>证券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20,001,000.00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2018-4-25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2018-5-2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99"/>
                <w:sz w:val="21"/>
                <w:szCs w:val="21"/>
              </w:rPr>
              <w:t> </w:t>
            </w: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0.0595</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20,604.82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33"/>
              <w:jc w:val="left"/>
              <w:rPr>
                <w:rFonts w:ascii="宋体" w:hAnsi="宋体" w:cs="宋体" w:eastAsia="宋体" w:hint="default"/>
                <w:sz w:val="21"/>
                <w:szCs w:val="21"/>
              </w:rPr>
            </w:pPr>
            <w:r>
              <w:rPr>
                <w:rFonts w:ascii="宋体" w:hAnsi="宋体" w:cs="宋体" w:eastAsia="宋体" w:hint="default"/>
                <w:spacing w:val="33"/>
                <w:sz w:val="21"/>
                <w:szCs w:val="21"/>
              </w:rPr>
              <w:t>长江</w:t>
            </w:r>
            <w:r>
              <w:rPr>
                <w:rFonts w:ascii="宋体" w:hAnsi="宋体" w:cs="宋体" w:eastAsia="宋体" w:hint="default"/>
                <w:spacing w:val="-102"/>
                <w:sz w:val="21"/>
                <w:szCs w:val="21"/>
              </w:rPr>
              <w:t> </w:t>
            </w:r>
            <w:r>
              <w:rPr>
                <w:rFonts w:ascii="宋体" w:hAnsi="宋体" w:cs="宋体" w:eastAsia="宋体" w:hint="default"/>
                <w:sz w:val="21"/>
                <w:szCs w:val="21"/>
              </w:rPr>
              <w:t>证券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20,000,200.00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2018-5-2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2018-5-3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99"/>
                <w:sz w:val="21"/>
                <w:szCs w:val="21"/>
              </w:rPr>
              <w:t> </w:t>
            </w: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0.0457</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2,173.69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2"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4" w:lineRule="auto"/>
              <w:ind w:left="103" w:right="33"/>
              <w:jc w:val="both"/>
              <w:rPr>
                <w:rFonts w:ascii="宋体" w:hAnsi="宋体" w:cs="宋体" w:eastAsia="宋体" w:hint="default"/>
                <w:sz w:val="21"/>
                <w:szCs w:val="21"/>
              </w:rPr>
            </w:pPr>
            <w:r>
              <w:rPr>
                <w:rFonts w:ascii="宋体" w:hAnsi="宋体" w:cs="宋体" w:eastAsia="宋体" w:hint="default"/>
                <w:spacing w:val="33"/>
                <w:sz w:val="21"/>
                <w:szCs w:val="21"/>
              </w:rPr>
              <w:t>厦门</w:t>
            </w:r>
            <w:r>
              <w:rPr>
                <w:rFonts w:ascii="宋体" w:hAnsi="宋体" w:cs="宋体" w:eastAsia="宋体" w:hint="default"/>
                <w:spacing w:val="-102"/>
                <w:sz w:val="21"/>
                <w:szCs w:val="21"/>
              </w:rPr>
              <w:t> </w:t>
            </w:r>
            <w:r>
              <w:rPr>
                <w:rFonts w:ascii="宋体" w:hAnsi="宋体" w:cs="宋体" w:eastAsia="宋体" w:hint="default"/>
                <w:spacing w:val="33"/>
                <w:sz w:val="21"/>
                <w:szCs w:val="21"/>
              </w:rPr>
              <w:t>国际</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3"/>
              <w:jc w:val="right"/>
              <w:rPr>
                <w:rFonts w:ascii="Times New Roman" w:hAnsi="Times New Roman" w:cs="Times New Roman" w:eastAsia="Times New Roman" w:hint="default"/>
                <w:sz w:val="21"/>
                <w:szCs w:val="21"/>
              </w:rPr>
            </w:pPr>
            <w:r>
              <w:rPr>
                <w:rFonts w:ascii="Times New Roman"/>
                <w:spacing w:val="-1"/>
                <w:sz w:val="21"/>
              </w:rPr>
              <w:t>2018-4-26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7"/>
              <w:jc w:val="right"/>
              <w:rPr>
                <w:rFonts w:ascii="Times New Roman" w:hAnsi="Times New Roman" w:cs="Times New Roman" w:eastAsia="Times New Roman" w:hint="default"/>
                <w:sz w:val="21"/>
                <w:szCs w:val="21"/>
              </w:rPr>
            </w:pPr>
            <w:r>
              <w:rPr>
                <w:rFonts w:ascii="Times New Roman"/>
                <w:spacing w:val="-1"/>
                <w:sz w:val="21"/>
              </w:rPr>
              <w:t>2018-5-28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0" w:right="101"/>
              <w:jc w:val="left"/>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保本浮</w:t>
            </w:r>
            <w:r>
              <w:rPr>
                <w:rFonts w:ascii="宋体" w:hAnsi="宋体" w:cs="宋体" w:eastAsia="宋体" w:hint="default"/>
                <w:spacing w:val="-99"/>
                <w:sz w:val="21"/>
                <w:szCs w:val="21"/>
              </w:rPr>
              <w:t> </w:t>
            </w:r>
            <w:r>
              <w:rPr>
                <w:rFonts w:ascii="宋体" w:hAnsi="宋体" w:cs="宋体" w:eastAsia="宋体" w:hint="default"/>
                <w:sz w:val="21"/>
                <w:szCs w:val="21"/>
              </w:rPr>
              <w:t>动收益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8"/>
              <w:jc w:val="right"/>
              <w:rPr>
                <w:rFonts w:ascii="Times New Roman" w:hAnsi="Times New Roman" w:cs="Times New Roman" w:eastAsia="Times New Roman" w:hint="default"/>
                <w:sz w:val="21"/>
                <w:szCs w:val="21"/>
              </w:rPr>
            </w:pPr>
            <w:r>
              <w:rPr>
                <w:rFonts w:ascii="Times New Roman"/>
                <w:sz w:val="21"/>
              </w:rPr>
              <w:t>0.048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8"/>
              <w:jc w:val="right"/>
              <w:rPr>
                <w:rFonts w:ascii="Times New Roman" w:hAnsi="Times New Roman" w:cs="Times New Roman" w:eastAsia="Times New Roman" w:hint="default"/>
                <w:sz w:val="21"/>
                <w:szCs w:val="21"/>
              </w:rPr>
            </w:pPr>
            <w:r>
              <w:rPr>
                <w:rFonts w:ascii="Times New Roman"/>
                <w:spacing w:val="-1"/>
                <w:sz w:val="21"/>
              </w:rPr>
              <w:t>40,251.58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东兴</w:t>
            </w:r>
            <w:r>
              <w:rPr>
                <w:rFonts w:ascii="宋体" w:hAnsi="宋体" w:cs="宋体" w:eastAsia="宋体" w:hint="default"/>
                <w:spacing w:val="-102"/>
                <w:sz w:val="21"/>
                <w:szCs w:val="21"/>
              </w:rPr>
              <w:t> </w:t>
            </w:r>
            <w:r>
              <w:rPr>
                <w:rFonts w:ascii="宋体" w:hAnsi="宋体" w:cs="宋体" w:eastAsia="宋体" w:hint="default"/>
                <w:sz w:val="21"/>
                <w:szCs w:val="21"/>
              </w:rPr>
              <w:t>证券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证券</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28,000,000.00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2018-4-27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99"/>
                <w:sz w:val="21"/>
                <w:szCs w:val="21"/>
              </w:rPr>
              <w:t> </w:t>
            </w: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0.049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237,591.10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33"/>
              <w:jc w:val="both"/>
              <w:rPr>
                <w:rFonts w:ascii="宋体" w:hAnsi="宋体" w:cs="宋体" w:eastAsia="宋体" w:hint="default"/>
                <w:sz w:val="21"/>
                <w:szCs w:val="21"/>
              </w:rPr>
            </w:pPr>
            <w:r>
              <w:rPr>
                <w:rFonts w:ascii="宋体" w:hAnsi="宋体" w:cs="宋体" w:eastAsia="宋体" w:hint="default"/>
                <w:spacing w:val="33"/>
                <w:sz w:val="21"/>
                <w:szCs w:val="21"/>
              </w:rPr>
              <w:t>太平</w:t>
            </w:r>
            <w:r>
              <w:rPr>
                <w:rFonts w:ascii="宋体" w:hAnsi="宋体" w:cs="宋体" w:eastAsia="宋体" w:hint="default"/>
                <w:spacing w:val="-102"/>
                <w:sz w:val="21"/>
                <w:szCs w:val="21"/>
              </w:rPr>
              <w:t> </w:t>
            </w:r>
            <w:r>
              <w:rPr>
                <w:rFonts w:ascii="宋体" w:hAnsi="宋体" w:cs="宋体" w:eastAsia="宋体" w:hint="default"/>
                <w:spacing w:val="33"/>
                <w:sz w:val="21"/>
                <w:szCs w:val="21"/>
              </w:rPr>
              <w:t>洋证</w:t>
            </w:r>
            <w:r>
              <w:rPr>
                <w:rFonts w:ascii="宋体" w:hAnsi="宋体" w:cs="宋体" w:eastAsia="宋体" w:hint="default"/>
                <w:spacing w:val="-102"/>
                <w:sz w:val="21"/>
                <w:szCs w:val="21"/>
              </w:rPr>
              <w:t> </w:t>
            </w:r>
            <w:r>
              <w:rPr>
                <w:rFonts w:ascii="宋体" w:hAnsi="宋体" w:cs="宋体" w:eastAsia="宋体" w:hint="default"/>
                <w:sz w:val="21"/>
                <w:szCs w:val="21"/>
              </w:rPr>
              <w:t>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证券</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99"/>
                <w:sz w:val="21"/>
                <w:szCs w:val="21"/>
              </w:rPr>
              <w:t> </w:t>
            </w: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0.0519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164,548.98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33"/>
              <w:jc w:val="both"/>
              <w:rPr>
                <w:rFonts w:ascii="宋体" w:hAnsi="宋体" w:cs="宋体" w:eastAsia="宋体" w:hint="default"/>
                <w:sz w:val="21"/>
                <w:szCs w:val="21"/>
              </w:rPr>
            </w:pPr>
            <w:r>
              <w:rPr>
                <w:rFonts w:ascii="宋体" w:hAnsi="宋体" w:cs="宋体" w:eastAsia="宋体" w:hint="default"/>
                <w:spacing w:val="33"/>
                <w:sz w:val="21"/>
                <w:szCs w:val="21"/>
              </w:rPr>
              <w:t>太平</w:t>
            </w:r>
            <w:r>
              <w:rPr>
                <w:rFonts w:ascii="宋体" w:hAnsi="宋体" w:cs="宋体" w:eastAsia="宋体" w:hint="default"/>
                <w:spacing w:val="-102"/>
                <w:sz w:val="21"/>
                <w:szCs w:val="21"/>
              </w:rPr>
              <w:t> </w:t>
            </w:r>
            <w:r>
              <w:rPr>
                <w:rFonts w:ascii="宋体" w:hAnsi="宋体" w:cs="宋体" w:eastAsia="宋体" w:hint="default"/>
                <w:spacing w:val="33"/>
                <w:sz w:val="21"/>
                <w:szCs w:val="21"/>
              </w:rPr>
              <w:t>洋证</w:t>
            </w:r>
            <w:r>
              <w:rPr>
                <w:rFonts w:ascii="宋体" w:hAnsi="宋体" w:cs="宋体" w:eastAsia="宋体" w:hint="default"/>
                <w:spacing w:val="-102"/>
                <w:sz w:val="21"/>
                <w:szCs w:val="21"/>
              </w:rPr>
              <w:t> </w:t>
            </w:r>
            <w:r>
              <w:rPr>
                <w:rFonts w:ascii="宋体" w:hAnsi="宋体" w:cs="宋体" w:eastAsia="宋体" w:hint="default"/>
                <w:sz w:val="21"/>
                <w:szCs w:val="21"/>
              </w:rPr>
              <w:t>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证券</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2018-5-3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2018-8-6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99"/>
                <w:sz w:val="21"/>
                <w:szCs w:val="21"/>
              </w:rPr>
              <w:t> </w:t>
            </w: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0.0519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169,914.71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04"/>
        <w:gridCol w:w="710"/>
        <w:gridCol w:w="1558"/>
        <w:gridCol w:w="1277"/>
        <w:gridCol w:w="1135"/>
        <w:gridCol w:w="850"/>
        <w:gridCol w:w="708"/>
        <w:gridCol w:w="991"/>
        <w:gridCol w:w="994"/>
        <w:gridCol w:w="1275"/>
        <w:gridCol w:w="1534"/>
        <w:gridCol w:w="878"/>
        <w:gridCol w:w="425"/>
        <w:gridCol w:w="425"/>
        <w:gridCol w:w="425"/>
      </w:tblGrid>
      <w:tr>
        <w:trPr>
          <w:trHeight w:val="370" w:hRule="exact"/>
        </w:trPr>
        <w:tc>
          <w:tcPr>
            <w:tcW w:w="7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33"/>
              <w:jc w:val="both"/>
              <w:rPr>
                <w:rFonts w:ascii="宋体" w:hAnsi="宋体" w:cs="宋体" w:eastAsia="宋体" w:hint="default"/>
                <w:sz w:val="21"/>
                <w:szCs w:val="21"/>
              </w:rPr>
            </w:pPr>
            <w:r>
              <w:rPr>
                <w:rFonts w:ascii="宋体" w:hAnsi="宋体" w:cs="宋体" w:eastAsia="宋体" w:hint="default"/>
                <w:spacing w:val="33"/>
                <w:sz w:val="21"/>
                <w:szCs w:val="21"/>
              </w:rPr>
              <w:t>太平</w:t>
            </w:r>
            <w:r>
              <w:rPr>
                <w:rFonts w:ascii="宋体" w:hAnsi="宋体" w:cs="宋体" w:eastAsia="宋体" w:hint="default"/>
                <w:spacing w:val="-102"/>
                <w:sz w:val="21"/>
                <w:szCs w:val="21"/>
              </w:rPr>
              <w:t> </w:t>
            </w:r>
            <w:r>
              <w:rPr>
                <w:rFonts w:ascii="宋体" w:hAnsi="宋体" w:cs="宋体" w:eastAsia="宋体" w:hint="default"/>
                <w:spacing w:val="33"/>
                <w:sz w:val="21"/>
                <w:szCs w:val="21"/>
              </w:rPr>
              <w:t>洋证</w:t>
            </w:r>
            <w:r>
              <w:rPr>
                <w:rFonts w:ascii="宋体" w:hAnsi="宋体" w:cs="宋体" w:eastAsia="宋体" w:hint="default"/>
                <w:spacing w:val="-102"/>
                <w:sz w:val="21"/>
                <w:szCs w:val="21"/>
              </w:rPr>
              <w:t> </w:t>
            </w:r>
            <w:r>
              <w:rPr>
                <w:rFonts w:ascii="宋体" w:hAnsi="宋体" w:cs="宋体" w:eastAsia="宋体" w:hint="default"/>
                <w:sz w:val="21"/>
                <w:szCs w:val="21"/>
              </w:rPr>
              <w:t>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证券</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99"/>
                <w:sz w:val="21"/>
                <w:szCs w:val="21"/>
              </w:rPr>
              <w:t> </w:t>
            </w: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0.0519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171,703.28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103" w:right="33"/>
              <w:jc w:val="both"/>
              <w:rPr>
                <w:rFonts w:ascii="宋体" w:hAnsi="宋体" w:cs="宋体" w:eastAsia="宋体" w:hint="default"/>
                <w:sz w:val="21"/>
                <w:szCs w:val="21"/>
              </w:rPr>
            </w:pPr>
            <w:r>
              <w:rPr>
                <w:rFonts w:ascii="宋体" w:hAnsi="宋体" w:cs="宋体" w:eastAsia="宋体" w:hint="default"/>
                <w:spacing w:val="33"/>
                <w:sz w:val="21"/>
                <w:szCs w:val="21"/>
              </w:rPr>
              <w:t>太平</w:t>
            </w:r>
            <w:r>
              <w:rPr>
                <w:rFonts w:ascii="宋体" w:hAnsi="宋体" w:cs="宋体" w:eastAsia="宋体" w:hint="default"/>
                <w:spacing w:val="-102"/>
                <w:sz w:val="21"/>
                <w:szCs w:val="21"/>
              </w:rPr>
              <w:t> </w:t>
            </w:r>
            <w:r>
              <w:rPr>
                <w:rFonts w:ascii="宋体" w:hAnsi="宋体" w:cs="宋体" w:eastAsia="宋体" w:hint="default"/>
                <w:spacing w:val="33"/>
                <w:sz w:val="21"/>
                <w:szCs w:val="21"/>
              </w:rPr>
              <w:t>洋证</w:t>
            </w:r>
            <w:r>
              <w:rPr>
                <w:rFonts w:ascii="宋体" w:hAnsi="宋体" w:cs="宋体" w:eastAsia="宋体" w:hint="default"/>
                <w:spacing w:val="-102"/>
                <w:sz w:val="21"/>
                <w:szCs w:val="21"/>
              </w:rPr>
              <w:t> </w:t>
            </w:r>
            <w:r>
              <w:rPr>
                <w:rFonts w:ascii="宋体" w:hAnsi="宋体" w:cs="宋体" w:eastAsia="宋体" w:hint="default"/>
                <w:sz w:val="21"/>
                <w:szCs w:val="21"/>
              </w:rPr>
              <w:t>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证券</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99"/>
                <w:sz w:val="21"/>
                <w:szCs w:val="21"/>
              </w:rPr>
              <w:t> </w:t>
            </w: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0.0519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173,491.86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33"/>
              <w:jc w:val="both"/>
              <w:rPr>
                <w:rFonts w:ascii="宋体" w:hAnsi="宋体" w:cs="宋体" w:eastAsia="宋体" w:hint="default"/>
                <w:sz w:val="21"/>
                <w:szCs w:val="21"/>
              </w:rPr>
            </w:pPr>
            <w:r>
              <w:rPr>
                <w:rFonts w:ascii="宋体" w:hAnsi="宋体" w:cs="宋体" w:eastAsia="宋体" w:hint="default"/>
                <w:spacing w:val="33"/>
                <w:sz w:val="21"/>
                <w:szCs w:val="21"/>
              </w:rPr>
              <w:t>太平</w:t>
            </w:r>
            <w:r>
              <w:rPr>
                <w:rFonts w:ascii="宋体" w:hAnsi="宋体" w:cs="宋体" w:eastAsia="宋体" w:hint="default"/>
                <w:spacing w:val="-102"/>
                <w:sz w:val="21"/>
                <w:szCs w:val="21"/>
              </w:rPr>
              <w:t> </w:t>
            </w:r>
            <w:r>
              <w:rPr>
                <w:rFonts w:ascii="宋体" w:hAnsi="宋体" w:cs="宋体" w:eastAsia="宋体" w:hint="default"/>
                <w:spacing w:val="33"/>
                <w:sz w:val="21"/>
                <w:szCs w:val="21"/>
              </w:rPr>
              <w:t>洋证</w:t>
            </w:r>
            <w:r>
              <w:rPr>
                <w:rFonts w:ascii="宋体" w:hAnsi="宋体" w:cs="宋体" w:eastAsia="宋体" w:hint="default"/>
                <w:spacing w:val="-102"/>
                <w:sz w:val="21"/>
                <w:szCs w:val="21"/>
              </w:rPr>
              <w:t> </w:t>
            </w:r>
            <w:r>
              <w:rPr>
                <w:rFonts w:ascii="宋体" w:hAnsi="宋体" w:cs="宋体" w:eastAsia="宋体" w:hint="default"/>
                <w:sz w:val="21"/>
                <w:szCs w:val="21"/>
              </w:rPr>
              <w:t>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证券</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2018-8-14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99"/>
                <w:sz w:val="21"/>
                <w:szCs w:val="21"/>
              </w:rPr>
              <w:t> </w:t>
            </w: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0.0519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184,223.31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2"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4" w:lineRule="auto"/>
              <w:ind w:left="103" w:right="33"/>
              <w:jc w:val="both"/>
              <w:rPr>
                <w:rFonts w:ascii="宋体" w:hAnsi="宋体" w:cs="宋体" w:eastAsia="宋体" w:hint="default"/>
                <w:sz w:val="21"/>
                <w:szCs w:val="21"/>
              </w:rPr>
            </w:pPr>
            <w:r>
              <w:rPr>
                <w:rFonts w:ascii="宋体" w:hAnsi="宋体" w:cs="宋体" w:eastAsia="宋体" w:hint="default"/>
                <w:spacing w:val="33"/>
                <w:sz w:val="21"/>
                <w:szCs w:val="21"/>
              </w:rPr>
              <w:t>太平</w:t>
            </w:r>
            <w:r>
              <w:rPr>
                <w:rFonts w:ascii="宋体" w:hAnsi="宋体" w:cs="宋体" w:eastAsia="宋体" w:hint="default"/>
                <w:spacing w:val="-102"/>
                <w:sz w:val="21"/>
                <w:szCs w:val="21"/>
              </w:rPr>
              <w:t> </w:t>
            </w:r>
            <w:r>
              <w:rPr>
                <w:rFonts w:ascii="宋体" w:hAnsi="宋体" w:cs="宋体" w:eastAsia="宋体" w:hint="default"/>
                <w:spacing w:val="33"/>
                <w:sz w:val="21"/>
                <w:szCs w:val="21"/>
              </w:rPr>
              <w:t>洋证</w:t>
            </w:r>
            <w:r>
              <w:rPr>
                <w:rFonts w:ascii="宋体" w:hAnsi="宋体" w:cs="宋体" w:eastAsia="宋体" w:hint="default"/>
                <w:spacing w:val="-102"/>
                <w:sz w:val="21"/>
                <w:szCs w:val="21"/>
              </w:rPr>
              <w:t> </w:t>
            </w:r>
            <w:r>
              <w:rPr>
                <w:rFonts w:ascii="宋体" w:hAnsi="宋体" w:cs="宋体" w:eastAsia="宋体" w:hint="default"/>
                <w:sz w:val="21"/>
                <w:szCs w:val="21"/>
              </w:rPr>
              <w:t>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29"/>
              <w:jc w:val="left"/>
              <w:rPr>
                <w:rFonts w:ascii="宋体" w:hAnsi="宋体" w:cs="宋体" w:eastAsia="宋体" w:hint="default"/>
                <w:sz w:val="21"/>
                <w:szCs w:val="21"/>
              </w:rPr>
            </w:pPr>
            <w:r>
              <w:rPr>
                <w:rFonts w:ascii="宋体" w:hAnsi="宋体" w:cs="宋体" w:eastAsia="宋体" w:hint="default"/>
                <w:spacing w:val="35"/>
                <w:sz w:val="21"/>
                <w:szCs w:val="21"/>
              </w:rPr>
              <w:t>证券</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3"/>
              <w:jc w:val="right"/>
              <w:rPr>
                <w:rFonts w:ascii="Times New Roman" w:hAnsi="Times New Roman" w:cs="Times New Roman" w:eastAsia="Times New Roman" w:hint="default"/>
                <w:sz w:val="21"/>
                <w:szCs w:val="21"/>
              </w:rPr>
            </w:pPr>
            <w:r>
              <w:rPr>
                <w:rFonts w:ascii="Times New Roman"/>
                <w:spacing w:val="-1"/>
                <w:sz w:val="21"/>
              </w:rPr>
              <w:t>2018-5-3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7"/>
              <w:jc w:val="right"/>
              <w:rPr>
                <w:rFonts w:ascii="Times New Roman" w:hAnsi="Times New Roman" w:cs="Times New Roman" w:eastAsia="Times New Roman" w:hint="default"/>
                <w:sz w:val="21"/>
                <w:szCs w:val="21"/>
              </w:rPr>
            </w:pPr>
            <w:r>
              <w:rPr>
                <w:rFonts w:ascii="Times New Roman"/>
                <w:spacing w:val="-1"/>
                <w:sz w:val="21"/>
              </w:rPr>
              <w:t>2018-8-16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99"/>
                <w:sz w:val="21"/>
                <w:szCs w:val="21"/>
              </w:rPr>
              <w:t> </w:t>
            </w: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8"/>
              <w:jc w:val="right"/>
              <w:rPr>
                <w:rFonts w:ascii="Times New Roman" w:hAnsi="Times New Roman" w:cs="Times New Roman" w:eastAsia="Times New Roman" w:hint="default"/>
                <w:sz w:val="21"/>
                <w:szCs w:val="21"/>
              </w:rPr>
            </w:pPr>
            <w:r>
              <w:rPr>
                <w:rFonts w:ascii="Times New Roman"/>
                <w:sz w:val="21"/>
              </w:rPr>
              <w:t>0.0519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8"/>
              <w:jc w:val="right"/>
              <w:rPr>
                <w:rFonts w:ascii="Times New Roman" w:hAnsi="Times New Roman" w:cs="Times New Roman" w:eastAsia="Times New Roman" w:hint="default"/>
                <w:sz w:val="21"/>
                <w:szCs w:val="21"/>
              </w:rPr>
            </w:pPr>
            <w:r>
              <w:rPr>
                <w:rFonts w:ascii="Times New Roman"/>
                <w:spacing w:val="-1"/>
                <w:sz w:val="21"/>
              </w:rPr>
              <w:t>187,800.46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33"/>
              <w:jc w:val="both"/>
              <w:rPr>
                <w:rFonts w:ascii="宋体" w:hAnsi="宋体" w:cs="宋体" w:eastAsia="宋体" w:hint="default"/>
                <w:sz w:val="21"/>
                <w:szCs w:val="21"/>
              </w:rPr>
            </w:pPr>
            <w:r>
              <w:rPr>
                <w:rFonts w:ascii="宋体" w:hAnsi="宋体" w:cs="宋体" w:eastAsia="宋体" w:hint="default"/>
                <w:spacing w:val="33"/>
                <w:sz w:val="21"/>
                <w:szCs w:val="21"/>
              </w:rPr>
              <w:t>太平</w:t>
            </w:r>
            <w:r>
              <w:rPr>
                <w:rFonts w:ascii="宋体" w:hAnsi="宋体" w:cs="宋体" w:eastAsia="宋体" w:hint="default"/>
                <w:spacing w:val="-102"/>
                <w:sz w:val="21"/>
                <w:szCs w:val="21"/>
              </w:rPr>
              <w:t> </w:t>
            </w:r>
            <w:r>
              <w:rPr>
                <w:rFonts w:ascii="宋体" w:hAnsi="宋体" w:cs="宋体" w:eastAsia="宋体" w:hint="default"/>
                <w:spacing w:val="33"/>
                <w:sz w:val="21"/>
                <w:szCs w:val="21"/>
              </w:rPr>
              <w:t>洋证</w:t>
            </w:r>
            <w:r>
              <w:rPr>
                <w:rFonts w:ascii="宋体" w:hAnsi="宋体" w:cs="宋体" w:eastAsia="宋体" w:hint="default"/>
                <w:spacing w:val="-102"/>
                <w:sz w:val="21"/>
                <w:szCs w:val="21"/>
              </w:rPr>
              <w:t> </w:t>
            </w:r>
            <w:r>
              <w:rPr>
                <w:rFonts w:ascii="宋体" w:hAnsi="宋体" w:cs="宋体" w:eastAsia="宋体" w:hint="default"/>
                <w:sz w:val="21"/>
                <w:szCs w:val="21"/>
              </w:rPr>
              <w:t>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证券</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2018-8-17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99"/>
                <w:sz w:val="21"/>
                <w:szCs w:val="21"/>
              </w:rPr>
              <w:t> </w:t>
            </w: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0.0519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189,589.04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33"/>
              <w:jc w:val="both"/>
              <w:rPr>
                <w:rFonts w:ascii="宋体" w:hAnsi="宋体" w:cs="宋体" w:eastAsia="宋体" w:hint="default"/>
                <w:sz w:val="21"/>
                <w:szCs w:val="21"/>
              </w:rPr>
            </w:pPr>
            <w:r>
              <w:rPr>
                <w:rFonts w:ascii="宋体" w:hAnsi="宋体" w:cs="宋体" w:eastAsia="宋体" w:hint="default"/>
                <w:spacing w:val="33"/>
                <w:sz w:val="21"/>
                <w:szCs w:val="21"/>
              </w:rPr>
              <w:t>太平</w:t>
            </w:r>
            <w:r>
              <w:rPr>
                <w:rFonts w:ascii="宋体" w:hAnsi="宋体" w:cs="宋体" w:eastAsia="宋体" w:hint="default"/>
                <w:spacing w:val="-102"/>
                <w:sz w:val="21"/>
                <w:szCs w:val="21"/>
              </w:rPr>
              <w:t> </w:t>
            </w:r>
            <w:r>
              <w:rPr>
                <w:rFonts w:ascii="宋体" w:hAnsi="宋体" w:cs="宋体" w:eastAsia="宋体" w:hint="default"/>
                <w:spacing w:val="33"/>
                <w:sz w:val="21"/>
                <w:szCs w:val="21"/>
              </w:rPr>
              <w:t>洋证</w:t>
            </w:r>
            <w:r>
              <w:rPr>
                <w:rFonts w:ascii="宋体" w:hAnsi="宋体" w:cs="宋体" w:eastAsia="宋体" w:hint="default"/>
                <w:spacing w:val="-102"/>
                <w:sz w:val="21"/>
                <w:szCs w:val="21"/>
              </w:rPr>
              <w:t> </w:t>
            </w:r>
            <w:r>
              <w:rPr>
                <w:rFonts w:ascii="宋体" w:hAnsi="宋体" w:cs="宋体" w:eastAsia="宋体" w:hint="default"/>
                <w:sz w:val="21"/>
                <w:szCs w:val="21"/>
              </w:rPr>
              <w:t>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证券</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2018-5-9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2018-8-20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99"/>
                <w:sz w:val="21"/>
                <w:szCs w:val="21"/>
              </w:rPr>
              <w:t> </w:t>
            </w: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0.0519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184,223.31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04"/>
        <w:gridCol w:w="710"/>
        <w:gridCol w:w="1558"/>
        <w:gridCol w:w="1277"/>
        <w:gridCol w:w="1135"/>
        <w:gridCol w:w="850"/>
        <w:gridCol w:w="708"/>
        <w:gridCol w:w="991"/>
        <w:gridCol w:w="994"/>
        <w:gridCol w:w="1275"/>
        <w:gridCol w:w="1534"/>
        <w:gridCol w:w="878"/>
        <w:gridCol w:w="425"/>
        <w:gridCol w:w="425"/>
        <w:gridCol w:w="425"/>
      </w:tblGrid>
      <w:tr>
        <w:trPr>
          <w:trHeight w:val="370" w:hRule="exact"/>
        </w:trPr>
        <w:tc>
          <w:tcPr>
            <w:tcW w:w="7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33"/>
              <w:jc w:val="both"/>
              <w:rPr>
                <w:rFonts w:ascii="宋体" w:hAnsi="宋体" w:cs="宋体" w:eastAsia="宋体" w:hint="default"/>
                <w:sz w:val="21"/>
                <w:szCs w:val="21"/>
              </w:rPr>
            </w:pPr>
            <w:r>
              <w:rPr>
                <w:rFonts w:ascii="宋体" w:hAnsi="宋体" w:cs="宋体" w:eastAsia="宋体" w:hint="default"/>
                <w:spacing w:val="33"/>
                <w:sz w:val="21"/>
                <w:szCs w:val="21"/>
              </w:rPr>
              <w:t>太平</w:t>
            </w:r>
            <w:r>
              <w:rPr>
                <w:rFonts w:ascii="宋体" w:hAnsi="宋体" w:cs="宋体" w:eastAsia="宋体" w:hint="default"/>
                <w:spacing w:val="-102"/>
                <w:sz w:val="21"/>
                <w:szCs w:val="21"/>
              </w:rPr>
              <w:t> </w:t>
            </w:r>
            <w:r>
              <w:rPr>
                <w:rFonts w:ascii="宋体" w:hAnsi="宋体" w:cs="宋体" w:eastAsia="宋体" w:hint="default"/>
                <w:spacing w:val="33"/>
                <w:sz w:val="21"/>
                <w:szCs w:val="21"/>
              </w:rPr>
              <w:t>洋证</w:t>
            </w:r>
            <w:r>
              <w:rPr>
                <w:rFonts w:ascii="宋体" w:hAnsi="宋体" w:cs="宋体" w:eastAsia="宋体" w:hint="default"/>
                <w:spacing w:val="-102"/>
                <w:sz w:val="21"/>
                <w:szCs w:val="21"/>
              </w:rPr>
              <w:t> </w:t>
            </w:r>
            <w:r>
              <w:rPr>
                <w:rFonts w:ascii="宋体" w:hAnsi="宋体" w:cs="宋体" w:eastAsia="宋体" w:hint="default"/>
                <w:sz w:val="21"/>
                <w:szCs w:val="21"/>
              </w:rPr>
              <w:t>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证券</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2018-5-9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2018-8-21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99"/>
                <w:sz w:val="21"/>
                <w:szCs w:val="21"/>
              </w:rPr>
              <w:t> </w:t>
            </w: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0.0519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186,011.89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厦门</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80,000,000.00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2018-5-9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保本浮</w:t>
            </w:r>
            <w:r>
              <w:rPr>
                <w:rFonts w:ascii="宋体" w:hAnsi="宋体" w:cs="宋体" w:eastAsia="宋体" w:hint="default"/>
                <w:spacing w:val="-99"/>
                <w:sz w:val="21"/>
                <w:szCs w:val="21"/>
              </w:rPr>
              <w:t> </w:t>
            </w:r>
            <w:r>
              <w:rPr>
                <w:rFonts w:ascii="宋体" w:hAnsi="宋体" w:cs="宋体" w:eastAsia="宋体" w:hint="default"/>
                <w:sz w:val="21"/>
                <w:szCs w:val="21"/>
              </w:rPr>
              <w:t>动收益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0.051</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972,955.88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33"/>
              <w:jc w:val="both"/>
              <w:rPr>
                <w:rFonts w:ascii="宋体" w:hAnsi="宋体" w:cs="宋体" w:eastAsia="宋体" w:hint="default"/>
                <w:sz w:val="21"/>
                <w:szCs w:val="21"/>
              </w:rPr>
            </w:pPr>
            <w:r>
              <w:rPr>
                <w:rFonts w:ascii="宋体" w:hAnsi="宋体" w:cs="宋体" w:eastAsia="宋体" w:hint="default"/>
                <w:spacing w:val="33"/>
                <w:sz w:val="21"/>
                <w:szCs w:val="21"/>
              </w:rPr>
              <w:t>太平</w:t>
            </w:r>
            <w:r>
              <w:rPr>
                <w:rFonts w:ascii="宋体" w:hAnsi="宋体" w:cs="宋体" w:eastAsia="宋体" w:hint="default"/>
                <w:spacing w:val="-102"/>
                <w:sz w:val="21"/>
                <w:szCs w:val="21"/>
              </w:rPr>
              <w:t> </w:t>
            </w:r>
            <w:r>
              <w:rPr>
                <w:rFonts w:ascii="宋体" w:hAnsi="宋体" w:cs="宋体" w:eastAsia="宋体" w:hint="default"/>
                <w:spacing w:val="33"/>
                <w:sz w:val="21"/>
                <w:szCs w:val="21"/>
              </w:rPr>
              <w:t>洋证</w:t>
            </w:r>
            <w:r>
              <w:rPr>
                <w:rFonts w:ascii="宋体" w:hAnsi="宋体" w:cs="宋体" w:eastAsia="宋体" w:hint="default"/>
                <w:spacing w:val="-102"/>
                <w:sz w:val="21"/>
                <w:szCs w:val="21"/>
              </w:rPr>
              <w:t> </w:t>
            </w:r>
            <w:r>
              <w:rPr>
                <w:rFonts w:ascii="宋体" w:hAnsi="宋体" w:cs="宋体" w:eastAsia="宋体" w:hint="default"/>
                <w:sz w:val="21"/>
                <w:szCs w:val="21"/>
              </w:rPr>
              <w:t>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证券</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2018-5-9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2018-9-27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99"/>
                <w:sz w:val="21"/>
                <w:szCs w:val="21"/>
              </w:rPr>
              <w:t> </w:t>
            </w: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0.0519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252,189.20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2"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4" w:lineRule="auto"/>
              <w:ind w:left="103" w:right="33"/>
              <w:jc w:val="both"/>
              <w:rPr>
                <w:rFonts w:ascii="宋体" w:hAnsi="宋体" w:cs="宋体" w:eastAsia="宋体" w:hint="default"/>
                <w:sz w:val="21"/>
                <w:szCs w:val="21"/>
              </w:rPr>
            </w:pPr>
            <w:r>
              <w:rPr>
                <w:rFonts w:ascii="宋体" w:hAnsi="宋体" w:cs="宋体" w:eastAsia="宋体" w:hint="default"/>
                <w:spacing w:val="33"/>
                <w:sz w:val="21"/>
                <w:szCs w:val="21"/>
              </w:rPr>
              <w:t>厦门</w:t>
            </w:r>
            <w:r>
              <w:rPr>
                <w:rFonts w:ascii="宋体" w:hAnsi="宋体" w:cs="宋体" w:eastAsia="宋体" w:hint="default"/>
                <w:spacing w:val="-102"/>
                <w:sz w:val="21"/>
                <w:szCs w:val="21"/>
              </w:rPr>
              <w:t> </w:t>
            </w:r>
            <w:r>
              <w:rPr>
                <w:rFonts w:ascii="宋体" w:hAnsi="宋体" w:cs="宋体" w:eastAsia="宋体" w:hint="default"/>
                <w:spacing w:val="33"/>
                <w:sz w:val="21"/>
                <w:szCs w:val="21"/>
              </w:rPr>
              <w:t>国际</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6"/>
              <w:jc w:val="right"/>
              <w:rPr>
                <w:rFonts w:ascii="Times New Roman" w:hAnsi="Times New Roman" w:cs="Times New Roman" w:eastAsia="Times New Roman" w:hint="default"/>
                <w:sz w:val="21"/>
                <w:szCs w:val="21"/>
              </w:rPr>
            </w:pPr>
            <w:r>
              <w:rPr>
                <w:rFonts w:ascii="Times New Roman"/>
                <w:spacing w:val="-1"/>
                <w:sz w:val="21"/>
              </w:rPr>
              <w:t>75,000,000.00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3"/>
              <w:jc w:val="right"/>
              <w:rPr>
                <w:rFonts w:ascii="Times New Roman" w:hAnsi="Times New Roman" w:cs="Times New Roman" w:eastAsia="Times New Roman" w:hint="default"/>
                <w:sz w:val="21"/>
                <w:szCs w:val="21"/>
              </w:rPr>
            </w:pPr>
            <w:r>
              <w:rPr>
                <w:rFonts w:ascii="Times New Roman"/>
                <w:spacing w:val="-1"/>
                <w:sz w:val="21"/>
              </w:rPr>
              <w:t>2018-4-27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2018-10-2</w:t>
            </w:r>
          </w:p>
          <w:p>
            <w:pPr>
              <w:pStyle w:val="TableParagraph"/>
              <w:spacing w:line="240" w:lineRule="auto" w:before="118"/>
              <w:ind w:right="103"/>
              <w:jc w:val="right"/>
              <w:rPr>
                <w:rFonts w:ascii="Times New Roman" w:hAnsi="Times New Roman" w:cs="Times New Roman" w:eastAsia="Times New Roman" w:hint="default"/>
                <w:sz w:val="21"/>
                <w:szCs w:val="21"/>
              </w:rPr>
            </w:pPr>
            <w:r>
              <w:rPr>
                <w:rFonts w:ascii="Times New Roman"/>
                <w:w w:val="100"/>
                <w:sz w:val="21"/>
              </w:rPr>
              <w:t>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0" w:right="101"/>
              <w:jc w:val="left"/>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保本浮</w:t>
            </w:r>
            <w:r>
              <w:rPr>
                <w:rFonts w:ascii="宋体" w:hAnsi="宋体" w:cs="宋体" w:eastAsia="宋体" w:hint="default"/>
                <w:spacing w:val="-99"/>
                <w:sz w:val="21"/>
                <w:szCs w:val="21"/>
              </w:rPr>
              <w:t> </w:t>
            </w:r>
            <w:r>
              <w:rPr>
                <w:rFonts w:ascii="宋体" w:hAnsi="宋体" w:cs="宋体" w:eastAsia="宋体" w:hint="default"/>
                <w:sz w:val="21"/>
                <w:szCs w:val="21"/>
              </w:rPr>
              <w:t>动收益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8"/>
              <w:jc w:val="right"/>
              <w:rPr>
                <w:rFonts w:ascii="Times New Roman" w:hAnsi="Times New Roman" w:cs="Times New Roman" w:eastAsia="Times New Roman" w:hint="default"/>
                <w:sz w:val="21"/>
                <w:szCs w:val="21"/>
              </w:rPr>
            </w:pPr>
            <w:r>
              <w:rPr>
                <w:rFonts w:ascii="Times New Roman"/>
                <w:sz w:val="21"/>
              </w:rPr>
              <w:t>0.051</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8"/>
              <w:jc w:val="right"/>
              <w:rPr>
                <w:rFonts w:ascii="Times New Roman" w:hAnsi="Times New Roman" w:cs="Times New Roman" w:eastAsia="Times New Roman" w:hint="default"/>
                <w:sz w:val="21"/>
                <w:szCs w:val="21"/>
              </w:rPr>
            </w:pPr>
            <w:r>
              <w:rPr>
                <w:rFonts w:ascii="Times New Roman"/>
                <w:spacing w:val="-1"/>
                <w:sz w:val="21"/>
              </w:rPr>
              <w:t>1,854,363.21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33"/>
              <w:jc w:val="both"/>
              <w:rPr>
                <w:rFonts w:ascii="宋体" w:hAnsi="宋体" w:cs="宋体" w:eastAsia="宋体" w:hint="default"/>
                <w:sz w:val="21"/>
                <w:szCs w:val="21"/>
              </w:rPr>
            </w:pPr>
            <w:r>
              <w:rPr>
                <w:rFonts w:ascii="宋体" w:hAnsi="宋体" w:cs="宋体" w:eastAsia="宋体" w:hint="default"/>
                <w:spacing w:val="33"/>
                <w:sz w:val="21"/>
                <w:szCs w:val="21"/>
              </w:rPr>
              <w:t>太平</w:t>
            </w:r>
            <w:r>
              <w:rPr>
                <w:rFonts w:ascii="宋体" w:hAnsi="宋体" w:cs="宋体" w:eastAsia="宋体" w:hint="default"/>
                <w:spacing w:val="-102"/>
                <w:sz w:val="21"/>
                <w:szCs w:val="21"/>
              </w:rPr>
              <w:t> </w:t>
            </w:r>
            <w:r>
              <w:rPr>
                <w:rFonts w:ascii="宋体" w:hAnsi="宋体" w:cs="宋体" w:eastAsia="宋体" w:hint="default"/>
                <w:spacing w:val="33"/>
                <w:sz w:val="21"/>
                <w:szCs w:val="21"/>
              </w:rPr>
              <w:t>洋证</w:t>
            </w:r>
            <w:r>
              <w:rPr>
                <w:rFonts w:ascii="宋体" w:hAnsi="宋体" w:cs="宋体" w:eastAsia="宋体" w:hint="default"/>
                <w:spacing w:val="-102"/>
                <w:sz w:val="21"/>
                <w:szCs w:val="21"/>
              </w:rPr>
              <w:t> </w:t>
            </w:r>
            <w:r>
              <w:rPr>
                <w:rFonts w:ascii="宋体" w:hAnsi="宋体" w:cs="宋体" w:eastAsia="宋体" w:hint="default"/>
                <w:sz w:val="21"/>
                <w:szCs w:val="21"/>
              </w:rPr>
              <w:t>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证券</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40,000,000.00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2018-11-9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2018-12-2</w:t>
            </w:r>
          </w:p>
          <w:p>
            <w:pPr>
              <w:pStyle w:val="TableParagraph"/>
              <w:spacing w:line="240" w:lineRule="auto" w:before="119"/>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0.03</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76,696.16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33"/>
              <w:jc w:val="both"/>
              <w:rPr>
                <w:rFonts w:ascii="宋体" w:hAnsi="宋体" w:cs="宋体" w:eastAsia="宋体" w:hint="default"/>
                <w:sz w:val="21"/>
                <w:szCs w:val="21"/>
              </w:rPr>
            </w:pPr>
            <w:r>
              <w:rPr>
                <w:rFonts w:ascii="宋体" w:hAnsi="宋体" w:cs="宋体" w:eastAsia="宋体" w:hint="default"/>
                <w:spacing w:val="33"/>
                <w:sz w:val="21"/>
                <w:szCs w:val="21"/>
              </w:rPr>
              <w:t>银华</w:t>
            </w:r>
            <w:r>
              <w:rPr>
                <w:rFonts w:ascii="宋体" w:hAnsi="宋体" w:cs="宋体" w:eastAsia="宋体" w:hint="default"/>
                <w:spacing w:val="-102"/>
                <w:sz w:val="21"/>
                <w:szCs w:val="21"/>
              </w:rPr>
              <w:t> </w:t>
            </w:r>
            <w:r>
              <w:rPr>
                <w:rFonts w:ascii="宋体" w:hAnsi="宋体" w:cs="宋体" w:eastAsia="宋体" w:hint="default"/>
                <w:spacing w:val="33"/>
                <w:sz w:val="21"/>
                <w:szCs w:val="21"/>
              </w:rPr>
              <w:t>基金</w:t>
            </w:r>
            <w:r>
              <w:rPr>
                <w:rFonts w:ascii="宋体" w:hAnsi="宋体" w:cs="宋体" w:eastAsia="宋体" w:hint="default"/>
                <w:spacing w:val="-102"/>
                <w:sz w:val="21"/>
                <w:szCs w:val="21"/>
              </w:rPr>
              <w:t> </w:t>
            </w:r>
            <w:r>
              <w:rPr>
                <w:rFonts w:ascii="宋体" w:hAnsi="宋体" w:cs="宋体" w:eastAsia="宋体" w:hint="default"/>
                <w:spacing w:val="33"/>
                <w:sz w:val="21"/>
                <w:szCs w:val="21"/>
              </w:rPr>
              <w:t>管理</w:t>
            </w:r>
            <w:r>
              <w:rPr>
                <w:rFonts w:ascii="宋体" w:hAnsi="宋体" w:cs="宋体" w:eastAsia="宋体" w:hint="default"/>
                <w:spacing w:val="-38"/>
                <w:sz w:val="21"/>
                <w:szCs w:val="21"/>
              </w:rPr>
              <w:t> </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证券</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2017-12-22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2018-2-23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7"/>
              <w:jc w:val="left"/>
              <w:rPr>
                <w:rFonts w:ascii="宋体" w:hAnsi="宋体" w:cs="宋体" w:eastAsia="宋体" w:hint="default"/>
                <w:sz w:val="21"/>
                <w:szCs w:val="21"/>
              </w:rPr>
            </w:pPr>
            <w:r>
              <w:rPr>
                <w:rFonts w:ascii="宋体" w:hAnsi="宋体" w:cs="宋体" w:eastAsia="宋体" w:hint="default"/>
                <w:spacing w:val="35"/>
                <w:sz w:val="21"/>
                <w:szCs w:val="21"/>
              </w:rPr>
              <w:t>货币</w:t>
            </w:r>
            <w:r>
              <w:rPr>
                <w:rFonts w:ascii="宋体" w:hAnsi="宋体" w:cs="宋体" w:eastAsia="宋体" w:hint="default"/>
                <w:spacing w:val="-101"/>
                <w:sz w:val="21"/>
                <w:szCs w:val="21"/>
              </w:rPr>
              <w:t> </w:t>
            </w:r>
            <w:r>
              <w:rPr>
                <w:rFonts w:ascii="宋体" w:hAnsi="宋体" w:cs="宋体" w:eastAsia="宋体" w:hint="default"/>
                <w:sz w:val="21"/>
                <w:szCs w:val="21"/>
              </w:rPr>
              <w:t>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0.0316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332,201.58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04"/>
        <w:gridCol w:w="710"/>
        <w:gridCol w:w="1558"/>
        <w:gridCol w:w="1277"/>
        <w:gridCol w:w="1135"/>
        <w:gridCol w:w="850"/>
        <w:gridCol w:w="708"/>
        <w:gridCol w:w="991"/>
        <w:gridCol w:w="994"/>
        <w:gridCol w:w="1275"/>
        <w:gridCol w:w="1534"/>
        <w:gridCol w:w="878"/>
        <w:gridCol w:w="425"/>
        <w:gridCol w:w="425"/>
        <w:gridCol w:w="425"/>
      </w:tblGrid>
      <w:tr>
        <w:trPr>
          <w:trHeight w:val="109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33"/>
              <w:jc w:val="both"/>
              <w:rPr>
                <w:rFonts w:ascii="宋体" w:hAnsi="宋体" w:cs="宋体" w:eastAsia="宋体" w:hint="default"/>
                <w:sz w:val="21"/>
                <w:szCs w:val="21"/>
              </w:rPr>
            </w:pPr>
            <w:r>
              <w:rPr>
                <w:rFonts w:ascii="宋体" w:hAnsi="宋体" w:cs="宋体" w:eastAsia="宋体" w:hint="default"/>
                <w:spacing w:val="33"/>
                <w:sz w:val="21"/>
                <w:szCs w:val="21"/>
              </w:rPr>
              <w:t>股份</w:t>
            </w:r>
            <w:r>
              <w:rPr>
                <w:rFonts w:ascii="宋体" w:hAnsi="宋体" w:cs="宋体" w:eastAsia="宋体" w:hint="default"/>
                <w:spacing w:val="-102"/>
                <w:sz w:val="21"/>
                <w:szCs w:val="21"/>
              </w:rPr>
              <w:t> </w:t>
            </w:r>
            <w:r>
              <w:rPr>
                <w:rFonts w:ascii="宋体" w:hAnsi="宋体" w:cs="宋体" w:eastAsia="宋体" w:hint="default"/>
                <w:spacing w:val="33"/>
                <w:sz w:val="21"/>
                <w:szCs w:val="21"/>
              </w:rPr>
              <w:t>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工商</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39,000,000.00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Times New Roman" w:hAnsi="Times New Roman" w:cs="Times New Roman" w:eastAsia="Times New Roman" w:hint="default"/>
                <w:sz w:val="21"/>
                <w:szCs w:val="21"/>
              </w:rPr>
            </w:pPr>
            <w:r>
              <w:rPr>
                <w:rFonts w:ascii="Times New Roman"/>
                <w:spacing w:val="-1"/>
                <w:sz w:val="21"/>
              </w:rPr>
              <w:t>2017-12-28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保本浮</w:t>
            </w:r>
            <w:r>
              <w:rPr>
                <w:rFonts w:ascii="宋体" w:hAnsi="宋体" w:cs="宋体" w:eastAsia="宋体" w:hint="default"/>
                <w:spacing w:val="-99"/>
                <w:sz w:val="21"/>
                <w:szCs w:val="21"/>
              </w:rPr>
              <w:t> </w:t>
            </w:r>
            <w:r>
              <w:rPr>
                <w:rFonts w:ascii="宋体" w:hAnsi="宋体" w:cs="宋体" w:eastAsia="宋体" w:hint="default"/>
                <w:sz w:val="21"/>
                <w:szCs w:val="21"/>
              </w:rPr>
              <w:t>动收益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0.041</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169,446.91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33"/>
              <w:jc w:val="both"/>
              <w:rPr>
                <w:rFonts w:ascii="宋体" w:hAnsi="宋体" w:cs="宋体" w:eastAsia="宋体" w:hint="default"/>
                <w:sz w:val="21"/>
                <w:szCs w:val="21"/>
              </w:rPr>
            </w:pPr>
            <w:r>
              <w:rPr>
                <w:rFonts w:ascii="宋体" w:hAnsi="宋体" w:cs="宋体" w:eastAsia="宋体" w:hint="default"/>
                <w:spacing w:val="33"/>
                <w:sz w:val="21"/>
                <w:szCs w:val="21"/>
              </w:rPr>
              <w:t>厦门</w:t>
            </w:r>
            <w:r>
              <w:rPr>
                <w:rFonts w:ascii="宋体" w:hAnsi="宋体" w:cs="宋体" w:eastAsia="宋体" w:hint="default"/>
                <w:spacing w:val="-102"/>
                <w:sz w:val="21"/>
                <w:szCs w:val="21"/>
              </w:rPr>
              <w:t> </w:t>
            </w:r>
            <w:r>
              <w:rPr>
                <w:rFonts w:ascii="宋体" w:hAnsi="宋体" w:cs="宋体" w:eastAsia="宋体" w:hint="default"/>
                <w:spacing w:val="33"/>
                <w:sz w:val="21"/>
                <w:szCs w:val="21"/>
              </w:rPr>
              <w:t>国际</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110,000,000.00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2018-4-26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2018-5-28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保本浮</w:t>
            </w:r>
            <w:r>
              <w:rPr>
                <w:rFonts w:ascii="宋体" w:hAnsi="宋体" w:cs="宋体" w:eastAsia="宋体" w:hint="default"/>
                <w:spacing w:val="-99"/>
                <w:sz w:val="21"/>
                <w:szCs w:val="21"/>
              </w:rPr>
              <w:t> </w:t>
            </w:r>
            <w:r>
              <w:rPr>
                <w:rFonts w:ascii="宋体" w:hAnsi="宋体" w:cs="宋体" w:eastAsia="宋体" w:hint="default"/>
                <w:sz w:val="21"/>
                <w:szCs w:val="21"/>
              </w:rPr>
              <w:t>动收益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0.048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442,767.30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东兴</w:t>
            </w:r>
            <w:r>
              <w:rPr>
                <w:rFonts w:ascii="宋体" w:hAnsi="宋体" w:cs="宋体" w:eastAsia="宋体" w:hint="default"/>
                <w:spacing w:val="-102"/>
                <w:sz w:val="21"/>
                <w:szCs w:val="21"/>
              </w:rPr>
              <w:t> </w:t>
            </w:r>
            <w:r>
              <w:rPr>
                <w:rFonts w:ascii="宋体" w:hAnsi="宋体" w:cs="宋体" w:eastAsia="宋体" w:hint="default"/>
                <w:sz w:val="21"/>
                <w:szCs w:val="21"/>
              </w:rPr>
              <w:t>证券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证券</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42,000,000.00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2018-4-27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6"/>
              <w:jc w:val="left"/>
              <w:rPr>
                <w:rFonts w:ascii="宋体" w:hAnsi="宋体" w:cs="宋体" w:eastAsia="宋体" w:hint="default"/>
                <w:sz w:val="21"/>
                <w:szCs w:val="21"/>
              </w:rPr>
            </w:pPr>
            <w:r>
              <w:rPr>
                <w:rFonts w:ascii="宋体" w:hAnsi="宋体" w:cs="宋体" w:eastAsia="宋体" w:hint="default"/>
                <w:spacing w:val="47"/>
                <w:sz w:val="21"/>
                <w:szCs w:val="21"/>
              </w:rPr>
              <w:t>保本固</w:t>
            </w:r>
            <w:r>
              <w:rPr>
                <w:rFonts w:ascii="宋体" w:hAnsi="宋体" w:cs="宋体" w:eastAsia="宋体" w:hint="default"/>
                <w:spacing w:val="-99"/>
                <w:sz w:val="21"/>
                <w:szCs w:val="21"/>
              </w:rPr>
              <w:t> </w:t>
            </w:r>
            <w:r>
              <w:rPr>
                <w:rFonts w:ascii="宋体" w:hAnsi="宋体" w:cs="宋体" w:eastAsia="宋体" w:hint="default"/>
                <w:sz w:val="21"/>
                <w:szCs w:val="21"/>
              </w:rPr>
              <w:t>定收益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0.049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356,386.66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2"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33"/>
              <w:jc w:val="left"/>
              <w:rPr>
                <w:rFonts w:ascii="宋体" w:hAnsi="宋体" w:cs="宋体" w:eastAsia="宋体" w:hint="default"/>
                <w:sz w:val="21"/>
                <w:szCs w:val="21"/>
              </w:rPr>
            </w:pPr>
            <w:r>
              <w:rPr>
                <w:rFonts w:ascii="宋体" w:hAnsi="宋体" w:cs="宋体" w:eastAsia="宋体" w:hint="default"/>
                <w:spacing w:val="33"/>
                <w:sz w:val="21"/>
                <w:szCs w:val="21"/>
              </w:rPr>
              <w:t>工商</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6"/>
              <w:jc w:val="right"/>
              <w:rPr>
                <w:rFonts w:ascii="Times New Roman" w:hAnsi="Times New Roman" w:cs="Times New Roman" w:eastAsia="Times New Roman" w:hint="default"/>
                <w:sz w:val="21"/>
                <w:szCs w:val="21"/>
              </w:rPr>
            </w:pPr>
            <w:r>
              <w:rPr>
                <w:rFonts w:ascii="Times New Roman"/>
                <w:spacing w:val="-1"/>
                <w:sz w:val="21"/>
              </w:rPr>
              <w:t>8,000,000.00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3"/>
              <w:jc w:val="right"/>
              <w:rPr>
                <w:rFonts w:ascii="Times New Roman" w:hAnsi="Times New Roman" w:cs="Times New Roman" w:eastAsia="Times New Roman" w:hint="default"/>
                <w:sz w:val="21"/>
                <w:szCs w:val="21"/>
              </w:rPr>
            </w:pPr>
            <w:r>
              <w:rPr>
                <w:rFonts w:ascii="Times New Roman"/>
                <w:spacing w:val="-1"/>
                <w:sz w:val="21"/>
              </w:rPr>
              <w:t>2017-9-13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3"/>
              <w:jc w:val="right"/>
              <w:rPr>
                <w:rFonts w:ascii="Times New Roman" w:hAnsi="Times New Roman" w:cs="Times New Roman" w:eastAsia="Times New Roman" w:hint="default"/>
                <w:sz w:val="21"/>
                <w:szCs w:val="21"/>
              </w:rPr>
            </w:pPr>
            <w:r>
              <w:rPr>
                <w:rFonts w:ascii="Times New Roman"/>
                <w:spacing w:val="-1"/>
                <w:sz w:val="21"/>
              </w:rPr>
              <w:t>2018-8-16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8"/>
              <w:jc w:val="right"/>
              <w:rPr>
                <w:rFonts w:ascii="Times New Roman" w:hAnsi="Times New Roman" w:cs="Times New Roman" w:eastAsia="Times New Roman" w:hint="default"/>
                <w:sz w:val="21"/>
                <w:szCs w:val="21"/>
              </w:rPr>
            </w:pPr>
            <w:r>
              <w:rPr>
                <w:rFonts w:ascii="Times New Roman"/>
                <w:sz w:val="21"/>
              </w:rPr>
              <w:t>0.0313</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8"/>
              <w:jc w:val="right"/>
              <w:rPr>
                <w:rFonts w:ascii="Times New Roman" w:hAnsi="Times New Roman" w:cs="Times New Roman" w:eastAsia="Times New Roman" w:hint="default"/>
                <w:sz w:val="21"/>
                <w:szCs w:val="21"/>
              </w:rPr>
            </w:pPr>
            <w:r>
              <w:rPr>
                <w:rFonts w:ascii="Times New Roman"/>
                <w:spacing w:val="-1"/>
                <w:sz w:val="21"/>
              </w:rPr>
              <w:t>216,127.77</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3,835.61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38"/>
                <w:sz w:val="21"/>
                <w:szCs w:val="21"/>
              </w:rPr>
              <w:t> </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2018-1-5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
              <w:jc w:val="right"/>
              <w:rPr>
                <w:rFonts w:ascii="Times New Roman" w:hAnsi="Times New Roman" w:cs="Times New Roman" w:eastAsia="Times New Roman" w:hint="default"/>
                <w:sz w:val="21"/>
                <w:szCs w:val="21"/>
              </w:rPr>
            </w:pPr>
            <w:r>
              <w:rPr>
                <w:rFonts w:ascii="Times New Roman"/>
                <w:spacing w:val="-1"/>
                <w:sz w:val="21"/>
              </w:rPr>
              <w:t>2018-1-12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自有资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5,676.71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04"/>
        <w:gridCol w:w="710"/>
        <w:gridCol w:w="1558"/>
        <w:gridCol w:w="1277"/>
        <w:gridCol w:w="1135"/>
        <w:gridCol w:w="850"/>
        <w:gridCol w:w="708"/>
        <w:gridCol w:w="991"/>
        <w:gridCol w:w="994"/>
        <w:gridCol w:w="1275"/>
        <w:gridCol w:w="1534"/>
        <w:gridCol w:w="878"/>
        <w:gridCol w:w="425"/>
        <w:gridCol w:w="425"/>
        <w:gridCol w:w="425"/>
      </w:tblGrid>
      <w:tr>
        <w:trPr>
          <w:trHeight w:val="109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6"/>
              <w:jc w:val="left"/>
              <w:rPr>
                <w:rFonts w:ascii="宋体" w:hAnsi="宋体" w:cs="宋体" w:eastAsia="宋体" w:hint="default"/>
                <w:sz w:val="21"/>
                <w:szCs w:val="21"/>
              </w:rPr>
            </w:pP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2018-1-23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3,846.58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2018-1-3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2018-1-23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475" w:right="0"/>
              <w:jc w:val="left"/>
              <w:rPr>
                <w:rFonts w:ascii="Times New Roman" w:hAnsi="Times New Roman" w:cs="Times New Roman" w:eastAsia="Times New Roman" w:hint="default"/>
                <w:sz w:val="21"/>
                <w:szCs w:val="21"/>
              </w:rPr>
            </w:pPr>
            <w:r>
              <w:rPr>
                <w:rFonts w:ascii="Times New Roman"/>
                <w:sz w:val="21"/>
              </w:rPr>
              <w:t>106,931.51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2018-1-23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tcBorders>
              <w:left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2"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3"/>
              <w:jc w:val="right"/>
              <w:rPr>
                <w:rFonts w:ascii="Times New Roman" w:hAnsi="Times New Roman" w:cs="Times New Roman" w:eastAsia="Times New Roman" w:hint="default"/>
                <w:sz w:val="21"/>
                <w:szCs w:val="21"/>
              </w:rPr>
            </w:pPr>
            <w:r>
              <w:rPr>
                <w:rFonts w:ascii="Times New Roman"/>
                <w:spacing w:val="-1"/>
                <w:sz w:val="21"/>
              </w:rPr>
              <w:t>2018-1-2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7"/>
              <w:jc w:val="right"/>
              <w:rPr>
                <w:rFonts w:ascii="Times New Roman" w:hAnsi="Times New Roman" w:cs="Times New Roman" w:eastAsia="Times New Roman" w:hint="default"/>
                <w:sz w:val="21"/>
                <w:szCs w:val="21"/>
              </w:rPr>
            </w:pPr>
            <w:r>
              <w:rPr>
                <w:rFonts w:ascii="Times New Roman"/>
                <w:spacing w:val="-1"/>
                <w:sz w:val="21"/>
              </w:rPr>
              <w:t>2018-1-23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tcBorders>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8,000,000.00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20,361.64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38"/>
                <w:sz w:val="21"/>
                <w:szCs w:val="21"/>
              </w:rPr>
              <w:t> </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16,000,000.00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2018-1-2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
              <w:jc w:val="right"/>
              <w:rPr>
                <w:rFonts w:ascii="Times New Roman" w:hAnsi="Times New Roman" w:cs="Times New Roman" w:eastAsia="Times New Roman" w:hint="default"/>
                <w:sz w:val="21"/>
                <w:szCs w:val="21"/>
              </w:rPr>
            </w:pPr>
            <w:r>
              <w:rPr>
                <w:rFonts w:ascii="Times New Roman"/>
                <w:spacing w:val="-1"/>
                <w:sz w:val="21"/>
              </w:rPr>
              <w:t>2018-1-26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自有资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42,476.72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04"/>
        <w:gridCol w:w="710"/>
        <w:gridCol w:w="1558"/>
        <w:gridCol w:w="1277"/>
        <w:gridCol w:w="1135"/>
        <w:gridCol w:w="850"/>
        <w:gridCol w:w="708"/>
        <w:gridCol w:w="991"/>
        <w:gridCol w:w="994"/>
        <w:gridCol w:w="1275"/>
        <w:gridCol w:w="1534"/>
        <w:gridCol w:w="878"/>
        <w:gridCol w:w="425"/>
        <w:gridCol w:w="425"/>
        <w:gridCol w:w="425"/>
      </w:tblGrid>
      <w:tr>
        <w:trPr>
          <w:trHeight w:val="109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6"/>
              <w:jc w:val="left"/>
              <w:rPr>
                <w:rFonts w:ascii="宋体" w:hAnsi="宋体" w:cs="宋体" w:eastAsia="宋体" w:hint="default"/>
                <w:sz w:val="21"/>
                <w:szCs w:val="21"/>
              </w:rPr>
            </w:pP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2018-1-29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5,967.12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2018-1-31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16,013.70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7,000,000.00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26,906.85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2"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3"/>
              <w:jc w:val="right"/>
              <w:rPr>
                <w:rFonts w:ascii="Times New Roman" w:hAnsi="Times New Roman" w:cs="Times New Roman" w:eastAsia="Times New Roman" w:hint="default"/>
                <w:sz w:val="21"/>
                <w:szCs w:val="21"/>
              </w:rPr>
            </w:pPr>
            <w:r>
              <w:rPr>
                <w:rFonts w:ascii="Times New Roman"/>
                <w:spacing w:val="-1"/>
                <w:sz w:val="21"/>
              </w:rPr>
              <w:t>2018-1-2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7"/>
              <w:jc w:val="right"/>
              <w:rPr>
                <w:rFonts w:ascii="Times New Roman" w:hAnsi="Times New Roman" w:cs="Times New Roman" w:eastAsia="Times New Roman" w:hint="default"/>
                <w:sz w:val="21"/>
                <w:szCs w:val="21"/>
              </w:rPr>
            </w:pPr>
            <w:r>
              <w:rPr>
                <w:rFonts w:ascii="Times New Roman"/>
                <w:spacing w:val="-1"/>
                <w:sz w:val="21"/>
              </w:rPr>
              <w:t>2018-2-8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8"/>
              <w:jc w:val="right"/>
              <w:rPr>
                <w:rFonts w:ascii="Times New Roman" w:hAnsi="Times New Roman" w:cs="Times New Roman" w:eastAsia="Times New Roman" w:hint="default"/>
                <w:sz w:val="21"/>
                <w:szCs w:val="21"/>
              </w:rPr>
            </w:pPr>
            <w:r>
              <w:rPr>
                <w:rFonts w:ascii="Times New Roman"/>
                <w:spacing w:val="-1"/>
                <w:sz w:val="21"/>
              </w:rPr>
              <w:t>12,542.47</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8,361.65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38"/>
                <w:sz w:val="21"/>
                <w:szCs w:val="21"/>
              </w:rPr>
              <w:t> </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2018-1-2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
              <w:jc w:val="right"/>
              <w:rPr>
                <w:rFonts w:ascii="Times New Roman" w:hAnsi="Times New Roman" w:cs="Times New Roman" w:eastAsia="Times New Roman" w:hint="default"/>
                <w:sz w:val="21"/>
                <w:szCs w:val="21"/>
              </w:rPr>
            </w:pPr>
            <w:r>
              <w:rPr>
                <w:rFonts w:ascii="Times New Roman"/>
                <w:spacing w:val="-1"/>
                <w:sz w:val="21"/>
              </w:rPr>
              <w:t>2018-2-9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自有资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12,879.45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04"/>
        <w:gridCol w:w="710"/>
        <w:gridCol w:w="1558"/>
        <w:gridCol w:w="1277"/>
        <w:gridCol w:w="1135"/>
        <w:gridCol w:w="850"/>
        <w:gridCol w:w="708"/>
        <w:gridCol w:w="991"/>
        <w:gridCol w:w="994"/>
        <w:gridCol w:w="1275"/>
        <w:gridCol w:w="1534"/>
        <w:gridCol w:w="878"/>
        <w:gridCol w:w="425"/>
        <w:gridCol w:w="425"/>
        <w:gridCol w:w="425"/>
      </w:tblGrid>
      <w:tr>
        <w:trPr>
          <w:trHeight w:val="109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6"/>
              <w:jc w:val="left"/>
              <w:rPr>
                <w:rFonts w:ascii="宋体" w:hAnsi="宋体" w:cs="宋体" w:eastAsia="宋体" w:hint="default"/>
                <w:sz w:val="21"/>
                <w:szCs w:val="21"/>
              </w:rPr>
            </w:pP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2018-2-12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46,301.37</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2018-2-12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23,150.68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29,500,000.00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2018-3-14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475" w:right="0"/>
              <w:jc w:val="left"/>
              <w:rPr>
                <w:rFonts w:ascii="Times New Roman" w:hAnsi="Times New Roman" w:cs="Times New Roman" w:eastAsia="Times New Roman" w:hint="default"/>
                <w:sz w:val="21"/>
                <w:szCs w:val="21"/>
              </w:rPr>
            </w:pPr>
            <w:r>
              <w:rPr>
                <w:rFonts w:ascii="Times New Roman"/>
                <w:sz w:val="21"/>
              </w:rPr>
              <w:t>278,280.82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2"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6"/>
              <w:jc w:val="right"/>
              <w:rPr>
                <w:rFonts w:ascii="Times New Roman" w:hAnsi="Times New Roman" w:cs="Times New Roman" w:eastAsia="Times New Roman" w:hint="default"/>
                <w:sz w:val="21"/>
                <w:szCs w:val="21"/>
              </w:rPr>
            </w:pPr>
            <w:r>
              <w:rPr>
                <w:rFonts w:ascii="Times New Roman"/>
                <w:spacing w:val="-1"/>
                <w:sz w:val="21"/>
              </w:rPr>
              <w:t>19,000,000.00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3"/>
              <w:jc w:val="right"/>
              <w:rPr>
                <w:rFonts w:ascii="Times New Roman" w:hAnsi="Times New Roman" w:cs="Times New Roman" w:eastAsia="Times New Roman" w:hint="default"/>
                <w:sz w:val="21"/>
                <w:szCs w:val="21"/>
              </w:rPr>
            </w:pPr>
            <w:r>
              <w:rPr>
                <w:rFonts w:ascii="Times New Roman"/>
                <w:spacing w:val="-1"/>
                <w:sz w:val="21"/>
              </w:rPr>
              <w:t>2018-2-24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7"/>
              <w:jc w:val="right"/>
              <w:rPr>
                <w:rFonts w:ascii="Times New Roman" w:hAnsi="Times New Roman" w:cs="Times New Roman" w:eastAsia="Times New Roman" w:hint="default"/>
                <w:sz w:val="21"/>
                <w:szCs w:val="21"/>
              </w:rPr>
            </w:pPr>
            <w:r>
              <w:rPr>
                <w:rFonts w:ascii="Times New Roman"/>
                <w:spacing w:val="-1"/>
                <w:sz w:val="21"/>
              </w:rPr>
              <w:t>2018-3-14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tcBorders>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2018-5-4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3,726.02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38"/>
                <w:sz w:val="21"/>
                <w:szCs w:val="21"/>
              </w:rPr>
              <w:t> </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2018-5-4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
              <w:jc w:val="right"/>
              <w:rPr>
                <w:rFonts w:ascii="Times New Roman" w:hAnsi="Times New Roman" w:cs="Times New Roman" w:eastAsia="Times New Roman" w:hint="default"/>
                <w:sz w:val="21"/>
                <w:szCs w:val="21"/>
              </w:rPr>
            </w:pPr>
            <w:r>
              <w:rPr>
                <w:rFonts w:ascii="Times New Roman"/>
                <w:spacing w:val="-1"/>
                <w:sz w:val="21"/>
              </w:rPr>
              <w:t>2018-5-10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自有资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68,958.90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04"/>
        <w:gridCol w:w="710"/>
        <w:gridCol w:w="1558"/>
        <w:gridCol w:w="1277"/>
        <w:gridCol w:w="1135"/>
        <w:gridCol w:w="850"/>
        <w:gridCol w:w="708"/>
        <w:gridCol w:w="991"/>
        <w:gridCol w:w="994"/>
        <w:gridCol w:w="1275"/>
        <w:gridCol w:w="1534"/>
        <w:gridCol w:w="878"/>
        <w:gridCol w:w="425"/>
        <w:gridCol w:w="425"/>
        <w:gridCol w:w="425"/>
      </w:tblGrid>
      <w:tr>
        <w:trPr>
          <w:trHeight w:val="109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6"/>
              <w:jc w:val="left"/>
              <w:rPr>
                <w:rFonts w:ascii="宋体" w:hAnsi="宋体" w:cs="宋体" w:eastAsia="宋体" w:hint="default"/>
                <w:sz w:val="21"/>
                <w:szCs w:val="21"/>
              </w:rPr>
            </w:pP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val="restart"/>
            <w:tcBorders>
              <w:top w:val="single" w:sz="4" w:space="0" w:color="000000"/>
              <w:left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2018-5-10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tcBorders>
              <w:left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2018-4-25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2018-5-10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tcBorders>
              <w:left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2018-4-23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2018-5-10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tcBorders>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2"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3"/>
              <w:jc w:val="right"/>
              <w:rPr>
                <w:rFonts w:ascii="Times New Roman" w:hAnsi="Times New Roman" w:cs="Times New Roman" w:eastAsia="Times New Roman" w:hint="default"/>
                <w:sz w:val="21"/>
                <w:szCs w:val="21"/>
              </w:rPr>
            </w:pPr>
            <w:r>
              <w:rPr>
                <w:rFonts w:ascii="Times New Roman"/>
                <w:spacing w:val="-1"/>
                <w:sz w:val="21"/>
              </w:rPr>
              <w:t>2018-4-23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7"/>
              <w:jc w:val="right"/>
              <w:rPr>
                <w:rFonts w:ascii="Times New Roman" w:hAnsi="Times New Roman" w:cs="Times New Roman" w:eastAsia="Times New Roman" w:hint="default"/>
                <w:sz w:val="21"/>
                <w:szCs w:val="21"/>
              </w:rPr>
            </w:pPr>
            <w:r>
              <w:rPr>
                <w:rFonts w:ascii="Times New Roman"/>
                <w:spacing w:val="-1"/>
                <w:sz w:val="21"/>
              </w:rPr>
              <w:t>2018-5-11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8"/>
              <w:jc w:val="right"/>
              <w:rPr>
                <w:rFonts w:ascii="Times New Roman" w:hAnsi="Times New Roman" w:cs="Times New Roman" w:eastAsia="Times New Roman" w:hint="default"/>
                <w:sz w:val="21"/>
                <w:szCs w:val="21"/>
              </w:rPr>
            </w:pPr>
            <w:r>
              <w:rPr>
                <w:rFonts w:ascii="Times New Roman"/>
                <w:spacing w:val="-1"/>
                <w:sz w:val="21"/>
              </w:rPr>
              <w:t>5,695.89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2018-4-23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2018-5-14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11,342.47</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38"/>
                <w:sz w:val="21"/>
                <w:szCs w:val="21"/>
              </w:rPr>
              <w:t> </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2018-6-1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
              <w:jc w:val="right"/>
              <w:rPr>
                <w:rFonts w:ascii="Times New Roman" w:hAnsi="Times New Roman" w:cs="Times New Roman" w:eastAsia="Times New Roman" w:hint="default"/>
                <w:sz w:val="21"/>
                <w:szCs w:val="21"/>
              </w:rPr>
            </w:pPr>
            <w:r>
              <w:rPr>
                <w:rFonts w:ascii="Times New Roman"/>
                <w:spacing w:val="-1"/>
                <w:sz w:val="21"/>
              </w:rPr>
              <w:t>2018-6-11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自有资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5,753.43</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04"/>
        <w:gridCol w:w="710"/>
        <w:gridCol w:w="1558"/>
        <w:gridCol w:w="1277"/>
        <w:gridCol w:w="1135"/>
        <w:gridCol w:w="850"/>
        <w:gridCol w:w="708"/>
        <w:gridCol w:w="991"/>
        <w:gridCol w:w="994"/>
        <w:gridCol w:w="1275"/>
        <w:gridCol w:w="1534"/>
        <w:gridCol w:w="878"/>
        <w:gridCol w:w="425"/>
        <w:gridCol w:w="425"/>
        <w:gridCol w:w="425"/>
      </w:tblGrid>
      <w:tr>
        <w:trPr>
          <w:trHeight w:val="109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6"/>
              <w:jc w:val="left"/>
              <w:rPr>
                <w:rFonts w:ascii="宋体" w:hAnsi="宋体" w:cs="宋体" w:eastAsia="宋体" w:hint="default"/>
                <w:sz w:val="21"/>
                <w:szCs w:val="21"/>
              </w:rPr>
            </w:pP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2018-6-12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10,547.94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4,000,000.00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2018-6-13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580" w:right="0"/>
              <w:jc w:val="left"/>
              <w:rPr>
                <w:rFonts w:ascii="Times New Roman" w:hAnsi="Times New Roman" w:cs="Times New Roman" w:eastAsia="Times New Roman" w:hint="default"/>
                <w:sz w:val="21"/>
                <w:szCs w:val="21"/>
              </w:rPr>
            </w:pPr>
            <w:r>
              <w:rPr>
                <w:rFonts w:ascii="Times New Roman"/>
                <w:sz w:val="21"/>
              </w:rPr>
              <w:t>12,082.20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6,000,000.00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2018-5-31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2018-6-13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tcBorders>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2"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6"/>
              <w:jc w:val="right"/>
              <w:rPr>
                <w:rFonts w:ascii="Times New Roman" w:hAnsi="Times New Roman" w:cs="Times New Roman" w:eastAsia="Times New Roman" w:hint="default"/>
                <w:sz w:val="21"/>
                <w:szCs w:val="21"/>
              </w:rPr>
            </w:pPr>
            <w:r>
              <w:rPr>
                <w:rFonts w:ascii="Times New Roman"/>
                <w:spacing w:val="-1"/>
                <w:sz w:val="21"/>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3"/>
              <w:jc w:val="right"/>
              <w:rPr>
                <w:rFonts w:ascii="Times New Roman" w:hAnsi="Times New Roman" w:cs="Times New Roman" w:eastAsia="Times New Roman" w:hint="default"/>
                <w:sz w:val="21"/>
                <w:szCs w:val="21"/>
              </w:rPr>
            </w:pPr>
            <w:r>
              <w:rPr>
                <w:rFonts w:ascii="Times New Roman"/>
                <w:spacing w:val="-1"/>
                <w:sz w:val="21"/>
              </w:rPr>
              <w:t>2018-4-23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7"/>
              <w:jc w:val="right"/>
              <w:rPr>
                <w:rFonts w:ascii="Times New Roman" w:hAnsi="Times New Roman" w:cs="Times New Roman" w:eastAsia="Times New Roman" w:hint="default"/>
                <w:sz w:val="21"/>
                <w:szCs w:val="21"/>
              </w:rPr>
            </w:pPr>
            <w:r>
              <w:rPr>
                <w:rFonts w:ascii="Times New Roman"/>
                <w:spacing w:val="-1"/>
                <w:sz w:val="21"/>
              </w:rPr>
              <w:t>2018-6-15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580" w:right="0"/>
              <w:jc w:val="left"/>
              <w:rPr>
                <w:rFonts w:ascii="Times New Roman" w:hAnsi="Times New Roman" w:cs="Times New Roman" w:eastAsia="Times New Roman" w:hint="default"/>
                <w:sz w:val="21"/>
                <w:szCs w:val="21"/>
              </w:rPr>
            </w:pPr>
            <w:r>
              <w:rPr>
                <w:rFonts w:ascii="Times New Roman"/>
                <w:sz w:val="21"/>
              </w:rPr>
              <w:t>33,019.19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14,000,000.00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2018-5-31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2018-6-15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tcBorders>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38"/>
                <w:sz w:val="21"/>
                <w:szCs w:val="21"/>
              </w:rPr>
              <w:t> </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2018-8-17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
              <w:jc w:val="right"/>
              <w:rPr>
                <w:rFonts w:ascii="Times New Roman" w:hAnsi="Times New Roman" w:cs="Times New Roman" w:eastAsia="Times New Roman" w:hint="default"/>
                <w:sz w:val="21"/>
                <w:szCs w:val="21"/>
              </w:rPr>
            </w:pPr>
            <w:r>
              <w:rPr>
                <w:rFonts w:ascii="Times New Roman"/>
                <w:spacing w:val="-1"/>
                <w:sz w:val="21"/>
              </w:rPr>
              <w:t>2018-8-21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自有资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6,575.35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04"/>
        <w:gridCol w:w="710"/>
        <w:gridCol w:w="1558"/>
        <w:gridCol w:w="1277"/>
        <w:gridCol w:w="1135"/>
        <w:gridCol w:w="850"/>
        <w:gridCol w:w="708"/>
        <w:gridCol w:w="991"/>
        <w:gridCol w:w="994"/>
        <w:gridCol w:w="1275"/>
        <w:gridCol w:w="1534"/>
        <w:gridCol w:w="878"/>
        <w:gridCol w:w="425"/>
        <w:gridCol w:w="425"/>
        <w:gridCol w:w="425"/>
      </w:tblGrid>
      <w:tr>
        <w:trPr>
          <w:trHeight w:val="109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6"/>
              <w:jc w:val="left"/>
              <w:rPr>
                <w:rFonts w:ascii="宋体" w:hAnsi="宋体" w:cs="宋体" w:eastAsia="宋体" w:hint="default"/>
                <w:sz w:val="21"/>
                <w:szCs w:val="21"/>
              </w:rPr>
            </w:pP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2018-8-28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2018-8-30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328.77</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2018-8-28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2018-8-30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164.39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7,500,000.00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2018-9-4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2018-9-14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6,575.35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2"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6"/>
              <w:jc w:val="right"/>
              <w:rPr>
                <w:rFonts w:ascii="Times New Roman" w:hAnsi="Times New Roman" w:cs="Times New Roman" w:eastAsia="Times New Roman" w:hint="default"/>
                <w:sz w:val="21"/>
                <w:szCs w:val="21"/>
              </w:rPr>
            </w:pPr>
            <w:r>
              <w:rPr>
                <w:rFonts w:ascii="Times New Roman"/>
                <w:spacing w:val="-1"/>
                <w:sz w:val="21"/>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3"/>
              <w:jc w:val="right"/>
              <w:rPr>
                <w:rFonts w:ascii="Times New Roman" w:hAnsi="Times New Roman" w:cs="Times New Roman" w:eastAsia="Times New Roman" w:hint="default"/>
                <w:sz w:val="21"/>
                <w:szCs w:val="21"/>
              </w:rPr>
            </w:pPr>
            <w:r>
              <w:rPr>
                <w:rFonts w:ascii="Times New Roman"/>
                <w:spacing w:val="-1"/>
                <w:sz w:val="21"/>
              </w:rPr>
              <w:t>2018-9-4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7"/>
              <w:jc w:val="right"/>
              <w:rPr>
                <w:rFonts w:ascii="Times New Roman" w:hAnsi="Times New Roman" w:cs="Times New Roman" w:eastAsia="Times New Roman" w:hint="default"/>
                <w:sz w:val="21"/>
                <w:szCs w:val="21"/>
              </w:rPr>
            </w:pPr>
            <w:r>
              <w:rPr>
                <w:rFonts w:ascii="Times New Roman"/>
                <w:spacing w:val="-1"/>
                <w:sz w:val="21"/>
              </w:rPr>
              <w:t>2018-9-17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8"/>
              <w:jc w:val="right"/>
              <w:rPr>
                <w:rFonts w:ascii="Times New Roman" w:hAnsi="Times New Roman" w:cs="Times New Roman" w:eastAsia="Times New Roman" w:hint="default"/>
                <w:sz w:val="21"/>
                <w:szCs w:val="21"/>
              </w:rPr>
            </w:pPr>
            <w:r>
              <w:rPr>
                <w:rFonts w:ascii="Times New Roman"/>
                <w:spacing w:val="-1"/>
                <w:sz w:val="21"/>
              </w:rPr>
              <w:t>5,698.63</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2018-9-4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2018-9-17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5,698.63</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38"/>
                <w:sz w:val="21"/>
                <w:szCs w:val="21"/>
              </w:rPr>
              <w:t> </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2018-9-4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
              <w:jc w:val="right"/>
              <w:rPr>
                <w:rFonts w:ascii="Times New Roman" w:hAnsi="Times New Roman" w:cs="Times New Roman" w:eastAsia="Times New Roman" w:hint="default"/>
                <w:sz w:val="21"/>
                <w:szCs w:val="21"/>
              </w:rPr>
            </w:pPr>
            <w:r>
              <w:rPr>
                <w:rFonts w:ascii="Times New Roman"/>
                <w:spacing w:val="-1"/>
                <w:sz w:val="21"/>
              </w:rPr>
              <w:t>2018-9-20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自有资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9,506.86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04"/>
        <w:gridCol w:w="710"/>
        <w:gridCol w:w="1558"/>
        <w:gridCol w:w="1277"/>
        <w:gridCol w:w="1135"/>
        <w:gridCol w:w="850"/>
        <w:gridCol w:w="708"/>
        <w:gridCol w:w="991"/>
        <w:gridCol w:w="994"/>
        <w:gridCol w:w="1275"/>
        <w:gridCol w:w="1534"/>
        <w:gridCol w:w="878"/>
        <w:gridCol w:w="425"/>
        <w:gridCol w:w="425"/>
        <w:gridCol w:w="425"/>
      </w:tblGrid>
      <w:tr>
        <w:trPr>
          <w:trHeight w:val="109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6"/>
              <w:jc w:val="left"/>
              <w:rPr>
                <w:rFonts w:ascii="宋体" w:hAnsi="宋体" w:cs="宋体" w:eastAsia="宋体" w:hint="default"/>
                <w:sz w:val="21"/>
                <w:szCs w:val="21"/>
              </w:rPr>
            </w:pP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val="restart"/>
            <w:tcBorders>
              <w:top w:val="single" w:sz="4" w:space="0" w:color="000000"/>
              <w:left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82" w:right="0"/>
              <w:jc w:val="center"/>
              <w:rPr>
                <w:rFonts w:ascii="Times New Roman" w:hAnsi="Times New Roman" w:cs="Times New Roman" w:eastAsia="Times New Roman" w:hint="default"/>
                <w:sz w:val="21"/>
                <w:szCs w:val="21"/>
              </w:rPr>
            </w:pPr>
            <w:r>
              <w:rPr>
                <w:rFonts w:ascii="Times New Roman"/>
                <w:sz w:val="21"/>
              </w:rPr>
              <w:t>2018-8-28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2018-9-20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tcBorders>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82" w:right="0"/>
              <w:jc w:val="center"/>
              <w:rPr>
                <w:rFonts w:ascii="Times New Roman" w:hAnsi="Times New Roman" w:cs="Times New Roman" w:eastAsia="Times New Roman" w:hint="default"/>
                <w:sz w:val="21"/>
                <w:szCs w:val="21"/>
              </w:rPr>
            </w:pPr>
            <w:r>
              <w:rPr>
                <w:rFonts w:ascii="Times New Roman"/>
                <w:sz w:val="21"/>
              </w:rPr>
              <w:t>2018-8-22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2018-9-25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475" w:right="0"/>
              <w:jc w:val="left"/>
              <w:rPr>
                <w:rFonts w:ascii="Times New Roman" w:hAnsi="Times New Roman" w:cs="Times New Roman" w:eastAsia="Times New Roman" w:hint="default"/>
                <w:sz w:val="21"/>
                <w:szCs w:val="21"/>
              </w:rPr>
            </w:pPr>
            <w:r>
              <w:rPr>
                <w:rFonts w:ascii="Times New Roman"/>
                <w:sz w:val="21"/>
              </w:rPr>
              <w:t>246,180.81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82" w:right="0"/>
              <w:jc w:val="center"/>
              <w:rPr>
                <w:rFonts w:ascii="Times New Roman" w:hAnsi="Times New Roman" w:cs="Times New Roman" w:eastAsia="Times New Roman" w:hint="default"/>
                <w:sz w:val="21"/>
                <w:szCs w:val="21"/>
              </w:rPr>
            </w:pPr>
            <w:r>
              <w:rPr>
                <w:rFonts w:ascii="Times New Roman"/>
                <w:sz w:val="21"/>
              </w:rPr>
              <w:t>2018-8-23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2018-9-25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tcBorders>
              <w:left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2"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left="182" w:right="0"/>
              <w:jc w:val="center"/>
              <w:rPr>
                <w:rFonts w:ascii="Times New Roman" w:hAnsi="Times New Roman" w:cs="Times New Roman" w:eastAsia="Times New Roman" w:hint="default"/>
                <w:sz w:val="21"/>
                <w:szCs w:val="21"/>
              </w:rPr>
            </w:pPr>
            <w:r>
              <w:rPr>
                <w:rFonts w:ascii="Times New Roman"/>
                <w:sz w:val="21"/>
              </w:rPr>
              <w:t>2018-8-24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7"/>
              <w:jc w:val="right"/>
              <w:rPr>
                <w:rFonts w:ascii="Times New Roman" w:hAnsi="Times New Roman" w:cs="Times New Roman" w:eastAsia="Times New Roman" w:hint="default"/>
                <w:sz w:val="21"/>
                <w:szCs w:val="21"/>
              </w:rPr>
            </w:pPr>
            <w:r>
              <w:rPr>
                <w:rFonts w:ascii="Times New Roman"/>
                <w:spacing w:val="-1"/>
                <w:sz w:val="21"/>
              </w:rPr>
              <w:t>2018-9-25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tcBorders>
              <w:left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14,500,000.00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82" w:right="0"/>
              <w:jc w:val="center"/>
              <w:rPr>
                <w:rFonts w:ascii="Times New Roman" w:hAnsi="Times New Roman" w:cs="Times New Roman" w:eastAsia="Times New Roman" w:hint="default"/>
                <w:sz w:val="21"/>
                <w:szCs w:val="21"/>
              </w:rPr>
            </w:pPr>
            <w:r>
              <w:rPr>
                <w:rFonts w:ascii="Times New Roman"/>
                <w:sz w:val="21"/>
              </w:rPr>
              <w:t>2018-8-28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2018-9-25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tcBorders>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38"/>
                <w:sz w:val="21"/>
                <w:szCs w:val="21"/>
              </w:rPr>
              <w:t> </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21"/>
                <w:szCs w:val="21"/>
              </w:rPr>
            </w:pPr>
            <w:r>
              <w:rPr>
                <w:rFonts w:ascii="Times New Roman"/>
                <w:sz w:val="21"/>
              </w:rPr>
              <w:t>2018-10-16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
              <w:jc w:val="right"/>
              <w:rPr>
                <w:rFonts w:ascii="Times New Roman" w:hAnsi="Times New Roman" w:cs="Times New Roman" w:eastAsia="Times New Roman" w:hint="default"/>
                <w:sz w:val="21"/>
                <w:szCs w:val="21"/>
              </w:rPr>
            </w:pPr>
            <w:r>
              <w:rPr>
                <w:rFonts w:ascii="Times New Roman"/>
                <w:spacing w:val="-1"/>
                <w:sz w:val="21"/>
              </w:rPr>
              <w:t>2018-10-2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自有资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6" w:right="0"/>
              <w:jc w:val="left"/>
              <w:rPr>
                <w:rFonts w:ascii="Times New Roman" w:hAnsi="Times New Roman" w:cs="Times New Roman" w:eastAsia="Times New Roman" w:hint="default"/>
                <w:sz w:val="21"/>
                <w:szCs w:val="21"/>
              </w:rPr>
            </w:pPr>
            <w:r>
              <w:rPr>
                <w:rFonts w:ascii="Times New Roman"/>
                <w:sz w:val="21"/>
              </w:rPr>
              <w:t>4,931.51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04"/>
        <w:gridCol w:w="710"/>
        <w:gridCol w:w="1558"/>
        <w:gridCol w:w="1277"/>
        <w:gridCol w:w="1135"/>
        <w:gridCol w:w="850"/>
        <w:gridCol w:w="708"/>
        <w:gridCol w:w="991"/>
        <w:gridCol w:w="994"/>
        <w:gridCol w:w="1275"/>
        <w:gridCol w:w="1534"/>
        <w:gridCol w:w="878"/>
        <w:gridCol w:w="425"/>
        <w:gridCol w:w="425"/>
        <w:gridCol w:w="425"/>
      </w:tblGrid>
      <w:tr>
        <w:trPr>
          <w:trHeight w:val="109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w w:val="100"/>
                <w:sz w:val="21"/>
              </w:rPr>
              <w:t>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6"/>
              <w:jc w:val="left"/>
              <w:rPr>
                <w:rFonts w:ascii="宋体" w:hAnsi="宋体" w:cs="宋体" w:eastAsia="宋体" w:hint="default"/>
                <w:sz w:val="21"/>
                <w:szCs w:val="21"/>
              </w:rPr>
            </w:pP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81" w:right="0"/>
              <w:jc w:val="center"/>
              <w:rPr>
                <w:rFonts w:ascii="Times New Roman" w:hAnsi="Times New Roman" w:cs="Times New Roman" w:eastAsia="Times New Roman" w:hint="default"/>
                <w:sz w:val="21"/>
                <w:szCs w:val="21"/>
              </w:rPr>
            </w:pPr>
            <w:r>
              <w:rPr>
                <w:rFonts w:ascii="Times New Roman"/>
                <w:sz w:val="21"/>
              </w:rPr>
              <w:t>2018-10-16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2018-10-2</w:t>
            </w:r>
          </w:p>
          <w:p>
            <w:pPr>
              <w:pStyle w:val="TableParagraph"/>
              <w:spacing w:line="240" w:lineRule="auto" w:before="119"/>
              <w:ind w:right="103"/>
              <w:jc w:val="right"/>
              <w:rPr>
                <w:rFonts w:ascii="Times New Roman" w:hAnsi="Times New Roman" w:cs="Times New Roman" w:eastAsia="Times New Roman" w:hint="default"/>
                <w:sz w:val="21"/>
                <w:szCs w:val="21"/>
              </w:rPr>
            </w:pPr>
            <w:r>
              <w:rPr>
                <w:rFonts w:ascii="Times New Roman"/>
                <w:w w:val="100"/>
                <w:sz w:val="21"/>
              </w:rPr>
              <w:t>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1,578.08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81" w:right="0"/>
              <w:jc w:val="center"/>
              <w:rPr>
                <w:rFonts w:ascii="Times New Roman" w:hAnsi="Times New Roman" w:cs="Times New Roman" w:eastAsia="Times New Roman" w:hint="default"/>
                <w:sz w:val="21"/>
                <w:szCs w:val="21"/>
              </w:rPr>
            </w:pPr>
            <w:r>
              <w:rPr>
                <w:rFonts w:ascii="Times New Roman"/>
                <w:sz w:val="21"/>
              </w:rPr>
              <w:t>2018-10-16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2018-10-2</w:t>
            </w:r>
          </w:p>
          <w:p>
            <w:pPr>
              <w:pStyle w:val="TableParagraph"/>
              <w:spacing w:line="240" w:lineRule="auto" w:before="118"/>
              <w:ind w:right="103"/>
              <w:jc w:val="right"/>
              <w:rPr>
                <w:rFonts w:ascii="Times New Roman" w:hAnsi="Times New Roman" w:cs="Times New Roman" w:eastAsia="Times New Roman" w:hint="default"/>
                <w:sz w:val="21"/>
                <w:szCs w:val="21"/>
              </w:rPr>
            </w:pPr>
            <w:r>
              <w:rPr>
                <w:rFonts w:ascii="Times New Roman"/>
                <w:w w:val="100"/>
                <w:sz w:val="21"/>
              </w:rPr>
              <w:t>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86" w:right="0"/>
              <w:jc w:val="left"/>
              <w:rPr>
                <w:rFonts w:ascii="Times New Roman" w:hAnsi="Times New Roman" w:cs="Times New Roman" w:eastAsia="Times New Roman" w:hint="default"/>
                <w:sz w:val="21"/>
                <w:szCs w:val="21"/>
              </w:rPr>
            </w:pPr>
            <w:r>
              <w:rPr>
                <w:rFonts w:ascii="Times New Roman"/>
                <w:sz w:val="21"/>
              </w:rPr>
              <w:t>6,104.11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81" w:right="0"/>
              <w:jc w:val="center"/>
              <w:rPr>
                <w:rFonts w:ascii="Times New Roman" w:hAnsi="Times New Roman" w:cs="Times New Roman" w:eastAsia="Times New Roman" w:hint="default"/>
                <w:sz w:val="21"/>
                <w:szCs w:val="21"/>
              </w:rPr>
            </w:pPr>
            <w:r>
              <w:rPr>
                <w:rFonts w:ascii="Times New Roman"/>
                <w:sz w:val="21"/>
              </w:rPr>
              <w:t>2018-10-15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2018-10-2</w:t>
            </w:r>
          </w:p>
          <w:p>
            <w:pPr>
              <w:pStyle w:val="TableParagraph"/>
              <w:spacing w:line="240" w:lineRule="auto" w:before="118"/>
              <w:ind w:right="103"/>
              <w:jc w:val="right"/>
              <w:rPr>
                <w:rFonts w:ascii="Times New Roman" w:hAnsi="Times New Roman" w:cs="Times New Roman" w:eastAsia="Times New Roman" w:hint="default"/>
                <w:sz w:val="21"/>
                <w:szCs w:val="21"/>
              </w:rPr>
            </w:pPr>
            <w:r>
              <w:rPr>
                <w:rFonts w:ascii="Times New Roman"/>
                <w:w w:val="100"/>
                <w:sz w:val="21"/>
              </w:rPr>
              <w:t>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tcBorders>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2"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6"/>
              <w:jc w:val="right"/>
              <w:rPr>
                <w:rFonts w:ascii="Times New Roman" w:hAnsi="Times New Roman" w:cs="Times New Roman" w:eastAsia="Times New Roman" w:hint="default"/>
                <w:sz w:val="21"/>
                <w:szCs w:val="21"/>
              </w:rPr>
            </w:pPr>
            <w:r>
              <w:rPr>
                <w:rFonts w:ascii="Times New Roman"/>
                <w:spacing w:val="-1"/>
                <w:sz w:val="21"/>
              </w:rPr>
              <w:t>18,000,000.00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left="81" w:right="0"/>
              <w:jc w:val="center"/>
              <w:rPr>
                <w:rFonts w:ascii="Times New Roman" w:hAnsi="Times New Roman" w:cs="Times New Roman" w:eastAsia="Times New Roman" w:hint="default"/>
                <w:sz w:val="21"/>
                <w:szCs w:val="21"/>
              </w:rPr>
            </w:pPr>
            <w:r>
              <w:rPr>
                <w:rFonts w:ascii="Times New Roman"/>
                <w:sz w:val="21"/>
              </w:rPr>
              <w:t>2018-10-15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2018-10-3</w:t>
            </w:r>
          </w:p>
          <w:p>
            <w:pPr>
              <w:pStyle w:val="TableParagraph"/>
              <w:spacing w:line="240" w:lineRule="auto" w:before="118"/>
              <w:ind w:right="103"/>
              <w:jc w:val="right"/>
              <w:rPr>
                <w:rFonts w:ascii="Times New Roman" w:hAnsi="Times New Roman" w:cs="Times New Roman" w:eastAsia="Times New Roman" w:hint="default"/>
                <w:sz w:val="21"/>
                <w:szCs w:val="21"/>
              </w:rPr>
            </w:pPr>
            <w:r>
              <w:rPr>
                <w:rFonts w:ascii="Times New Roman"/>
                <w:w w:val="100"/>
                <w:sz w:val="21"/>
              </w:rPr>
              <w:t>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580" w:right="0"/>
              <w:jc w:val="left"/>
              <w:rPr>
                <w:rFonts w:ascii="Times New Roman" w:hAnsi="Times New Roman" w:cs="Times New Roman" w:eastAsia="Times New Roman" w:hint="default"/>
                <w:sz w:val="21"/>
                <w:szCs w:val="21"/>
              </w:rPr>
            </w:pPr>
            <w:r>
              <w:rPr>
                <w:rFonts w:ascii="Times New Roman"/>
                <w:sz w:val="21"/>
              </w:rPr>
              <w:t>66,180.83</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17,000,000.00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82" w:right="0"/>
              <w:jc w:val="center"/>
              <w:rPr>
                <w:rFonts w:ascii="Times New Roman" w:hAnsi="Times New Roman" w:cs="Times New Roman" w:eastAsia="Times New Roman" w:hint="default"/>
                <w:sz w:val="21"/>
                <w:szCs w:val="21"/>
              </w:rPr>
            </w:pPr>
            <w:r>
              <w:rPr>
                <w:rFonts w:ascii="Times New Roman"/>
                <w:sz w:val="21"/>
              </w:rPr>
              <w:t>2018-10-8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2018-10-3</w:t>
            </w:r>
          </w:p>
          <w:p>
            <w:pPr>
              <w:pStyle w:val="TableParagraph"/>
              <w:spacing w:line="240" w:lineRule="auto" w:before="118"/>
              <w:ind w:right="103"/>
              <w:jc w:val="right"/>
              <w:rPr>
                <w:rFonts w:ascii="Times New Roman" w:hAnsi="Times New Roman" w:cs="Times New Roman" w:eastAsia="Times New Roman" w:hint="default"/>
                <w:sz w:val="21"/>
                <w:szCs w:val="21"/>
              </w:rPr>
            </w:pPr>
            <w:r>
              <w:rPr>
                <w:rFonts w:ascii="Times New Roman"/>
                <w:w w:val="100"/>
                <w:sz w:val="21"/>
              </w:rPr>
              <w:t>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tcBorders>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38"/>
                <w:sz w:val="21"/>
                <w:szCs w:val="21"/>
              </w:rPr>
              <w:t> </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2" w:right="0"/>
              <w:jc w:val="center"/>
              <w:rPr>
                <w:rFonts w:ascii="Times New Roman" w:hAnsi="Times New Roman" w:cs="Times New Roman" w:eastAsia="Times New Roman" w:hint="default"/>
                <w:sz w:val="21"/>
                <w:szCs w:val="21"/>
              </w:rPr>
            </w:pPr>
            <w:r>
              <w:rPr>
                <w:rFonts w:ascii="Times New Roman"/>
                <w:sz w:val="21"/>
              </w:rPr>
              <w:t>2018-10-8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
              <w:jc w:val="right"/>
              <w:rPr>
                <w:rFonts w:ascii="Times New Roman" w:hAnsi="Times New Roman" w:cs="Times New Roman" w:eastAsia="Times New Roman" w:hint="default"/>
                <w:sz w:val="21"/>
                <w:szCs w:val="21"/>
              </w:rPr>
            </w:pPr>
            <w:r>
              <w:rPr>
                <w:rFonts w:ascii="Times New Roman"/>
                <w:spacing w:val="-1"/>
                <w:sz w:val="21"/>
              </w:rPr>
              <w:t>2018-11-9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自有资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99,945.21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04"/>
        <w:gridCol w:w="710"/>
        <w:gridCol w:w="1558"/>
        <w:gridCol w:w="1277"/>
        <w:gridCol w:w="1135"/>
        <w:gridCol w:w="850"/>
        <w:gridCol w:w="708"/>
        <w:gridCol w:w="991"/>
        <w:gridCol w:w="994"/>
        <w:gridCol w:w="1275"/>
        <w:gridCol w:w="1534"/>
        <w:gridCol w:w="878"/>
        <w:gridCol w:w="425"/>
        <w:gridCol w:w="425"/>
        <w:gridCol w:w="425"/>
      </w:tblGrid>
      <w:tr>
        <w:trPr>
          <w:trHeight w:val="109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6"/>
              <w:jc w:val="left"/>
              <w:rPr>
                <w:rFonts w:ascii="宋体" w:hAnsi="宋体" w:cs="宋体" w:eastAsia="宋体" w:hint="default"/>
                <w:sz w:val="21"/>
                <w:szCs w:val="21"/>
              </w:rPr>
            </w:pP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2018-10-8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2018-11-2</w:t>
            </w:r>
          </w:p>
          <w:p>
            <w:pPr>
              <w:pStyle w:val="TableParagraph"/>
              <w:spacing w:line="240" w:lineRule="auto" w:before="119"/>
              <w:ind w:right="103"/>
              <w:jc w:val="right"/>
              <w:rPr>
                <w:rFonts w:ascii="Times New Roman" w:hAnsi="Times New Roman" w:cs="Times New Roman" w:eastAsia="Times New Roman" w:hint="default"/>
                <w:sz w:val="21"/>
                <w:szCs w:val="21"/>
              </w:rPr>
            </w:pPr>
            <w:r>
              <w:rPr>
                <w:rFonts w:ascii="Times New Roman"/>
                <w:w w:val="100"/>
                <w:sz w:val="21"/>
              </w:rPr>
              <w:t>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13,742.47</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8,000,000.00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2018-10-8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2018-11-2</w:t>
            </w:r>
          </w:p>
          <w:p>
            <w:pPr>
              <w:pStyle w:val="TableParagraph"/>
              <w:spacing w:line="240" w:lineRule="auto" w:before="118"/>
              <w:ind w:right="103"/>
              <w:jc w:val="right"/>
              <w:rPr>
                <w:rFonts w:ascii="Times New Roman" w:hAnsi="Times New Roman" w:cs="Times New Roman" w:eastAsia="Times New Roman" w:hint="default"/>
                <w:sz w:val="21"/>
                <w:szCs w:val="21"/>
              </w:rPr>
            </w:pPr>
            <w:r>
              <w:rPr>
                <w:rFonts w:ascii="Times New Roman"/>
                <w:w w:val="100"/>
                <w:sz w:val="21"/>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38,312.32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32,000,000.00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2018-10-8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2018-12-3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186,564.39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2"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6"/>
              <w:jc w:val="right"/>
              <w:rPr>
                <w:rFonts w:ascii="Times New Roman" w:hAnsi="Times New Roman" w:cs="Times New Roman" w:eastAsia="Times New Roman" w:hint="default"/>
                <w:sz w:val="21"/>
                <w:szCs w:val="21"/>
              </w:rPr>
            </w:pPr>
            <w:r>
              <w:rPr>
                <w:rFonts w:ascii="Times New Roman"/>
                <w:spacing w:val="-1"/>
                <w:sz w:val="21"/>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1"/>
              <w:jc w:val="right"/>
              <w:rPr>
                <w:rFonts w:ascii="Times New Roman" w:hAnsi="Times New Roman" w:cs="Times New Roman" w:eastAsia="Times New Roman" w:hint="default"/>
                <w:sz w:val="21"/>
                <w:szCs w:val="21"/>
              </w:rPr>
            </w:pPr>
            <w:r>
              <w:rPr>
                <w:rFonts w:ascii="Times New Roman"/>
                <w:spacing w:val="-1"/>
                <w:sz w:val="21"/>
              </w:rPr>
              <w:t>2017-11-22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7"/>
              <w:jc w:val="right"/>
              <w:rPr>
                <w:rFonts w:ascii="Times New Roman" w:hAnsi="Times New Roman" w:cs="Times New Roman" w:eastAsia="Times New Roman" w:hint="default"/>
                <w:sz w:val="21"/>
                <w:szCs w:val="21"/>
              </w:rPr>
            </w:pPr>
            <w:r>
              <w:rPr>
                <w:rFonts w:ascii="Times New Roman"/>
                <w:spacing w:val="-1"/>
                <w:sz w:val="21"/>
              </w:rPr>
              <w:t>2018-2-12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8"/>
              <w:jc w:val="right"/>
              <w:rPr>
                <w:rFonts w:ascii="Times New Roman" w:hAnsi="Times New Roman" w:cs="Times New Roman" w:eastAsia="Times New Roman" w:hint="default"/>
                <w:sz w:val="21"/>
                <w:szCs w:val="21"/>
              </w:rPr>
            </w:pPr>
            <w:r>
              <w:rPr>
                <w:rFonts w:ascii="Times New Roman"/>
                <w:spacing w:val="-1"/>
                <w:sz w:val="21"/>
              </w:rPr>
              <w:t>9,441.10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Times New Roman" w:hAnsi="Times New Roman" w:cs="Times New Roman" w:eastAsia="Times New Roman" w:hint="default"/>
                <w:sz w:val="21"/>
                <w:szCs w:val="21"/>
              </w:rPr>
            </w:pPr>
            <w:r>
              <w:rPr>
                <w:rFonts w:ascii="Times New Roman"/>
                <w:spacing w:val="-1"/>
                <w:sz w:val="21"/>
              </w:rPr>
              <w:t>2017-11-15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2018-1-18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1,466.30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38"/>
                <w:sz w:val="21"/>
                <w:szCs w:val="21"/>
              </w:rPr>
              <w:t> </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2018-3-5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
              <w:jc w:val="right"/>
              <w:rPr>
                <w:rFonts w:ascii="Times New Roman" w:hAnsi="Times New Roman" w:cs="Times New Roman" w:eastAsia="Times New Roman" w:hint="default"/>
                <w:sz w:val="21"/>
                <w:szCs w:val="21"/>
              </w:rPr>
            </w:pPr>
            <w:r>
              <w:rPr>
                <w:rFonts w:ascii="Times New Roman"/>
                <w:spacing w:val="-1"/>
                <w:sz w:val="21"/>
              </w:rPr>
              <w:t>2018-3-29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自有资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13,150.68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04"/>
        <w:gridCol w:w="710"/>
        <w:gridCol w:w="1558"/>
        <w:gridCol w:w="1277"/>
        <w:gridCol w:w="1135"/>
        <w:gridCol w:w="850"/>
        <w:gridCol w:w="708"/>
        <w:gridCol w:w="991"/>
        <w:gridCol w:w="994"/>
        <w:gridCol w:w="1275"/>
        <w:gridCol w:w="1534"/>
        <w:gridCol w:w="878"/>
        <w:gridCol w:w="425"/>
        <w:gridCol w:w="425"/>
        <w:gridCol w:w="425"/>
      </w:tblGrid>
      <w:tr>
        <w:trPr>
          <w:trHeight w:val="109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6"/>
              <w:jc w:val="left"/>
              <w:rPr>
                <w:rFonts w:ascii="宋体" w:hAnsi="宋体" w:cs="宋体" w:eastAsia="宋体" w:hint="default"/>
                <w:sz w:val="21"/>
                <w:szCs w:val="21"/>
              </w:rPr>
            </w:pP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2018-3-30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27,397.26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Times New Roman" w:hAnsi="Times New Roman" w:cs="Times New Roman" w:eastAsia="Times New Roman" w:hint="default"/>
                <w:sz w:val="21"/>
                <w:szCs w:val="21"/>
              </w:rPr>
            </w:pPr>
            <w:r>
              <w:rPr>
                <w:rFonts w:ascii="Times New Roman"/>
                <w:spacing w:val="-1"/>
                <w:sz w:val="21"/>
              </w:rPr>
              <w:t>2017-11-15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2,665.75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4,000,000.00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Times New Roman" w:hAnsi="Times New Roman" w:cs="Times New Roman" w:eastAsia="Times New Roman" w:hint="default"/>
                <w:sz w:val="21"/>
                <w:szCs w:val="21"/>
              </w:rPr>
            </w:pPr>
            <w:r>
              <w:rPr>
                <w:rFonts w:ascii="Times New Roman"/>
                <w:spacing w:val="-1"/>
                <w:sz w:val="21"/>
              </w:rPr>
              <w:t>2017-10-26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2018-3-14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580" w:right="0"/>
              <w:jc w:val="left"/>
              <w:rPr>
                <w:rFonts w:ascii="Times New Roman" w:hAnsi="Times New Roman" w:cs="Times New Roman" w:eastAsia="Times New Roman" w:hint="default"/>
                <w:sz w:val="21"/>
                <w:szCs w:val="21"/>
              </w:rPr>
            </w:pPr>
            <w:r>
              <w:rPr>
                <w:rFonts w:ascii="Times New Roman"/>
                <w:sz w:val="21"/>
              </w:rPr>
              <w:t>75,728.22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2"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6"/>
              <w:jc w:val="right"/>
              <w:rPr>
                <w:rFonts w:ascii="Times New Roman" w:hAnsi="Times New Roman" w:cs="Times New Roman" w:eastAsia="Times New Roman" w:hint="default"/>
                <w:sz w:val="21"/>
                <w:szCs w:val="21"/>
              </w:rPr>
            </w:pPr>
            <w:r>
              <w:rPr>
                <w:rFonts w:ascii="Times New Roman"/>
                <w:spacing w:val="-1"/>
                <w:sz w:val="21"/>
              </w:rPr>
              <w:t>800,000.00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1"/>
              <w:jc w:val="right"/>
              <w:rPr>
                <w:rFonts w:ascii="Times New Roman" w:hAnsi="Times New Roman" w:cs="Times New Roman" w:eastAsia="Times New Roman" w:hint="default"/>
                <w:sz w:val="21"/>
                <w:szCs w:val="21"/>
              </w:rPr>
            </w:pPr>
            <w:r>
              <w:rPr>
                <w:rFonts w:ascii="Times New Roman"/>
                <w:spacing w:val="-1"/>
                <w:sz w:val="21"/>
              </w:rPr>
              <w:t>2017-11-22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7"/>
              <w:jc w:val="right"/>
              <w:rPr>
                <w:rFonts w:ascii="Times New Roman" w:hAnsi="Times New Roman" w:cs="Times New Roman" w:eastAsia="Times New Roman" w:hint="default"/>
                <w:sz w:val="21"/>
                <w:szCs w:val="21"/>
              </w:rPr>
            </w:pPr>
            <w:r>
              <w:rPr>
                <w:rFonts w:ascii="Times New Roman"/>
                <w:spacing w:val="-1"/>
                <w:sz w:val="21"/>
              </w:rPr>
              <w:t>2018-3-14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vMerge/>
            <w:tcBorders>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Times New Roman" w:hAnsi="Times New Roman" w:cs="Times New Roman" w:eastAsia="Times New Roman" w:hint="default"/>
                <w:sz w:val="21"/>
                <w:szCs w:val="21"/>
              </w:rPr>
            </w:pPr>
            <w:r>
              <w:rPr>
                <w:rFonts w:ascii="Times New Roman"/>
                <w:spacing w:val="-1"/>
                <w:sz w:val="21"/>
              </w:rPr>
              <w:t>2017-11-15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2018-4-20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9,197.26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38"/>
                <w:sz w:val="21"/>
                <w:szCs w:val="21"/>
              </w:rPr>
              <w:t> </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2017-11-8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
              <w:jc w:val="right"/>
              <w:rPr>
                <w:rFonts w:ascii="Times New Roman" w:hAnsi="Times New Roman" w:cs="Times New Roman" w:eastAsia="Times New Roman" w:hint="default"/>
                <w:sz w:val="21"/>
                <w:szCs w:val="21"/>
              </w:rPr>
            </w:pPr>
            <w:r>
              <w:rPr>
                <w:rFonts w:ascii="Times New Roman"/>
                <w:spacing w:val="-1"/>
                <w:sz w:val="21"/>
              </w:rPr>
              <w:t>2018-6-11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自有资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50,460.28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04"/>
        <w:gridCol w:w="710"/>
        <w:gridCol w:w="1558"/>
        <w:gridCol w:w="1277"/>
        <w:gridCol w:w="1135"/>
        <w:gridCol w:w="850"/>
        <w:gridCol w:w="708"/>
        <w:gridCol w:w="991"/>
        <w:gridCol w:w="994"/>
        <w:gridCol w:w="1275"/>
        <w:gridCol w:w="1534"/>
        <w:gridCol w:w="878"/>
        <w:gridCol w:w="425"/>
        <w:gridCol w:w="425"/>
        <w:gridCol w:w="425"/>
      </w:tblGrid>
      <w:tr>
        <w:trPr>
          <w:trHeight w:val="109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6"/>
              <w:jc w:val="left"/>
              <w:rPr>
                <w:rFonts w:ascii="宋体" w:hAnsi="宋体" w:cs="宋体" w:eastAsia="宋体" w:hint="default"/>
                <w:sz w:val="21"/>
                <w:szCs w:val="21"/>
              </w:rPr>
            </w:pP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3,500,000.00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2018-7-13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14,575.35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6,000,000.00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19,726.03</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spacing w:val="-1"/>
                <w:sz w:val="21"/>
              </w:rPr>
              <w:t>2018-6-5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2018-7-10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11,506.85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2"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6"/>
              <w:jc w:val="right"/>
              <w:rPr>
                <w:rFonts w:ascii="Times New Roman" w:hAnsi="Times New Roman" w:cs="Times New Roman" w:eastAsia="Times New Roman" w:hint="default"/>
                <w:sz w:val="21"/>
                <w:szCs w:val="21"/>
              </w:rPr>
            </w:pPr>
            <w:r>
              <w:rPr>
                <w:rFonts w:ascii="Times New Roman"/>
                <w:spacing w:val="-1"/>
                <w:sz w:val="21"/>
              </w:rPr>
              <w:t>4,500,000.00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3"/>
              <w:jc w:val="right"/>
              <w:rPr>
                <w:rFonts w:ascii="Times New Roman" w:hAnsi="Times New Roman" w:cs="Times New Roman" w:eastAsia="Times New Roman" w:hint="default"/>
                <w:sz w:val="21"/>
                <w:szCs w:val="21"/>
              </w:rPr>
            </w:pPr>
            <w:r>
              <w:rPr>
                <w:rFonts w:ascii="Times New Roman"/>
                <w:spacing w:val="-1"/>
                <w:sz w:val="21"/>
              </w:rPr>
              <w:t>2018-6-5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07"/>
              <w:jc w:val="right"/>
              <w:rPr>
                <w:rFonts w:ascii="Times New Roman" w:hAnsi="Times New Roman" w:cs="Times New Roman" w:eastAsia="Times New Roman" w:hint="default"/>
                <w:sz w:val="21"/>
                <w:szCs w:val="21"/>
              </w:rPr>
            </w:pPr>
            <w:r>
              <w:rPr>
                <w:rFonts w:ascii="Times New Roman"/>
                <w:spacing w:val="-1"/>
                <w:sz w:val="21"/>
              </w:rPr>
              <w:t>2018-7-10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5"/>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98"/>
              <w:jc w:val="right"/>
              <w:rPr>
                <w:rFonts w:ascii="Times New Roman" w:hAnsi="Times New Roman" w:cs="Times New Roman" w:eastAsia="Times New Roman" w:hint="default"/>
                <w:sz w:val="21"/>
                <w:szCs w:val="21"/>
              </w:rPr>
            </w:pPr>
            <w:r>
              <w:rPr>
                <w:rFonts w:ascii="Times New Roman"/>
                <w:spacing w:val="-1"/>
                <w:sz w:val="21"/>
              </w:rPr>
              <w:t>17,260.27</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33"/>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9"/>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600,000.00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Times New Roman" w:hAnsi="Times New Roman" w:cs="Times New Roman" w:eastAsia="Times New Roman" w:hint="default"/>
                <w:sz w:val="21"/>
                <w:szCs w:val="21"/>
              </w:rPr>
            </w:pPr>
            <w:r>
              <w:rPr>
                <w:rFonts w:ascii="Times New Roman"/>
                <w:spacing w:val="-1"/>
                <w:sz w:val="21"/>
              </w:rPr>
              <w:t>2017-11-15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7"/>
              <w:jc w:val="right"/>
              <w:rPr>
                <w:rFonts w:ascii="Times New Roman" w:hAnsi="Times New Roman" w:cs="Times New Roman" w:eastAsia="Times New Roman" w:hint="default"/>
                <w:sz w:val="21"/>
                <w:szCs w:val="21"/>
              </w:rPr>
            </w:pPr>
            <w:r>
              <w:rPr>
                <w:rFonts w:ascii="Times New Roman"/>
                <w:spacing w:val="-1"/>
                <w:sz w:val="21"/>
              </w:rPr>
              <w:t>2018-7-17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0" w:right="101"/>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27"/>
              <w:jc w:val="both"/>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101"/>
                <w:sz w:val="21"/>
                <w:szCs w:val="21"/>
              </w:rPr>
              <w:t> </w:t>
            </w: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103" w:right="26"/>
              <w:jc w:val="both"/>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99"/>
                <w:sz w:val="21"/>
                <w:szCs w:val="21"/>
              </w:rPr>
              <w:t> </w:t>
            </w: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17,151.78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3"/>
                <w:sz w:val="21"/>
                <w:szCs w:val="21"/>
              </w:rPr>
              <w:t>兴业</w:t>
            </w:r>
            <w:r>
              <w:rPr>
                <w:rFonts w:ascii="宋体" w:hAnsi="宋体" w:cs="宋体" w:eastAsia="宋体" w:hint="default"/>
                <w:spacing w:val="-38"/>
                <w:sz w:val="21"/>
                <w:szCs w:val="21"/>
              </w:rPr>
              <w:t> </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2018-6-5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
              <w:jc w:val="right"/>
              <w:rPr>
                <w:rFonts w:ascii="Times New Roman" w:hAnsi="Times New Roman" w:cs="Times New Roman" w:eastAsia="Times New Roman" w:hint="default"/>
                <w:sz w:val="21"/>
                <w:szCs w:val="21"/>
              </w:rPr>
            </w:pPr>
            <w:r>
              <w:rPr>
                <w:rFonts w:ascii="Times New Roman"/>
                <w:spacing w:val="-1"/>
                <w:sz w:val="21"/>
              </w:rPr>
              <w:t>2018-12-3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自有资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5"/>
                <w:sz w:val="21"/>
                <w:szCs w:val="21"/>
              </w:rPr>
              <w:t>固定</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7"/>
                <w:sz w:val="21"/>
                <w:szCs w:val="21"/>
              </w:rPr>
              <w:t>非保本</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20,175.34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1"/>
              <w:jc w:val="right"/>
              <w:rPr>
                <w:rFonts w:ascii="宋体" w:hAnsi="宋体" w:cs="宋体" w:eastAsia="宋体" w:hint="default"/>
                <w:sz w:val="21"/>
                <w:szCs w:val="21"/>
              </w:rPr>
            </w:pPr>
            <w:r>
              <w:rPr>
                <w:rFonts w:ascii="宋体" w:hAnsi="宋体" w:cs="宋体" w:eastAsia="宋体" w:hint="default"/>
                <w:sz w:val="21"/>
                <w:szCs w:val="21"/>
              </w:rPr>
              <w:t>已收回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04"/>
        <w:gridCol w:w="710"/>
        <w:gridCol w:w="1558"/>
        <w:gridCol w:w="1277"/>
        <w:gridCol w:w="1135"/>
        <w:gridCol w:w="850"/>
        <w:gridCol w:w="708"/>
        <w:gridCol w:w="991"/>
        <w:gridCol w:w="994"/>
        <w:gridCol w:w="1275"/>
        <w:gridCol w:w="1534"/>
        <w:gridCol w:w="878"/>
        <w:gridCol w:w="425"/>
        <w:gridCol w:w="425"/>
        <w:gridCol w:w="425"/>
      </w:tblGrid>
      <w:tr>
        <w:trPr>
          <w:trHeight w:val="109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
              <w:jc w:val="both"/>
              <w:rPr>
                <w:rFonts w:ascii="宋体" w:hAnsi="宋体" w:cs="宋体" w:eastAsia="宋体" w:hint="default"/>
                <w:sz w:val="21"/>
                <w:szCs w:val="21"/>
              </w:rPr>
            </w:pPr>
            <w:r>
              <w:rPr>
                <w:rFonts w:ascii="宋体" w:hAnsi="宋体" w:cs="宋体" w:eastAsia="宋体" w:hint="default"/>
                <w:spacing w:val="35"/>
                <w:sz w:val="21"/>
                <w:szCs w:val="21"/>
              </w:rPr>
              <w:t>收益</w:t>
            </w:r>
            <w:r>
              <w:rPr>
                <w:rFonts w:ascii="宋体" w:hAnsi="宋体" w:cs="宋体" w:eastAsia="宋体" w:hint="default"/>
                <w:spacing w:val="-101"/>
                <w:sz w:val="21"/>
                <w:szCs w:val="21"/>
              </w:rPr>
              <w:t> </w:t>
            </w:r>
            <w:r>
              <w:rPr>
                <w:rFonts w:ascii="宋体" w:hAnsi="宋体" w:cs="宋体" w:eastAsia="宋体" w:hint="default"/>
                <w:spacing w:val="35"/>
                <w:sz w:val="21"/>
                <w:szCs w:val="21"/>
              </w:rPr>
              <w:t>类资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6"/>
              <w:jc w:val="left"/>
              <w:rPr>
                <w:rFonts w:ascii="宋体" w:hAnsi="宋体" w:cs="宋体" w:eastAsia="宋体" w:hint="default"/>
                <w:sz w:val="21"/>
                <w:szCs w:val="21"/>
              </w:rPr>
            </w:pPr>
            <w:r>
              <w:rPr>
                <w:rFonts w:ascii="宋体" w:hAnsi="宋体" w:cs="宋体" w:eastAsia="宋体" w:hint="default"/>
                <w:spacing w:val="47"/>
                <w:sz w:val="21"/>
                <w:szCs w:val="21"/>
              </w:rPr>
              <w:t>浮动收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24"/>
          <w:szCs w:val="24"/>
        </w:rPr>
      </w:pPr>
    </w:p>
    <w:p>
      <w:pPr>
        <w:pStyle w:val="Heading4"/>
        <w:spacing w:line="240" w:lineRule="auto"/>
        <w:ind w:left="640" w:right="0"/>
        <w:jc w:val="left"/>
        <w:rPr>
          <w:b w:val="0"/>
          <w:bCs w:val="0"/>
        </w:rPr>
      </w:pPr>
      <w:r>
        <w:rPr/>
        <w:t>其他情况</w:t>
      </w:r>
      <w:r>
        <w:rPr>
          <w:b w:val="0"/>
          <w:bCs w:val="0"/>
        </w:rPr>
      </w:r>
    </w:p>
    <w:p>
      <w:pPr>
        <w:pStyle w:val="BodyText"/>
        <w:tabs>
          <w:tab w:pos="1542" w:val="left" w:leader="none"/>
        </w:tabs>
        <w:spacing w:line="240" w:lineRule="auto" w:before="51"/>
        <w:ind w:left="700" w:right="0"/>
        <w:jc w:val="left"/>
      </w:pPr>
      <w:r>
        <w:rPr>
          <w:spacing w:val="-1"/>
        </w:rPr>
        <w:t>□适用</w:t>
        <w:tab/>
      </w:r>
      <w:r>
        <w:rPr>
          <w:spacing w:val="-2"/>
        </w:rPr>
        <w:t>√不适用</w:t>
      </w:r>
    </w:p>
    <w:p>
      <w:pPr>
        <w:spacing w:after="0" w:line="240" w:lineRule="auto"/>
        <w:jc w:val="left"/>
        <w:sectPr>
          <w:pgSz w:w="16840" w:h="11910" w:orient="landscape"/>
          <w:pgMar w:header="855" w:footer="980" w:top="1120" w:bottom="1160" w:left="122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4"/>
        <w:spacing w:line="240" w:lineRule="auto"/>
        <w:ind w:left="138" w:right="0"/>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12"/>
        </w:rPr>
        <w:t> </w:t>
      </w:r>
      <w:r>
        <w:rPr/>
        <w:t>委托理财减值准备</w:t>
      </w:r>
      <w:r>
        <w:rPr>
          <w:b w:val="0"/>
          <w:bCs w:val="0"/>
        </w:rPr>
      </w:r>
    </w:p>
    <w:p>
      <w:pPr>
        <w:pStyle w:val="BodyText"/>
        <w:tabs>
          <w:tab w:pos="980" w:val="left" w:leader="none"/>
        </w:tabs>
        <w:spacing w:line="240" w:lineRule="auto" w:before="81"/>
        <w:ind w:left="138" w:right="0"/>
        <w:jc w:val="left"/>
      </w:pPr>
      <w:r>
        <w:rPr>
          <w:spacing w:val="-1"/>
        </w:rPr>
        <w:t>□适用</w:t>
        <w:tab/>
      </w:r>
      <w:r>
        <w:rPr>
          <w:spacing w:val="-2"/>
        </w:rPr>
        <w:t>√不适用</w:t>
      </w:r>
    </w:p>
    <w:p>
      <w:pPr>
        <w:pStyle w:val="Heading4"/>
        <w:tabs>
          <w:tab w:pos="562" w:val="left" w:leader="none"/>
        </w:tabs>
        <w:spacing w:line="240" w:lineRule="auto" w:before="97"/>
        <w:ind w:left="138" w:right="0"/>
        <w:jc w:val="left"/>
        <w:rPr>
          <w:b w:val="0"/>
          <w:bCs w:val="0"/>
        </w:rPr>
      </w:pPr>
      <w:r>
        <w:rPr>
          <w:rFonts w:ascii="Times New Roman" w:hAnsi="Times New Roman" w:cs="Times New Roman" w:eastAsia="Times New Roman" w:hint="default"/>
        </w:rPr>
        <w:t>2.</w:t>
        <w:tab/>
      </w:r>
      <w:r>
        <w:rPr/>
        <w:t>委托贷款情况</w:t>
      </w:r>
      <w:r>
        <w:rPr>
          <w:b w:val="0"/>
          <w:bCs w:val="0"/>
        </w:rPr>
      </w:r>
    </w:p>
    <w:p>
      <w:pPr>
        <w:pStyle w:val="Heading4"/>
        <w:spacing w:line="240" w:lineRule="auto" w:before="81"/>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pStyle w:val="BodyText"/>
        <w:tabs>
          <w:tab w:pos="980" w:val="left" w:leader="none"/>
        </w:tabs>
        <w:spacing w:line="240" w:lineRule="auto" w:before="97"/>
        <w:ind w:left="138" w:right="0"/>
        <w:jc w:val="left"/>
      </w:pPr>
      <w:r>
        <w:rPr>
          <w:spacing w:val="-1"/>
        </w:rPr>
        <w:t>□适用</w:t>
        <w:tab/>
      </w:r>
      <w:r>
        <w:rPr>
          <w:spacing w:val="-2"/>
        </w:rPr>
        <w:t>√不适用</w:t>
      </w:r>
    </w:p>
    <w:p>
      <w:pPr>
        <w:pStyle w:val="Heading2"/>
        <w:spacing w:line="240" w:lineRule="auto" w:before="9"/>
        <w:ind w:left="618" w:right="0"/>
        <w:jc w:val="left"/>
        <w:rPr>
          <w:b w:val="0"/>
          <w:bCs w:val="0"/>
        </w:rPr>
      </w:pPr>
      <w:r>
        <w:rPr/>
        <w:t>其他情况</w:t>
      </w:r>
      <w:r>
        <w:rPr>
          <w:b w:val="0"/>
          <w:bCs w:val="0"/>
        </w:rPr>
      </w:r>
    </w:p>
    <w:p>
      <w:pPr>
        <w:tabs>
          <w:tab w:pos="1460" w:val="left" w:leader="none"/>
        </w:tabs>
        <w:spacing w:line="324" w:lineRule="auto" w:before="25"/>
        <w:ind w:left="138" w:right="6803" w:firstLine="479"/>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61"/>
          <w:sz w:val="21"/>
          <w:szCs w:val="21"/>
        </w:rPr>
        <w:t> </w:t>
      </w:r>
      <w:r>
        <w:rPr>
          <w:rFonts w:ascii="宋体" w:hAnsi="宋体" w:cs="宋体" w:eastAsia="宋体" w:hint="default"/>
          <w:b/>
          <w:bCs/>
          <w:sz w:val="21"/>
          <w:szCs w:val="21"/>
        </w:rPr>
        <w:t>单项委托贷款情况</w:t>
      </w:r>
      <w:r>
        <w:rPr>
          <w:rFonts w:ascii="宋体" w:hAnsi="宋体" w:cs="宋体" w:eastAsia="宋体" w:hint="default"/>
          <w:sz w:val="21"/>
          <w:szCs w:val="21"/>
        </w:rPr>
      </w:r>
    </w:p>
    <w:p>
      <w:pPr>
        <w:pStyle w:val="BodyText"/>
        <w:tabs>
          <w:tab w:pos="980" w:val="left" w:leader="none"/>
        </w:tabs>
        <w:spacing w:line="240" w:lineRule="auto" w:before="24"/>
        <w:ind w:left="138" w:right="0"/>
        <w:jc w:val="left"/>
      </w:pPr>
      <w:r>
        <w:rPr>
          <w:spacing w:val="-1"/>
        </w:rPr>
        <w:t>□适用</w:t>
        <w:tab/>
      </w:r>
      <w:r>
        <w:rPr>
          <w:spacing w:val="-2"/>
        </w:rPr>
        <w:t>√不适用</w:t>
      </w:r>
    </w:p>
    <w:p>
      <w:pPr>
        <w:pStyle w:val="Heading2"/>
        <w:spacing w:line="240" w:lineRule="auto" w:before="9"/>
        <w:ind w:left="539" w:right="7563"/>
        <w:jc w:val="center"/>
        <w:rPr>
          <w:b w:val="0"/>
          <w:bCs w:val="0"/>
        </w:rPr>
      </w:pPr>
      <w:r>
        <w:rPr/>
        <w:t>其他情况</w:t>
      </w:r>
      <w:r>
        <w:rPr>
          <w:b w:val="0"/>
          <w:bCs w:val="0"/>
        </w:rPr>
      </w:r>
    </w:p>
    <w:p>
      <w:pPr>
        <w:tabs>
          <w:tab w:pos="1460" w:val="left" w:leader="none"/>
        </w:tabs>
        <w:spacing w:line="324" w:lineRule="auto" w:before="25"/>
        <w:ind w:left="138" w:right="6803" w:firstLine="479"/>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61"/>
          <w:sz w:val="21"/>
          <w:szCs w:val="21"/>
        </w:rPr>
        <w:t> </w:t>
      </w:r>
      <w:r>
        <w:rPr>
          <w:rFonts w:ascii="宋体" w:hAnsi="宋体" w:cs="宋体" w:eastAsia="宋体" w:hint="default"/>
          <w:b/>
          <w:bCs/>
          <w:sz w:val="21"/>
          <w:szCs w:val="21"/>
        </w:rPr>
        <w:t>委托贷款减值准备</w:t>
      </w:r>
      <w:r>
        <w:rPr>
          <w:rFonts w:ascii="宋体" w:hAnsi="宋体" w:cs="宋体" w:eastAsia="宋体" w:hint="default"/>
          <w:sz w:val="21"/>
          <w:szCs w:val="21"/>
        </w:rPr>
      </w:r>
    </w:p>
    <w:p>
      <w:pPr>
        <w:pStyle w:val="BodyText"/>
        <w:tabs>
          <w:tab w:pos="980" w:val="left" w:leader="none"/>
        </w:tabs>
        <w:spacing w:line="240" w:lineRule="auto" w:before="23"/>
        <w:ind w:left="138" w:right="0"/>
        <w:jc w:val="left"/>
      </w:pPr>
      <w:r>
        <w:rPr>
          <w:spacing w:val="-1"/>
        </w:rPr>
        <w:t>□适用</w:t>
        <w:tab/>
      </w:r>
      <w:r>
        <w:rPr>
          <w:spacing w:val="-2"/>
        </w:rPr>
        <w:t>√不适用</w:t>
      </w:r>
    </w:p>
    <w:p>
      <w:pPr>
        <w:pStyle w:val="Heading4"/>
        <w:tabs>
          <w:tab w:pos="562" w:val="left" w:leader="none"/>
        </w:tabs>
        <w:spacing w:line="240" w:lineRule="auto" w:before="97"/>
        <w:ind w:left="138" w:right="0"/>
        <w:jc w:val="left"/>
        <w:rPr>
          <w:b w:val="0"/>
          <w:bCs w:val="0"/>
        </w:rPr>
      </w:pPr>
      <w:r>
        <w:rPr>
          <w:rFonts w:ascii="Times New Roman" w:hAnsi="Times New Roman" w:cs="Times New Roman" w:eastAsia="Times New Roman" w:hint="default"/>
        </w:rPr>
        <w:t>3.</w:t>
        <w:tab/>
      </w:r>
      <w:r>
        <w:rPr/>
        <w:t>其他情况</w:t>
      </w:r>
      <w:r>
        <w:rPr>
          <w:b w:val="0"/>
          <w:bCs w:val="0"/>
        </w:rPr>
      </w:r>
    </w:p>
    <w:p>
      <w:pPr>
        <w:pStyle w:val="BodyText"/>
        <w:tabs>
          <w:tab w:pos="980" w:val="left" w:leader="none"/>
        </w:tabs>
        <w:spacing w:line="240" w:lineRule="auto" w:before="81"/>
        <w:ind w:left="138" w:right="0"/>
        <w:jc w:val="left"/>
      </w:pPr>
      <w:r>
        <w:rPr>
          <w:spacing w:val="-1"/>
        </w:rPr>
        <w:t>□适用</w:t>
        <w:tab/>
      </w:r>
      <w:r>
        <w:rPr>
          <w:spacing w:val="-2"/>
        </w:rPr>
        <w:t>√不适用</w:t>
      </w:r>
    </w:p>
    <w:p>
      <w:pPr>
        <w:pStyle w:val="Heading4"/>
        <w:tabs>
          <w:tab w:pos="977" w:val="left" w:leader="none"/>
        </w:tabs>
        <w:spacing w:line="240" w:lineRule="auto" w:before="97"/>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tabs>
          <w:tab w:pos="980" w:val="left" w:leader="none"/>
        </w:tabs>
        <w:spacing w:line="326" w:lineRule="auto" w:before="97"/>
        <w:ind w:left="138" w:right="643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十六、其他重大事项的说明</w:t>
      </w:r>
      <w:r>
        <w:rPr>
          <w:rFonts w:ascii="宋体" w:hAnsi="宋体" w:cs="宋体" w:eastAsia="宋体" w:hint="default"/>
          <w:sz w:val="21"/>
          <w:szCs w:val="21"/>
        </w:rPr>
      </w:r>
    </w:p>
    <w:p>
      <w:pPr>
        <w:tabs>
          <w:tab w:pos="989" w:val="left" w:leader="none"/>
        </w:tabs>
        <w:spacing w:line="324" w:lineRule="auto" w:before="21"/>
        <w:ind w:left="138" w:right="55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十七、积极履行社会责任的工作情况</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上市公司扶贫工作情况</w:t>
      </w:r>
      <w:r>
        <w:rPr>
          <w:rFonts w:ascii="宋体" w:hAnsi="宋体" w:cs="宋体" w:eastAsia="宋体" w:hint="default"/>
          <w:spacing w:val="-1"/>
          <w:sz w:val="21"/>
          <w:szCs w:val="21"/>
        </w:rPr>
      </w:r>
    </w:p>
    <w:p>
      <w:pPr>
        <w:pStyle w:val="BodyText"/>
        <w:spacing w:line="240" w:lineRule="auto" w:before="23"/>
        <w:ind w:left="138" w:right="0"/>
        <w:jc w:val="left"/>
      </w:pPr>
      <w:r>
        <w:rPr/>
        <w:t>□适用</w:t>
      </w:r>
      <w:r>
        <w:rPr>
          <w:spacing w:val="-1"/>
        </w:rPr>
        <w:t> </w:t>
      </w:r>
      <w:r>
        <w:rPr/>
        <w:t>√不适用</w:t>
      </w:r>
    </w:p>
    <w:p>
      <w:pPr>
        <w:pStyle w:val="Heading4"/>
        <w:tabs>
          <w:tab w:pos="781" w:val="left" w:leader="none"/>
        </w:tabs>
        <w:spacing w:line="240" w:lineRule="auto" w:before="97"/>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980" w:val="left" w:leader="none"/>
        </w:tabs>
        <w:spacing w:line="240" w:lineRule="auto" w:before="97"/>
        <w:ind w:left="138" w:right="0"/>
        <w:jc w:val="left"/>
      </w:pPr>
      <w:r>
        <w:rPr>
          <w:spacing w:val="-1"/>
        </w:rPr>
        <w:t>√适用</w:t>
        <w:tab/>
      </w:r>
      <w:r>
        <w:rPr>
          <w:spacing w:val="-2"/>
        </w:rPr>
        <w:t>□不适用</w:t>
      </w:r>
    </w:p>
    <w:p>
      <w:pPr>
        <w:pStyle w:val="BodyText"/>
        <w:spacing w:line="307" w:lineRule="auto" w:before="92"/>
        <w:ind w:left="138" w:right="128" w:firstLine="479"/>
        <w:jc w:val="both"/>
      </w:pPr>
      <w:r>
        <w:rPr/>
        <w:t>公司认真履行社会责任，以感恩之心回报社会，积极参与社会公益事业。</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w w:val="100"/>
        </w:rPr>
        <w:t> </w:t>
      </w:r>
      <w:r>
        <w:rPr>
          <w:spacing w:val="-1"/>
        </w:rPr>
        <w:t>日召开的第二届董事会第三十次会议审议通过《关于设立南威助学基金会的议案》，公司拟作为</w:t>
      </w:r>
      <w:r>
        <w:rPr>
          <w:spacing w:val="-55"/>
        </w:rPr>
        <w:t> </w:t>
      </w:r>
      <w:r>
        <w:rPr>
          <w:spacing w:val="-55"/>
        </w:rPr>
      </w:r>
      <w:r>
        <w:rPr/>
        <w:t>独立发起组织，以自筹资金设立南威助学基金会。该基金投资规模为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t>万元公司，公司预计</w:t>
      </w:r>
    </w:p>
    <w:p>
      <w:pPr>
        <w:pStyle w:val="BodyText"/>
        <w:spacing w:line="297" w:lineRule="auto" w:before="4"/>
        <w:ind w:left="138" w:right="125"/>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年内以出资不低于</w:t>
      </w:r>
      <w:r>
        <w:rPr>
          <w:spacing w:val="-5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万元。基金会主要从事助学社会公益活动，以及经过合法程序开展的</w:t>
      </w:r>
      <w:r>
        <w:rPr>
          <w:w w:val="100"/>
        </w:rPr>
        <w:t> </w:t>
      </w:r>
      <w:r>
        <w:rPr/>
        <w:t>其他教育公益事业。</w:t>
      </w:r>
    </w:p>
    <w:p>
      <w:pPr>
        <w:pStyle w:val="BodyText"/>
        <w:spacing w:line="297" w:lineRule="auto" w:before="34"/>
        <w:ind w:left="138" w:right="0" w:firstLine="419"/>
        <w:jc w:val="left"/>
      </w:pPr>
      <w:r>
        <w:rPr>
          <w:rFonts w:ascii="Times New Roman" w:hAnsi="Times New Roman" w:cs="Times New Roman" w:eastAsia="Times New Roman" w:hint="default"/>
        </w:rPr>
        <w:t>2018 </w:t>
      </w:r>
      <w:r>
        <w:rPr>
          <w:spacing w:val="-4"/>
        </w:rPr>
        <w:t>年，公司向丰泽区教育发展基金会出资 </w:t>
      </w:r>
      <w:r>
        <w:rPr>
          <w:rFonts w:ascii="Times New Roman" w:hAnsi="Times New Roman" w:cs="Times New Roman" w:eastAsia="Times New Roman" w:hint="default"/>
        </w:rPr>
        <w:t>100</w:t>
      </w:r>
      <w:r>
        <w:rPr>
          <w:rFonts w:ascii="Times New Roman" w:hAnsi="Times New Roman" w:cs="Times New Roman" w:eastAsia="Times New Roman" w:hint="default"/>
          <w:spacing w:val="-32"/>
        </w:rPr>
        <w:t> </w:t>
      </w:r>
      <w:r>
        <w:rPr/>
        <w:t>万元作为助学金用于贫困学生及特殊学生群</w:t>
      </w:r>
      <w:r>
        <w:rPr>
          <w:w w:val="100"/>
        </w:rPr>
        <w:t> </w:t>
      </w:r>
      <w:r>
        <w:rPr/>
        <w:t>体的资助。</w:t>
      </w:r>
    </w:p>
    <w:p>
      <w:pPr>
        <w:pStyle w:val="Heading4"/>
        <w:tabs>
          <w:tab w:pos="781" w:val="left" w:leader="none"/>
        </w:tabs>
        <w:spacing w:line="240" w:lineRule="auto" w:before="39"/>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4"/>
        <w:tabs>
          <w:tab w:pos="562" w:val="left" w:leader="none"/>
        </w:tabs>
        <w:spacing w:line="240" w:lineRule="auto" w:before="97"/>
        <w:ind w:left="138" w:right="0"/>
        <w:jc w:val="left"/>
        <w:rPr>
          <w:b w:val="0"/>
          <w:bCs w:val="0"/>
        </w:rPr>
      </w:pPr>
      <w:r>
        <w:rPr>
          <w:rFonts w:ascii="Times New Roman" w:hAnsi="Times New Roman" w:cs="Times New Roman" w:eastAsia="Times New Roman" w:hint="default"/>
        </w:rPr>
        <w:t>1.</w:t>
        <w:tab/>
      </w:r>
      <w:r>
        <w:rPr/>
        <w:t>属于环境保护部门公布的重点排污单位的公司及其重要子公司的环保情况说明</w:t>
      </w:r>
      <w:r>
        <w:rPr>
          <w:b w:val="0"/>
          <w:bCs w:val="0"/>
        </w:rPr>
      </w:r>
    </w:p>
    <w:p>
      <w:pPr>
        <w:pStyle w:val="BodyText"/>
        <w:spacing w:line="240" w:lineRule="auto" w:before="81"/>
        <w:ind w:left="138" w:right="0"/>
        <w:jc w:val="left"/>
      </w:pPr>
      <w:r>
        <w:rPr/>
        <w:t>□适用</w:t>
      </w:r>
      <w:r>
        <w:rPr>
          <w:spacing w:val="-1"/>
        </w:rPr>
        <w:t> </w:t>
      </w:r>
      <w:r>
        <w:rPr/>
        <w:t>√不适用</w:t>
      </w:r>
    </w:p>
    <w:p>
      <w:pPr>
        <w:pStyle w:val="Heading4"/>
        <w:tabs>
          <w:tab w:pos="562" w:val="left" w:leader="none"/>
        </w:tabs>
        <w:spacing w:line="240" w:lineRule="auto" w:before="97"/>
        <w:ind w:left="138" w:right="0"/>
        <w:jc w:val="left"/>
        <w:rPr>
          <w:b w:val="0"/>
          <w:bCs w:val="0"/>
        </w:rPr>
      </w:pPr>
      <w:r>
        <w:rPr>
          <w:rFonts w:ascii="Times New Roman" w:hAnsi="Times New Roman" w:cs="Times New Roman" w:eastAsia="Times New Roman" w:hint="default"/>
        </w:rPr>
        <w:t>2.</w:t>
        <w:tab/>
      </w:r>
      <w:r>
        <w:rPr/>
        <w:t>重点排污单位之外的公司的环保情况说明</w:t>
      </w:r>
      <w:r>
        <w:rPr>
          <w:b w:val="0"/>
          <w:bCs w:val="0"/>
        </w:rPr>
      </w:r>
    </w:p>
    <w:p>
      <w:pPr>
        <w:pStyle w:val="BodyText"/>
        <w:spacing w:line="240" w:lineRule="auto" w:before="81"/>
        <w:ind w:left="138" w:right="0"/>
        <w:jc w:val="left"/>
      </w:pPr>
      <w:r>
        <w:rPr/>
        <w:t>□适用</w:t>
      </w:r>
      <w:r>
        <w:rPr>
          <w:spacing w:val="-1"/>
        </w:rPr>
        <w:t> </w:t>
      </w:r>
      <w:r>
        <w:rPr/>
        <w:t>√不适用</w:t>
      </w:r>
    </w:p>
    <w:p>
      <w:pPr>
        <w:spacing w:after="0" w:line="240" w:lineRule="auto"/>
        <w:jc w:val="left"/>
        <w:sectPr>
          <w:headerReference w:type="default" r:id="rId22"/>
          <w:footerReference w:type="default" r:id="rId23"/>
          <w:pgSz w:w="11910" w:h="16840"/>
          <w:pgMar w:header="855" w:footer="979" w:top="1120" w:bottom="1160" w:left="1660" w:right="1140"/>
          <w:pgNumType w:start="62"/>
        </w:sectPr>
      </w:pPr>
    </w:p>
    <w:p>
      <w:pPr>
        <w:spacing w:line="240" w:lineRule="auto" w:before="10"/>
        <w:rPr>
          <w:rFonts w:ascii="宋体" w:hAnsi="宋体" w:cs="宋体" w:eastAsia="宋体" w:hint="default"/>
          <w:sz w:val="26"/>
          <w:szCs w:val="26"/>
        </w:rPr>
      </w:pPr>
    </w:p>
    <w:p>
      <w:pPr>
        <w:pStyle w:val="Heading4"/>
        <w:tabs>
          <w:tab w:pos="562" w:val="left" w:leader="none"/>
        </w:tabs>
        <w:spacing w:line="240" w:lineRule="auto"/>
        <w:ind w:left="138" w:right="2631"/>
        <w:jc w:val="left"/>
        <w:rPr>
          <w:b w:val="0"/>
          <w:bCs w:val="0"/>
        </w:rPr>
      </w:pPr>
      <w:r>
        <w:rPr>
          <w:rFonts w:ascii="Times New Roman" w:hAnsi="Times New Roman" w:cs="Times New Roman" w:eastAsia="Times New Roman" w:hint="default"/>
        </w:rPr>
        <w:t>3.</w:t>
        <w:tab/>
      </w:r>
      <w:r>
        <w:rPr/>
        <w:t>重点排污单位之外的公司未披露环境信息的原因说明</w:t>
      </w:r>
      <w:r>
        <w:rPr>
          <w:b w:val="0"/>
          <w:bCs w:val="0"/>
        </w:rPr>
      </w:r>
    </w:p>
    <w:p>
      <w:pPr>
        <w:pStyle w:val="BodyText"/>
        <w:spacing w:line="240" w:lineRule="auto" w:before="81"/>
        <w:ind w:left="138" w:right="2631"/>
        <w:jc w:val="left"/>
      </w:pPr>
      <w:r>
        <w:rPr/>
        <w:t>□适用</w:t>
      </w:r>
      <w:r>
        <w:rPr>
          <w:spacing w:val="-1"/>
        </w:rPr>
        <w:t> </w:t>
      </w:r>
      <w:r>
        <w:rPr/>
        <w:t>√不适用</w:t>
      </w:r>
    </w:p>
    <w:p>
      <w:pPr>
        <w:pStyle w:val="Heading4"/>
        <w:tabs>
          <w:tab w:pos="562" w:val="left" w:leader="none"/>
        </w:tabs>
        <w:spacing w:line="240" w:lineRule="auto" w:before="97"/>
        <w:ind w:left="138" w:right="2631"/>
        <w:jc w:val="left"/>
        <w:rPr>
          <w:b w:val="0"/>
          <w:bCs w:val="0"/>
        </w:rPr>
      </w:pPr>
      <w:r>
        <w:rPr>
          <w:rFonts w:ascii="Times New Roman" w:hAnsi="Times New Roman" w:cs="Times New Roman" w:eastAsia="Times New Roman" w:hint="default"/>
        </w:rPr>
        <w:t>4.</w:t>
        <w:tab/>
      </w:r>
      <w:r>
        <w:rPr/>
        <w:t>报告期内披露环境信息内容的后续进展或变化情况的说明</w:t>
      </w:r>
      <w:r>
        <w:rPr>
          <w:b w:val="0"/>
          <w:bCs w:val="0"/>
        </w:rPr>
      </w:r>
    </w:p>
    <w:p>
      <w:pPr>
        <w:tabs>
          <w:tab w:pos="781" w:val="left" w:leader="none"/>
        </w:tabs>
        <w:spacing w:line="324" w:lineRule="auto" w:before="81"/>
        <w:ind w:left="138" w:right="746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其他说明</w:t>
      </w:r>
      <w:r>
        <w:rPr>
          <w:rFonts w:ascii="宋体" w:hAnsi="宋体" w:cs="宋体" w:eastAsia="宋体" w:hint="default"/>
          <w:sz w:val="21"/>
          <w:szCs w:val="21"/>
        </w:rPr>
      </w:r>
    </w:p>
    <w:p>
      <w:pPr>
        <w:tabs>
          <w:tab w:pos="980" w:val="left" w:leader="none"/>
        </w:tabs>
        <w:spacing w:line="324" w:lineRule="auto" w:before="23"/>
        <w:ind w:left="138" w:right="651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十八、可转换公司债券情况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转债发行情况</w:t>
      </w:r>
      <w:r>
        <w:rPr>
          <w:rFonts w:ascii="宋体" w:hAnsi="宋体" w:cs="宋体" w:eastAsia="宋体" w:hint="default"/>
          <w:sz w:val="21"/>
          <w:szCs w:val="21"/>
        </w:rPr>
      </w:r>
    </w:p>
    <w:p>
      <w:pPr>
        <w:pStyle w:val="BodyText"/>
        <w:tabs>
          <w:tab w:pos="980" w:val="left" w:leader="none"/>
        </w:tabs>
        <w:spacing w:line="255" w:lineRule="exact"/>
        <w:ind w:left="138" w:right="2631"/>
        <w:jc w:val="left"/>
      </w:pPr>
      <w:r>
        <w:rPr>
          <w:spacing w:val="-1"/>
        </w:rPr>
        <w:t>□适用</w:t>
        <w:tab/>
      </w:r>
      <w:r>
        <w:rPr>
          <w:spacing w:val="-2"/>
        </w:rPr>
        <w:t>√不适用</w:t>
      </w:r>
    </w:p>
    <w:p>
      <w:pPr>
        <w:pStyle w:val="Heading4"/>
        <w:spacing w:line="240" w:lineRule="auto" w:before="97"/>
        <w:ind w:left="138" w:right="263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70"/>
        <w:ind w:left="138" w:right="2631"/>
        <w:jc w:val="left"/>
      </w:pPr>
      <w:r>
        <w:rPr/>
        <w:t>□适用</w:t>
      </w:r>
      <w:r>
        <w:rPr>
          <w:spacing w:val="-1"/>
        </w:rPr>
        <w:t> </w:t>
      </w:r>
      <w:r>
        <w:rPr/>
        <w:t>√不适用</w:t>
      </w:r>
    </w:p>
    <w:p>
      <w:pPr>
        <w:pStyle w:val="Heading4"/>
        <w:spacing w:line="240" w:lineRule="auto" w:before="97"/>
        <w:ind w:left="138" w:right="263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40" w:lineRule="auto" w:before="70"/>
        <w:ind w:left="138" w:right="2631"/>
        <w:jc w:val="left"/>
      </w:pPr>
      <w:r>
        <w:rPr/>
        <w:t>□适用</w:t>
      </w:r>
      <w:r>
        <w:rPr>
          <w:spacing w:val="-1"/>
        </w:rPr>
        <w:t> </w:t>
      </w:r>
      <w:r>
        <w:rPr/>
        <w:t>√不适用</w:t>
      </w:r>
    </w:p>
    <w:p>
      <w:pPr>
        <w:pStyle w:val="Heading3"/>
        <w:spacing w:line="240" w:lineRule="auto" w:before="9"/>
        <w:ind w:left="138" w:right="2631"/>
        <w:jc w:val="left"/>
      </w:pPr>
      <w:r>
        <w:rPr/>
        <w:t>报告期转债累计转股情况</w:t>
      </w:r>
    </w:p>
    <w:p>
      <w:pPr>
        <w:pStyle w:val="BodyText"/>
        <w:spacing w:line="240" w:lineRule="auto" w:before="25"/>
        <w:ind w:left="138" w:right="2631"/>
        <w:jc w:val="left"/>
      </w:pPr>
      <w:r>
        <w:rPr/>
        <w:t>□适用</w:t>
      </w:r>
      <w:r>
        <w:rPr>
          <w:spacing w:val="-1"/>
        </w:rPr>
        <w:t> </w:t>
      </w:r>
      <w:r>
        <w:rPr/>
        <w:t>√不适用</w:t>
      </w:r>
    </w:p>
    <w:p>
      <w:pPr>
        <w:pStyle w:val="Heading4"/>
        <w:spacing w:line="240" w:lineRule="auto" w:before="97"/>
        <w:ind w:left="138" w:right="2631"/>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70"/>
        <w:ind w:left="138" w:right="2631"/>
        <w:jc w:val="left"/>
      </w:pPr>
      <w:r>
        <w:rPr/>
        <w:t>□适用</w:t>
      </w:r>
      <w:r>
        <w:rPr>
          <w:spacing w:val="-1"/>
        </w:rPr>
        <w:t> </w:t>
      </w:r>
      <w:r>
        <w:rPr/>
        <w:t>√不适用</w:t>
      </w:r>
    </w:p>
    <w:p>
      <w:pPr>
        <w:pStyle w:val="Heading4"/>
        <w:spacing w:line="240" w:lineRule="auto" w:before="97"/>
        <w:ind w:left="138" w:right="2631"/>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80" w:val="left" w:leader="none"/>
        </w:tabs>
        <w:spacing w:line="240" w:lineRule="auto" w:before="70"/>
        <w:ind w:left="138" w:right="2631"/>
        <w:jc w:val="left"/>
      </w:pPr>
      <w:r>
        <w:rPr>
          <w:spacing w:val="-1"/>
        </w:rPr>
        <w:t>□适用</w:t>
        <w:tab/>
      </w:r>
      <w:r>
        <w:rPr>
          <w:spacing w:val="-2"/>
        </w:rPr>
        <w:t>√不适用</w:t>
      </w:r>
    </w:p>
    <w:p>
      <w:pPr>
        <w:pStyle w:val="Heading4"/>
        <w:spacing w:line="240" w:lineRule="auto" w:before="97"/>
        <w:ind w:left="138" w:right="2631"/>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980" w:val="left" w:leader="none"/>
        </w:tabs>
        <w:spacing w:line="240" w:lineRule="auto" w:before="70"/>
        <w:ind w:left="138" w:right="2631"/>
        <w:jc w:val="left"/>
      </w:pPr>
      <w:r>
        <w:rPr>
          <w:spacing w:val="-1"/>
        </w:rPr>
        <w:t>√适用</w:t>
        <w:tab/>
      </w:r>
      <w:r>
        <w:rPr>
          <w:spacing w:val="-2"/>
        </w:rPr>
        <w:t>□不适用</w:t>
      </w:r>
    </w:p>
    <w:p>
      <w:pPr>
        <w:pStyle w:val="BodyText"/>
        <w:spacing w:line="240" w:lineRule="auto" w:before="37"/>
        <w:ind w:left="558" w:right="47"/>
        <w:jc w:val="left"/>
      </w:pPr>
      <w:r>
        <w:rPr/>
        <w:t>公司于</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日召开第三届董事会第二十九次会议及第三届监事会第十八次会议，</w:t>
      </w:r>
    </w:p>
    <w:p>
      <w:pPr>
        <w:pStyle w:val="BodyText"/>
        <w:spacing w:line="240" w:lineRule="auto" w:before="21"/>
        <w:ind w:left="138" w:right="47"/>
        <w:jc w:val="left"/>
        <w:rPr>
          <w:rFonts w:ascii="Times New Roman" w:hAnsi="Times New Roman" w:cs="Times New Roman" w:eastAsia="Times New Roman" w:hint="default"/>
        </w:rPr>
      </w:pPr>
      <w:r>
        <w:rPr>
          <w:w w:val="100"/>
        </w:rPr>
        <w:t>审议</w:t>
      </w:r>
      <w:r>
        <w:rPr>
          <w:spacing w:val="-3"/>
          <w:w w:val="100"/>
        </w:rPr>
        <w:t>通</w:t>
      </w:r>
      <w:r>
        <w:rPr>
          <w:spacing w:val="-85"/>
          <w:w w:val="100"/>
        </w:rPr>
        <w:t>过</w:t>
      </w:r>
      <w:r>
        <w:rPr>
          <w:spacing w:val="-3"/>
          <w:w w:val="100"/>
        </w:rPr>
        <w:t>《</w:t>
      </w:r>
      <w:r>
        <w:rPr>
          <w:w w:val="100"/>
        </w:rPr>
        <w:t>关</w:t>
      </w:r>
      <w:r>
        <w:rPr>
          <w:spacing w:val="-3"/>
          <w:w w:val="100"/>
        </w:rPr>
        <w:t>于</w:t>
      </w:r>
      <w:r>
        <w:rPr>
          <w:w w:val="100"/>
        </w:rPr>
        <w:t>公</w:t>
      </w:r>
      <w:r>
        <w:rPr>
          <w:spacing w:val="-3"/>
          <w:w w:val="100"/>
        </w:rPr>
        <w:t>司</w:t>
      </w:r>
      <w:r>
        <w:rPr>
          <w:w w:val="100"/>
        </w:rPr>
        <w:t>公</w:t>
      </w:r>
      <w:r>
        <w:rPr>
          <w:spacing w:val="-3"/>
          <w:w w:val="100"/>
        </w:rPr>
        <w:t>开发</w:t>
      </w:r>
      <w:r>
        <w:rPr>
          <w:w w:val="100"/>
        </w:rPr>
        <w:t>行可</w:t>
      </w:r>
      <w:r>
        <w:rPr>
          <w:spacing w:val="-3"/>
          <w:w w:val="100"/>
        </w:rPr>
        <w:t>转</w:t>
      </w:r>
      <w:r>
        <w:rPr>
          <w:w w:val="100"/>
        </w:rPr>
        <w:t>换</w:t>
      </w:r>
      <w:r>
        <w:rPr>
          <w:spacing w:val="-3"/>
          <w:w w:val="100"/>
        </w:rPr>
        <w:t>公</w:t>
      </w:r>
      <w:r>
        <w:rPr>
          <w:w w:val="100"/>
        </w:rPr>
        <w:t>司</w:t>
      </w:r>
      <w:r>
        <w:rPr>
          <w:spacing w:val="-3"/>
          <w:w w:val="100"/>
        </w:rPr>
        <w:t>债</w:t>
      </w:r>
      <w:r>
        <w:rPr>
          <w:w w:val="100"/>
        </w:rPr>
        <w:t>券</w:t>
      </w:r>
      <w:r>
        <w:rPr>
          <w:spacing w:val="-3"/>
          <w:w w:val="100"/>
        </w:rPr>
        <w:t>方</w:t>
      </w:r>
      <w:r>
        <w:rPr>
          <w:w w:val="100"/>
        </w:rPr>
        <w:t>案</w:t>
      </w:r>
      <w:r>
        <w:rPr>
          <w:spacing w:val="-3"/>
          <w:w w:val="100"/>
        </w:rPr>
        <w:t>的</w:t>
      </w:r>
      <w:r>
        <w:rPr>
          <w:w w:val="100"/>
        </w:rPr>
        <w:t>议案</w:t>
      </w:r>
      <w:r>
        <w:rPr>
          <w:spacing w:val="-85"/>
          <w:w w:val="100"/>
        </w:rPr>
        <w:t>》</w:t>
      </w:r>
      <w:r>
        <w:rPr>
          <w:spacing w:val="-87"/>
          <w:w w:val="100"/>
        </w:rPr>
        <w:t>，</w:t>
      </w:r>
      <w:r>
        <w:rPr>
          <w:w w:val="100"/>
        </w:rPr>
        <w:t>并于</w:t>
      </w:r>
      <w:r>
        <w:rPr>
          <w:spacing w:val="-55"/>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月</w:t>
      </w:r>
      <w:r>
        <w:rPr>
          <w:spacing w:val="-54"/>
        </w:rPr>
        <w:t> </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w w:val="100"/>
        </w:rPr>
        <w:t>日</w:t>
      </w:r>
      <w:r>
        <w:rPr>
          <w:spacing w:val="-3"/>
          <w:w w:val="100"/>
        </w:rPr>
        <w:t>通</w:t>
      </w:r>
      <w:r>
        <w:rPr>
          <w:w w:val="100"/>
        </w:rPr>
        <w:t>过</w:t>
      </w:r>
      <w:r>
        <w:rPr>
          <w:spacing w:val="-3"/>
          <w:w w:val="100"/>
        </w:rPr>
        <w:t>公</w:t>
      </w:r>
      <w:r>
        <w:rPr>
          <w:w w:val="100"/>
        </w:rPr>
        <w:t>司</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w:t>
      </w:r>
    </w:p>
    <w:p>
      <w:pPr>
        <w:pStyle w:val="BodyText"/>
        <w:spacing w:line="240" w:lineRule="auto" w:before="21"/>
        <w:ind w:left="138" w:right="47"/>
        <w:jc w:val="left"/>
      </w:pPr>
      <w:r>
        <w:rPr>
          <w:spacing w:val="-5"/>
        </w:rPr>
        <w:t>年第三次临时股东大会审议。公司于</w:t>
      </w:r>
      <w:r>
        <w:rPr>
          <w:spacing w:val="-43"/>
        </w:rPr>
        <w:t> </w:t>
      </w:r>
      <w:r>
        <w:rPr>
          <w:rFonts w:ascii="宋体" w:hAnsi="宋体" w:cs="宋体" w:eastAsia="宋体" w:hint="default"/>
        </w:rPr>
        <w:t>2018</w:t>
      </w:r>
      <w:r>
        <w:rPr>
          <w:rFonts w:ascii="宋体" w:hAnsi="宋体" w:cs="宋体" w:eastAsia="宋体" w:hint="default"/>
          <w:spacing w:val="-43"/>
        </w:rPr>
        <w:t> </w:t>
      </w:r>
      <w:r>
        <w:rPr/>
        <w:t>年</w:t>
      </w:r>
      <w:r>
        <w:rPr>
          <w:spacing w:val="-46"/>
        </w:rPr>
        <w:t> </w:t>
      </w:r>
      <w:r>
        <w:rPr>
          <w:rFonts w:ascii="宋体" w:hAnsi="宋体" w:cs="宋体" w:eastAsia="宋体" w:hint="default"/>
        </w:rPr>
        <w:t>11</w:t>
      </w:r>
      <w:r>
        <w:rPr>
          <w:rFonts w:ascii="宋体" w:hAnsi="宋体" w:cs="宋体" w:eastAsia="宋体" w:hint="default"/>
          <w:spacing w:val="-46"/>
        </w:rPr>
        <w:t> </w:t>
      </w:r>
      <w:r>
        <w:rPr/>
        <w:t>月</w:t>
      </w:r>
      <w:r>
        <w:rPr>
          <w:spacing w:val="-42"/>
        </w:rPr>
        <w:t> </w:t>
      </w:r>
      <w:r>
        <w:rPr>
          <w:rFonts w:ascii="宋体" w:hAnsi="宋体" w:cs="宋体" w:eastAsia="宋体" w:hint="default"/>
        </w:rPr>
        <w:t>16</w:t>
      </w:r>
      <w:r>
        <w:rPr>
          <w:rFonts w:ascii="宋体" w:hAnsi="宋体" w:cs="宋体" w:eastAsia="宋体" w:hint="default"/>
          <w:spacing w:val="-43"/>
        </w:rPr>
        <w:t> </w:t>
      </w:r>
      <w:r>
        <w:rPr>
          <w:spacing w:val="-4"/>
        </w:rPr>
        <w:t>日收到中国证监会出具的《中国证监会行政</w:t>
      </w:r>
    </w:p>
    <w:p>
      <w:pPr>
        <w:pStyle w:val="BodyText"/>
        <w:spacing w:line="256" w:lineRule="auto" w:before="37"/>
        <w:ind w:left="138" w:right="47"/>
        <w:jc w:val="left"/>
      </w:pPr>
      <w:r>
        <w:rPr/>
        <w:t>许可申请受理单》，公司发行可转债的申请文件得到受理。</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日，公司公开发行可</w:t>
      </w:r>
      <w:r>
        <w:rPr>
          <w:w w:val="100"/>
        </w:rPr>
        <w:t> </w:t>
      </w:r>
      <w:r>
        <w:rPr/>
        <w:t>转换公司债券申请获得中国证监会发行审核委员会审核通过。</w:t>
      </w:r>
    </w:p>
    <w:p>
      <w:pPr>
        <w:spacing w:after="0" w:line="256" w:lineRule="auto"/>
        <w:jc w:val="left"/>
        <w:sectPr>
          <w:pgSz w:w="11910" w:h="16840"/>
          <w:pgMar w:header="855" w:footer="979" w:top="1120" w:bottom="1160" w:left="1660" w:right="1060"/>
        </w:sectPr>
      </w:pPr>
    </w:p>
    <w:p>
      <w:pPr>
        <w:tabs>
          <w:tab w:pos="9770" w:val="left" w:leader="none"/>
        </w:tabs>
        <w:spacing w:before="63"/>
        <w:ind w:left="2889" w:right="0" w:firstLine="0"/>
        <w:jc w:val="left"/>
        <w:rPr>
          <w:rFonts w:ascii="宋体" w:hAnsi="宋体" w:cs="宋体" w:eastAsia="宋体" w:hint="default"/>
          <w:sz w:val="18"/>
          <w:szCs w:val="18"/>
        </w:rPr>
      </w:pPr>
      <w:r>
        <w:rPr/>
        <w:drawing>
          <wp:inline distT="0" distB="0" distL="0" distR="0">
            <wp:extent cx="655243" cy="11728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6" cstate="print"/>
                    <a:stretch>
                      <a:fillRect/>
                    </a:stretch>
                  </pic:blipFill>
                  <pic:spPr>
                    <a:xfrm>
                      <a:off x="0" y="0"/>
                      <a:ext cx="655243" cy="117285"/>
                    </a:xfrm>
                    <a:prstGeom prst="rect">
                      <a:avLst/>
                    </a:prstGeom>
                  </pic:spPr>
                </pic:pic>
              </a:graphicData>
            </a:graphic>
          </wp:inline>
        </w:drawing>
      </w:r>
      <w:r>
        <w:rPr/>
      </w:r>
      <w:r>
        <w:rPr>
          <w:rFonts w:ascii="Times New Roman" w:hAnsi="Times New Roman" w:cs="Times New Roman" w:eastAsia="Times New Roman" w:hint="default"/>
          <w:sz w:val="20"/>
          <w:szCs w:val="20"/>
        </w:rPr>
        <w:t> </w:t>
      </w:r>
      <w:r>
        <w:rPr>
          <w:rFonts w:ascii="宋体" w:hAnsi="宋体" w:cs="宋体" w:eastAsia="宋体" w:hint="default"/>
          <w:sz w:val="18"/>
          <w:szCs w:val="18"/>
        </w:rPr>
        <w:t>南威软件股份有限公司</w:t>
        <w:tab/>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p>
      <w:pPr>
        <w:spacing w:line="240" w:lineRule="auto" w:before="6"/>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1259" w:val="left" w:leader="none"/>
        </w:tabs>
        <w:spacing w:line="240" w:lineRule="auto"/>
        <w:ind w:right="25"/>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headerReference w:type="default" r:id="rId24"/>
          <w:footerReference w:type="default" r:id="rId25"/>
          <w:pgSz w:w="16840" w:h="11910" w:orient="landscape"/>
          <w:pgMar w:header="0" w:footer="0" w:top="760" w:bottom="280" w:left="1220" w:right="1280"/>
        </w:sectPr>
      </w:pPr>
    </w:p>
    <w:p>
      <w:pPr>
        <w:pStyle w:val="Heading4"/>
        <w:tabs>
          <w:tab w:pos="786" w:val="left" w:leader="none"/>
        </w:tabs>
        <w:spacing w:line="309" w:lineRule="auto"/>
        <w:ind w:left="220" w:right="0"/>
        <w:jc w:val="left"/>
        <w:rPr>
          <w:b w:val="0"/>
          <w:bCs w:val="0"/>
        </w:rPr>
      </w:pPr>
      <w:r>
        <w:rPr/>
        <w:t>一、</w:t>
      </w:r>
      <w:r>
        <w:rPr>
          <w:spacing w:val="-77"/>
        </w:rPr>
        <w:t> </w:t>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Times New Roman" w:hAnsi="Times New Roman" w:cs="Times New Roman" w:eastAsia="Times New Roman" w:hint="default"/>
        </w:rPr>
        <w:t>1</w:t>
      </w:r>
      <w:r>
        <w:rPr/>
        <w:t>、</w:t>
      </w:r>
      <w:r>
        <w:rPr>
          <w:spacing w:val="-2"/>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220" w:right="0"/>
        <w:jc w:val="left"/>
      </w:pPr>
      <w:r>
        <w:rPr/>
        <w:t>单位：股</w:t>
      </w:r>
    </w:p>
    <w:p>
      <w:pPr>
        <w:spacing w:after="0" w:line="240" w:lineRule="auto"/>
        <w:jc w:val="left"/>
        <w:sectPr>
          <w:type w:val="continuous"/>
          <w:pgSz w:w="16840" w:h="11910" w:orient="landscape"/>
          <w:pgMar w:top="1580" w:bottom="280" w:left="1220" w:right="1280"/>
          <w:cols w:num="2" w:equalWidth="0">
            <w:col w:w="2897" w:space="10137"/>
            <w:col w:w="1306"/>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976"/>
        <w:gridCol w:w="1268"/>
        <w:gridCol w:w="1250"/>
        <w:gridCol w:w="1294"/>
        <w:gridCol w:w="795"/>
        <w:gridCol w:w="1008"/>
        <w:gridCol w:w="1426"/>
        <w:gridCol w:w="1431"/>
        <w:gridCol w:w="1430"/>
        <w:gridCol w:w="1212"/>
      </w:tblGrid>
      <w:tr>
        <w:trPr>
          <w:trHeight w:val="322" w:hRule="exact"/>
        </w:trPr>
        <w:tc>
          <w:tcPr>
            <w:tcW w:w="2976" w:type="dxa"/>
            <w:vMerge w:val="restart"/>
            <w:tcBorders>
              <w:top w:val="single" w:sz="4" w:space="0" w:color="000000"/>
              <w:left w:val="single" w:sz="4" w:space="0" w:color="000000"/>
              <w:right w:val="single" w:sz="4" w:space="0" w:color="000000"/>
            </w:tcBorders>
          </w:tcPr>
          <w:p>
            <w:pPr/>
          </w:p>
        </w:tc>
        <w:tc>
          <w:tcPr>
            <w:tcW w:w="25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27"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59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14"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6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9"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34" w:hRule="exact"/>
        </w:trPr>
        <w:tc>
          <w:tcPr>
            <w:tcW w:w="2976" w:type="dxa"/>
            <w:vMerge/>
            <w:tcBorders>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发行新股</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87" w:right="180"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2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26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34"/>
              <w:ind w:left="6" w:right="0"/>
              <w:jc w:val="center"/>
              <w:rPr>
                <w:rFonts w:ascii="Times New Roman" w:hAnsi="Times New Roman" w:cs="Times New Roman" w:eastAsia="Times New Roman" w:hint="default"/>
                <w:sz w:val="21"/>
                <w:szCs w:val="21"/>
              </w:rPr>
            </w:pPr>
            <w:r>
              <w:rPr>
                <w:rFonts w:ascii="Times New Roman"/>
                <w:sz w:val="21"/>
              </w:rPr>
              <w:t>234,164,112</w:t>
            </w:r>
          </w:p>
        </w:tc>
        <w:tc>
          <w:tcPr>
            <w:tcW w:w="125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57.52</w:t>
            </w:r>
          </w:p>
        </w:tc>
        <w:tc>
          <w:tcPr>
            <w:tcW w:w="1294" w:type="dxa"/>
            <w:tcBorders>
              <w:top w:val="single" w:sz="4" w:space="0" w:color="000000"/>
              <w:left w:val="single" w:sz="8" w:space="0" w:color="000000"/>
              <w:bottom w:val="single" w:sz="8" w:space="0" w:color="000000"/>
              <w:right w:val="single" w:sz="8" w:space="0" w:color="000000"/>
            </w:tcBorders>
          </w:tcPr>
          <w:p>
            <w:pPr/>
          </w:p>
        </w:tc>
        <w:tc>
          <w:tcPr>
            <w:tcW w:w="795" w:type="dxa"/>
            <w:tcBorders>
              <w:top w:val="single" w:sz="4" w:space="0" w:color="000000"/>
              <w:left w:val="single" w:sz="8" w:space="0" w:color="000000"/>
              <w:bottom w:val="single" w:sz="8" w:space="0" w:color="000000"/>
              <w:right w:val="single" w:sz="8" w:space="0" w:color="000000"/>
            </w:tcBorders>
          </w:tcPr>
          <w:p>
            <w:pPr/>
          </w:p>
        </w:tc>
        <w:tc>
          <w:tcPr>
            <w:tcW w:w="1008" w:type="dxa"/>
            <w:tcBorders>
              <w:top w:val="single" w:sz="4" w:space="0" w:color="000000"/>
              <w:left w:val="single" w:sz="8" w:space="0" w:color="000000"/>
              <w:bottom w:val="single" w:sz="8" w:space="0" w:color="000000"/>
              <w:right w:val="single" w:sz="8" w:space="0" w:color="000000"/>
            </w:tcBorders>
          </w:tcPr>
          <w:p>
            <w:pPr/>
          </w:p>
        </w:tc>
        <w:tc>
          <w:tcPr>
            <w:tcW w:w="142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pacing w:val="-1"/>
                <w:sz w:val="21"/>
              </w:rPr>
              <w:t>-232,129,336</w:t>
            </w:r>
          </w:p>
        </w:tc>
        <w:tc>
          <w:tcPr>
            <w:tcW w:w="143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4"/>
              <w:ind w:left="96" w:right="0"/>
              <w:jc w:val="center"/>
              <w:rPr>
                <w:rFonts w:ascii="Times New Roman" w:hAnsi="Times New Roman" w:cs="Times New Roman" w:eastAsia="Times New Roman" w:hint="default"/>
                <w:sz w:val="21"/>
                <w:szCs w:val="21"/>
              </w:rPr>
            </w:pPr>
            <w:r>
              <w:rPr>
                <w:rFonts w:ascii="Times New Roman"/>
                <w:sz w:val="21"/>
              </w:rPr>
              <w:t>-232,129,336</w:t>
            </w:r>
          </w:p>
        </w:tc>
        <w:tc>
          <w:tcPr>
            <w:tcW w:w="143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2,034,776</w:t>
            </w:r>
          </w:p>
        </w:tc>
        <w:tc>
          <w:tcPr>
            <w:tcW w:w="121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0.39</w:t>
            </w:r>
          </w:p>
        </w:tc>
      </w:tr>
      <w:tr>
        <w:trPr>
          <w:trHeight w:val="33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68" w:type="dxa"/>
            <w:tcBorders>
              <w:top w:val="single" w:sz="8" w:space="0" w:color="000000"/>
              <w:left w:val="single" w:sz="4"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294" w:type="dxa"/>
            <w:tcBorders>
              <w:top w:val="single" w:sz="8" w:space="0" w:color="000000"/>
              <w:left w:val="single" w:sz="8" w:space="0" w:color="000000"/>
              <w:bottom w:val="single" w:sz="8" w:space="0" w:color="000000"/>
              <w:right w:val="single" w:sz="8" w:space="0" w:color="000000"/>
            </w:tcBorders>
          </w:tcPr>
          <w:p>
            <w:pPr/>
          </w:p>
        </w:tc>
        <w:tc>
          <w:tcPr>
            <w:tcW w:w="795" w:type="dxa"/>
            <w:tcBorders>
              <w:top w:val="single" w:sz="8" w:space="0" w:color="000000"/>
              <w:left w:val="single" w:sz="8" w:space="0" w:color="000000"/>
              <w:bottom w:val="single" w:sz="8" w:space="0" w:color="000000"/>
              <w:right w:val="single" w:sz="8" w:space="0" w:color="000000"/>
            </w:tcBorders>
          </w:tcPr>
          <w:p>
            <w:pPr/>
          </w:p>
        </w:tc>
        <w:tc>
          <w:tcPr>
            <w:tcW w:w="1008" w:type="dxa"/>
            <w:tcBorders>
              <w:top w:val="single" w:sz="8" w:space="0" w:color="000000"/>
              <w:left w:val="single" w:sz="8" w:space="0" w:color="000000"/>
              <w:bottom w:val="single" w:sz="8" w:space="0" w:color="000000"/>
              <w:right w:val="single" w:sz="8" w:space="0" w:color="000000"/>
            </w:tcBorders>
          </w:tcPr>
          <w:p>
            <w:pPr/>
          </w:p>
        </w:tc>
        <w:tc>
          <w:tcPr>
            <w:tcW w:w="1426" w:type="dxa"/>
            <w:tcBorders>
              <w:top w:val="single" w:sz="8" w:space="0" w:color="000000"/>
              <w:left w:val="single" w:sz="8" w:space="0" w:color="000000"/>
              <w:bottom w:val="single" w:sz="8" w:space="0" w:color="000000"/>
              <w:right w:val="single" w:sz="8" w:space="0" w:color="000000"/>
            </w:tcBorders>
          </w:tcPr>
          <w:p>
            <w:pPr/>
          </w:p>
        </w:tc>
        <w:tc>
          <w:tcPr>
            <w:tcW w:w="1431" w:type="dxa"/>
            <w:tcBorders>
              <w:top w:val="single" w:sz="8" w:space="0" w:color="000000"/>
              <w:left w:val="single" w:sz="8" w:space="0" w:color="000000"/>
              <w:bottom w:val="single" w:sz="8" w:space="0" w:color="000000"/>
              <w:right w:val="single" w:sz="8" w:space="0" w:color="000000"/>
            </w:tcBorders>
          </w:tcPr>
          <w:p>
            <w:pPr/>
          </w:p>
        </w:tc>
        <w:tc>
          <w:tcPr>
            <w:tcW w:w="1430" w:type="dxa"/>
            <w:tcBorders>
              <w:top w:val="single" w:sz="8" w:space="0" w:color="000000"/>
              <w:left w:val="single" w:sz="8" w:space="0" w:color="000000"/>
              <w:bottom w:val="single" w:sz="8" w:space="0" w:color="000000"/>
              <w:right w:val="single" w:sz="8" w:space="0" w:color="000000"/>
            </w:tcBorders>
          </w:tcPr>
          <w:p>
            <w:pPr/>
          </w:p>
        </w:tc>
        <w:tc>
          <w:tcPr>
            <w:tcW w:w="1212"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68" w:type="dxa"/>
            <w:tcBorders>
              <w:top w:val="single" w:sz="8" w:space="0" w:color="000000"/>
              <w:left w:val="single" w:sz="4"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294" w:type="dxa"/>
            <w:tcBorders>
              <w:top w:val="single" w:sz="8" w:space="0" w:color="000000"/>
              <w:left w:val="single" w:sz="8" w:space="0" w:color="000000"/>
              <w:bottom w:val="single" w:sz="8" w:space="0" w:color="000000"/>
              <w:right w:val="single" w:sz="8" w:space="0" w:color="000000"/>
            </w:tcBorders>
          </w:tcPr>
          <w:p>
            <w:pPr/>
          </w:p>
        </w:tc>
        <w:tc>
          <w:tcPr>
            <w:tcW w:w="795" w:type="dxa"/>
            <w:tcBorders>
              <w:top w:val="single" w:sz="8" w:space="0" w:color="000000"/>
              <w:left w:val="single" w:sz="8" w:space="0" w:color="000000"/>
              <w:bottom w:val="single" w:sz="8" w:space="0" w:color="000000"/>
              <w:right w:val="single" w:sz="8" w:space="0" w:color="000000"/>
            </w:tcBorders>
          </w:tcPr>
          <w:p>
            <w:pPr/>
          </w:p>
        </w:tc>
        <w:tc>
          <w:tcPr>
            <w:tcW w:w="1008" w:type="dxa"/>
            <w:tcBorders>
              <w:top w:val="single" w:sz="8" w:space="0" w:color="000000"/>
              <w:left w:val="single" w:sz="8" w:space="0" w:color="000000"/>
              <w:bottom w:val="single" w:sz="8" w:space="0" w:color="000000"/>
              <w:right w:val="single" w:sz="8" w:space="0" w:color="000000"/>
            </w:tcBorders>
          </w:tcPr>
          <w:p>
            <w:pPr/>
          </w:p>
        </w:tc>
        <w:tc>
          <w:tcPr>
            <w:tcW w:w="1426" w:type="dxa"/>
            <w:tcBorders>
              <w:top w:val="single" w:sz="8" w:space="0" w:color="000000"/>
              <w:left w:val="single" w:sz="8" w:space="0" w:color="000000"/>
              <w:bottom w:val="single" w:sz="8" w:space="0" w:color="000000"/>
              <w:right w:val="single" w:sz="8" w:space="0" w:color="000000"/>
            </w:tcBorders>
          </w:tcPr>
          <w:p>
            <w:pPr/>
          </w:p>
        </w:tc>
        <w:tc>
          <w:tcPr>
            <w:tcW w:w="1431" w:type="dxa"/>
            <w:tcBorders>
              <w:top w:val="single" w:sz="8" w:space="0" w:color="000000"/>
              <w:left w:val="single" w:sz="8" w:space="0" w:color="000000"/>
              <w:bottom w:val="single" w:sz="8" w:space="0" w:color="000000"/>
              <w:right w:val="single" w:sz="8" w:space="0" w:color="000000"/>
            </w:tcBorders>
          </w:tcPr>
          <w:p>
            <w:pPr/>
          </w:p>
        </w:tc>
        <w:tc>
          <w:tcPr>
            <w:tcW w:w="1430" w:type="dxa"/>
            <w:tcBorders>
              <w:top w:val="single" w:sz="8" w:space="0" w:color="000000"/>
              <w:left w:val="single" w:sz="8" w:space="0" w:color="000000"/>
              <w:bottom w:val="single" w:sz="8" w:space="0" w:color="000000"/>
              <w:right w:val="single" w:sz="8" w:space="0" w:color="000000"/>
            </w:tcBorders>
          </w:tcPr>
          <w:p>
            <w:pPr/>
          </w:p>
        </w:tc>
        <w:tc>
          <w:tcPr>
            <w:tcW w:w="1212" w:type="dxa"/>
            <w:tcBorders>
              <w:top w:val="single" w:sz="8" w:space="0" w:color="000000"/>
              <w:left w:val="single" w:sz="8" w:space="0" w:color="000000"/>
              <w:bottom w:val="single" w:sz="8" w:space="0" w:color="000000"/>
              <w:right w:val="single" w:sz="8" w:space="0" w:color="000000"/>
            </w:tcBorders>
          </w:tcPr>
          <w:p>
            <w:pPr/>
          </w:p>
        </w:tc>
      </w:tr>
      <w:tr>
        <w:trPr>
          <w:trHeight w:val="33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6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9"/>
              <w:ind w:left="6" w:right="0"/>
              <w:jc w:val="center"/>
              <w:rPr>
                <w:rFonts w:ascii="Times New Roman" w:hAnsi="Times New Roman" w:cs="Times New Roman" w:eastAsia="Times New Roman" w:hint="default"/>
                <w:sz w:val="21"/>
                <w:szCs w:val="21"/>
              </w:rPr>
            </w:pPr>
            <w:r>
              <w:rPr>
                <w:rFonts w:ascii="Times New Roman"/>
                <w:sz w:val="21"/>
              </w:rPr>
              <w:t>234,164,112</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Times New Roman" w:hAnsi="Times New Roman" w:cs="Times New Roman" w:eastAsia="Times New Roman" w:hint="default"/>
                <w:sz w:val="21"/>
                <w:szCs w:val="21"/>
              </w:rPr>
            </w:pPr>
            <w:r>
              <w:rPr>
                <w:rFonts w:ascii="Times New Roman"/>
                <w:sz w:val="21"/>
              </w:rPr>
              <w:t>57.52</w:t>
            </w:r>
          </w:p>
        </w:tc>
        <w:tc>
          <w:tcPr>
            <w:tcW w:w="1294" w:type="dxa"/>
            <w:tcBorders>
              <w:top w:val="single" w:sz="8" w:space="0" w:color="000000"/>
              <w:left w:val="single" w:sz="8" w:space="0" w:color="000000"/>
              <w:bottom w:val="single" w:sz="8" w:space="0" w:color="000000"/>
              <w:right w:val="single" w:sz="8" w:space="0" w:color="000000"/>
            </w:tcBorders>
          </w:tcPr>
          <w:p>
            <w:pPr/>
          </w:p>
        </w:tc>
        <w:tc>
          <w:tcPr>
            <w:tcW w:w="795" w:type="dxa"/>
            <w:tcBorders>
              <w:top w:val="single" w:sz="8" w:space="0" w:color="000000"/>
              <w:left w:val="single" w:sz="8" w:space="0" w:color="000000"/>
              <w:bottom w:val="single" w:sz="8" w:space="0" w:color="000000"/>
              <w:right w:val="single" w:sz="8" w:space="0" w:color="000000"/>
            </w:tcBorders>
          </w:tcPr>
          <w:p>
            <w:pPr/>
          </w:p>
        </w:tc>
        <w:tc>
          <w:tcPr>
            <w:tcW w:w="1008" w:type="dxa"/>
            <w:tcBorders>
              <w:top w:val="single" w:sz="8" w:space="0" w:color="000000"/>
              <w:left w:val="single" w:sz="8" w:space="0" w:color="000000"/>
              <w:bottom w:val="single" w:sz="8" w:space="0" w:color="000000"/>
              <w:right w:val="single" w:sz="8" w:space="0" w:color="000000"/>
            </w:tcBorders>
          </w:tcPr>
          <w:p>
            <w:pP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1"/>
              <w:jc w:val="right"/>
              <w:rPr>
                <w:rFonts w:ascii="Times New Roman" w:hAnsi="Times New Roman" w:cs="Times New Roman" w:eastAsia="Times New Roman" w:hint="default"/>
                <w:sz w:val="21"/>
                <w:szCs w:val="21"/>
              </w:rPr>
            </w:pPr>
            <w:r>
              <w:rPr>
                <w:rFonts w:ascii="Times New Roman"/>
                <w:spacing w:val="-1"/>
                <w:sz w:val="21"/>
              </w:rPr>
              <w:t>-232,129,336</w:t>
            </w:r>
          </w:p>
        </w:tc>
        <w:tc>
          <w:tcPr>
            <w:tcW w:w="14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96" w:right="0"/>
              <w:jc w:val="center"/>
              <w:rPr>
                <w:rFonts w:ascii="Times New Roman" w:hAnsi="Times New Roman" w:cs="Times New Roman" w:eastAsia="Times New Roman" w:hint="default"/>
                <w:sz w:val="21"/>
                <w:szCs w:val="21"/>
              </w:rPr>
            </w:pPr>
            <w:r>
              <w:rPr>
                <w:rFonts w:ascii="Times New Roman"/>
                <w:sz w:val="21"/>
              </w:rPr>
              <w:t>-232,129,336</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3"/>
              <w:jc w:val="right"/>
              <w:rPr>
                <w:rFonts w:ascii="Times New Roman" w:hAnsi="Times New Roman" w:cs="Times New Roman" w:eastAsia="Times New Roman" w:hint="default"/>
                <w:sz w:val="21"/>
                <w:szCs w:val="21"/>
              </w:rPr>
            </w:pPr>
            <w:r>
              <w:rPr>
                <w:rFonts w:ascii="Times New Roman"/>
                <w:spacing w:val="-1"/>
                <w:sz w:val="21"/>
              </w:rPr>
              <w:t>2,034,776</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5"/>
              <w:jc w:val="right"/>
              <w:rPr>
                <w:rFonts w:ascii="Times New Roman" w:hAnsi="Times New Roman" w:cs="Times New Roman" w:eastAsia="Times New Roman" w:hint="default"/>
                <w:sz w:val="21"/>
                <w:szCs w:val="21"/>
              </w:rPr>
            </w:pPr>
            <w:r>
              <w:rPr>
                <w:rFonts w:ascii="Times New Roman"/>
                <w:sz w:val="21"/>
              </w:rPr>
              <w:t>0.39</w:t>
            </w:r>
          </w:p>
        </w:tc>
      </w:tr>
      <w:tr>
        <w:trPr>
          <w:trHeight w:val="33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p>
        </w:tc>
        <w:tc>
          <w:tcPr>
            <w:tcW w:w="1268" w:type="dxa"/>
            <w:tcBorders>
              <w:top w:val="single" w:sz="8" w:space="0" w:color="000000"/>
              <w:left w:val="single" w:sz="4"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294" w:type="dxa"/>
            <w:tcBorders>
              <w:top w:val="single" w:sz="8" w:space="0" w:color="000000"/>
              <w:left w:val="single" w:sz="8" w:space="0" w:color="000000"/>
              <w:bottom w:val="single" w:sz="8" w:space="0" w:color="000000"/>
              <w:right w:val="single" w:sz="8" w:space="0" w:color="000000"/>
            </w:tcBorders>
          </w:tcPr>
          <w:p>
            <w:pPr/>
          </w:p>
        </w:tc>
        <w:tc>
          <w:tcPr>
            <w:tcW w:w="795" w:type="dxa"/>
            <w:tcBorders>
              <w:top w:val="single" w:sz="8" w:space="0" w:color="000000"/>
              <w:left w:val="single" w:sz="8" w:space="0" w:color="000000"/>
              <w:bottom w:val="single" w:sz="8" w:space="0" w:color="000000"/>
              <w:right w:val="single" w:sz="8" w:space="0" w:color="000000"/>
            </w:tcBorders>
          </w:tcPr>
          <w:p>
            <w:pPr/>
          </w:p>
        </w:tc>
        <w:tc>
          <w:tcPr>
            <w:tcW w:w="1008" w:type="dxa"/>
            <w:tcBorders>
              <w:top w:val="single" w:sz="8" w:space="0" w:color="000000"/>
              <w:left w:val="single" w:sz="8" w:space="0" w:color="000000"/>
              <w:bottom w:val="single" w:sz="8" w:space="0" w:color="000000"/>
              <w:right w:val="single" w:sz="8" w:space="0" w:color="000000"/>
            </w:tcBorders>
          </w:tcPr>
          <w:p>
            <w:pPr/>
          </w:p>
        </w:tc>
        <w:tc>
          <w:tcPr>
            <w:tcW w:w="1426" w:type="dxa"/>
            <w:tcBorders>
              <w:top w:val="single" w:sz="8" w:space="0" w:color="000000"/>
              <w:left w:val="single" w:sz="8" w:space="0" w:color="000000"/>
              <w:bottom w:val="single" w:sz="8" w:space="0" w:color="000000"/>
              <w:right w:val="single" w:sz="8" w:space="0" w:color="000000"/>
            </w:tcBorders>
          </w:tcPr>
          <w:p>
            <w:pPr/>
          </w:p>
        </w:tc>
        <w:tc>
          <w:tcPr>
            <w:tcW w:w="1431" w:type="dxa"/>
            <w:tcBorders>
              <w:top w:val="single" w:sz="8" w:space="0" w:color="000000"/>
              <w:left w:val="single" w:sz="8" w:space="0" w:color="000000"/>
              <w:bottom w:val="single" w:sz="8" w:space="0" w:color="000000"/>
              <w:right w:val="single" w:sz="8" w:space="0" w:color="000000"/>
            </w:tcBorders>
          </w:tcPr>
          <w:p>
            <w:pPr/>
          </w:p>
        </w:tc>
        <w:tc>
          <w:tcPr>
            <w:tcW w:w="1430" w:type="dxa"/>
            <w:tcBorders>
              <w:top w:val="single" w:sz="8" w:space="0" w:color="000000"/>
              <w:left w:val="single" w:sz="8" w:space="0" w:color="000000"/>
              <w:bottom w:val="single" w:sz="8" w:space="0" w:color="000000"/>
              <w:right w:val="single" w:sz="8" w:space="0" w:color="000000"/>
            </w:tcBorders>
          </w:tcPr>
          <w:p>
            <w:pPr/>
          </w:p>
        </w:tc>
        <w:tc>
          <w:tcPr>
            <w:tcW w:w="1212"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26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9"/>
              <w:ind w:left="6" w:right="0"/>
              <w:jc w:val="center"/>
              <w:rPr>
                <w:rFonts w:ascii="Times New Roman" w:hAnsi="Times New Roman" w:cs="Times New Roman" w:eastAsia="Times New Roman" w:hint="default"/>
                <w:sz w:val="21"/>
                <w:szCs w:val="21"/>
              </w:rPr>
            </w:pPr>
            <w:r>
              <w:rPr>
                <w:rFonts w:ascii="Times New Roman"/>
                <w:sz w:val="21"/>
              </w:rPr>
              <w:t>234,164,112</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Times New Roman" w:hAnsi="Times New Roman" w:cs="Times New Roman" w:eastAsia="Times New Roman" w:hint="default"/>
                <w:sz w:val="21"/>
                <w:szCs w:val="21"/>
              </w:rPr>
            </w:pPr>
            <w:r>
              <w:rPr>
                <w:rFonts w:ascii="Times New Roman"/>
                <w:sz w:val="21"/>
              </w:rPr>
              <w:t>57.52</w:t>
            </w:r>
          </w:p>
        </w:tc>
        <w:tc>
          <w:tcPr>
            <w:tcW w:w="1294" w:type="dxa"/>
            <w:tcBorders>
              <w:top w:val="single" w:sz="8" w:space="0" w:color="000000"/>
              <w:left w:val="single" w:sz="8" w:space="0" w:color="000000"/>
              <w:bottom w:val="single" w:sz="8" w:space="0" w:color="000000"/>
              <w:right w:val="single" w:sz="8" w:space="0" w:color="000000"/>
            </w:tcBorders>
          </w:tcPr>
          <w:p>
            <w:pPr/>
          </w:p>
        </w:tc>
        <w:tc>
          <w:tcPr>
            <w:tcW w:w="795" w:type="dxa"/>
            <w:tcBorders>
              <w:top w:val="single" w:sz="8" w:space="0" w:color="000000"/>
              <w:left w:val="single" w:sz="8" w:space="0" w:color="000000"/>
              <w:bottom w:val="single" w:sz="8" w:space="0" w:color="000000"/>
              <w:right w:val="single" w:sz="8" w:space="0" w:color="000000"/>
            </w:tcBorders>
          </w:tcPr>
          <w:p>
            <w:pPr/>
          </w:p>
        </w:tc>
        <w:tc>
          <w:tcPr>
            <w:tcW w:w="1008" w:type="dxa"/>
            <w:tcBorders>
              <w:top w:val="single" w:sz="8" w:space="0" w:color="000000"/>
              <w:left w:val="single" w:sz="8" w:space="0" w:color="000000"/>
              <w:bottom w:val="single" w:sz="8" w:space="0" w:color="000000"/>
              <w:right w:val="single" w:sz="8" w:space="0" w:color="000000"/>
            </w:tcBorders>
          </w:tcPr>
          <w:p>
            <w:pP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1"/>
              <w:jc w:val="right"/>
              <w:rPr>
                <w:rFonts w:ascii="Times New Roman" w:hAnsi="Times New Roman" w:cs="Times New Roman" w:eastAsia="Times New Roman" w:hint="default"/>
                <w:sz w:val="21"/>
                <w:szCs w:val="21"/>
              </w:rPr>
            </w:pPr>
            <w:r>
              <w:rPr>
                <w:rFonts w:ascii="Times New Roman"/>
                <w:spacing w:val="-1"/>
                <w:sz w:val="21"/>
              </w:rPr>
              <w:t>-232,129,336</w:t>
            </w:r>
          </w:p>
        </w:tc>
        <w:tc>
          <w:tcPr>
            <w:tcW w:w="14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96" w:right="0"/>
              <w:jc w:val="center"/>
              <w:rPr>
                <w:rFonts w:ascii="Times New Roman" w:hAnsi="Times New Roman" w:cs="Times New Roman" w:eastAsia="Times New Roman" w:hint="default"/>
                <w:sz w:val="21"/>
                <w:szCs w:val="21"/>
              </w:rPr>
            </w:pPr>
            <w:r>
              <w:rPr>
                <w:rFonts w:ascii="Times New Roman"/>
                <w:sz w:val="21"/>
              </w:rPr>
              <w:t>-232,129,336</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3"/>
              <w:jc w:val="right"/>
              <w:rPr>
                <w:rFonts w:ascii="Times New Roman" w:hAnsi="Times New Roman" w:cs="Times New Roman" w:eastAsia="Times New Roman" w:hint="default"/>
                <w:sz w:val="21"/>
                <w:szCs w:val="21"/>
              </w:rPr>
            </w:pPr>
            <w:r>
              <w:rPr>
                <w:rFonts w:ascii="Times New Roman"/>
                <w:spacing w:val="-1"/>
                <w:sz w:val="21"/>
              </w:rPr>
              <w:t>2,034,776</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5"/>
              <w:jc w:val="right"/>
              <w:rPr>
                <w:rFonts w:ascii="Times New Roman" w:hAnsi="Times New Roman" w:cs="Times New Roman" w:eastAsia="Times New Roman" w:hint="default"/>
                <w:sz w:val="21"/>
                <w:szCs w:val="21"/>
              </w:rPr>
            </w:pPr>
            <w:r>
              <w:rPr>
                <w:rFonts w:ascii="Times New Roman"/>
                <w:sz w:val="21"/>
              </w:rPr>
              <w:t>0.39</w:t>
            </w:r>
          </w:p>
        </w:tc>
      </w:tr>
      <w:tr>
        <w:trPr>
          <w:trHeight w:val="331"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268" w:type="dxa"/>
            <w:tcBorders>
              <w:top w:val="single" w:sz="8" w:space="0" w:color="000000"/>
              <w:left w:val="single" w:sz="4"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294" w:type="dxa"/>
            <w:tcBorders>
              <w:top w:val="single" w:sz="8" w:space="0" w:color="000000"/>
              <w:left w:val="single" w:sz="8" w:space="0" w:color="000000"/>
              <w:bottom w:val="single" w:sz="8" w:space="0" w:color="000000"/>
              <w:right w:val="single" w:sz="8" w:space="0" w:color="000000"/>
            </w:tcBorders>
          </w:tcPr>
          <w:p>
            <w:pPr/>
          </w:p>
        </w:tc>
        <w:tc>
          <w:tcPr>
            <w:tcW w:w="795" w:type="dxa"/>
            <w:tcBorders>
              <w:top w:val="single" w:sz="8" w:space="0" w:color="000000"/>
              <w:left w:val="single" w:sz="8" w:space="0" w:color="000000"/>
              <w:bottom w:val="single" w:sz="8" w:space="0" w:color="000000"/>
              <w:right w:val="single" w:sz="8" w:space="0" w:color="000000"/>
            </w:tcBorders>
          </w:tcPr>
          <w:p>
            <w:pPr/>
          </w:p>
        </w:tc>
        <w:tc>
          <w:tcPr>
            <w:tcW w:w="1008" w:type="dxa"/>
            <w:tcBorders>
              <w:top w:val="single" w:sz="8" w:space="0" w:color="000000"/>
              <w:left w:val="single" w:sz="8" w:space="0" w:color="000000"/>
              <w:bottom w:val="single" w:sz="8" w:space="0" w:color="000000"/>
              <w:right w:val="single" w:sz="8" w:space="0" w:color="000000"/>
            </w:tcBorders>
          </w:tcPr>
          <w:p>
            <w:pPr/>
          </w:p>
        </w:tc>
        <w:tc>
          <w:tcPr>
            <w:tcW w:w="1426" w:type="dxa"/>
            <w:tcBorders>
              <w:top w:val="single" w:sz="8" w:space="0" w:color="000000"/>
              <w:left w:val="single" w:sz="8" w:space="0" w:color="000000"/>
              <w:bottom w:val="single" w:sz="8" w:space="0" w:color="000000"/>
              <w:right w:val="single" w:sz="8" w:space="0" w:color="000000"/>
            </w:tcBorders>
          </w:tcPr>
          <w:p>
            <w:pPr/>
          </w:p>
        </w:tc>
        <w:tc>
          <w:tcPr>
            <w:tcW w:w="1431" w:type="dxa"/>
            <w:tcBorders>
              <w:top w:val="single" w:sz="8" w:space="0" w:color="000000"/>
              <w:left w:val="single" w:sz="8" w:space="0" w:color="000000"/>
              <w:bottom w:val="single" w:sz="8" w:space="0" w:color="000000"/>
              <w:right w:val="single" w:sz="8" w:space="0" w:color="000000"/>
            </w:tcBorders>
          </w:tcPr>
          <w:p>
            <w:pPr/>
          </w:p>
        </w:tc>
        <w:tc>
          <w:tcPr>
            <w:tcW w:w="1430" w:type="dxa"/>
            <w:tcBorders>
              <w:top w:val="single" w:sz="8" w:space="0" w:color="000000"/>
              <w:left w:val="single" w:sz="8" w:space="0" w:color="000000"/>
              <w:bottom w:val="single" w:sz="8" w:space="0" w:color="000000"/>
              <w:right w:val="single" w:sz="8" w:space="0" w:color="000000"/>
            </w:tcBorders>
          </w:tcPr>
          <w:p>
            <w:pPr/>
          </w:p>
        </w:tc>
        <w:tc>
          <w:tcPr>
            <w:tcW w:w="1212"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268" w:type="dxa"/>
            <w:tcBorders>
              <w:top w:val="single" w:sz="8" w:space="0" w:color="000000"/>
              <w:left w:val="single" w:sz="4"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294" w:type="dxa"/>
            <w:tcBorders>
              <w:top w:val="single" w:sz="8" w:space="0" w:color="000000"/>
              <w:left w:val="single" w:sz="8" w:space="0" w:color="000000"/>
              <w:bottom w:val="single" w:sz="8" w:space="0" w:color="000000"/>
              <w:right w:val="single" w:sz="8" w:space="0" w:color="000000"/>
            </w:tcBorders>
          </w:tcPr>
          <w:p>
            <w:pPr/>
          </w:p>
        </w:tc>
        <w:tc>
          <w:tcPr>
            <w:tcW w:w="795" w:type="dxa"/>
            <w:tcBorders>
              <w:top w:val="single" w:sz="8" w:space="0" w:color="000000"/>
              <w:left w:val="single" w:sz="8" w:space="0" w:color="000000"/>
              <w:bottom w:val="single" w:sz="8" w:space="0" w:color="000000"/>
              <w:right w:val="single" w:sz="8" w:space="0" w:color="000000"/>
            </w:tcBorders>
          </w:tcPr>
          <w:p>
            <w:pPr/>
          </w:p>
        </w:tc>
        <w:tc>
          <w:tcPr>
            <w:tcW w:w="1008" w:type="dxa"/>
            <w:tcBorders>
              <w:top w:val="single" w:sz="8" w:space="0" w:color="000000"/>
              <w:left w:val="single" w:sz="8" w:space="0" w:color="000000"/>
              <w:bottom w:val="single" w:sz="8" w:space="0" w:color="000000"/>
              <w:right w:val="single" w:sz="8" w:space="0" w:color="000000"/>
            </w:tcBorders>
          </w:tcPr>
          <w:p>
            <w:pPr/>
          </w:p>
        </w:tc>
        <w:tc>
          <w:tcPr>
            <w:tcW w:w="1426" w:type="dxa"/>
            <w:tcBorders>
              <w:top w:val="single" w:sz="8" w:space="0" w:color="000000"/>
              <w:left w:val="single" w:sz="8" w:space="0" w:color="000000"/>
              <w:bottom w:val="single" w:sz="8" w:space="0" w:color="000000"/>
              <w:right w:val="single" w:sz="8" w:space="0" w:color="000000"/>
            </w:tcBorders>
          </w:tcPr>
          <w:p>
            <w:pPr/>
          </w:p>
        </w:tc>
        <w:tc>
          <w:tcPr>
            <w:tcW w:w="1431" w:type="dxa"/>
            <w:tcBorders>
              <w:top w:val="single" w:sz="8" w:space="0" w:color="000000"/>
              <w:left w:val="single" w:sz="8" w:space="0" w:color="000000"/>
              <w:bottom w:val="single" w:sz="8" w:space="0" w:color="000000"/>
              <w:right w:val="single" w:sz="8" w:space="0" w:color="000000"/>
            </w:tcBorders>
          </w:tcPr>
          <w:p>
            <w:pPr/>
          </w:p>
        </w:tc>
        <w:tc>
          <w:tcPr>
            <w:tcW w:w="1430" w:type="dxa"/>
            <w:tcBorders>
              <w:top w:val="single" w:sz="8" w:space="0" w:color="000000"/>
              <w:left w:val="single" w:sz="8" w:space="0" w:color="000000"/>
              <w:bottom w:val="single" w:sz="8" w:space="0" w:color="000000"/>
              <w:right w:val="single" w:sz="8" w:space="0" w:color="000000"/>
            </w:tcBorders>
          </w:tcPr>
          <w:p>
            <w:pPr/>
          </w:p>
        </w:tc>
        <w:tc>
          <w:tcPr>
            <w:tcW w:w="1212"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268" w:type="dxa"/>
            <w:tcBorders>
              <w:top w:val="single" w:sz="8" w:space="0" w:color="000000"/>
              <w:left w:val="single" w:sz="4"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294" w:type="dxa"/>
            <w:tcBorders>
              <w:top w:val="single" w:sz="8" w:space="0" w:color="000000"/>
              <w:left w:val="single" w:sz="8" w:space="0" w:color="000000"/>
              <w:bottom w:val="single" w:sz="8" w:space="0" w:color="000000"/>
              <w:right w:val="single" w:sz="8" w:space="0" w:color="000000"/>
            </w:tcBorders>
          </w:tcPr>
          <w:p>
            <w:pPr/>
          </w:p>
        </w:tc>
        <w:tc>
          <w:tcPr>
            <w:tcW w:w="795" w:type="dxa"/>
            <w:tcBorders>
              <w:top w:val="single" w:sz="8" w:space="0" w:color="000000"/>
              <w:left w:val="single" w:sz="8" w:space="0" w:color="000000"/>
              <w:bottom w:val="single" w:sz="8" w:space="0" w:color="000000"/>
              <w:right w:val="single" w:sz="8" w:space="0" w:color="000000"/>
            </w:tcBorders>
          </w:tcPr>
          <w:p>
            <w:pPr/>
          </w:p>
        </w:tc>
        <w:tc>
          <w:tcPr>
            <w:tcW w:w="1008" w:type="dxa"/>
            <w:tcBorders>
              <w:top w:val="single" w:sz="8" w:space="0" w:color="000000"/>
              <w:left w:val="single" w:sz="8" w:space="0" w:color="000000"/>
              <w:bottom w:val="single" w:sz="8" w:space="0" w:color="000000"/>
              <w:right w:val="single" w:sz="8" w:space="0" w:color="000000"/>
            </w:tcBorders>
          </w:tcPr>
          <w:p>
            <w:pPr/>
          </w:p>
        </w:tc>
        <w:tc>
          <w:tcPr>
            <w:tcW w:w="1426" w:type="dxa"/>
            <w:tcBorders>
              <w:top w:val="single" w:sz="8" w:space="0" w:color="000000"/>
              <w:left w:val="single" w:sz="8" w:space="0" w:color="000000"/>
              <w:bottom w:val="single" w:sz="8" w:space="0" w:color="000000"/>
              <w:right w:val="single" w:sz="8" w:space="0" w:color="000000"/>
            </w:tcBorders>
          </w:tcPr>
          <w:p>
            <w:pPr/>
          </w:p>
        </w:tc>
        <w:tc>
          <w:tcPr>
            <w:tcW w:w="1431" w:type="dxa"/>
            <w:tcBorders>
              <w:top w:val="single" w:sz="8" w:space="0" w:color="000000"/>
              <w:left w:val="single" w:sz="8" w:space="0" w:color="000000"/>
              <w:bottom w:val="single" w:sz="8" w:space="0" w:color="000000"/>
              <w:right w:val="single" w:sz="8" w:space="0" w:color="000000"/>
            </w:tcBorders>
          </w:tcPr>
          <w:p>
            <w:pPr/>
          </w:p>
        </w:tc>
        <w:tc>
          <w:tcPr>
            <w:tcW w:w="1430" w:type="dxa"/>
            <w:tcBorders>
              <w:top w:val="single" w:sz="8" w:space="0" w:color="000000"/>
              <w:left w:val="single" w:sz="8" w:space="0" w:color="000000"/>
              <w:bottom w:val="single" w:sz="8" w:space="0" w:color="000000"/>
              <w:right w:val="single" w:sz="8" w:space="0" w:color="000000"/>
            </w:tcBorders>
          </w:tcPr>
          <w:p>
            <w:pPr/>
          </w:p>
        </w:tc>
        <w:tc>
          <w:tcPr>
            <w:tcW w:w="1212"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p>
        </w:tc>
        <w:tc>
          <w:tcPr>
            <w:tcW w:w="126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9"/>
              <w:ind w:left="6" w:right="0"/>
              <w:jc w:val="center"/>
              <w:rPr>
                <w:rFonts w:ascii="Times New Roman" w:hAnsi="Times New Roman" w:cs="Times New Roman" w:eastAsia="Times New Roman" w:hint="default"/>
                <w:sz w:val="21"/>
                <w:szCs w:val="21"/>
              </w:rPr>
            </w:pPr>
            <w:r>
              <w:rPr>
                <w:rFonts w:ascii="Times New Roman"/>
                <w:sz w:val="21"/>
              </w:rPr>
              <w:t>172,933,688</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554" w:right="0"/>
              <w:jc w:val="left"/>
              <w:rPr>
                <w:rFonts w:ascii="Times New Roman" w:hAnsi="Times New Roman" w:cs="Times New Roman" w:eastAsia="Times New Roman" w:hint="default"/>
                <w:sz w:val="21"/>
                <w:szCs w:val="21"/>
              </w:rPr>
            </w:pPr>
            <w:r>
              <w:rPr>
                <w:rFonts w:ascii="Times New Roman"/>
                <w:sz w:val="21"/>
              </w:rPr>
              <w:t>42.48</w:t>
            </w:r>
          </w:p>
        </w:tc>
        <w:tc>
          <w:tcPr>
            <w:tcW w:w="1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28" w:right="0"/>
              <w:jc w:val="center"/>
              <w:rPr>
                <w:rFonts w:ascii="Times New Roman" w:hAnsi="Times New Roman" w:cs="Times New Roman" w:eastAsia="Times New Roman" w:hint="default"/>
                <w:sz w:val="21"/>
                <w:szCs w:val="21"/>
              </w:rPr>
            </w:pPr>
            <w:r>
              <w:rPr>
                <w:rFonts w:ascii="Times New Roman"/>
                <w:sz w:val="21"/>
              </w:rPr>
              <w:t>120,159,152</w:t>
            </w:r>
          </w:p>
        </w:tc>
        <w:tc>
          <w:tcPr>
            <w:tcW w:w="795" w:type="dxa"/>
            <w:tcBorders>
              <w:top w:val="single" w:sz="8" w:space="0" w:color="000000"/>
              <w:left w:val="single" w:sz="8" w:space="0" w:color="000000"/>
              <w:bottom w:val="single" w:sz="8" w:space="0" w:color="000000"/>
              <w:right w:val="single" w:sz="8" w:space="0" w:color="000000"/>
            </w:tcBorders>
          </w:tcPr>
          <w:p>
            <w:pPr/>
          </w:p>
        </w:tc>
        <w:tc>
          <w:tcPr>
            <w:tcW w:w="1008" w:type="dxa"/>
            <w:tcBorders>
              <w:top w:val="single" w:sz="8" w:space="0" w:color="000000"/>
              <w:left w:val="single" w:sz="8" w:space="0" w:color="000000"/>
              <w:bottom w:val="single" w:sz="8" w:space="0" w:color="000000"/>
              <w:right w:val="single" w:sz="8" w:space="0" w:color="000000"/>
            </w:tcBorders>
          </w:tcPr>
          <w:p>
            <w:pP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1"/>
              <w:jc w:val="right"/>
              <w:rPr>
                <w:rFonts w:ascii="Times New Roman" w:hAnsi="Times New Roman" w:cs="Times New Roman" w:eastAsia="Times New Roman" w:hint="default"/>
                <w:sz w:val="21"/>
                <w:szCs w:val="21"/>
              </w:rPr>
            </w:pPr>
            <w:r>
              <w:rPr>
                <w:rFonts w:ascii="Times New Roman"/>
                <w:spacing w:val="-1"/>
                <w:sz w:val="21"/>
              </w:rPr>
              <w:t>231,556,856</w:t>
            </w:r>
          </w:p>
        </w:tc>
        <w:tc>
          <w:tcPr>
            <w:tcW w:w="14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166" w:right="0"/>
              <w:jc w:val="center"/>
              <w:rPr>
                <w:rFonts w:ascii="Times New Roman" w:hAnsi="Times New Roman" w:cs="Times New Roman" w:eastAsia="Times New Roman" w:hint="default"/>
                <w:sz w:val="21"/>
                <w:szCs w:val="21"/>
              </w:rPr>
            </w:pPr>
            <w:r>
              <w:rPr>
                <w:rFonts w:ascii="Times New Roman"/>
                <w:sz w:val="21"/>
              </w:rPr>
              <w:t>351,716,008</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3"/>
              <w:jc w:val="right"/>
              <w:rPr>
                <w:rFonts w:ascii="Times New Roman" w:hAnsi="Times New Roman" w:cs="Times New Roman" w:eastAsia="Times New Roman" w:hint="default"/>
                <w:sz w:val="21"/>
                <w:szCs w:val="21"/>
              </w:rPr>
            </w:pPr>
            <w:r>
              <w:rPr>
                <w:rFonts w:ascii="Times New Roman"/>
                <w:spacing w:val="-1"/>
                <w:sz w:val="21"/>
              </w:rPr>
              <w:t>524,649,696</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5"/>
              <w:jc w:val="right"/>
              <w:rPr>
                <w:rFonts w:ascii="Times New Roman" w:hAnsi="Times New Roman" w:cs="Times New Roman" w:eastAsia="Times New Roman" w:hint="default"/>
                <w:sz w:val="21"/>
                <w:szCs w:val="21"/>
              </w:rPr>
            </w:pPr>
            <w:r>
              <w:rPr>
                <w:rFonts w:ascii="Times New Roman"/>
                <w:sz w:val="21"/>
              </w:rPr>
              <w:t>99.61</w:t>
            </w:r>
          </w:p>
        </w:tc>
      </w:tr>
      <w:tr>
        <w:trPr>
          <w:trHeight w:val="33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6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41"/>
              <w:ind w:left="6" w:right="0"/>
              <w:jc w:val="center"/>
              <w:rPr>
                <w:rFonts w:ascii="Times New Roman" w:hAnsi="Times New Roman" w:cs="Times New Roman" w:eastAsia="Times New Roman" w:hint="default"/>
                <w:sz w:val="21"/>
                <w:szCs w:val="21"/>
              </w:rPr>
            </w:pPr>
            <w:r>
              <w:rPr>
                <w:rFonts w:ascii="Times New Roman"/>
                <w:sz w:val="21"/>
              </w:rPr>
              <w:t>172,933,688</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554" w:right="0"/>
              <w:jc w:val="left"/>
              <w:rPr>
                <w:rFonts w:ascii="Times New Roman" w:hAnsi="Times New Roman" w:cs="Times New Roman" w:eastAsia="Times New Roman" w:hint="default"/>
                <w:sz w:val="21"/>
                <w:szCs w:val="21"/>
              </w:rPr>
            </w:pPr>
            <w:r>
              <w:rPr>
                <w:rFonts w:ascii="Times New Roman"/>
                <w:sz w:val="21"/>
              </w:rPr>
              <w:t>42.48</w:t>
            </w:r>
          </w:p>
        </w:tc>
        <w:tc>
          <w:tcPr>
            <w:tcW w:w="1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28" w:right="0"/>
              <w:jc w:val="center"/>
              <w:rPr>
                <w:rFonts w:ascii="Times New Roman" w:hAnsi="Times New Roman" w:cs="Times New Roman" w:eastAsia="Times New Roman" w:hint="default"/>
                <w:sz w:val="21"/>
                <w:szCs w:val="21"/>
              </w:rPr>
            </w:pPr>
            <w:r>
              <w:rPr>
                <w:rFonts w:ascii="Times New Roman"/>
                <w:sz w:val="21"/>
              </w:rPr>
              <w:t>120,159,152</w:t>
            </w:r>
          </w:p>
        </w:tc>
        <w:tc>
          <w:tcPr>
            <w:tcW w:w="795" w:type="dxa"/>
            <w:tcBorders>
              <w:top w:val="single" w:sz="8" w:space="0" w:color="000000"/>
              <w:left w:val="single" w:sz="8" w:space="0" w:color="000000"/>
              <w:bottom w:val="single" w:sz="8" w:space="0" w:color="000000"/>
              <w:right w:val="single" w:sz="8" w:space="0" w:color="000000"/>
            </w:tcBorders>
          </w:tcPr>
          <w:p>
            <w:pPr/>
          </w:p>
        </w:tc>
        <w:tc>
          <w:tcPr>
            <w:tcW w:w="1008" w:type="dxa"/>
            <w:tcBorders>
              <w:top w:val="single" w:sz="8" w:space="0" w:color="000000"/>
              <w:left w:val="single" w:sz="8" w:space="0" w:color="000000"/>
              <w:bottom w:val="single" w:sz="8" w:space="0" w:color="000000"/>
              <w:right w:val="single" w:sz="8" w:space="0" w:color="000000"/>
            </w:tcBorders>
          </w:tcPr>
          <w:p>
            <w:pP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1"/>
              <w:jc w:val="right"/>
              <w:rPr>
                <w:rFonts w:ascii="Times New Roman" w:hAnsi="Times New Roman" w:cs="Times New Roman" w:eastAsia="Times New Roman" w:hint="default"/>
                <w:sz w:val="21"/>
                <w:szCs w:val="21"/>
              </w:rPr>
            </w:pPr>
            <w:r>
              <w:rPr>
                <w:rFonts w:ascii="Times New Roman"/>
                <w:spacing w:val="-1"/>
                <w:sz w:val="21"/>
              </w:rPr>
              <w:t>231,556,856</w:t>
            </w:r>
          </w:p>
        </w:tc>
        <w:tc>
          <w:tcPr>
            <w:tcW w:w="14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66" w:right="0"/>
              <w:jc w:val="center"/>
              <w:rPr>
                <w:rFonts w:ascii="Times New Roman" w:hAnsi="Times New Roman" w:cs="Times New Roman" w:eastAsia="Times New Roman" w:hint="default"/>
                <w:sz w:val="21"/>
                <w:szCs w:val="21"/>
              </w:rPr>
            </w:pPr>
            <w:r>
              <w:rPr>
                <w:rFonts w:ascii="Times New Roman"/>
                <w:sz w:val="21"/>
              </w:rPr>
              <w:t>351,716,008</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3"/>
              <w:jc w:val="right"/>
              <w:rPr>
                <w:rFonts w:ascii="Times New Roman" w:hAnsi="Times New Roman" w:cs="Times New Roman" w:eastAsia="Times New Roman" w:hint="default"/>
                <w:sz w:val="21"/>
                <w:szCs w:val="21"/>
              </w:rPr>
            </w:pPr>
            <w:r>
              <w:rPr>
                <w:rFonts w:ascii="Times New Roman"/>
                <w:spacing w:val="-1"/>
                <w:sz w:val="21"/>
              </w:rPr>
              <w:t>524,649,696</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21"/>
                <w:szCs w:val="21"/>
              </w:rPr>
            </w:pPr>
            <w:r>
              <w:rPr>
                <w:rFonts w:ascii="Times New Roman"/>
                <w:sz w:val="21"/>
              </w:rPr>
              <w:t>99.61</w:t>
            </w:r>
          </w:p>
        </w:tc>
      </w:tr>
      <w:tr>
        <w:trPr>
          <w:trHeight w:val="331"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268" w:type="dxa"/>
            <w:tcBorders>
              <w:top w:val="single" w:sz="8" w:space="0" w:color="000000"/>
              <w:left w:val="single" w:sz="4"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294" w:type="dxa"/>
            <w:tcBorders>
              <w:top w:val="single" w:sz="8" w:space="0" w:color="000000"/>
              <w:left w:val="single" w:sz="8" w:space="0" w:color="000000"/>
              <w:bottom w:val="single" w:sz="8" w:space="0" w:color="000000"/>
              <w:right w:val="single" w:sz="8" w:space="0" w:color="000000"/>
            </w:tcBorders>
          </w:tcPr>
          <w:p>
            <w:pPr/>
          </w:p>
        </w:tc>
        <w:tc>
          <w:tcPr>
            <w:tcW w:w="795" w:type="dxa"/>
            <w:tcBorders>
              <w:top w:val="single" w:sz="8" w:space="0" w:color="000000"/>
              <w:left w:val="single" w:sz="8" w:space="0" w:color="000000"/>
              <w:bottom w:val="single" w:sz="8" w:space="0" w:color="000000"/>
              <w:right w:val="single" w:sz="8" w:space="0" w:color="000000"/>
            </w:tcBorders>
          </w:tcPr>
          <w:p>
            <w:pPr/>
          </w:p>
        </w:tc>
        <w:tc>
          <w:tcPr>
            <w:tcW w:w="1008" w:type="dxa"/>
            <w:tcBorders>
              <w:top w:val="single" w:sz="8" w:space="0" w:color="000000"/>
              <w:left w:val="single" w:sz="8" w:space="0" w:color="000000"/>
              <w:bottom w:val="single" w:sz="8" w:space="0" w:color="000000"/>
              <w:right w:val="single" w:sz="8" w:space="0" w:color="000000"/>
            </w:tcBorders>
          </w:tcPr>
          <w:p>
            <w:pPr/>
          </w:p>
        </w:tc>
        <w:tc>
          <w:tcPr>
            <w:tcW w:w="1426" w:type="dxa"/>
            <w:tcBorders>
              <w:top w:val="single" w:sz="8" w:space="0" w:color="000000"/>
              <w:left w:val="single" w:sz="8" w:space="0" w:color="000000"/>
              <w:bottom w:val="single" w:sz="8" w:space="0" w:color="000000"/>
              <w:right w:val="single" w:sz="8" w:space="0" w:color="000000"/>
            </w:tcBorders>
          </w:tcPr>
          <w:p>
            <w:pPr/>
          </w:p>
        </w:tc>
        <w:tc>
          <w:tcPr>
            <w:tcW w:w="1431" w:type="dxa"/>
            <w:tcBorders>
              <w:top w:val="single" w:sz="8" w:space="0" w:color="000000"/>
              <w:left w:val="single" w:sz="8" w:space="0" w:color="000000"/>
              <w:bottom w:val="single" w:sz="8" w:space="0" w:color="000000"/>
              <w:right w:val="single" w:sz="8" w:space="0" w:color="000000"/>
            </w:tcBorders>
          </w:tcPr>
          <w:p>
            <w:pPr/>
          </w:p>
        </w:tc>
        <w:tc>
          <w:tcPr>
            <w:tcW w:w="1430" w:type="dxa"/>
            <w:tcBorders>
              <w:top w:val="single" w:sz="8" w:space="0" w:color="000000"/>
              <w:left w:val="single" w:sz="8" w:space="0" w:color="000000"/>
              <w:bottom w:val="single" w:sz="8" w:space="0" w:color="000000"/>
              <w:right w:val="single" w:sz="8" w:space="0" w:color="000000"/>
            </w:tcBorders>
          </w:tcPr>
          <w:p>
            <w:pPr/>
          </w:p>
        </w:tc>
        <w:tc>
          <w:tcPr>
            <w:tcW w:w="1212"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268" w:type="dxa"/>
            <w:tcBorders>
              <w:top w:val="single" w:sz="8" w:space="0" w:color="000000"/>
              <w:left w:val="single" w:sz="4"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294" w:type="dxa"/>
            <w:tcBorders>
              <w:top w:val="single" w:sz="8" w:space="0" w:color="000000"/>
              <w:left w:val="single" w:sz="8" w:space="0" w:color="000000"/>
              <w:bottom w:val="single" w:sz="8" w:space="0" w:color="000000"/>
              <w:right w:val="single" w:sz="8" w:space="0" w:color="000000"/>
            </w:tcBorders>
          </w:tcPr>
          <w:p>
            <w:pPr/>
          </w:p>
        </w:tc>
        <w:tc>
          <w:tcPr>
            <w:tcW w:w="795" w:type="dxa"/>
            <w:tcBorders>
              <w:top w:val="single" w:sz="8" w:space="0" w:color="000000"/>
              <w:left w:val="single" w:sz="8" w:space="0" w:color="000000"/>
              <w:bottom w:val="single" w:sz="8" w:space="0" w:color="000000"/>
              <w:right w:val="single" w:sz="8" w:space="0" w:color="000000"/>
            </w:tcBorders>
          </w:tcPr>
          <w:p>
            <w:pPr/>
          </w:p>
        </w:tc>
        <w:tc>
          <w:tcPr>
            <w:tcW w:w="1008" w:type="dxa"/>
            <w:tcBorders>
              <w:top w:val="single" w:sz="8" w:space="0" w:color="000000"/>
              <w:left w:val="single" w:sz="8" w:space="0" w:color="000000"/>
              <w:bottom w:val="single" w:sz="8" w:space="0" w:color="000000"/>
              <w:right w:val="single" w:sz="8" w:space="0" w:color="000000"/>
            </w:tcBorders>
          </w:tcPr>
          <w:p>
            <w:pPr/>
          </w:p>
        </w:tc>
        <w:tc>
          <w:tcPr>
            <w:tcW w:w="1426" w:type="dxa"/>
            <w:tcBorders>
              <w:top w:val="single" w:sz="8" w:space="0" w:color="000000"/>
              <w:left w:val="single" w:sz="8" w:space="0" w:color="000000"/>
              <w:bottom w:val="single" w:sz="8" w:space="0" w:color="000000"/>
              <w:right w:val="single" w:sz="8" w:space="0" w:color="000000"/>
            </w:tcBorders>
          </w:tcPr>
          <w:p>
            <w:pPr/>
          </w:p>
        </w:tc>
        <w:tc>
          <w:tcPr>
            <w:tcW w:w="1431" w:type="dxa"/>
            <w:tcBorders>
              <w:top w:val="single" w:sz="8" w:space="0" w:color="000000"/>
              <w:left w:val="single" w:sz="8" w:space="0" w:color="000000"/>
              <w:bottom w:val="single" w:sz="8" w:space="0" w:color="000000"/>
              <w:right w:val="single" w:sz="8" w:space="0" w:color="000000"/>
            </w:tcBorders>
          </w:tcPr>
          <w:p>
            <w:pPr/>
          </w:p>
        </w:tc>
        <w:tc>
          <w:tcPr>
            <w:tcW w:w="1430" w:type="dxa"/>
            <w:tcBorders>
              <w:top w:val="single" w:sz="8" w:space="0" w:color="000000"/>
              <w:left w:val="single" w:sz="8" w:space="0" w:color="000000"/>
              <w:bottom w:val="single" w:sz="8" w:space="0" w:color="000000"/>
              <w:right w:val="single" w:sz="8" w:space="0" w:color="000000"/>
            </w:tcBorders>
          </w:tcPr>
          <w:p>
            <w:pPr/>
          </w:p>
        </w:tc>
        <w:tc>
          <w:tcPr>
            <w:tcW w:w="1212"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8" w:type="dxa"/>
            <w:tcBorders>
              <w:top w:val="single" w:sz="8" w:space="0" w:color="000000"/>
              <w:left w:val="single" w:sz="4"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294" w:type="dxa"/>
            <w:tcBorders>
              <w:top w:val="single" w:sz="8" w:space="0" w:color="000000"/>
              <w:left w:val="single" w:sz="8" w:space="0" w:color="000000"/>
              <w:bottom w:val="single" w:sz="8" w:space="0" w:color="000000"/>
              <w:right w:val="single" w:sz="8" w:space="0" w:color="000000"/>
            </w:tcBorders>
          </w:tcPr>
          <w:p>
            <w:pPr/>
          </w:p>
        </w:tc>
        <w:tc>
          <w:tcPr>
            <w:tcW w:w="795" w:type="dxa"/>
            <w:tcBorders>
              <w:top w:val="single" w:sz="8" w:space="0" w:color="000000"/>
              <w:left w:val="single" w:sz="8" w:space="0" w:color="000000"/>
              <w:bottom w:val="single" w:sz="8" w:space="0" w:color="000000"/>
              <w:right w:val="single" w:sz="8" w:space="0" w:color="000000"/>
            </w:tcBorders>
          </w:tcPr>
          <w:p>
            <w:pPr/>
          </w:p>
        </w:tc>
        <w:tc>
          <w:tcPr>
            <w:tcW w:w="1008" w:type="dxa"/>
            <w:tcBorders>
              <w:top w:val="single" w:sz="8" w:space="0" w:color="000000"/>
              <w:left w:val="single" w:sz="8" w:space="0" w:color="000000"/>
              <w:bottom w:val="single" w:sz="8" w:space="0" w:color="000000"/>
              <w:right w:val="single" w:sz="8" w:space="0" w:color="000000"/>
            </w:tcBorders>
          </w:tcPr>
          <w:p>
            <w:pPr/>
          </w:p>
        </w:tc>
        <w:tc>
          <w:tcPr>
            <w:tcW w:w="1426" w:type="dxa"/>
            <w:tcBorders>
              <w:top w:val="single" w:sz="8" w:space="0" w:color="000000"/>
              <w:left w:val="single" w:sz="8" w:space="0" w:color="000000"/>
              <w:bottom w:val="single" w:sz="8" w:space="0" w:color="000000"/>
              <w:right w:val="single" w:sz="8" w:space="0" w:color="000000"/>
            </w:tcBorders>
          </w:tcPr>
          <w:p>
            <w:pPr/>
          </w:p>
        </w:tc>
        <w:tc>
          <w:tcPr>
            <w:tcW w:w="1431" w:type="dxa"/>
            <w:tcBorders>
              <w:top w:val="single" w:sz="8" w:space="0" w:color="000000"/>
              <w:left w:val="single" w:sz="8" w:space="0" w:color="000000"/>
              <w:bottom w:val="single" w:sz="8" w:space="0" w:color="000000"/>
              <w:right w:val="single" w:sz="8" w:space="0" w:color="000000"/>
            </w:tcBorders>
          </w:tcPr>
          <w:p>
            <w:pPr/>
          </w:p>
        </w:tc>
        <w:tc>
          <w:tcPr>
            <w:tcW w:w="1430" w:type="dxa"/>
            <w:tcBorders>
              <w:top w:val="single" w:sz="8" w:space="0" w:color="000000"/>
              <w:left w:val="single" w:sz="8" w:space="0" w:color="000000"/>
              <w:bottom w:val="single" w:sz="8" w:space="0" w:color="000000"/>
              <w:right w:val="single" w:sz="8" w:space="0" w:color="000000"/>
            </w:tcBorders>
          </w:tcPr>
          <w:p>
            <w:pPr/>
          </w:p>
        </w:tc>
        <w:tc>
          <w:tcPr>
            <w:tcW w:w="1212"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三、普通股股份总数</w:t>
            </w:r>
          </w:p>
        </w:tc>
        <w:tc>
          <w:tcPr>
            <w:tcW w:w="126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9"/>
              <w:ind w:left="6" w:right="0"/>
              <w:jc w:val="center"/>
              <w:rPr>
                <w:rFonts w:ascii="Times New Roman" w:hAnsi="Times New Roman" w:cs="Times New Roman" w:eastAsia="Times New Roman" w:hint="default"/>
                <w:sz w:val="21"/>
                <w:szCs w:val="21"/>
              </w:rPr>
            </w:pPr>
            <w:r>
              <w:rPr>
                <w:rFonts w:ascii="Times New Roman"/>
                <w:sz w:val="21"/>
              </w:rPr>
              <w:t>407,097,800</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Times New Roman" w:hAnsi="Times New Roman" w:cs="Times New Roman" w:eastAsia="Times New Roman" w:hint="default"/>
                <w:sz w:val="21"/>
                <w:szCs w:val="21"/>
              </w:rPr>
            </w:pPr>
            <w:r>
              <w:rPr>
                <w:rFonts w:ascii="Times New Roman"/>
                <w:sz w:val="21"/>
              </w:rPr>
              <w:t>100</w:t>
            </w:r>
          </w:p>
        </w:tc>
        <w:tc>
          <w:tcPr>
            <w:tcW w:w="1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28" w:right="0"/>
              <w:jc w:val="center"/>
              <w:rPr>
                <w:rFonts w:ascii="Times New Roman" w:hAnsi="Times New Roman" w:cs="Times New Roman" w:eastAsia="Times New Roman" w:hint="default"/>
                <w:sz w:val="21"/>
                <w:szCs w:val="21"/>
              </w:rPr>
            </w:pPr>
            <w:r>
              <w:rPr>
                <w:rFonts w:ascii="Times New Roman"/>
                <w:sz w:val="21"/>
              </w:rPr>
              <w:t>120,159,152</w:t>
            </w:r>
          </w:p>
        </w:tc>
        <w:tc>
          <w:tcPr>
            <w:tcW w:w="795" w:type="dxa"/>
            <w:tcBorders>
              <w:top w:val="single" w:sz="8" w:space="0" w:color="000000"/>
              <w:left w:val="single" w:sz="8" w:space="0" w:color="000000"/>
              <w:bottom w:val="single" w:sz="8" w:space="0" w:color="000000"/>
              <w:right w:val="single" w:sz="8" w:space="0" w:color="000000"/>
            </w:tcBorders>
          </w:tcPr>
          <w:p>
            <w:pPr/>
          </w:p>
        </w:tc>
        <w:tc>
          <w:tcPr>
            <w:tcW w:w="1008" w:type="dxa"/>
            <w:tcBorders>
              <w:top w:val="single" w:sz="8" w:space="0" w:color="000000"/>
              <w:left w:val="single" w:sz="8" w:space="0" w:color="000000"/>
              <w:bottom w:val="single" w:sz="8" w:space="0" w:color="000000"/>
              <w:right w:val="single" w:sz="8" w:space="0" w:color="000000"/>
            </w:tcBorders>
          </w:tcPr>
          <w:p>
            <w:pP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5"/>
              <w:jc w:val="right"/>
              <w:rPr>
                <w:rFonts w:ascii="Times New Roman" w:hAnsi="Times New Roman" w:cs="Times New Roman" w:eastAsia="Times New Roman" w:hint="default"/>
                <w:sz w:val="21"/>
                <w:szCs w:val="21"/>
              </w:rPr>
            </w:pPr>
            <w:r>
              <w:rPr>
                <w:rFonts w:ascii="Times New Roman"/>
                <w:spacing w:val="-1"/>
                <w:sz w:val="21"/>
              </w:rPr>
              <w:t>-572,480</w:t>
            </w:r>
          </w:p>
        </w:tc>
        <w:tc>
          <w:tcPr>
            <w:tcW w:w="14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166" w:right="0"/>
              <w:jc w:val="center"/>
              <w:rPr>
                <w:rFonts w:ascii="Times New Roman" w:hAnsi="Times New Roman" w:cs="Times New Roman" w:eastAsia="Times New Roman" w:hint="default"/>
                <w:sz w:val="21"/>
                <w:szCs w:val="21"/>
              </w:rPr>
            </w:pPr>
            <w:r>
              <w:rPr>
                <w:rFonts w:ascii="Times New Roman"/>
                <w:sz w:val="21"/>
              </w:rPr>
              <w:t>119,586,672</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3"/>
              <w:jc w:val="right"/>
              <w:rPr>
                <w:rFonts w:ascii="Times New Roman" w:hAnsi="Times New Roman" w:cs="Times New Roman" w:eastAsia="Times New Roman" w:hint="default"/>
                <w:sz w:val="21"/>
                <w:szCs w:val="21"/>
              </w:rPr>
            </w:pPr>
            <w:r>
              <w:rPr>
                <w:rFonts w:ascii="Times New Roman"/>
                <w:spacing w:val="-1"/>
                <w:sz w:val="21"/>
              </w:rPr>
              <w:t>526,684,472</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5"/>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0" w:right="20" w:firstLine="0"/>
        <w:jc w:val="center"/>
        <w:rPr>
          <w:rFonts w:ascii="Times New Roman" w:hAnsi="Times New Roman" w:cs="Times New Roman" w:eastAsia="Times New Roman" w:hint="default"/>
          <w:sz w:val="18"/>
          <w:szCs w:val="18"/>
        </w:rPr>
      </w:pPr>
      <w:r>
        <w:rPr>
          <w:rFonts w:ascii="Times New Roman"/>
          <w:b/>
          <w:sz w:val="18"/>
        </w:rPr>
        <w:t>64 </w:t>
      </w:r>
      <w:r>
        <w:rPr>
          <w:rFonts w:ascii="Times New Roman"/>
          <w:sz w:val="18"/>
        </w:rPr>
        <w:t>/ </w:t>
      </w:r>
      <w:r>
        <w:rPr>
          <w:rFonts w:ascii="Times New Roman"/>
          <w:b/>
          <w:sz w:val="18"/>
        </w:rPr>
        <w:t>238</w:t>
      </w:r>
      <w:r>
        <w:rPr>
          <w:rFonts w:ascii="Times New Roman"/>
          <w:sz w:val="18"/>
        </w:rPr>
      </w:r>
    </w:p>
    <w:p>
      <w:pPr>
        <w:spacing w:after="0"/>
        <w:jc w:val="center"/>
        <w:rPr>
          <w:rFonts w:ascii="Times New Roman" w:hAnsi="Times New Roman" w:cs="Times New Roman" w:eastAsia="Times New Roman" w:hint="default"/>
          <w:sz w:val="18"/>
          <w:szCs w:val="18"/>
        </w:rPr>
        <w:sectPr>
          <w:type w:val="continuous"/>
          <w:pgSz w:w="16840" w:h="11910" w:orient="landscape"/>
          <w:pgMar w:top="1580" w:bottom="280" w:left="1220" w:right="1280"/>
        </w:sectPr>
      </w:pPr>
    </w:p>
    <w:p>
      <w:pPr>
        <w:spacing w:line="240" w:lineRule="auto" w:before="0"/>
        <w:rPr>
          <w:rFonts w:ascii="Times New Roman" w:hAnsi="Times New Roman" w:cs="Times New Roman" w:eastAsia="Times New Roman" w:hint="default"/>
          <w:b/>
          <w:bCs/>
          <w:sz w:val="20"/>
          <w:szCs w:val="20"/>
        </w:rPr>
      </w:pPr>
    </w:p>
    <w:p>
      <w:pPr>
        <w:spacing w:line="240" w:lineRule="auto" w:before="8"/>
        <w:rPr>
          <w:rFonts w:ascii="Times New Roman" w:hAnsi="Times New Roman" w:cs="Times New Roman" w:eastAsia="Times New Roman" w:hint="default"/>
          <w:b/>
          <w:bCs/>
          <w:sz w:val="15"/>
          <w:szCs w:val="15"/>
        </w:rPr>
      </w:pPr>
    </w:p>
    <w:p>
      <w:pPr>
        <w:pStyle w:val="Heading4"/>
        <w:spacing w:line="240" w:lineRule="auto"/>
        <w:ind w:right="2631"/>
        <w:jc w:val="left"/>
        <w:rPr>
          <w:b w:val="0"/>
          <w:bCs w:val="0"/>
        </w:rPr>
      </w:pPr>
      <w:r>
        <w:rPr>
          <w:rFonts w:ascii="Times New Roman" w:hAnsi="Times New Roman" w:cs="Times New Roman" w:eastAsia="Times New Roman" w:hint="default"/>
        </w:rPr>
        <w:t>2</w:t>
      </w:r>
      <w:r>
        <w:rPr/>
        <w:t>、</w:t>
      </w:r>
      <w:r>
        <w:rPr>
          <w:spacing w:val="-1"/>
        </w:rPr>
        <w:t> </w:t>
      </w:r>
      <w:r>
        <w:rPr/>
        <w:t>普通股股份变动情况说明</w:t>
      </w:r>
      <w:r>
        <w:rPr>
          <w:b w:val="0"/>
          <w:bCs w:val="0"/>
        </w:rPr>
      </w:r>
    </w:p>
    <w:p>
      <w:pPr>
        <w:pStyle w:val="BodyText"/>
        <w:tabs>
          <w:tab w:pos="1060" w:val="left" w:leader="none"/>
        </w:tabs>
        <w:spacing w:line="240" w:lineRule="auto" w:before="81"/>
        <w:ind w:right="2631"/>
        <w:jc w:val="left"/>
      </w:pPr>
      <w:r>
        <w:rPr>
          <w:spacing w:val="-1"/>
        </w:rPr>
        <w:t>√适用</w:t>
        <w:tab/>
      </w:r>
      <w:r>
        <w:rPr>
          <w:spacing w:val="-2"/>
        </w:rPr>
        <w:t>□不适用</w:t>
      </w:r>
    </w:p>
    <w:p>
      <w:pPr>
        <w:pStyle w:val="BodyText"/>
        <w:spacing w:line="240" w:lineRule="auto" w:before="92"/>
        <w:ind w:left="698" w:right="47"/>
        <w:jc w:val="left"/>
      </w:pPr>
      <w:r>
        <w:rPr>
          <w:rFonts w:ascii="Times New Roman" w:hAnsi="Times New Roman" w:cs="Times New Roman" w:eastAsia="Times New Roman" w:hint="default"/>
          <w:w w:val="100"/>
        </w:rPr>
        <w:t>2018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rPr>
        <w:t> </w:t>
      </w:r>
      <w:r>
        <w:rPr>
          <w:w w:val="100"/>
        </w:rPr>
        <w:t>日</w:t>
      </w:r>
      <w:r>
        <w:rPr>
          <w:spacing w:val="-104"/>
          <w:w w:val="100"/>
        </w:rPr>
        <w:t>，</w:t>
      </w:r>
      <w:r>
        <w:rPr>
          <w:spacing w:val="-3"/>
          <w:w w:val="100"/>
        </w:rPr>
        <w:t>控</w:t>
      </w:r>
      <w:r>
        <w:rPr>
          <w:w w:val="100"/>
        </w:rPr>
        <w:t>股</w:t>
      </w:r>
      <w:r>
        <w:rPr>
          <w:spacing w:val="-3"/>
          <w:w w:val="100"/>
        </w:rPr>
        <w:t>股</w:t>
      </w:r>
      <w:r>
        <w:rPr>
          <w:w w:val="100"/>
        </w:rPr>
        <w:t>东吴</w:t>
      </w:r>
      <w:r>
        <w:rPr>
          <w:spacing w:val="-3"/>
          <w:w w:val="100"/>
        </w:rPr>
        <w:t>志</w:t>
      </w:r>
      <w:r>
        <w:rPr>
          <w:w w:val="100"/>
        </w:rPr>
        <w:t>雄</w:t>
      </w:r>
      <w:r>
        <w:rPr>
          <w:spacing w:val="-3"/>
          <w:w w:val="100"/>
        </w:rPr>
        <w:t>先</w:t>
      </w:r>
      <w:r>
        <w:rPr>
          <w:w w:val="100"/>
        </w:rPr>
        <w:t>生</w:t>
      </w:r>
      <w:r>
        <w:rPr>
          <w:spacing w:val="-3"/>
          <w:w w:val="100"/>
        </w:rPr>
        <w:t>所</w:t>
      </w:r>
      <w:r>
        <w:rPr>
          <w:w w:val="100"/>
        </w:rPr>
        <w:t>持</w:t>
      </w:r>
      <w:r>
        <w:rPr>
          <w:spacing w:val="-3"/>
          <w:w w:val="100"/>
        </w:rPr>
        <w:t>有</w:t>
      </w:r>
      <w:r>
        <w:rPr>
          <w:w w:val="100"/>
        </w:rPr>
        <w:t>的</w:t>
      </w:r>
      <w:r>
        <w:rPr>
          <w:spacing w:val="-52"/>
        </w:rPr>
        <w:t> </w:t>
      </w:r>
      <w:r>
        <w:rPr>
          <w:rFonts w:ascii="Times New Roman" w:hAnsi="Times New Roman" w:cs="Times New Roman" w:eastAsia="Times New Roman" w:hint="default"/>
          <w:spacing w:val="-3"/>
          <w:w w:val="100"/>
        </w:rPr>
        <w:t>22</w:t>
      </w:r>
      <w:r>
        <w:rPr>
          <w:rFonts w:ascii="Times New Roman" w:hAnsi="Times New Roman" w:cs="Times New Roman" w:eastAsia="Times New Roman" w:hint="default"/>
          <w:w w:val="100"/>
        </w:rPr>
        <w:t>9,617,</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rPr>
        <w:t> </w:t>
      </w:r>
      <w:r>
        <w:rPr>
          <w:w w:val="100"/>
        </w:rPr>
        <w:t>股</w:t>
      </w:r>
      <w:r>
        <w:rPr>
          <w:spacing w:val="-3"/>
          <w:w w:val="100"/>
        </w:rPr>
        <w:t>公</w:t>
      </w:r>
      <w:r>
        <w:rPr>
          <w:w w:val="100"/>
        </w:rPr>
        <w:t>司</w:t>
      </w:r>
      <w:r>
        <w:rPr>
          <w:spacing w:val="-3"/>
          <w:w w:val="100"/>
        </w:rPr>
        <w:t>首</w:t>
      </w:r>
      <w:r>
        <w:rPr>
          <w:w w:val="100"/>
        </w:rPr>
        <w:t>次</w:t>
      </w:r>
      <w:r>
        <w:rPr>
          <w:spacing w:val="-3"/>
          <w:w w:val="100"/>
        </w:rPr>
        <w:t>公开</w:t>
      </w:r>
      <w:r>
        <w:rPr>
          <w:w w:val="100"/>
        </w:rPr>
        <w:t>发行</w:t>
      </w:r>
      <w:r>
        <w:rPr>
          <w:spacing w:val="-3"/>
          <w:w w:val="100"/>
        </w:rPr>
        <w:t>限</w:t>
      </w:r>
      <w:r>
        <w:rPr>
          <w:w w:val="100"/>
        </w:rPr>
        <w:t>售</w:t>
      </w:r>
      <w:r>
        <w:rPr>
          <w:spacing w:val="-106"/>
          <w:w w:val="100"/>
        </w:rPr>
        <w:t>股</w:t>
      </w:r>
      <w:r>
        <w:rPr>
          <w:w w:val="100"/>
        </w:rPr>
        <w:t>（公</w:t>
      </w:r>
    </w:p>
    <w:p>
      <w:pPr>
        <w:pStyle w:val="BodyText"/>
        <w:spacing w:line="240" w:lineRule="auto" w:before="69"/>
        <w:ind w:right="47"/>
        <w:jc w:val="left"/>
      </w:pPr>
      <w:r>
        <w:rPr>
          <w:w w:val="100"/>
        </w:rPr>
        <w:t>司</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spacing w:val="-3"/>
          <w:w w:val="100"/>
        </w:rPr>
        <w:t>年</w:t>
      </w:r>
      <w:r>
        <w:rPr>
          <w:w w:val="100"/>
        </w:rPr>
        <w:t>度</w:t>
      </w:r>
      <w:r>
        <w:rPr>
          <w:spacing w:val="-3"/>
          <w:w w:val="100"/>
        </w:rPr>
        <w:t>权</w:t>
      </w:r>
      <w:r>
        <w:rPr>
          <w:w w:val="100"/>
        </w:rPr>
        <w:t>益</w:t>
      </w:r>
      <w:r>
        <w:rPr>
          <w:spacing w:val="-3"/>
          <w:w w:val="100"/>
        </w:rPr>
        <w:t>分</w:t>
      </w:r>
      <w:r>
        <w:rPr>
          <w:w w:val="100"/>
        </w:rPr>
        <w:t>派</w:t>
      </w:r>
      <w:r>
        <w:rPr>
          <w:spacing w:val="-3"/>
          <w:w w:val="100"/>
        </w:rPr>
        <w:t>方案</w:t>
      </w:r>
      <w:r>
        <w:rPr>
          <w:w w:val="100"/>
        </w:rPr>
        <w:t>实施</w:t>
      </w:r>
      <w:r>
        <w:rPr>
          <w:spacing w:val="-3"/>
          <w:w w:val="100"/>
        </w:rPr>
        <w:t>完</w:t>
      </w:r>
      <w:r>
        <w:rPr>
          <w:w w:val="100"/>
        </w:rPr>
        <w:t>毕</w:t>
      </w:r>
      <w:r>
        <w:rPr>
          <w:spacing w:val="-3"/>
          <w:w w:val="100"/>
        </w:rPr>
        <w:t>后</w:t>
      </w:r>
      <w:r>
        <w:rPr>
          <w:spacing w:val="-94"/>
          <w:w w:val="100"/>
        </w:rPr>
        <w:t>，</w:t>
      </w:r>
      <w:r>
        <w:rPr>
          <w:w w:val="100"/>
        </w:rPr>
        <w:t>其</w:t>
      </w:r>
      <w:r>
        <w:rPr>
          <w:spacing w:val="-3"/>
          <w:w w:val="100"/>
        </w:rPr>
        <w:t>所</w:t>
      </w:r>
      <w:r>
        <w:rPr>
          <w:w w:val="100"/>
        </w:rPr>
        <w:t>持</w:t>
      </w:r>
      <w:r>
        <w:rPr>
          <w:spacing w:val="-3"/>
          <w:w w:val="100"/>
        </w:rPr>
        <w:t>有</w:t>
      </w:r>
      <w:r>
        <w:rPr>
          <w:w w:val="100"/>
        </w:rPr>
        <w:t>的</w:t>
      </w:r>
      <w:r>
        <w:rPr>
          <w:spacing w:val="-3"/>
          <w:w w:val="100"/>
        </w:rPr>
        <w:t>有</w:t>
      </w:r>
      <w:r>
        <w:rPr>
          <w:w w:val="100"/>
        </w:rPr>
        <w:t>限售</w:t>
      </w:r>
      <w:r>
        <w:rPr>
          <w:spacing w:val="-3"/>
          <w:w w:val="100"/>
        </w:rPr>
        <w:t>条</w:t>
      </w:r>
      <w:r>
        <w:rPr>
          <w:w w:val="100"/>
        </w:rPr>
        <w:t>件</w:t>
      </w:r>
      <w:r>
        <w:rPr>
          <w:spacing w:val="-3"/>
          <w:w w:val="100"/>
        </w:rPr>
        <w:t>流</w:t>
      </w:r>
      <w:r>
        <w:rPr>
          <w:w w:val="100"/>
        </w:rPr>
        <w:t>通</w:t>
      </w:r>
      <w:r>
        <w:rPr>
          <w:spacing w:val="-3"/>
          <w:w w:val="100"/>
        </w:rPr>
        <w:t>股</w:t>
      </w:r>
      <w:r>
        <w:rPr>
          <w:w w:val="100"/>
        </w:rPr>
        <w:t>数</w:t>
      </w:r>
      <w:r>
        <w:rPr>
          <w:spacing w:val="-3"/>
          <w:w w:val="100"/>
        </w:rPr>
        <w:t>量</w:t>
      </w:r>
      <w:r>
        <w:rPr>
          <w:w w:val="100"/>
        </w:rPr>
        <w:t>由</w:t>
      </w:r>
      <w:r>
        <w:rPr>
          <w:spacing w:val="-53"/>
        </w:rPr>
        <w:t> </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404,2</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股</w:t>
      </w:r>
      <w:r>
        <w:rPr>
          <w:w w:val="100"/>
        </w:rPr>
        <w:t>同</w:t>
      </w:r>
      <w:r>
        <w:rPr>
          <w:spacing w:val="-3"/>
          <w:w w:val="100"/>
        </w:rPr>
        <w:t>比</w:t>
      </w:r>
      <w:r>
        <w:rPr>
          <w:w w:val="100"/>
        </w:rPr>
        <w:t>例</w:t>
      </w:r>
    </w:p>
    <w:p>
      <w:pPr>
        <w:pStyle w:val="BodyText"/>
        <w:spacing w:line="240" w:lineRule="auto" w:before="69"/>
        <w:ind w:right="2631"/>
        <w:jc w:val="left"/>
      </w:pPr>
      <w:r>
        <w:rPr/>
        <w:t>增加至</w:t>
      </w:r>
      <w:r>
        <w:rPr>
          <w:spacing w:val="-54"/>
        </w:rPr>
        <w:t> </w:t>
      </w:r>
      <w:r>
        <w:rPr>
          <w:rFonts w:ascii="Times New Roman" w:hAnsi="Times New Roman" w:cs="Times New Roman" w:eastAsia="Times New Roman" w:hint="default"/>
        </w:rPr>
        <w:t>229,617,000</w:t>
      </w:r>
      <w:r>
        <w:rPr>
          <w:rFonts w:ascii="Times New Roman" w:hAnsi="Times New Roman" w:cs="Times New Roman" w:eastAsia="Times New Roman" w:hint="default"/>
          <w:spacing w:val="-4"/>
        </w:rPr>
        <w:t> </w:t>
      </w:r>
      <w:r>
        <w:rPr/>
        <w:t>股）锁定期满上市流通。</w:t>
      </w:r>
    </w:p>
    <w:p>
      <w:pPr>
        <w:pStyle w:val="BodyText"/>
        <w:spacing w:line="297" w:lineRule="auto" w:before="69"/>
        <w:ind w:right="129" w:firstLine="419"/>
        <w:jc w:val="both"/>
      </w:pPr>
      <w:r>
        <w:rPr/>
        <w:t>经中国证券监督管理委员会“证监许可</w:t>
      </w:r>
      <w:r>
        <w:rPr>
          <w:rFonts w:ascii="宋体" w:hAnsi="宋体" w:cs="宋体" w:eastAsia="宋体" w:hint="default"/>
        </w:rPr>
        <w:t>[</w:t>
      </w:r>
      <w:r>
        <w:rPr>
          <w:rFonts w:ascii="Times New Roman" w:hAnsi="Times New Roman" w:cs="Times New Roman" w:eastAsia="Times New Roman" w:hint="default"/>
        </w:rPr>
        <w:t>2017</w:t>
      </w:r>
      <w:r>
        <w:rPr>
          <w:rFonts w:ascii="宋体" w:hAnsi="宋体" w:cs="宋体" w:eastAsia="宋体" w:hint="default"/>
        </w:rPr>
        <w:t>]</w:t>
      </w:r>
      <w:r>
        <w:rPr>
          <w:rFonts w:ascii="Times New Roman" w:hAnsi="Times New Roman" w:cs="Times New Roman" w:eastAsia="Times New Roman" w:hint="default"/>
        </w:rPr>
        <w:t>2382</w:t>
      </w:r>
      <w:r>
        <w:rPr>
          <w:rFonts w:ascii="Times New Roman" w:hAnsi="Times New Roman" w:cs="Times New Roman" w:eastAsia="Times New Roman" w:hint="default"/>
          <w:spacing w:val="1"/>
        </w:rPr>
        <w:t> </w:t>
      </w:r>
      <w:r>
        <w:rPr>
          <w:spacing w:val="-3"/>
        </w:rPr>
        <w:t>号”核准，并经上海证券交易所同意，公</w:t>
      </w:r>
      <w:r>
        <w:rPr>
          <w:w w:val="100"/>
        </w:rPr>
        <w:t> </w:t>
      </w:r>
      <w:r>
        <w:rPr/>
        <w:t>司以股权登记日</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日总股本</w:t>
      </w:r>
      <w:r>
        <w:rPr>
          <w:spacing w:val="-48"/>
        </w:rPr>
        <w:t> </w:t>
      </w:r>
      <w:r>
        <w:rPr>
          <w:rFonts w:ascii="Times New Roman" w:hAnsi="Times New Roman" w:cs="Times New Roman" w:eastAsia="Times New Roman" w:hint="default"/>
        </w:rPr>
        <w:t>407,097,800</w:t>
      </w:r>
      <w:r>
        <w:rPr>
          <w:rFonts w:ascii="Times New Roman" w:hAnsi="Times New Roman" w:cs="Times New Roman" w:eastAsia="Times New Roman" w:hint="default"/>
          <w:spacing w:val="5"/>
        </w:rPr>
        <w:t> </w:t>
      </w:r>
      <w:r>
        <w:rPr/>
        <w:t>股为基数，按每</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股配售</w:t>
      </w:r>
      <w:r>
        <w:rPr>
          <w:spacing w:val="-47"/>
        </w:rPr>
        <w:t> </w:t>
      </w:r>
      <w:r>
        <w:rPr>
          <w:rFonts w:ascii="Times New Roman" w:hAnsi="Times New Roman" w:cs="Times New Roman" w:eastAsia="Times New Roman" w:hint="default"/>
        </w:rPr>
        <w:t>2.99803</w:t>
      </w:r>
      <w:r>
        <w:rPr>
          <w:rFonts w:ascii="Times New Roman" w:hAnsi="Times New Roman" w:cs="Times New Roman" w:eastAsia="Times New Roman" w:hint="default"/>
          <w:spacing w:val="5"/>
        </w:rPr>
        <w:t> </w:t>
      </w:r>
      <w:r>
        <w:rPr/>
        <w:t>股的比</w:t>
      </w:r>
      <w:r>
        <w:rPr>
          <w:w w:val="100"/>
        </w:rPr>
        <w:t> </w:t>
      </w:r>
      <w:r>
        <w:rPr/>
        <w:t>例向全体股东配售</w:t>
      </w:r>
      <w:r>
        <w:rPr>
          <w:spacing w:val="-49"/>
        </w:rPr>
        <w:t> </w:t>
      </w:r>
      <w:r>
        <w:rPr>
          <w:rFonts w:ascii="Times New Roman" w:hAnsi="Times New Roman" w:cs="Times New Roman" w:eastAsia="Times New Roman" w:hint="default"/>
        </w:rPr>
        <w:t>A</w:t>
      </w:r>
      <w:r>
        <w:rPr>
          <w:rFonts w:ascii="Times New Roman" w:hAnsi="Times New Roman" w:cs="Times New Roman" w:eastAsia="Times New Roman" w:hint="default"/>
          <w:spacing w:val="7"/>
        </w:rPr>
        <w:t> </w:t>
      </w:r>
      <w:r>
        <w:rPr>
          <w:spacing w:val="-3"/>
        </w:rPr>
        <w:t>股股份，可配售股份总数为</w:t>
      </w:r>
      <w:r>
        <w:rPr>
          <w:spacing w:val="-47"/>
        </w:rPr>
        <w:t> </w:t>
      </w:r>
      <w:r>
        <w:rPr>
          <w:rFonts w:ascii="Times New Roman" w:hAnsi="Times New Roman" w:cs="Times New Roman" w:eastAsia="Times New Roman" w:hint="default"/>
        </w:rPr>
        <w:t>122,049,456</w:t>
      </w:r>
      <w:r>
        <w:rPr>
          <w:rFonts w:ascii="Times New Roman" w:hAnsi="Times New Roman" w:cs="Times New Roman" w:eastAsia="Times New Roman" w:hint="default"/>
          <w:spacing w:val="4"/>
        </w:rPr>
        <w:t> </w:t>
      </w:r>
      <w:r>
        <w:rPr>
          <w:spacing w:val="-4"/>
        </w:rPr>
        <w:t>股，实际配售</w:t>
      </w:r>
      <w:r>
        <w:rPr>
          <w:spacing w:val="-47"/>
        </w:rPr>
        <w:t> </w:t>
      </w:r>
      <w:r>
        <w:rPr>
          <w:rFonts w:ascii="Times New Roman" w:hAnsi="Times New Roman" w:cs="Times New Roman" w:eastAsia="Times New Roman" w:hint="default"/>
        </w:rPr>
        <w:t>120,159,152</w:t>
      </w:r>
      <w:r>
        <w:rPr>
          <w:rFonts w:ascii="Times New Roman" w:hAnsi="Times New Roman" w:cs="Times New Roman" w:eastAsia="Times New Roman" w:hint="default"/>
          <w:spacing w:val="4"/>
        </w:rPr>
        <w:t> </w:t>
      </w:r>
      <w:r>
        <w:rPr>
          <w:spacing w:val="-5"/>
        </w:rPr>
        <w:t>股。本次</w:t>
      </w:r>
      <w:r>
        <w:rPr>
          <w:spacing w:val="-103"/>
        </w:rPr>
        <w:t> </w:t>
      </w:r>
      <w:r>
        <w:rPr>
          <w:spacing w:val="-103"/>
        </w:rPr>
      </w:r>
      <w:r>
        <w:rPr/>
        <w:t>配股发行已于</w:t>
      </w:r>
      <w:r>
        <w:rPr>
          <w:spacing w:val="-51"/>
        </w:rPr>
        <w:t> </w:t>
      </w:r>
      <w:r>
        <w:rPr>
          <w:rFonts w:ascii="Times New Roman" w:hAnsi="Times New Roman" w:cs="Times New Roman" w:eastAsia="Times New Roman" w:hint="default"/>
        </w:rPr>
        <w:t>2018 </w:t>
      </w:r>
      <w:r>
        <w:rPr/>
        <w:t>年</w:t>
      </w:r>
      <w:r>
        <w:rPr>
          <w:spacing w:val="-52"/>
        </w:rPr>
        <w:t> </w:t>
      </w:r>
      <w:r>
        <w:rPr>
          <w:rFonts w:ascii="Times New Roman" w:hAnsi="Times New Roman" w:cs="Times New Roman" w:eastAsia="Times New Roman" w:hint="default"/>
        </w:rPr>
        <w:t>3 </w:t>
      </w:r>
      <w:r>
        <w:rPr/>
        <w:t>月</w:t>
      </w:r>
      <w:r>
        <w:rPr>
          <w:spacing w:val="-50"/>
        </w:rPr>
        <w:t> </w:t>
      </w:r>
      <w:r>
        <w:rPr>
          <w:rFonts w:ascii="Times New Roman" w:hAnsi="Times New Roman" w:cs="Times New Roman" w:eastAsia="Times New Roman" w:hint="default"/>
        </w:rPr>
        <w:t>22 </w:t>
      </w:r>
      <w:r>
        <w:rPr/>
        <w:t>日在中国证券登记结算有限责任公司上海分公司完成办理股份登记</w:t>
      </w:r>
    </w:p>
    <w:p>
      <w:pPr>
        <w:pStyle w:val="BodyText"/>
        <w:spacing w:line="240" w:lineRule="auto" w:before="14"/>
        <w:ind w:right="47"/>
        <w:jc w:val="left"/>
        <w:rPr>
          <w:rFonts w:ascii="Times New Roman" w:hAnsi="Times New Roman" w:cs="Times New Roman" w:eastAsia="Times New Roman" w:hint="default"/>
        </w:rPr>
      </w:pPr>
      <w:r>
        <w:rPr>
          <w:w w:val="100"/>
        </w:rPr>
        <w:t>托管</w:t>
      </w:r>
      <w:r>
        <w:rPr>
          <w:spacing w:val="-3"/>
          <w:w w:val="100"/>
        </w:rPr>
        <w:t>手</w:t>
      </w:r>
      <w:r>
        <w:rPr>
          <w:w w:val="100"/>
        </w:rPr>
        <w:t>续</w:t>
      </w:r>
      <w:r>
        <w:rPr>
          <w:spacing w:val="-109"/>
          <w:w w:val="100"/>
        </w:rPr>
        <w:t>。</w:t>
      </w:r>
      <w:r>
        <w:rPr>
          <w:w w:val="100"/>
        </w:rPr>
        <w:t>本</w:t>
      </w:r>
      <w:r>
        <w:rPr>
          <w:spacing w:val="-3"/>
          <w:w w:val="100"/>
        </w:rPr>
        <w:t>次</w:t>
      </w:r>
      <w:r>
        <w:rPr>
          <w:w w:val="100"/>
        </w:rPr>
        <w:t>配</w:t>
      </w:r>
      <w:r>
        <w:rPr>
          <w:spacing w:val="-3"/>
          <w:w w:val="100"/>
        </w:rPr>
        <w:t>股</w:t>
      </w:r>
      <w:r>
        <w:rPr>
          <w:w w:val="100"/>
        </w:rPr>
        <w:t>发</w:t>
      </w:r>
      <w:r>
        <w:rPr>
          <w:spacing w:val="-3"/>
          <w:w w:val="100"/>
        </w:rPr>
        <w:t>行完</w:t>
      </w:r>
      <w:r>
        <w:rPr>
          <w:w w:val="100"/>
        </w:rPr>
        <w:t>成后</w:t>
      </w:r>
      <w:r>
        <w:rPr>
          <w:spacing w:val="-108"/>
          <w:w w:val="100"/>
        </w:rPr>
        <w:t>，</w:t>
      </w:r>
      <w:r>
        <w:rPr>
          <w:w w:val="100"/>
        </w:rPr>
        <w:t>公</w:t>
      </w:r>
      <w:r>
        <w:rPr>
          <w:spacing w:val="-3"/>
          <w:w w:val="100"/>
        </w:rPr>
        <w:t>司</w:t>
      </w:r>
      <w:r>
        <w:rPr>
          <w:w w:val="100"/>
        </w:rPr>
        <w:t>新</w:t>
      </w:r>
      <w:r>
        <w:rPr>
          <w:spacing w:val="-3"/>
          <w:w w:val="100"/>
        </w:rPr>
        <w:t>增</w:t>
      </w:r>
      <w:r>
        <w:rPr>
          <w:w w:val="100"/>
        </w:rPr>
        <w:t>股份数</w:t>
      </w:r>
      <w:r>
        <w:rPr>
          <w:spacing w:val="-69"/>
        </w:rPr>
        <w:t> </w:t>
      </w:r>
      <w:r>
        <w:rPr>
          <w:rFonts w:ascii="Times New Roman" w:hAnsi="Times New Roman" w:cs="Times New Roman" w:eastAsia="Times New Roman" w:hint="default"/>
          <w:w w:val="100"/>
        </w:rPr>
        <w:t>120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159,152</w:t>
      </w:r>
      <w:r>
        <w:rPr>
          <w:rFonts w:ascii="Times New Roman" w:hAnsi="Times New Roman" w:cs="Times New Roman" w:eastAsia="Times New Roman" w:hint="default"/>
          <w:spacing w:val="-17"/>
        </w:rPr>
        <w:t> </w:t>
      </w:r>
      <w:r>
        <w:rPr>
          <w:w w:val="100"/>
        </w:rPr>
        <w:t>股</w:t>
      </w:r>
      <w:r>
        <w:rPr>
          <w:spacing w:val="-106"/>
          <w:w w:val="100"/>
        </w:rPr>
        <w:t>，</w:t>
      </w:r>
      <w:r>
        <w:rPr>
          <w:spacing w:val="-3"/>
          <w:w w:val="100"/>
        </w:rPr>
        <w:t>变</w:t>
      </w:r>
      <w:r>
        <w:rPr>
          <w:w w:val="100"/>
        </w:rPr>
        <w:t>更</w:t>
      </w:r>
      <w:r>
        <w:rPr>
          <w:spacing w:val="-3"/>
          <w:w w:val="100"/>
        </w:rPr>
        <w:t>后</w:t>
      </w:r>
      <w:r>
        <w:rPr>
          <w:w w:val="100"/>
        </w:rPr>
        <w:t>的</w:t>
      </w:r>
      <w:r>
        <w:rPr>
          <w:spacing w:val="-3"/>
          <w:w w:val="100"/>
        </w:rPr>
        <w:t>股本</w:t>
      </w:r>
      <w:r>
        <w:rPr>
          <w:w w:val="100"/>
        </w:rPr>
        <w:t>总数为</w:t>
      </w:r>
      <w:r>
        <w:rPr>
          <w:spacing w:val="-67"/>
        </w:rPr>
        <w:t> </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27,2</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6,9</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2</w:t>
      </w:r>
    </w:p>
    <w:p>
      <w:pPr>
        <w:pStyle w:val="BodyText"/>
        <w:spacing w:line="240" w:lineRule="auto" w:before="69"/>
        <w:ind w:right="47"/>
        <w:jc w:val="left"/>
      </w:pPr>
      <w:r>
        <w:rPr/>
        <w:t>股；新增注册资本人民币</w:t>
      </w:r>
      <w:r>
        <w:rPr>
          <w:spacing w:val="-57"/>
        </w:rPr>
        <w:t> </w:t>
      </w:r>
      <w:r>
        <w:rPr>
          <w:rFonts w:ascii="Times New Roman" w:hAnsi="Times New Roman" w:cs="Times New Roman" w:eastAsia="Times New Roman" w:hint="default"/>
        </w:rPr>
        <w:t>120,159,152</w:t>
      </w:r>
      <w:r>
        <w:rPr>
          <w:rFonts w:ascii="Times New Roman" w:hAnsi="Times New Roman" w:cs="Times New Roman" w:eastAsia="Times New Roman" w:hint="default"/>
          <w:spacing w:val="-2"/>
        </w:rPr>
        <w:t> </w:t>
      </w:r>
      <w:r>
        <w:rPr/>
        <w:t>元，变更后的注册资本为人民币</w:t>
      </w:r>
      <w:r>
        <w:rPr>
          <w:spacing w:val="-55"/>
        </w:rPr>
        <w:t> </w:t>
      </w:r>
      <w:r>
        <w:rPr>
          <w:rFonts w:ascii="Times New Roman" w:hAnsi="Times New Roman" w:cs="Times New Roman" w:eastAsia="Times New Roman" w:hint="default"/>
        </w:rPr>
        <w:t>527,256,952</w:t>
      </w:r>
      <w:r>
        <w:rPr>
          <w:rFonts w:ascii="Times New Roman" w:hAnsi="Times New Roman" w:cs="Times New Roman" w:eastAsia="Times New Roman" w:hint="default"/>
          <w:spacing w:val="-2"/>
        </w:rPr>
        <w:t> </w:t>
      </w:r>
      <w:r>
        <w:rPr>
          <w:spacing w:val="-3"/>
        </w:rPr>
        <w:t>元。</w:t>
      </w:r>
      <w:r>
        <w:rPr/>
      </w:r>
    </w:p>
    <w:p>
      <w:pPr>
        <w:pStyle w:val="BodyText"/>
        <w:spacing w:line="240" w:lineRule="auto" w:before="69"/>
        <w:ind w:left="638" w:right="47"/>
        <w:jc w:val="left"/>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17  </w:t>
      </w:r>
      <w:r>
        <w:rPr>
          <w:rFonts w:ascii="Times New Roman" w:hAnsi="Times New Roman" w:cs="Times New Roman" w:eastAsia="Times New Roman" w:hint="default"/>
          <w:spacing w:val="7"/>
        </w:rPr>
        <w:t> </w:t>
      </w:r>
      <w:r>
        <w:rPr>
          <w:spacing w:val="-5"/>
        </w:rPr>
        <w:t>日，公司收到《中国证券登记结算有限责任公司过户登记确认书》，公司</w:t>
      </w:r>
    </w:p>
    <w:p>
      <w:pPr>
        <w:pStyle w:val="BodyText"/>
        <w:spacing w:line="240" w:lineRule="auto" w:before="69"/>
        <w:ind w:right="47"/>
        <w:jc w:val="left"/>
      </w:pPr>
      <w:r>
        <w:rPr>
          <w:w w:val="100"/>
        </w:rPr>
        <w:t>限制</w:t>
      </w:r>
      <w:r>
        <w:rPr>
          <w:spacing w:val="-3"/>
          <w:w w:val="100"/>
        </w:rPr>
        <w:t>性</w:t>
      </w:r>
      <w:r>
        <w:rPr>
          <w:w w:val="100"/>
        </w:rPr>
        <w:t>股</w:t>
      </w:r>
      <w:r>
        <w:rPr>
          <w:spacing w:val="-3"/>
          <w:w w:val="100"/>
        </w:rPr>
        <w:t>票</w:t>
      </w:r>
      <w:r>
        <w:rPr>
          <w:w w:val="100"/>
        </w:rPr>
        <w:t>激</w:t>
      </w:r>
      <w:r>
        <w:rPr>
          <w:spacing w:val="-3"/>
          <w:w w:val="100"/>
        </w:rPr>
        <w:t>励</w:t>
      </w:r>
      <w:r>
        <w:rPr>
          <w:w w:val="100"/>
        </w:rPr>
        <w:t>计</w:t>
      </w:r>
      <w:r>
        <w:rPr>
          <w:spacing w:val="-3"/>
          <w:w w:val="100"/>
        </w:rPr>
        <w:t>划</w:t>
      </w:r>
      <w:r>
        <w:rPr>
          <w:w w:val="100"/>
        </w:rPr>
        <w:t>首</w:t>
      </w:r>
      <w:r>
        <w:rPr>
          <w:spacing w:val="-3"/>
          <w:w w:val="100"/>
        </w:rPr>
        <w:t>次</w:t>
      </w:r>
      <w:r>
        <w:rPr>
          <w:w w:val="100"/>
        </w:rPr>
        <w:t>授予</w:t>
      </w:r>
      <w:r>
        <w:rPr>
          <w:spacing w:val="-3"/>
          <w:w w:val="100"/>
        </w:rPr>
        <w:t>或</w:t>
      </w:r>
      <w:r>
        <w:rPr>
          <w:w w:val="100"/>
        </w:rPr>
        <w:t>预</w:t>
      </w:r>
      <w:r>
        <w:rPr>
          <w:spacing w:val="-3"/>
          <w:w w:val="100"/>
        </w:rPr>
        <w:t>留</w:t>
      </w:r>
      <w:r>
        <w:rPr>
          <w:w w:val="100"/>
        </w:rPr>
        <w:t>授</w:t>
      </w:r>
      <w:r>
        <w:rPr>
          <w:spacing w:val="-3"/>
          <w:w w:val="100"/>
        </w:rPr>
        <w:t>予</w:t>
      </w:r>
      <w:r>
        <w:rPr>
          <w:w w:val="100"/>
        </w:rPr>
        <w:t>的</w:t>
      </w:r>
      <w:r>
        <w:rPr>
          <w:spacing w:val="-67"/>
        </w:rPr>
        <w:t> </w:t>
      </w:r>
      <w:r>
        <w:rPr>
          <w:rFonts w:ascii="Times New Roman" w:hAnsi="Times New Roman" w:cs="Times New Roman" w:eastAsia="Times New Roman" w:hint="default"/>
          <w:w w:val="100"/>
        </w:rPr>
        <w:t>168</w:t>
      </w:r>
      <w:r>
        <w:rPr>
          <w:rFonts w:ascii="Times New Roman" w:hAnsi="Times New Roman" w:cs="Times New Roman" w:eastAsia="Times New Roman" w:hint="default"/>
          <w:spacing w:val="-15"/>
        </w:rPr>
        <w:t> </w:t>
      </w:r>
      <w:r>
        <w:rPr>
          <w:spacing w:val="-3"/>
          <w:w w:val="100"/>
        </w:rPr>
        <w:t>位</w:t>
      </w:r>
      <w:r>
        <w:rPr>
          <w:w w:val="100"/>
        </w:rPr>
        <w:t>激励</w:t>
      </w:r>
      <w:r>
        <w:rPr>
          <w:spacing w:val="-3"/>
          <w:w w:val="100"/>
        </w:rPr>
        <w:t>对</w:t>
      </w:r>
      <w:r>
        <w:rPr>
          <w:w w:val="100"/>
        </w:rPr>
        <w:t>象</w:t>
      </w:r>
      <w:r>
        <w:rPr>
          <w:spacing w:val="-3"/>
          <w:w w:val="100"/>
        </w:rPr>
        <w:t>中</w:t>
      </w:r>
      <w:r>
        <w:rPr>
          <w:spacing w:val="-106"/>
          <w:w w:val="100"/>
        </w:rPr>
        <w:t>，</w:t>
      </w:r>
      <w:r>
        <w:rPr>
          <w:spacing w:val="-3"/>
          <w:w w:val="100"/>
        </w:rPr>
        <w:t>已</w:t>
      </w:r>
      <w:r>
        <w:rPr>
          <w:w w:val="100"/>
        </w:rPr>
        <w:t>获</w:t>
      </w:r>
      <w:r>
        <w:rPr>
          <w:spacing w:val="-3"/>
          <w:w w:val="100"/>
        </w:rPr>
        <w:t>授</w:t>
      </w:r>
      <w:r>
        <w:rPr>
          <w:w w:val="100"/>
        </w:rPr>
        <w:t>但</w:t>
      </w:r>
      <w:r>
        <w:rPr>
          <w:spacing w:val="-3"/>
          <w:w w:val="100"/>
        </w:rPr>
        <w:t>不具</w:t>
      </w:r>
      <w:r>
        <w:rPr>
          <w:w w:val="100"/>
        </w:rPr>
        <w:t>备解</w:t>
      </w:r>
      <w:r>
        <w:rPr>
          <w:spacing w:val="-3"/>
          <w:w w:val="100"/>
        </w:rPr>
        <w:t>锁</w:t>
      </w:r>
      <w:r>
        <w:rPr>
          <w:w w:val="100"/>
        </w:rPr>
        <w:t>条</w:t>
      </w:r>
      <w:r>
        <w:rPr>
          <w:spacing w:val="-3"/>
          <w:w w:val="100"/>
        </w:rPr>
        <w:t>件</w:t>
      </w:r>
      <w:r>
        <w:rPr>
          <w:w w:val="100"/>
        </w:rPr>
        <w:t>的</w:t>
      </w:r>
      <w:r>
        <w:rPr>
          <w:spacing w:val="-67"/>
        </w:rPr>
        <w:t> </w:t>
      </w:r>
      <w:r>
        <w:rPr>
          <w:rFonts w:ascii="Times New Roman" w:hAnsi="Times New Roman" w:cs="Times New Roman" w:eastAsia="Times New Roman" w:hint="default"/>
          <w:w w:val="100"/>
        </w:rPr>
        <w:t>28</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名</w:t>
      </w:r>
    </w:p>
    <w:p>
      <w:pPr>
        <w:pStyle w:val="BodyText"/>
        <w:spacing w:line="240" w:lineRule="auto" w:before="69"/>
        <w:ind w:right="47"/>
        <w:jc w:val="left"/>
      </w:pPr>
      <w:r>
        <w:rPr/>
        <w:t>激励对象所持有的共计 </w:t>
      </w:r>
      <w:r>
        <w:rPr>
          <w:rFonts w:ascii="Times New Roman" w:hAnsi="Times New Roman" w:cs="Times New Roman" w:eastAsia="Times New Roman" w:hint="default"/>
        </w:rPr>
        <w:t>572,480 </w:t>
      </w:r>
      <w:r>
        <w:rPr>
          <w:rFonts w:ascii="Times New Roman" w:hAnsi="Times New Roman" w:cs="Times New Roman" w:eastAsia="Times New Roman" w:hint="default"/>
          <w:spacing w:val="36"/>
        </w:rPr>
        <w:t> </w:t>
      </w:r>
      <w:r>
        <w:rPr>
          <w:spacing w:val="-3"/>
        </w:rPr>
        <w:t>股限制性股票，已全部过户至公司回购专用证券账户。公司已于</w:t>
      </w:r>
    </w:p>
    <w:p>
      <w:pPr>
        <w:pStyle w:val="BodyText"/>
        <w:spacing w:line="240" w:lineRule="auto" w:before="69"/>
        <w:ind w:right="47"/>
        <w:jc w:val="left"/>
        <w:rPr>
          <w:rFonts w:ascii="Times New Roman" w:hAnsi="Times New Roman" w:cs="Times New Roman" w:eastAsia="Times New Roman" w:hint="default"/>
        </w:rPr>
      </w:pPr>
      <w:r>
        <w:rPr>
          <w:rFonts w:ascii="Times New Roman" w:hAnsi="Times New Roman" w:cs="Times New Roman" w:eastAsia="Times New Roman" w:hint="default"/>
          <w:w w:val="100"/>
        </w:rPr>
        <w:t>2018</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年</w:t>
      </w:r>
      <w:r>
        <w:rPr/>
        <w:t> </w:t>
      </w:r>
      <w:r>
        <w:rPr>
          <w:rFonts w:ascii="Times New Roman" w:hAnsi="Times New Roman" w:cs="Times New Roman" w:eastAsia="Times New Roman" w:hint="default"/>
          <w:w w:val="100"/>
        </w:rPr>
        <w:t>12</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月</w:t>
      </w:r>
      <w:r>
        <w:rPr>
          <w:spacing w:val="-2"/>
        </w:rPr>
        <w:t> </w:t>
      </w:r>
      <w:r>
        <w:rPr>
          <w:rFonts w:ascii="Times New Roman" w:hAnsi="Times New Roman" w:cs="Times New Roman" w:eastAsia="Times New Roman" w:hint="default"/>
          <w:w w:val="100"/>
        </w:rPr>
        <w:t>18</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日</w:t>
      </w:r>
      <w:r>
        <w:rPr>
          <w:spacing w:val="-3"/>
          <w:w w:val="100"/>
        </w:rPr>
        <w:t>注</w:t>
      </w:r>
      <w:r>
        <w:rPr>
          <w:spacing w:val="-2"/>
          <w:w w:val="100"/>
        </w:rPr>
        <w:t>销</w:t>
      </w:r>
      <w:r>
        <w:rPr>
          <w:w w:val="100"/>
        </w:rPr>
        <w:t>上述</w:t>
      </w:r>
      <w:r>
        <w:rPr>
          <w:spacing w:val="-3"/>
          <w:w w:val="100"/>
        </w:rPr>
        <w:t>回</w:t>
      </w:r>
      <w:r>
        <w:rPr>
          <w:w w:val="100"/>
        </w:rPr>
        <w:t>购</w:t>
      </w:r>
      <w:r>
        <w:rPr>
          <w:spacing w:val="-3"/>
          <w:w w:val="100"/>
        </w:rPr>
        <w:t>股</w:t>
      </w:r>
      <w:r>
        <w:rPr>
          <w:w w:val="100"/>
        </w:rPr>
        <w:t>份</w:t>
      </w:r>
      <w:r>
        <w:rPr>
          <w:spacing w:val="-53"/>
        </w:rPr>
        <w:t> </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72,4</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2"/>
          <w:w w:val="100"/>
        </w:rPr>
        <w:t>股</w:t>
      </w:r>
      <w:r>
        <w:rPr>
          <w:spacing w:val="-101"/>
          <w:w w:val="100"/>
        </w:rPr>
        <w:t>。</w:t>
      </w:r>
      <w:r>
        <w:rPr>
          <w:w w:val="100"/>
        </w:rPr>
        <w:t>本次</w:t>
      </w:r>
      <w:r>
        <w:rPr>
          <w:spacing w:val="-3"/>
          <w:w w:val="100"/>
        </w:rPr>
        <w:t>注</w:t>
      </w:r>
      <w:r>
        <w:rPr>
          <w:w w:val="100"/>
        </w:rPr>
        <w:t>销</w:t>
      </w:r>
      <w:r>
        <w:rPr>
          <w:spacing w:val="-3"/>
          <w:w w:val="100"/>
        </w:rPr>
        <w:t>完</w:t>
      </w:r>
      <w:r>
        <w:rPr>
          <w:w w:val="100"/>
        </w:rPr>
        <w:t>成</w:t>
      </w:r>
      <w:r>
        <w:rPr>
          <w:spacing w:val="-3"/>
          <w:w w:val="100"/>
        </w:rPr>
        <w:t>后</w:t>
      </w:r>
      <w:r>
        <w:rPr>
          <w:spacing w:val="-99"/>
          <w:w w:val="100"/>
        </w:rPr>
        <w:t>，</w:t>
      </w:r>
      <w:r>
        <w:rPr>
          <w:spacing w:val="-3"/>
          <w:w w:val="100"/>
        </w:rPr>
        <w:t>公</w:t>
      </w:r>
      <w:r>
        <w:rPr>
          <w:w w:val="100"/>
        </w:rPr>
        <w:t>司</w:t>
      </w:r>
      <w:r>
        <w:rPr>
          <w:spacing w:val="-3"/>
          <w:w w:val="100"/>
        </w:rPr>
        <w:t>总股</w:t>
      </w:r>
      <w:r>
        <w:rPr>
          <w:w w:val="100"/>
        </w:rPr>
        <w:t>本由</w:t>
      </w:r>
      <w:r>
        <w:rPr/>
        <w:t> </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27,</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56,9</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2</w:t>
      </w:r>
    </w:p>
    <w:p>
      <w:pPr>
        <w:pStyle w:val="BodyText"/>
        <w:spacing w:line="240" w:lineRule="auto" w:before="69"/>
        <w:ind w:right="47"/>
        <w:jc w:val="left"/>
      </w:pPr>
      <w:r>
        <w:rPr/>
        <w:t>股减少为 </w:t>
      </w:r>
      <w:r>
        <w:rPr>
          <w:rFonts w:ascii="Times New Roman" w:hAnsi="Times New Roman" w:cs="Times New Roman" w:eastAsia="Times New Roman" w:hint="default"/>
        </w:rPr>
        <w:t>526,684,472  </w:t>
      </w:r>
      <w:r>
        <w:rPr/>
        <w:t>股，注册资本由 </w:t>
      </w:r>
      <w:r>
        <w:rPr>
          <w:rFonts w:ascii="Times New Roman" w:hAnsi="Times New Roman" w:cs="Times New Roman" w:eastAsia="Times New Roman" w:hint="default"/>
        </w:rPr>
        <w:t>527,256,952  </w:t>
      </w:r>
      <w:r>
        <w:rPr/>
        <w:t>元减少为 </w:t>
      </w:r>
      <w:r>
        <w:rPr>
          <w:rFonts w:ascii="Times New Roman" w:hAnsi="Times New Roman" w:cs="Times New Roman" w:eastAsia="Times New Roman" w:hint="default"/>
        </w:rPr>
        <w:t>526,684,472</w:t>
      </w:r>
      <w:r>
        <w:rPr>
          <w:rFonts w:ascii="Times New Roman" w:hAnsi="Times New Roman" w:cs="Times New Roman" w:eastAsia="Times New Roman" w:hint="default"/>
          <w:spacing w:val="-9"/>
        </w:rPr>
        <w:t> </w:t>
      </w:r>
      <w:r>
        <w:rPr/>
        <w:t>元。</w:t>
      </w:r>
    </w:p>
    <w:p>
      <w:pPr>
        <w:pStyle w:val="Heading4"/>
        <w:spacing w:line="240" w:lineRule="auto" w:before="74"/>
        <w:ind w:right="47"/>
        <w:jc w:val="left"/>
        <w:rPr>
          <w:b w:val="0"/>
          <w:bCs w:val="0"/>
        </w:rPr>
      </w:pPr>
      <w:r>
        <w:rPr>
          <w:rFonts w:ascii="Times New Roman" w:hAnsi="Times New Roman" w:cs="Times New Roman" w:eastAsia="Times New Roman"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060" w:val="left" w:leader="none"/>
        </w:tabs>
        <w:spacing w:line="240" w:lineRule="auto" w:before="81"/>
        <w:ind w:right="2631"/>
        <w:jc w:val="left"/>
      </w:pPr>
      <w:r>
        <w:rPr>
          <w:spacing w:val="-1"/>
        </w:rPr>
        <w:t>√适用</w:t>
        <w:tab/>
      </w:r>
      <w:r>
        <w:rPr>
          <w:spacing w:val="-2"/>
        </w:rPr>
        <w:t>□不适用</w:t>
      </w:r>
    </w:p>
    <w:p>
      <w:pPr>
        <w:pStyle w:val="BodyText"/>
        <w:spacing w:line="240" w:lineRule="auto" w:before="92"/>
        <w:ind w:left="698" w:right="47"/>
        <w:jc w:val="left"/>
      </w:pPr>
      <w:r>
        <w:rPr>
          <w:spacing w:val="-7"/>
        </w:rPr>
        <w:t>本报告期，公司通过配股发行增加 </w:t>
      </w:r>
      <w:r>
        <w:rPr>
          <w:rFonts w:ascii="Times New Roman" w:hAnsi="Times New Roman" w:cs="Times New Roman" w:eastAsia="Times New Roman" w:hint="default"/>
        </w:rPr>
        <w:t>120,159,152 </w:t>
      </w:r>
      <w:r>
        <w:rPr>
          <w:spacing w:val="-7"/>
        </w:rPr>
        <w:t>股，通过股权激励回购注销股份 </w:t>
      </w:r>
      <w:r>
        <w:rPr>
          <w:rFonts w:ascii="Times New Roman" w:hAnsi="Times New Roman" w:cs="Times New Roman" w:eastAsia="Times New Roman" w:hint="default"/>
        </w:rPr>
        <w:t>572,480</w:t>
      </w:r>
      <w:r>
        <w:rPr>
          <w:rFonts w:ascii="Times New Roman" w:hAnsi="Times New Roman" w:cs="Times New Roman" w:eastAsia="Times New Roman" w:hint="default"/>
          <w:spacing w:val="1"/>
        </w:rPr>
        <w:t> </w:t>
      </w:r>
      <w:r>
        <w:rPr/>
        <w:t>股，</w:t>
      </w:r>
    </w:p>
    <w:p>
      <w:pPr>
        <w:pStyle w:val="BodyText"/>
        <w:spacing w:line="240" w:lineRule="auto" w:before="69"/>
        <w:ind w:right="47"/>
        <w:jc w:val="left"/>
      </w:pPr>
      <w:r>
        <w:rPr/>
        <w:t>变动前公司股本为 </w:t>
      </w:r>
      <w:r>
        <w:rPr>
          <w:rFonts w:ascii="Times New Roman" w:hAnsi="Times New Roman" w:cs="Times New Roman" w:eastAsia="Times New Roman" w:hint="default"/>
        </w:rPr>
        <w:t>407,097,800 </w:t>
      </w:r>
      <w:r>
        <w:rPr>
          <w:spacing w:val="-4"/>
        </w:rPr>
        <w:t>股，上述变动后，公司股本变更为 </w:t>
      </w:r>
      <w:r>
        <w:rPr>
          <w:rFonts w:ascii="Times New Roman" w:hAnsi="Times New Roman" w:cs="Times New Roman" w:eastAsia="Times New Roman" w:hint="default"/>
        </w:rPr>
        <w:t>526,684,472</w:t>
      </w:r>
      <w:r>
        <w:rPr>
          <w:rFonts w:ascii="Times New Roman" w:hAnsi="Times New Roman" w:cs="Times New Roman" w:eastAsia="Times New Roman" w:hint="default"/>
          <w:spacing w:val="-11"/>
        </w:rPr>
        <w:t> </w:t>
      </w:r>
      <w:r>
        <w:rPr>
          <w:spacing w:val="-4"/>
        </w:rPr>
        <w:t>股。上述股本变动</w:t>
      </w:r>
    </w:p>
    <w:p>
      <w:pPr>
        <w:pStyle w:val="BodyText"/>
        <w:spacing w:line="297" w:lineRule="auto" w:before="69"/>
        <w:ind w:right="47"/>
        <w:jc w:val="left"/>
      </w:pPr>
      <w:r>
        <w:rPr/>
        <w:t>致使公司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年度的基本每股收益及每股净资产等指标被摊薄。具体详见“会计数据和财务指</w:t>
      </w:r>
      <w:r>
        <w:rPr>
          <w:w w:val="100"/>
        </w:rPr>
        <w:t> </w:t>
      </w:r>
      <w:r>
        <w:rPr/>
        <w:t>标”。</w:t>
      </w:r>
    </w:p>
    <w:p>
      <w:pPr>
        <w:pStyle w:val="Heading4"/>
        <w:spacing w:line="240" w:lineRule="auto" w:before="39"/>
        <w:ind w:right="2631"/>
        <w:jc w:val="left"/>
        <w:rPr>
          <w:b w:val="0"/>
          <w:bCs w:val="0"/>
        </w:rPr>
      </w:pPr>
      <w:r>
        <w:rPr>
          <w:rFonts w:ascii="Times New Roman" w:hAnsi="Times New Roman" w:cs="Times New Roman" w:eastAsia="Times New Roman" w:hint="default"/>
        </w:rPr>
        <w:t>4</w:t>
      </w:r>
      <w:r>
        <w:rPr/>
        <w:t>、</w:t>
      </w:r>
      <w:r>
        <w:rPr>
          <w:spacing w:val="-3"/>
        </w:rPr>
        <w:t> </w:t>
      </w:r>
      <w:r>
        <w:rPr/>
        <w:t>公司认为必要或证券监管机构要求披露的其他内容</w:t>
      </w:r>
      <w:r>
        <w:rPr>
          <w:b w:val="0"/>
          <w:bCs w:val="0"/>
        </w:rPr>
      </w:r>
    </w:p>
    <w:p>
      <w:pPr>
        <w:pStyle w:val="BodyText"/>
        <w:tabs>
          <w:tab w:pos="1060" w:val="left" w:leader="none"/>
        </w:tabs>
        <w:spacing w:line="240" w:lineRule="auto" w:before="81"/>
        <w:ind w:right="2631"/>
        <w:jc w:val="left"/>
      </w:pPr>
      <w:r>
        <w:rPr>
          <w:spacing w:val="-1"/>
        </w:rPr>
        <w:t>□适用</w:t>
        <w:tab/>
      </w:r>
      <w:r>
        <w:rPr>
          <w:spacing w:val="-2"/>
        </w:rPr>
        <w:t>√不适用</w:t>
      </w:r>
    </w:p>
    <w:p>
      <w:pPr>
        <w:pStyle w:val="Heading4"/>
        <w:tabs>
          <w:tab w:pos="784" w:val="left" w:leader="none"/>
        </w:tabs>
        <w:spacing w:line="240" w:lineRule="auto" w:before="97"/>
        <w:ind w:right="2631"/>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right="2631"/>
        <w:jc w:val="left"/>
      </w:pPr>
      <w:r>
        <w:rPr/>
        <w:t>√适用</w:t>
      </w:r>
      <w:r>
        <w:rPr>
          <w:spacing w:val="-1"/>
        </w:rPr>
        <w:t> </w:t>
      </w:r>
      <w:r>
        <w:rPr/>
        <w:t>□不适用</w:t>
      </w:r>
    </w:p>
    <w:p>
      <w:pPr>
        <w:pStyle w:val="BodyText"/>
        <w:spacing w:line="240" w:lineRule="auto" w:before="37"/>
        <w:ind w:left="0" w:right="130"/>
        <w:jc w:val="right"/>
      </w:pPr>
      <w:r>
        <w:rPr/>
        <w:t>单位</w:t>
      </w:r>
      <w:r>
        <w:rPr>
          <w:rFonts w:ascii="宋体" w:hAnsi="宋体" w:cs="宋体" w:eastAsia="宋体" w:hint="default"/>
        </w:rPr>
        <w:t>:</w:t>
      </w:r>
      <w:r>
        <w:rPr>
          <w:rFonts w:ascii="宋体" w:hAnsi="宋体" w:cs="宋体" w:eastAsia="宋体" w:hint="default"/>
          <w:spacing w:val="2"/>
        </w:rPr>
        <w:t> </w:t>
      </w:r>
      <w:r>
        <w:rPr/>
        <w:t>股</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72"/>
        <w:gridCol w:w="1275"/>
        <w:gridCol w:w="1332"/>
        <w:gridCol w:w="1332"/>
        <w:gridCol w:w="1205"/>
        <w:gridCol w:w="1205"/>
        <w:gridCol w:w="1202"/>
      </w:tblGrid>
      <w:tr>
        <w:trPr>
          <w:trHeight w:val="637"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25" w:right="104" w:hanging="420"/>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5" w:right="132" w:hanging="212"/>
              <w:jc w:val="left"/>
              <w:rPr>
                <w:rFonts w:ascii="宋体" w:hAnsi="宋体" w:cs="宋体" w:eastAsia="宋体" w:hint="default"/>
                <w:sz w:val="21"/>
                <w:szCs w:val="21"/>
              </w:rPr>
            </w:pPr>
            <w:r>
              <w:rPr>
                <w:rFonts w:ascii="宋体" w:hAnsi="宋体" w:cs="宋体" w:eastAsia="宋体" w:hint="default"/>
                <w:sz w:val="21"/>
                <w:szCs w:val="21"/>
              </w:rPr>
              <w:t>本年解除限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5" w:right="132" w:hanging="212"/>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6" w:right="173" w:hanging="209"/>
              <w:jc w:val="left"/>
              <w:rPr>
                <w:rFonts w:ascii="宋体" w:hAnsi="宋体" w:cs="宋体" w:eastAsia="宋体" w:hint="default"/>
                <w:sz w:val="21"/>
                <w:szCs w:val="21"/>
              </w:rPr>
            </w:pPr>
            <w:r>
              <w:rPr>
                <w:rFonts w:ascii="宋体" w:hAnsi="宋体" w:cs="宋体" w:eastAsia="宋体" w:hint="default"/>
                <w:sz w:val="21"/>
                <w:szCs w:val="21"/>
              </w:rPr>
              <w:t>年末限售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3" w:right="173" w:hanging="209"/>
              <w:jc w:val="left"/>
              <w:rPr>
                <w:rFonts w:ascii="宋体" w:hAnsi="宋体" w:cs="宋体" w:eastAsia="宋体" w:hint="default"/>
                <w:sz w:val="21"/>
                <w:szCs w:val="21"/>
              </w:rPr>
            </w:pPr>
            <w:r>
              <w:rPr>
                <w:rFonts w:ascii="宋体" w:hAnsi="宋体" w:cs="宋体" w:eastAsia="宋体" w:hint="default"/>
                <w:sz w:val="21"/>
                <w:szCs w:val="21"/>
              </w:rPr>
              <w:t>解除限售</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63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229,617,000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229,617,000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4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公司股权激</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励计划首次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授予对象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4,022,112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1,687,356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2,334,756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125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公司股权激</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励计划预留</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部分授予对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525,000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252,500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272,500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22"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234,164,112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231,556,856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2,607,256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spacing w:after="0" w:line="262" w:lineRule="exact"/>
        <w:jc w:val="center"/>
        <w:rPr>
          <w:rFonts w:ascii="宋体" w:hAnsi="宋体" w:cs="宋体" w:eastAsia="宋体" w:hint="default"/>
          <w:sz w:val="21"/>
          <w:szCs w:val="21"/>
        </w:rPr>
        <w:sectPr>
          <w:footerReference w:type="default" r:id="rId27"/>
          <w:pgSz w:w="11910" w:h="16840"/>
          <w:pgMar w:footer="979" w:header="0" w:top="1120" w:bottom="1160" w:left="1580" w:right="1140"/>
          <w:pgNumType w:start="65"/>
        </w:sectPr>
      </w:pPr>
    </w:p>
    <w:p>
      <w:pPr>
        <w:spacing w:line="240" w:lineRule="auto" w:before="10"/>
        <w:rPr>
          <w:rFonts w:ascii="宋体" w:hAnsi="宋体" w:cs="宋体" w:eastAsia="宋体" w:hint="default"/>
          <w:sz w:val="26"/>
          <w:szCs w:val="26"/>
        </w:rPr>
      </w:pPr>
    </w:p>
    <w:p>
      <w:pPr>
        <w:pStyle w:val="BodyText"/>
        <w:spacing w:line="240" w:lineRule="auto" w:before="36"/>
        <w:ind w:left="518" w:right="0"/>
        <w:jc w:val="left"/>
      </w:pPr>
      <w:r>
        <w:rPr>
          <w:spacing w:val="-4"/>
        </w:rPr>
        <w:t>注：</w:t>
      </w:r>
      <w:r>
        <w:rPr>
          <w:rFonts w:ascii="Times New Roman" w:hAnsi="Times New Roman" w:cs="Times New Roman" w:eastAsia="Times New Roman" w:hint="default"/>
          <w:spacing w:val="-4"/>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18 </w:t>
      </w:r>
      <w:r>
        <w:rPr>
          <w:spacing w:val="-3"/>
        </w:rPr>
        <w:t>日，公司完成对限制性股票激励计划首次授予或预留授予的 </w:t>
      </w:r>
      <w:r>
        <w:rPr>
          <w:rFonts w:ascii="Times New Roman" w:hAnsi="Times New Roman" w:cs="Times New Roman" w:eastAsia="Times New Roman" w:hint="default"/>
        </w:rPr>
        <w:t>168</w:t>
      </w:r>
      <w:r>
        <w:rPr>
          <w:rFonts w:ascii="Times New Roman" w:hAnsi="Times New Roman" w:cs="Times New Roman" w:eastAsia="Times New Roman" w:hint="default"/>
          <w:spacing w:val="10"/>
        </w:rPr>
        <w:t> </w:t>
      </w:r>
      <w:r>
        <w:rPr/>
        <w:t>位激励对</w:t>
      </w:r>
    </w:p>
    <w:p>
      <w:pPr>
        <w:pStyle w:val="BodyText"/>
        <w:spacing w:line="320" w:lineRule="exact" w:before="10"/>
        <w:ind w:left="518" w:right="0"/>
        <w:jc w:val="left"/>
        <w:rPr>
          <w:sz w:val="24"/>
          <w:szCs w:val="24"/>
        </w:rPr>
      </w:pPr>
      <w:r>
        <w:rPr/>
        <w:t>象中，已获授但不具备解锁条件的 </w:t>
      </w:r>
      <w:r>
        <w:rPr>
          <w:rFonts w:ascii="Times New Roman" w:hAnsi="Times New Roman" w:cs="Times New Roman" w:eastAsia="Times New Roman" w:hint="default"/>
        </w:rPr>
        <w:t>28 </w:t>
      </w:r>
      <w:r>
        <w:rPr/>
        <w:t>名激励对象所持有的共计 </w:t>
      </w:r>
      <w:r>
        <w:rPr>
          <w:rFonts w:ascii="Times New Roman" w:hAnsi="Times New Roman" w:cs="Times New Roman" w:eastAsia="Times New Roman" w:hint="default"/>
        </w:rPr>
        <w:t>572,480</w:t>
      </w:r>
      <w:r>
        <w:rPr>
          <w:rFonts w:ascii="Times New Roman" w:hAnsi="Times New Roman" w:cs="Times New Roman" w:eastAsia="Times New Roman" w:hint="default"/>
          <w:spacing w:val="-8"/>
        </w:rPr>
        <w:t> </w:t>
      </w:r>
      <w:r>
        <w:rPr/>
        <w:t>股限制性股票的回购注</w:t>
      </w:r>
      <w:r>
        <w:rPr>
          <w:w w:val="100"/>
        </w:rPr>
        <w:t> </w:t>
      </w:r>
      <w:r>
        <w:rPr/>
        <w:t>销工作，限售股数相应减少</w:t>
      </w:r>
      <w:r>
        <w:rPr>
          <w:sz w:val="24"/>
          <w:szCs w:val="24"/>
        </w:rPr>
        <w:t>。</w:t>
      </w:r>
    </w:p>
    <w:p>
      <w:pPr>
        <w:pStyle w:val="Heading4"/>
        <w:spacing w:line="324" w:lineRule="auto" w:before="55"/>
        <w:ind w:left="518" w:right="653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40" w:lineRule="auto" w:before="23"/>
        <w:ind w:left="518" w:right="0"/>
        <w:jc w:val="left"/>
      </w:pPr>
      <w:r>
        <w:rPr/>
        <w:t>√适用</w:t>
      </w:r>
      <w:r>
        <w:rPr>
          <w:spacing w:val="-1"/>
        </w:rPr>
        <w:t> </w:t>
      </w:r>
      <w:r>
        <w:rPr/>
        <w:t>□不适用</w:t>
      </w:r>
    </w:p>
    <w:p>
      <w:pPr>
        <w:pStyle w:val="BodyText"/>
        <w:tabs>
          <w:tab w:pos="1051" w:val="left" w:leader="none"/>
        </w:tabs>
        <w:spacing w:line="240" w:lineRule="auto" w:before="37"/>
        <w:ind w:left="0" w:right="670"/>
        <w:jc w:val="right"/>
      </w:pPr>
      <w:r>
        <w:rPr>
          <w:spacing w:val="-1"/>
        </w:rPr>
        <w:t>单位：股</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702"/>
        <w:gridCol w:w="1983"/>
        <w:gridCol w:w="994"/>
        <w:gridCol w:w="1275"/>
        <w:gridCol w:w="1418"/>
        <w:gridCol w:w="1277"/>
        <w:gridCol w:w="1133"/>
      </w:tblGrid>
      <w:tr>
        <w:trPr>
          <w:trHeight w:val="9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316" w:right="213" w:hanging="104"/>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hanging="3"/>
              <w:jc w:val="center"/>
              <w:rPr>
                <w:rFonts w:ascii="宋体" w:hAnsi="宋体" w:cs="宋体" w:eastAsia="宋体" w:hint="default"/>
                <w:sz w:val="21"/>
                <w:szCs w:val="21"/>
              </w:rPr>
            </w:pPr>
            <w:r>
              <w:rPr>
                <w:rFonts w:ascii="宋体" w:hAnsi="宋体" w:cs="宋体" w:eastAsia="宋体" w:hint="default"/>
                <w:sz w:val="21"/>
                <w:szCs w:val="21"/>
              </w:rPr>
              <w:t>发行价</w:t>
            </w:r>
            <w:r>
              <w:rPr>
                <w:rFonts w:ascii="宋体" w:hAnsi="宋体" w:cs="宋体" w:eastAsia="宋体" w:hint="default"/>
                <w:w w:val="100"/>
                <w:sz w:val="21"/>
                <w:szCs w:val="21"/>
              </w:rPr>
              <w:t> </w:t>
            </w:r>
            <w:r>
              <w:rPr>
                <w:rFonts w:ascii="宋体" w:hAnsi="宋体" w:cs="宋体" w:eastAsia="宋体" w:hint="default"/>
                <w:spacing w:val="-17"/>
                <w:sz w:val="21"/>
                <w:szCs w:val="21"/>
              </w:rPr>
              <w:t>格（或利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317" w:right="103" w:hanging="209"/>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350" w:right="137" w:hanging="209"/>
              <w:jc w:val="left"/>
              <w:rPr>
                <w:rFonts w:ascii="宋体" w:hAnsi="宋体" w:cs="宋体" w:eastAsia="宋体" w:hint="default"/>
                <w:sz w:val="21"/>
                <w:szCs w:val="21"/>
              </w:rPr>
            </w:pPr>
            <w:r>
              <w:rPr>
                <w:rFonts w:ascii="宋体" w:hAnsi="宋体" w:cs="宋体" w:eastAsia="宋体" w:hint="default"/>
                <w:sz w:val="21"/>
                <w:szCs w:val="21"/>
              </w:rPr>
              <w:t>交易终止</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322" w:hRule="exact"/>
        </w:trPr>
        <w:tc>
          <w:tcPr>
            <w:tcW w:w="9782" w:type="dxa"/>
            <w:gridSpan w:val="7"/>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00" w:right="0"/>
              <w:jc w:val="left"/>
              <w:rPr>
                <w:rFonts w:ascii="宋体" w:hAnsi="宋体" w:cs="宋体" w:eastAsia="宋体" w:hint="default"/>
                <w:sz w:val="21"/>
                <w:szCs w:val="21"/>
              </w:rPr>
            </w:pPr>
            <w:r>
              <w:rPr>
                <w:rFonts w:ascii="宋体" w:hAnsi="宋体" w:cs="宋体" w:eastAsia="宋体" w:hint="default"/>
                <w:sz w:val="21"/>
                <w:szCs w:val="21"/>
              </w:rPr>
              <w:t>沪市</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19" w:right="0"/>
              <w:jc w:val="left"/>
              <w:rPr>
                <w:rFonts w:ascii="Times New Roman" w:hAnsi="Times New Roman" w:cs="Times New Roman" w:eastAsia="Times New Roman" w:hint="default"/>
                <w:sz w:val="21"/>
                <w:szCs w:val="21"/>
              </w:rPr>
            </w:pPr>
            <w:r>
              <w:rPr>
                <w:rFonts w:ascii="Times New Roman"/>
                <w:sz w:val="21"/>
              </w:rPr>
              <w:t>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120,159,152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3" w:right="0"/>
              <w:jc w:val="left"/>
              <w:rPr>
                <w:rFonts w:ascii="Times New Roman" w:hAnsi="Times New Roman" w:cs="Times New Roman" w:eastAsia="Times New Roman" w:hint="default"/>
                <w:sz w:val="21"/>
                <w:szCs w:val="21"/>
              </w:rPr>
            </w:pPr>
            <w:r>
              <w:rPr>
                <w:rFonts w:ascii="Times New Roman"/>
                <w:sz w:val="21"/>
              </w:rPr>
              <w:t>120,159,152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88"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2"/>
        <w:rPr>
          <w:rFonts w:ascii="宋体" w:hAnsi="宋体" w:cs="宋体" w:eastAsia="宋体" w:hint="default"/>
          <w:sz w:val="20"/>
          <w:szCs w:val="20"/>
        </w:rPr>
      </w:pPr>
    </w:p>
    <w:p>
      <w:pPr>
        <w:pStyle w:val="BodyText"/>
        <w:spacing w:line="240" w:lineRule="auto" w:before="36"/>
        <w:ind w:left="518" w:right="0"/>
        <w:jc w:val="left"/>
      </w:pPr>
      <w:r>
        <w:rPr/>
        <w:t>截至报告期内证券发行情况的说明（存续期内利率不同的债券，请分别说明）：</w:t>
      </w:r>
    </w:p>
    <w:p>
      <w:pPr>
        <w:pStyle w:val="BodyText"/>
        <w:tabs>
          <w:tab w:pos="1360" w:val="left" w:leader="none"/>
        </w:tabs>
        <w:spacing w:line="240" w:lineRule="auto" w:before="37"/>
        <w:ind w:left="518" w:right="0"/>
        <w:jc w:val="left"/>
      </w:pPr>
      <w:r>
        <w:rPr>
          <w:spacing w:val="-1"/>
        </w:rPr>
        <w:t>√适用</w:t>
        <w:tab/>
      </w:r>
      <w:r>
        <w:rPr>
          <w:spacing w:val="-2"/>
        </w:rPr>
        <w:t>□不适用</w:t>
      </w:r>
    </w:p>
    <w:p>
      <w:pPr>
        <w:pStyle w:val="BodyText"/>
        <w:spacing w:line="240" w:lineRule="auto" w:before="92"/>
        <w:ind w:left="938"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t>日，公司在中国证券登记结算有限责任公司完成办理配股发行股份登记托管</w:t>
      </w:r>
    </w:p>
    <w:p>
      <w:pPr>
        <w:spacing w:line="300" w:lineRule="auto" w:before="69"/>
        <w:ind w:left="518" w:right="0" w:firstLine="0"/>
        <w:jc w:val="left"/>
        <w:rPr>
          <w:rFonts w:ascii="宋体" w:hAnsi="宋体" w:cs="宋体" w:eastAsia="宋体" w:hint="default"/>
          <w:sz w:val="21"/>
          <w:szCs w:val="21"/>
        </w:rPr>
      </w:pPr>
      <w:r>
        <w:rPr>
          <w:rFonts w:ascii="宋体" w:hAnsi="宋体" w:cs="宋体" w:eastAsia="宋体" w:hint="default"/>
          <w:sz w:val="21"/>
          <w:szCs w:val="21"/>
        </w:rPr>
        <w:t>手续，公司总股本由</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407,097,800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股变更为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527,256,952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公司普通股股份总数及股东结构变动及公司资产和负债结构的变动情况</w:t>
      </w:r>
      <w:r>
        <w:rPr>
          <w:rFonts w:ascii="宋体" w:hAnsi="宋体" w:cs="宋体" w:eastAsia="宋体" w:hint="default"/>
          <w:spacing w:val="-1"/>
          <w:sz w:val="21"/>
          <w:szCs w:val="21"/>
        </w:rPr>
      </w:r>
    </w:p>
    <w:p>
      <w:pPr>
        <w:pStyle w:val="BodyText"/>
        <w:tabs>
          <w:tab w:pos="1360" w:val="left" w:leader="none"/>
        </w:tabs>
        <w:spacing w:line="240" w:lineRule="auto" w:before="44"/>
        <w:ind w:left="518" w:right="0"/>
        <w:jc w:val="left"/>
      </w:pPr>
      <w:r>
        <w:rPr>
          <w:spacing w:val="-1"/>
        </w:rPr>
        <w:t>√适用</w:t>
        <w:tab/>
      </w:r>
      <w:r>
        <w:rPr>
          <w:spacing w:val="-2"/>
        </w:rPr>
        <w:t>□不适用</w:t>
      </w:r>
    </w:p>
    <w:p>
      <w:pPr>
        <w:pStyle w:val="BodyText"/>
        <w:spacing w:line="240" w:lineRule="auto" w:before="92"/>
        <w:ind w:left="938"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t>日，公司在中国证券登记结算有限责任公司完成办理配股发行股份登记托管</w:t>
      </w:r>
    </w:p>
    <w:p>
      <w:pPr>
        <w:pStyle w:val="BodyText"/>
        <w:spacing w:line="240" w:lineRule="auto" w:before="69"/>
        <w:ind w:left="518" w:right="0"/>
        <w:jc w:val="left"/>
      </w:pPr>
      <w:r>
        <w:rPr/>
        <w:t>手续。公司总股本由 </w:t>
      </w:r>
      <w:r>
        <w:rPr>
          <w:rFonts w:ascii="Times New Roman" w:hAnsi="Times New Roman" w:cs="Times New Roman" w:eastAsia="Times New Roman" w:hint="default"/>
        </w:rPr>
        <w:t>407,097,800 </w:t>
      </w:r>
      <w:r>
        <w:rPr/>
        <w:t>股变更为 </w:t>
      </w:r>
      <w:r>
        <w:rPr>
          <w:rFonts w:ascii="Times New Roman" w:hAnsi="Times New Roman" w:cs="Times New Roman" w:eastAsia="Times New Roman" w:hint="default"/>
        </w:rPr>
        <w:t>527,256,952 </w:t>
      </w:r>
      <w:r>
        <w:rPr/>
        <w:t>股。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18 </w:t>
      </w:r>
      <w:r>
        <w:rPr>
          <w:rFonts w:ascii="Times New Roman" w:hAnsi="Times New Roman" w:cs="Times New Roman" w:eastAsia="Times New Roman" w:hint="default"/>
          <w:spacing w:val="6"/>
        </w:rPr>
        <w:t> </w:t>
      </w:r>
      <w:r>
        <w:rPr/>
        <w:t>日，公司完成对</w:t>
      </w:r>
    </w:p>
    <w:p>
      <w:pPr>
        <w:pStyle w:val="BodyText"/>
        <w:spacing w:line="240" w:lineRule="auto" w:before="69"/>
        <w:ind w:left="518" w:right="0"/>
        <w:jc w:val="left"/>
      </w:pPr>
      <w:r>
        <w:rPr>
          <w:w w:val="100"/>
        </w:rPr>
        <w:t>限制</w:t>
      </w:r>
      <w:r>
        <w:rPr>
          <w:spacing w:val="-3"/>
          <w:w w:val="100"/>
        </w:rPr>
        <w:t>性</w:t>
      </w:r>
      <w:r>
        <w:rPr>
          <w:w w:val="100"/>
        </w:rPr>
        <w:t>股</w:t>
      </w:r>
      <w:r>
        <w:rPr>
          <w:spacing w:val="-3"/>
          <w:w w:val="100"/>
        </w:rPr>
        <w:t>票</w:t>
      </w:r>
      <w:r>
        <w:rPr>
          <w:w w:val="100"/>
        </w:rPr>
        <w:t>激</w:t>
      </w:r>
      <w:r>
        <w:rPr>
          <w:spacing w:val="-3"/>
          <w:w w:val="100"/>
        </w:rPr>
        <w:t>励</w:t>
      </w:r>
      <w:r>
        <w:rPr>
          <w:w w:val="100"/>
        </w:rPr>
        <w:t>计</w:t>
      </w:r>
      <w:r>
        <w:rPr>
          <w:spacing w:val="-3"/>
          <w:w w:val="100"/>
        </w:rPr>
        <w:t>划</w:t>
      </w:r>
      <w:r>
        <w:rPr>
          <w:w w:val="100"/>
        </w:rPr>
        <w:t>首</w:t>
      </w:r>
      <w:r>
        <w:rPr>
          <w:spacing w:val="-3"/>
          <w:w w:val="100"/>
        </w:rPr>
        <w:t>次</w:t>
      </w:r>
      <w:r>
        <w:rPr>
          <w:w w:val="100"/>
        </w:rPr>
        <w:t>授予</w:t>
      </w:r>
      <w:r>
        <w:rPr>
          <w:spacing w:val="-3"/>
          <w:w w:val="100"/>
        </w:rPr>
        <w:t>或</w:t>
      </w:r>
      <w:r>
        <w:rPr>
          <w:w w:val="100"/>
        </w:rPr>
        <w:t>预</w:t>
      </w:r>
      <w:r>
        <w:rPr>
          <w:spacing w:val="-3"/>
          <w:w w:val="100"/>
        </w:rPr>
        <w:t>留</w:t>
      </w:r>
      <w:r>
        <w:rPr>
          <w:w w:val="100"/>
        </w:rPr>
        <w:t>授</w:t>
      </w:r>
      <w:r>
        <w:rPr>
          <w:spacing w:val="-3"/>
          <w:w w:val="100"/>
        </w:rPr>
        <w:t>予</w:t>
      </w:r>
      <w:r>
        <w:rPr>
          <w:w w:val="100"/>
        </w:rPr>
        <w:t>的</w:t>
      </w:r>
      <w:r>
        <w:rPr>
          <w:spacing w:val="-67"/>
        </w:rPr>
        <w:t> </w:t>
      </w:r>
      <w:r>
        <w:rPr>
          <w:rFonts w:ascii="Times New Roman" w:hAnsi="Times New Roman" w:cs="Times New Roman" w:eastAsia="Times New Roman" w:hint="default"/>
          <w:w w:val="100"/>
        </w:rPr>
        <w:t>168</w:t>
      </w:r>
      <w:r>
        <w:rPr>
          <w:rFonts w:ascii="Times New Roman" w:hAnsi="Times New Roman" w:cs="Times New Roman" w:eastAsia="Times New Roman" w:hint="default"/>
          <w:spacing w:val="-15"/>
        </w:rPr>
        <w:t> </w:t>
      </w:r>
      <w:r>
        <w:rPr>
          <w:spacing w:val="-3"/>
          <w:w w:val="100"/>
        </w:rPr>
        <w:t>位</w:t>
      </w:r>
      <w:r>
        <w:rPr>
          <w:w w:val="100"/>
        </w:rPr>
        <w:t>激励</w:t>
      </w:r>
      <w:r>
        <w:rPr>
          <w:spacing w:val="-3"/>
          <w:w w:val="100"/>
        </w:rPr>
        <w:t>对</w:t>
      </w:r>
      <w:r>
        <w:rPr>
          <w:w w:val="100"/>
        </w:rPr>
        <w:t>象</w:t>
      </w:r>
      <w:r>
        <w:rPr>
          <w:spacing w:val="-3"/>
          <w:w w:val="100"/>
        </w:rPr>
        <w:t>中</w:t>
      </w:r>
      <w:r>
        <w:rPr>
          <w:spacing w:val="-106"/>
          <w:w w:val="100"/>
        </w:rPr>
        <w:t>，</w:t>
      </w:r>
      <w:r>
        <w:rPr>
          <w:spacing w:val="-3"/>
          <w:w w:val="100"/>
        </w:rPr>
        <w:t>已</w:t>
      </w:r>
      <w:r>
        <w:rPr>
          <w:w w:val="100"/>
        </w:rPr>
        <w:t>获</w:t>
      </w:r>
      <w:r>
        <w:rPr>
          <w:spacing w:val="-3"/>
          <w:w w:val="100"/>
        </w:rPr>
        <w:t>授</w:t>
      </w:r>
      <w:r>
        <w:rPr>
          <w:w w:val="100"/>
        </w:rPr>
        <w:t>但</w:t>
      </w:r>
      <w:r>
        <w:rPr>
          <w:spacing w:val="-3"/>
          <w:w w:val="100"/>
        </w:rPr>
        <w:t>不具</w:t>
      </w:r>
      <w:r>
        <w:rPr>
          <w:w w:val="100"/>
        </w:rPr>
        <w:t>备解</w:t>
      </w:r>
      <w:r>
        <w:rPr>
          <w:spacing w:val="-3"/>
          <w:w w:val="100"/>
        </w:rPr>
        <w:t>锁</w:t>
      </w:r>
      <w:r>
        <w:rPr>
          <w:w w:val="100"/>
        </w:rPr>
        <w:t>条</w:t>
      </w:r>
      <w:r>
        <w:rPr>
          <w:spacing w:val="-3"/>
          <w:w w:val="100"/>
        </w:rPr>
        <w:t>件</w:t>
      </w:r>
      <w:r>
        <w:rPr>
          <w:w w:val="100"/>
        </w:rPr>
        <w:t>的</w:t>
      </w:r>
      <w:r>
        <w:rPr>
          <w:spacing w:val="-67"/>
        </w:rPr>
        <w:t> </w:t>
      </w:r>
      <w:r>
        <w:rPr>
          <w:rFonts w:ascii="Times New Roman" w:hAnsi="Times New Roman" w:cs="Times New Roman" w:eastAsia="Times New Roman" w:hint="default"/>
          <w:w w:val="100"/>
        </w:rPr>
        <w:t>28</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名</w:t>
      </w:r>
    </w:p>
    <w:p>
      <w:pPr>
        <w:pStyle w:val="BodyText"/>
        <w:spacing w:line="240" w:lineRule="auto" w:before="69"/>
        <w:ind w:left="518" w:right="0"/>
        <w:jc w:val="left"/>
      </w:pPr>
      <w:r>
        <w:rPr/>
        <w:t>激励对象所持有的共计 </w:t>
      </w:r>
      <w:r>
        <w:rPr>
          <w:rFonts w:ascii="Times New Roman" w:hAnsi="Times New Roman" w:cs="Times New Roman" w:eastAsia="Times New Roman" w:hint="default"/>
        </w:rPr>
        <w:t>572,480  </w:t>
      </w:r>
      <w:r>
        <w:rPr>
          <w:spacing w:val="-4"/>
        </w:rPr>
        <w:t>股限制性股票的回购注销工作。公司总股本由 </w:t>
      </w:r>
      <w:r>
        <w:rPr>
          <w:rFonts w:ascii="Times New Roman" w:hAnsi="Times New Roman" w:cs="Times New Roman" w:eastAsia="Times New Roman" w:hint="default"/>
        </w:rPr>
        <w:t>527,256,952 </w:t>
      </w:r>
      <w:r>
        <w:rPr>
          <w:rFonts w:ascii="Times New Roman" w:hAnsi="Times New Roman" w:cs="Times New Roman" w:eastAsia="Times New Roman" w:hint="default"/>
          <w:spacing w:val="36"/>
        </w:rPr>
        <w:t> </w:t>
      </w:r>
      <w:r>
        <w:rPr/>
        <w:t>股减</w:t>
      </w:r>
    </w:p>
    <w:p>
      <w:pPr>
        <w:pStyle w:val="BodyText"/>
        <w:spacing w:line="240" w:lineRule="auto" w:before="69"/>
        <w:ind w:left="518" w:right="0"/>
        <w:jc w:val="left"/>
      </w:pPr>
      <w:r>
        <w:rPr/>
        <w:t>少为 </w:t>
      </w:r>
      <w:r>
        <w:rPr>
          <w:rFonts w:ascii="Times New Roman" w:hAnsi="Times New Roman" w:cs="Times New Roman" w:eastAsia="Times New Roman" w:hint="default"/>
        </w:rPr>
        <w:t>526,684,472</w:t>
      </w:r>
      <w:r>
        <w:rPr>
          <w:rFonts w:ascii="Times New Roman" w:hAnsi="Times New Roman" w:cs="Times New Roman" w:eastAsia="Times New Roman" w:hint="default"/>
          <w:spacing w:val="-2"/>
        </w:rPr>
        <w:t> </w:t>
      </w:r>
      <w:r>
        <w:rPr/>
        <w:t>股。</w:t>
      </w:r>
    </w:p>
    <w:p>
      <w:pPr>
        <w:spacing w:line="240" w:lineRule="auto" w:before="7"/>
        <w:rPr>
          <w:rFonts w:ascii="宋体" w:hAnsi="宋体" w:cs="宋体" w:eastAsia="宋体" w:hint="default"/>
          <w:sz w:val="29"/>
          <w:szCs w:val="29"/>
        </w:rPr>
      </w:pPr>
    </w:p>
    <w:p>
      <w:pPr>
        <w:pStyle w:val="Heading4"/>
        <w:spacing w:line="240" w:lineRule="auto" w:before="0"/>
        <w:ind w:left="518"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97"/>
        <w:ind w:left="518" w:right="0"/>
        <w:jc w:val="left"/>
      </w:pPr>
      <w:r>
        <w:rPr/>
        <w:t>□适用</w:t>
      </w:r>
      <w:r>
        <w:rPr>
          <w:spacing w:val="-1"/>
        </w:rPr>
        <w:t> </w:t>
      </w:r>
      <w:r>
        <w:rPr/>
        <w:t>√不适用</w:t>
      </w:r>
    </w:p>
    <w:p>
      <w:pPr>
        <w:pStyle w:val="Heading4"/>
        <w:spacing w:line="240" w:lineRule="auto" w:before="97"/>
        <w:ind w:left="518" w:right="0"/>
        <w:jc w:val="left"/>
        <w:rPr>
          <w:b w:val="0"/>
          <w:bCs w:val="0"/>
        </w:rPr>
      </w:pPr>
      <w:r>
        <w:rPr/>
        <w:t>三、</w:t>
      </w:r>
      <w:r>
        <w:rPr>
          <w:spacing w:val="-80"/>
        </w:rPr>
        <w:t> </w:t>
      </w:r>
      <w:r>
        <w:rPr/>
        <w:t>股东和实际控制人情况</w:t>
      </w:r>
      <w:r>
        <w:rPr>
          <w:b w:val="0"/>
          <w:bCs w:val="0"/>
        </w:rPr>
      </w:r>
    </w:p>
    <w:p>
      <w:pPr>
        <w:pStyle w:val="Heading4"/>
        <w:spacing w:line="240" w:lineRule="auto" w:before="97"/>
        <w:ind w:left="5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405" w:type="dxa"/>
        <w:tblLayout w:type="fixed"/>
        <w:tblCellMar>
          <w:top w:w="0" w:type="dxa"/>
          <w:left w:w="0" w:type="dxa"/>
          <w:bottom w:w="0" w:type="dxa"/>
          <w:right w:w="0" w:type="dxa"/>
        </w:tblCellMar>
        <w:tblLook w:val="01E0"/>
      </w:tblPr>
      <w:tblGrid>
        <w:gridCol w:w="4957"/>
        <w:gridCol w:w="3867"/>
      </w:tblGrid>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29,209</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27,653</w:t>
            </w:r>
          </w:p>
        </w:tc>
      </w:tr>
      <w:tr>
        <w:trPr>
          <w:trHeight w:val="32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3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年度报告披露日前上一月末表决权恢复的优先股股</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东总数（户）</w:t>
            </w:r>
          </w:p>
        </w:tc>
        <w:tc>
          <w:tcPr>
            <w:tcW w:w="3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20" w:bottom="1160" w:left="1280" w:right="6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headerReference w:type="default" r:id="rId28"/>
          <w:footerReference w:type="default" r:id="rId29"/>
          <w:pgSz w:w="16840" w:h="11910" w:orient="landscape"/>
          <w:pgMar w:header="855" w:footer="980" w:top="1120" w:bottom="1160" w:left="1220" w:right="1300"/>
          <w:pgNumType w:start="67"/>
        </w:sectPr>
      </w:pPr>
    </w:p>
    <w:p>
      <w:pPr>
        <w:pStyle w:val="Heading4"/>
        <w:spacing w:line="240" w:lineRule="auto" w:before="196"/>
        <w:ind w:left="220"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6"/>
        <w:rPr>
          <w:rFonts w:ascii="宋体" w:hAnsi="宋体" w:cs="宋体" w:eastAsia="宋体" w:hint="default"/>
          <w:b/>
          <w:bCs/>
          <w:sz w:val="23"/>
          <w:szCs w:val="23"/>
        </w:rPr>
      </w:pPr>
    </w:p>
    <w:p>
      <w:pPr>
        <w:pStyle w:val="BodyText"/>
        <w:spacing w:line="240" w:lineRule="auto"/>
        <w:ind w:left="220" w:right="0"/>
        <w:jc w:val="left"/>
      </w:pPr>
      <w:r>
        <w:rPr/>
        <w:t>单位</w:t>
      </w:r>
      <w:r>
        <w:rPr>
          <w:rFonts w:ascii="宋体" w:hAnsi="宋体" w:cs="宋体" w:eastAsia="宋体" w:hint="default"/>
        </w:rPr>
        <w:t>:</w:t>
      </w:r>
      <w:r>
        <w:rPr/>
        <w:t>股</w:t>
      </w:r>
    </w:p>
    <w:p>
      <w:pPr>
        <w:spacing w:after="0" w:line="240" w:lineRule="auto"/>
        <w:jc w:val="left"/>
        <w:sectPr>
          <w:type w:val="continuous"/>
          <w:pgSz w:w="16840" w:h="11910" w:orient="landscape"/>
          <w:pgMar w:top="1580" w:bottom="280" w:left="1220" w:right="1300"/>
          <w:cols w:num="2" w:equalWidth="0">
            <w:col w:w="7815" w:space="5325"/>
            <w:col w:w="1180"/>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5415"/>
        <w:gridCol w:w="1274"/>
        <w:gridCol w:w="1275"/>
        <w:gridCol w:w="905"/>
        <w:gridCol w:w="701"/>
        <w:gridCol w:w="425"/>
        <w:gridCol w:w="853"/>
        <w:gridCol w:w="734"/>
        <w:gridCol w:w="530"/>
        <w:gridCol w:w="1978"/>
      </w:tblGrid>
      <w:tr>
        <w:trPr>
          <w:trHeight w:val="322" w:hRule="exact"/>
        </w:trPr>
        <w:tc>
          <w:tcPr>
            <w:tcW w:w="1409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322" w:hRule="exact"/>
        </w:trPr>
        <w:tc>
          <w:tcPr>
            <w:tcW w:w="5415" w:type="dxa"/>
            <w:vMerge w:val="restart"/>
            <w:tcBorders>
              <w:top w:val="single" w:sz="4" w:space="0" w:color="000000"/>
              <w:left w:val="single" w:sz="4" w:space="0" w:color="000000"/>
              <w:right w:val="single" w:sz="4" w:space="0" w:color="000000"/>
            </w:tcBorders>
          </w:tcPr>
          <w:p>
            <w:pPr>
              <w:pStyle w:val="TableParagraph"/>
              <w:spacing w:line="240" w:lineRule="auto" w:before="148"/>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274" w:type="dxa"/>
            <w:vMerge w:val="restart"/>
            <w:tcBorders>
              <w:top w:val="single" w:sz="4" w:space="0" w:color="000000"/>
              <w:left w:val="single" w:sz="4" w:space="0" w:color="000000"/>
              <w:right w:val="single" w:sz="4" w:space="0" w:color="000000"/>
            </w:tcBorders>
          </w:tcPr>
          <w:p>
            <w:pPr>
              <w:pStyle w:val="TableParagraph"/>
              <w:spacing w:line="273" w:lineRule="auto" w:before="148"/>
              <w:ind w:left="525" w:right="103"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275" w:type="dxa"/>
            <w:vMerge w:val="restart"/>
            <w:tcBorders>
              <w:top w:val="single" w:sz="4" w:space="0" w:color="000000"/>
              <w:left w:val="single" w:sz="4" w:space="0" w:color="000000"/>
              <w:right w:val="single" w:sz="4" w:space="0" w:color="000000"/>
            </w:tcBorders>
          </w:tcPr>
          <w:p>
            <w:pPr>
              <w:pStyle w:val="TableParagraph"/>
              <w:spacing w:line="273" w:lineRule="auto" w:before="148"/>
              <w:ind w:left="525" w:right="103" w:hanging="421"/>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905" w:type="dxa"/>
            <w:vMerge w:val="restart"/>
            <w:tcBorders>
              <w:top w:val="single" w:sz="4" w:space="0" w:color="000000"/>
              <w:left w:val="single" w:sz="4" w:space="0" w:color="000000"/>
              <w:right w:val="single" w:sz="4" w:space="0" w:color="000000"/>
            </w:tcBorders>
          </w:tcPr>
          <w:p>
            <w:pPr>
              <w:pStyle w:val="TableParagraph"/>
              <w:spacing w:line="273" w:lineRule="auto" w:before="148"/>
              <w:ind w:left="254" w:right="235" w:hanging="2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26" w:type="dxa"/>
            <w:gridSpan w:val="2"/>
            <w:vMerge w:val="restart"/>
            <w:tcBorders>
              <w:top w:val="single" w:sz="4" w:space="0" w:color="000000"/>
              <w:left w:val="single" w:sz="4" w:space="0" w:color="000000"/>
              <w:right w:val="single" w:sz="4" w:space="0" w:color="000000"/>
            </w:tcBorders>
          </w:tcPr>
          <w:p>
            <w:pPr>
              <w:pStyle w:val="TableParagraph"/>
              <w:spacing w:line="273" w:lineRule="auto"/>
              <w:ind w:left="136" w:right="134"/>
              <w:jc w:val="both"/>
              <w:rPr>
                <w:rFonts w:ascii="宋体" w:hAnsi="宋体" w:cs="宋体" w:eastAsia="宋体" w:hint="default"/>
                <w:sz w:val="21"/>
                <w:szCs w:val="21"/>
              </w:rPr>
            </w:pPr>
            <w:r>
              <w:rPr>
                <w:rFonts w:ascii="宋体" w:hAnsi="宋体" w:cs="宋体" w:eastAsia="宋体" w:hint="default"/>
                <w:sz w:val="21"/>
                <w:szCs w:val="21"/>
              </w:rPr>
              <w:t>持有有限</w:t>
            </w:r>
            <w:r>
              <w:rPr>
                <w:rFonts w:ascii="宋体" w:hAnsi="宋体" w:cs="宋体" w:eastAsia="宋体" w:hint="default"/>
                <w:w w:val="100"/>
                <w:sz w:val="21"/>
                <w:szCs w:val="21"/>
              </w:rPr>
              <w:t> </w:t>
            </w: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21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7"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978" w:type="dxa"/>
            <w:vMerge w:val="restart"/>
            <w:tcBorders>
              <w:top w:val="single" w:sz="4" w:space="0" w:color="000000"/>
              <w:left w:val="single" w:sz="4" w:space="0" w:color="000000"/>
              <w:right w:val="single" w:sz="4" w:space="0" w:color="000000"/>
            </w:tcBorders>
          </w:tcPr>
          <w:p>
            <w:pPr>
              <w:pStyle w:val="TableParagraph"/>
              <w:spacing w:line="273" w:lineRule="auto" w:before="148"/>
              <w:ind w:left="772" w:right="771"/>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p>
        </w:tc>
      </w:tr>
      <w:tr>
        <w:trPr>
          <w:trHeight w:val="634" w:hRule="exact"/>
        </w:trPr>
        <w:tc>
          <w:tcPr>
            <w:tcW w:w="541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905" w:type="dxa"/>
            <w:vMerge/>
            <w:tcBorders>
              <w:left w:val="single" w:sz="4" w:space="0" w:color="000000"/>
              <w:bottom w:val="single" w:sz="4" w:space="0" w:color="000000"/>
              <w:right w:val="single" w:sz="4" w:space="0" w:color="000000"/>
            </w:tcBorders>
          </w:tcPr>
          <w:p>
            <w:pPr/>
          </w:p>
        </w:tc>
        <w:tc>
          <w:tcPr>
            <w:tcW w:w="1126" w:type="dxa"/>
            <w:gridSpan w:val="2"/>
            <w:vMerge/>
            <w:tcBorders>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1" w:right="206"/>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978" w:type="dxa"/>
            <w:vMerge/>
            <w:tcBorders>
              <w:left w:val="single" w:sz="4" w:space="0" w:color="000000"/>
              <w:bottom w:val="single" w:sz="4" w:space="0" w:color="000000"/>
              <w:right w:val="single" w:sz="4" w:space="0" w:color="000000"/>
            </w:tcBorders>
          </w:tcPr>
          <w:p>
            <w:pPr/>
          </w:p>
        </w:tc>
      </w:tr>
      <w:tr>
        <w:trPr>
          <w:trHeight w:val="322"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68,959,786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298,976,786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56.77</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213,460,662</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324"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天津市凯信金鹏股权投资基金合伙企业（有限合伙）</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1,178,421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18,119,821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3.44</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5" w:type="dxa"/>
            <w:gridSpan w:val="2"/>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634"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中国人寿保险股份有限公司－传统－普通保险产品－</w:t>
            </w:r>
          </w:p>
          <w:p>
            <w:pPr>
              <w:pStyle w:val="TableParagraph"/>
              <w:spacing w:line="240" w:lineRule="auto" w:before="3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005L</w:t>
            </w:r>
            <w:r>
              <w:rPr>
                <w:rFonts w:ascii="宋体" w:hAnsi="宋体" w:cs="宋体" w:eastAsia="宋体" w:hint="default"/>
                <w:sz w:val="21"/>
                <w:szCs w:val="21"/>
              </w:rPr>
              <w:t>－</w:t>
            </w:r>
            <w:r>
              <w:rPr>
                <w:rFonts w:ascii="Times New Roman" w:hAnsi="Times New Roman" w:cs="Times New Roman" w:eastAsia="Times New Roman" w:hint="default"/>
                <w:sz w:val="21"/>
                <w:szCs w:val="21"/>
              </w:rPr>
              <w:t>CT001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沪</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8,034,421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8,034,421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1.53</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5" w:type="dxa"/>
            <w:gridSpan w:val="2"/>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634"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spacing w:val="3"/>
                <w:sz w:val="21"/>
                <w:szCs w:val="21"/>
              </w:rPr>
              <w:t>中国建设银行股份有限公司－华安幸福生活混合型证券</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投资基金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3,116,789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3,116,789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0.59</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5" w:type="dxa"/>
            <w:gridSpan w:val="2"/>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22"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颜雨声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1,951,869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2,525,169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0.48</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5" w:type="dxa"/>
            <w:gridSpan w:val="2"/>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322"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刘迪</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2,459,923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2,459,923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0.47</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5" w:type="dxa"/>
            <w:gridSpan w:val="2"/>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634"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spacing w:val="3"/>
                <w:sz w:val="21"/>
                <w:szCs w:val="21"/>
              </w:rPr>
              <w:t>交通银行股份有限公司－长信量化先锋混合型证券投资</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基金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2,142,048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2,142,048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0.41</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5" w:type="dxa"/>
            <w:gridSpan w:val="2"/>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24"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65" w:lineRule="exact"/>
              <w:ind w:left="103" w:right="0"/>
              <w:jc w:val="left"/>
              <w:rPr>
                <w:rFonts w:ascii="宋体" w:hAnsi="宋体" w:cs="宋体" w:eastAsia="宋体" w:hint="default"/>
                <w:sz w:val="21"/>
                <w:szCs w:val="21"/>
              </w:rPr>
            </w:pPr>
            <w:r>
              <w:rPr>
                <w:rFonts w:ascii="宋体"/>
                <w:sz w:val="21"/>
              </w:rPr>
              <w:t>UBS</w:t>
              <w:tab/>
              <w:t>AG</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2,018,673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2,018,673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0.38</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5" w:type="dxa"/>
            <w:gridSpan w:val="2"/>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境外法人</w:t>
            </w:r>
          </w:p>
        </w:tc>
      </w:tr>
      <w:tr>
        <w:trPr>
          <w:trHeight w:val="634"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spacing w:val="3"/>
                <w:sz w:val="21"/>
                <w:szCs w:val="21"/>
              </w:rPr>
              <w:t>中国工商银行股份有限公司－华安逆向策略混合型证券</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投资基金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1,821,690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1,821,690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0.35</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5" w:type="dxa"/>
            <w:gridSpan w:val="2"/>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634"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spacing w:val="3"/>
                <w:sz w:val="21"/>
                <w:szCs w:val="21"/>
              </w:rPr>
              <w:t>中国农业银行股份有限公司－新华优选成长混合型证券</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投资基金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1,699,852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1,699,852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0.32</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5" w:type="dxa"/>
            <w:gridSpan w:val="2"/>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22" w:hRule="exact"/>
        </w:trPr>
        <w:tc>
          <w:tcPr>
            <w:tcW w:w="1409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2" w:hRule="exact"/>
        </w:trPr>
        <w:tc>
          <w:tcPr>
            <w:tcW w:w="6690" w:type="dxa"/>
            <w:gridSpan w:val="2"/>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880" w:type="dxa"/>
            <w:gridSpan w:val="3"/>
            <w:vMerge w:val="restart"/>
            <w:tcBorders>
              <w:top w:val="single" w:sz="4" w:space="0" w:color="000000"/>
              <w:left w:val="single" w:sz="4" w:space="0" w:color="000000"/>
              <w:right w:val="single" w:sz="4" w:space="0" w:color="000000"/>
            </w:tcBorders>
          </w:tcPr>
          <w:p>
            <w:pPr>
              <w:pStyle w:val="TableParagraph"/>
              <w:spacing w:line="273" w:lineRule="auto"/>
              <w:ind w:left="1329" w:right="172" w:hanging="1157"/>
              <w:jc w:val="left"/>
              <w:rPr>
                <w:rFonts w:ascii="宋体" w:hAnsi="宋体" w:cs="宋体" w:eastAsia="宋体" w:hint="default"/>
                <w:sz w:val="21"/>
                <w:szCs w:val="21"/>
              </w:rPr>
            </w:pPr>
            <w:r>
              <w:rPr>
                <w:rFonts w:ascii="宋体" w:hAnsi="宋体" w:cs="宋体" w:eastAsia="宋体" w:hint="default"/>
                <w:spacing w:val="-2"/>
                <w:sz w:val="21"/>
                <w:szCs w:val="21"/>
              </w:rPr>
              <w:t>持有无限售条件流通股的数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量</w:t>
            </w:r>
          </w:p>
        </w:tc>
        <w:tc>
          <w:tcPr>
            <w:tcW w:w="45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2" w:hRule="exact"/>
        </w:trPr>
        <w:tc>
          <w:tcPr>
            <w:tcW w:w="6690" w:type="dxa"/>
            <w:gridSpan w:val="2"/>
            <w:vMerge/>
            <w:tcBorders>
              <w:left w:val="single" w:sz="4" w:space="0" w:color="000000"/>
              <w:bottom w:val="single" w:sz="4" w:space="0" w:color="000000"/>
              <w:right w:val="single" w:sz="4" w:space="0" w:color="000000"/>
            </w:tcBorders>
          </w:tcPr>
          <w:p>
            <w:pPr/>
          </w:p>
        </w:tc>
        <w:tc>
          <w:tcPr>
            <w:tcW w:w="2880" w:type="dxa"/>
            <w:gridSpan w:val="3"/>
            <w:vMerge/>
            <w:tcBorders>
              <w:left w:val="single" w:sz="4" w:space="0" w:color="000000"/>
              <w:bottom w:val="single" w:sz="4" w:space="0" w:color="000000"/>
              <w:right w:val="single" w:sz="4" w:space="0" w:color="000000"/>
            </w:tcBorders>
          </w:tcPr>
          <w:p>
            <w:pPr/>
          </w:p>
        </w:tc>
        <w:tc>
          <w:tcPr>
            <w:tcW w:w="20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324" w:hRule="exact"/>
        </w:trPr>
        <w:tc>
          <w:tcPr>
            <w:tcW w:w="66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716" w:right="0"/>
              <w:jc w:val="left"/>
              <w:rPr>
                <w:rFonts w:ascii="Times New Roman" w:hAnsi="Times New Roman" w:cs="Times New Roman" w:eastAsia="Times New Roman" w:hint="default"/>
                <w:sz w:val="21"/>
                <w:szCs w:val="21"/>
              </w:rPr>
            </w:pPr>
            <w:r>
              <w:rPr>
                <w:rFonts w:ascii="Times New Roman"/>
                <w:sz w:val="21"/>
              </w:rPr>
              <w:t>298,976,786</w:t>
            </w:r>
          </w:p>
        </w:tc>
        <w:tc>
          <w:tcPr>
            <w:tcW w:w="20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6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346" w:right="0"/>
              <w:jc w:val="left"/>
              <w:rPr>
                <w:rFonts w:ascii="Times New Roman" w:hAnsi="Times New Roman" w:cs="Times New Roman" w:eastAsia="Times New Roman" w:hint="default"/>
                <w:sz w:val="21"/>
                <w:szCs w:val="21"/>
              </w:rPr>
            </w:pPr>
            <w:r>
              <w:rPr>
                <w:rFonts w:ascii="Times New Roman"/>
                <w:sz w:val="21"/>
              </w:rPr>
              <w:t>298,976,786</w:t>
            </w:r>
          </w:p>
        </w:tc>
      </w:tr>
      <w:tr>
        <w:trPr>
          <w:trHeight w:val="322" w:hRule="exact"/>
        </w:trPr>
        <w:tc>
          <w:tcPr>
            <w:tcW w:w="66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天津市凯信金鹏股权投资基金合伙企业（有限合伙）</w:t>
            </w:r>
          </w:p>
        </w:tc>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21" w:right="0"/>
              <w:jc w:val="left"/>
              <w:rPr>
                <w:rFonts w:ascii="Times New Roman" w:hAnsi="Times New Roman" w:cs="Times New Roman" w:eastAsia="Times New Roman" w:hint="default"/>
                <w:sz w:val="21"/>
                <w:szCs w:val="21"/>
              </w:rPr>
            </w:pPr>
            <w:r>
              <w:rPr>
                <w:rFonts w:ascii="Times New Roman"/>
                <w:sz w:val="21"/>
              </w:rPr>
              <w:t>18,119,821</w:t>
            </w:r>
          </w:p>
        </w:tc>
        <w:tc>
          <w:tcPr>
            <w:tcW w:w="20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51" w:right="0"/>
              <w:jc w:val="left"/>
              <w:rPr>
                <w:rFonts w:ascii="Times New Roman" w:hAnsi="Times New Roman" w:cs="Times New Roman" w:eastAsia="Times New Roman" w:hint="default"/>
                <w:sz w:val="21"/>
                <w:szCs w:val="21"/>
              </w:rPr>
            </w:pPr>
            <w:r>
              <w:rPr>
                <w:rFonts w:ascii="Times New Roman"/>
                <w:sz w:val="21"/>
              </w:rPr>
              <w:t>18,119,821</w:t>
            </w:r>
          </w:p>
        </w:tc>
      </w:tr>
      <w:tr>
        <w:trPr>
          <w:trHeight w:val="322" w:hRule="exact"/>
        </w:trPr>
        <w:tc>
          <w:tcPr>
            <w:tcW w:w="66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中国人寿保险股份有限公司－传统－普通保险产品－</w:t>
            </w:r>
            <w:r>
              <w:rPr>
                <w:rFonts w:ascii="Times New Roman" w:hAnsi="Times New Roman" w:cs="Times New Roman" w:eastAsia="Times New Roman" w:hint="default"/>
                <w:spacing w:val="-2"/>
                <w:sz w:val="21"/>
                <w:szCs w:val="21"/>
              </w:rPr>
              <w:t>005L</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CT001</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沪</w:t>
            </w:r>
          </w:p>
        </w:tc>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8,034,421</w:t>
            </w:r>
          </w:p>
        </w:tc>
        <w:tc>
          <w:tcPr>
            <w:tcW w:w="20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557" w:right="0"/>
              <w:jc w:val="left"/>
              <w:rPr>
                <w:rFonts w:ascii="Times New Roman" w:hAnsi="Times New Roman" w:cs="Times New Roman" w:eastAsia="Times New Roman" w:hint="default"/>
                <w:sz w:val="21"/>
                <w:szCs w:val="21"/>
              </w:rPr>
            </w:pPr>
            <w:r>
              <w:rPr>
                <w:rFonts w:ascii="Times New Roman"/>
                <w:sz w:val="21"/>
              </w:rPr>
              <w:t>8,034,421</w:t>
            </w:r>
          </w:p>
        </w:tc>
      </w:tr>
    </w:tbl>
    <w:p>
      <w:pPr>
        <w:spacing w:after="0" w:line="240" w:lineRule="auto"/>
        <w:jc w:val="left"/>
        <w:rPr>
          <w:rFonts w:ascii="Times New Roman" w:hAnsi="Times New Roman" w:cs="Times New Roman" w:eastAsia="Times New Roman" w:hint="default"/>
          <w:sz w:val="21"/>
          <w:szCs w:val="21"/>
        </w:rPr>
        <w:sectPr>
          <w:type w:val="continuous"/>
          <w:pgSz w:w="16840" w:h="11910" w:orient="landscape"/>
          <w:pgMar w:top="1580" w:bottom="2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6690"/>
        <w:gridCol w:w="2880"/>
        <w:gridCol w:w="2012"/>
        <w:gridCol w:w="2508"/>
      </w:tblGrid>
      <w:tr>
        <w:trPr>
          <w:trHeight w:val="322" w:hRule="exact"/>
        </w:trPr>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中国建设银行股份有限公司－华安幸福生活混合型证券投资基金</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3,116,789</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8"/>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3,116,789</w:t>
            </w:r>
          </w:p>
        </w:tc>
      </w:tr>
      <w:tr>
        <w:trPr>
          <w:trHeight w:val="322" w:hRule="exact"/>
        </w:trPr>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颜雨声</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2,525,169</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8"/>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2,525,169</w:t>
            </w:r>
          </w:p>
        </w:tc>
      </w:tr>
      <w:tr>
        <w:trPr>
          <w:trHeight w:val="322" w:hRule="exact"/>
        </w:trPr>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刘迪</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2,459,923</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8"/>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2,459,923</w:t>
            </w:r>
          </w:p>
        </w:tc>
      </w:tr>
      <w:tr>
        <w:trPr>
          <w:trHeight w:val="322" w:hRule="exact"/>
        </w:trPr>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交通银行股份有限公司－长信量化先锋混合型证券投资基金</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2,142,048</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8"/>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2,142,048</w:t>
            </w:r>
          </w:p>
        </w:tc>
      </w:tr>
      <w:tr>
        <w:trPr>
          <w:trHeight w:val="324" w:hRule="exact"/>
        </w:trPr>
        <w:tc>
          <w:tcPr>
            <w:tcW w:w="6690"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65" w:lineRule="exact"/>
              <w:ind w:left="103" w:right="0"/>
              <w:jc w:val="left"/>
              <w:rPr>
                <w:rFonts w:ascii="宋体" w:hAnsi="宋体" w:cs="宋体" w:eastAsia="宋体" w:hint="default"/>
                <w:sz w:val="21"/>
                <w:szCs w:val="21"/>
              </w:rPr>
            </w:pPr>
            <w:r>
              <w:rPr>
                <w:rFonts w:ascii="宋体"/>
                <w:sz w:val="21"/>
              </w:rPr>
              <w:t>UBS</w:t>
              <w:tab/>
              <w:t>AG</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2,018,673</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68"/>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2,018,673</w:t>
            </w:r>
          </w:p>
        </w:tc>
      </w:tr>
      <w:tr>
        <w:trPr>
          <w:trHeight w:val="322" w:hRule="exact"/>
        </w:trPr>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中国工商银行股份有限公司－华安逆向策略混合型证券投资基金</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1,821,690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8"/>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1,821,690</w:t>
            </w:r>
          </w:p>
        </w:tc>
      </w:tr>
      <w:tr>
        <w:trPr>
          <w:trHeight w:val="322" w:hRule="exact"/>
        </w:trPr>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中国农业银行股份有限公司－新华优选成长混合型证券投资基金</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1,699,852</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68"/>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1,699,852</w:t>
            </w:r>
          </w:p>
        </w:tc>
      </w:tr>
      <w:tr>
        <w:trPr>
          <w:trHeight w:val="322" w:hRule="exact"/>
        </w:trPr>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74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公司未知前十名无限售条件股东是否存在关联关系或一致行动情况。</w:t>
            </w:r>
          </w:p>
        </w:tc>
      </w:tr>
      <w:tr>
        <w:trPr>
          <w:trHeight w:val="322" w:hRule="exact"/>
        </w:trPr>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74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公司无优先股。</w:t>
            </w:r>
          </w:p>
        </w:tc>
      </w:tr>
    </w:tbl>
    <w:p>
      <w:pPr>
        <w:spacing w:after="0" w:line="262" w:lineRule="exact"/>
        <w:jc w:val="left"/>
        <w:rPr>
          <w:rFonts w:ascii="宋体" w:hAnsi="宋体" w:cs="宋体" w:eastAsia="宋体" w:hint="default"/>
          <w:sz w:val="21"/>
          <w:szCs w:val="21"/>
        </w:rPr>
        <w:sectPr>
          <w:pgSz w:w="16840" w:h="11910" w:orient="landscape"/>
          <w:pgMar w:header="855" w:footer="980" w:top="1120" w:bottom="1160" w:left="1220" w:right="130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30"/>
          <w:footerReference w:type="default" r:id="rId31"/>
          <w:pgSz w:w="11910" w:h="16840"/>
          <w:pgMar w:header="855" w:footer="979" w:top="1120" w:bottom="1160" w:left="1580" w:right="1040"/>
          <w:pgNumType w:start="69"/>
        </w:sectPr>
      </w:pPr>
    </w:p>
    <w:p>
      <w:pPr>
        <w:pStyle w:val="BodyText"/>
        <w:spacing w:line="240" w:lineRule="auto" w:before="156"/>
        <w:ind w:right="0"/>
        <w:jc w:val="left"/>
      </w:pPr>
      <w:r>
        <w:rPr>
          <w:spacing w:val="-2"/>
        </w:rPr>
        <w:t>前十名有限售条件股东持股数量及限售条件</w:t>
      </w:r>
    </w:p>
    <w:p>
      <w:pPr>
        <w:pStyle w:val="BodyText"/>
        <w:spacing w:line="240" w:lineRule="auto" w:before="3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right="0"/>
        <w:jc w:val="left"/>
      </w:pPr>
      <w:r>
        <w:rPr/>
        <w:t>单位：股</w:t>
      </w:r>
    </w:p>
    <w:p>
      <w:pPr>
        <w:spacing w:after="0" w:line="240" w:lineRule="auto"/>
        <w:jc w:val="left"/>
        <w:sectPr>
          <w:type w:val="continuous"/>
          <w:pgSz w:w="11910" w:h="16840"/>
          <w:pgMar w:top="1580" w:bottom="280" w:left="1580" w:right="1040"/>
          <w:cols w:num="2" w:equalWidth="0">
            <w:col w:w="4213" w:space="3781"/>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598"/>
        <w:gridCol w:w="1527"/>
        <w:gridCol w:w="1651"/>
        <w:gridCol w:w="1164"/>
        <w:gridCol w:w="1745"/>
        <w:gridCol w:w="2365"/>
      </w:tblGrid>
      <w:tr>
        <w:trPr>
          <w:trHeight w:val="636" w:hRule="exact"/>
        </w:trPr>
        <w:tc>
          <w:tcPr>
            <w:tcW w:w="5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73" w:lineRule="auto"/>
              <w:ind w:left="187" w:right="187"/>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73" w:lineRule="auto"/>
              <w:ind w:left="439" w:right="128" w:hanging="315"/>
              <w:jc w:val="left"/>
              <w:rPr>
                <w:rFonts w:ascii="宋体" w:hAnsi="宋体" w:cs="宋体" w:eastAsia="宋体" w:hint="default"/>
                <w:sz w:val="21"/>
                <w:szCs w:val="21"/>
              </w:rPr>
            </w:pPr>
            <w:r>
              <w:rPr>
                <w:rFonts w:ascii="宋体" w:hAnsi="宋体" w:cs="宋体" w:eastAsia="宋体" w:hint="default"/>
                <w:sz w:val="21"/>
                <w:szCs w:val="21"/>
              </w:rPr>
              <w:t>有限售条件股</w:t>
            </w:r>
            <w:r>
              <w:rPr>
                <w:rFonts w:ascii="宋体" w:hAnsi="宋体" w:cs="宋体" w:eastAsia="宋体" w:hint="default"/>
                <w:w w:val="100"/>
                <w:sz w:val="21"/>
                <w:szCs w:val="21"/>
              </w:rPr>
              <w:t> </w:t>
            </w:r>
            <w:r>
              <w:rPr>
                <w:rFonts w:ascii="宋体" w:hAnsi="宋体" w:cs="宋体" w:eastAsia="宋体" w:hint="default"/>
                <w:sz w:val="21"/>
                <w:szCs w:val="21"/>
              </w:rPr>
              <w:t>东名称</w:t>
            </w:r>
          </w:p>
        </w:tc>
        <w:tc>
          <w:tcPr>
            <w:tcW w:w="165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73" w:lineRule="auto"/>
              <w:ind w:left="189" w:right="187"/>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38" w:right="187" w:hanging="1052"/>
              <w:jc w:val="left"/>
              <w:rPr>
                <w:rFonts w:ascii="宋体" w:hAnsi="宋体" w:cs="宋体" w:eastAsia="宋体" w:hint="default"/>
                <w:sz w:val="21"/>
                <w:szCs w:val="21"/>
              </w:rPr>
            </w:pPr>
            <w:r>
              <w:rPr>
                <w:rFonts w:ascii="宋体" w:hAnsi="宋体" w:cs="宋体" w:eastAsia="宋体" w:hint="default"/>
                <w:spacing w:val="-2"/>
                <w:sz w:val="21"/>
                <w:szCs w:val="21"/>
              </w:rPr>
              <w:t>有限售条件股份可上市交易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情况</w:t>
            </w:r>
          </w:p>
        </w:tc>
        <w:tc>
          <w:tcPr>
            <w:tcW w:w="23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56"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634" w:hRule="exact"/>
        </w:trPr>
        <w:tc>
          <w:tcPr>
            <w:tcW w:w="598" w:type="dxa"/>
            <w:vMerge/>
            <w:tcBorders>
              <w:left w:val="single" w:sz="4" w:space="0" w:color="000000"/>
              <w:bottom w:val="single" w:sz="4" w:space="0" w:color="000000"/>
              <w:right w:val="single" w:sz="4" w:space="0" w:color="000000"/>
            </w:tcBorders>
          </w:tcPr>
          <w:p>
            <w:pPr/>
          </w:p>
        </w:tc>
        <w:tc>
          <w:tcPr>
            <w:tcW w:w="1527" w:type="dxa"/>
            <w:vMerge/>
            <w:tcBorders>
              <w:left w:val="single" w:sz="4" w:space="0" w:color="000000"/>
              <w:bottom w:val="single" w:sz="4" w:space="0" w:color="000000"/>
              <w:right w:val="single" w:sz="4" w:space="0" w:color="000000"/>
            </w:tcBorders>
          </w:tcPr>
          <w:p>
            <w:pPr/>
          </w:p>
        </w:tc>
        <w:tc>
          <w:tcPr>
            <w:tcW w:w="1651" w:type="dxa"/>
            <w:vMerge/>
            <w:tcBorders>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1" w:right="154" w:hanging="106"/>
              <w:jc w:val="left"/>
              <w:rPr>
                <w:rFonts w:ascii="宋体" w:hAnsi="宋体" w:cs="宋体" w:eastAsia="宋体" w:hint="default"/>
                <w:sz w:val="21"/>
                <w:szCs w:val="21"/>
              </w:rPr>
            </w:pPr>
            <w:r>
              <w:rPr>
                <w:rFonts w:ascii="宋体" w:hAnsi="宋体" w:cs="宋体" w:eastAsia="宋体" w:hint="default"/>
                <w:sz w:val="21"/>
                <w:szCs w:val="21"/>
              </w:rPr>
              <w:t>可上市交</w:t>
            </w:r>
            <w:r>
              <w:rPr>
                <w:rFonts w:ascii="宋体" w:hAnsi="宋体" w:cs="宋体" w:eastAsia="宋体" w:hint="default"/>
                <w:w w:val="100"/>
                <w:sz w:val="21"/>
                <w:szCs w:val="21"/>
              </w:rPr>
              <w:t> </w:t>
            </w:r>
            <w:r>
              <w:rPr>
                <w:rFonts w:ascii="宋体" w:hAnsi="宋体" w:cs="宋体" w:eastAsia="宋体" w:hint="default"/>
                <w:sz w:val="21"/>
                <w:szCs w:val="21"/>
              </w:rPr>
              <w:t>易时间</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46" w:right="127" w:hanging="315"/>
              <w:jc w:val="left"/>
              <w:rPr>
                <w:rFonts w:ascii="宋体" w:hAnsi="宋体" w:cs="宋体" w:eastAsia="宋体" w:hint="default"/>
                <w:sz w:val="21"/>
                <w:szCs w:val="21"/>
              </w:rPr>
            </w:pPr>
            <w:r>
              <w:rPr>
                <w:rFonts w:ascii="宋体" w:hAnsi="宋体" w:cs="宋体" w:eastAsia="宋体" w:hint="default"/>
                <w:sz w:val="21"/>
                <w:szCs w:val="21"/>
              </w:rPr>
              <w:t>新增可上市交易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股份数量</w:t>
            </w:r>
          </w:p>
        </w:tc>
        <w:tc>
          <w:tcPr>
            <w:tcW w:w="2365" w:type="dxa"/>
            <w:vMerge/>
            <w:tcBorders>
              <w:left w:val="single" w:sz="4" w:space="0" w:color="000000"/>
              <w:bottom w:val="single" w:sz="4" w:space="0" w:color="000000"/>
              <w:right w:val="single" w:sz="4" w:space="0" w:color="000000"/>
            </w:tcBorders>
          </w:tcPr>
          <w:p>
            <w:pPr/>
          </w:p>
        </w:tc>
      </w:tr>
      <w:tr>
        <w:trPr>
          <w:trHeight w:val="946"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1</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杜认真</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63,000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宋体" w:hAnsi="宋体" w:cs="宋体" w:eastAsia="宋体" w:hint="default"/>
                <w:sz w:val="21"/>
                <w:szCs w:val="21"/>
              </w:rPr>
              <w:t>按公司《</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年限制性</w:t>
            </w:r>
            <w:r>
              <w:rPr>
                <w:rFonts w:ascii="宋体" w:hAnsi="宋体" w:cs="宋体" w:eastAsia="宋体" w:hint="default"/>
                <w:w w:val="100"/>
                <w:sz w:val="21"/>
                <w:szCs w:val="21"/>
              </w:rPr>
              <w:t> </w:t>
            </w:r>
            <w:r>
              <w:rPr>
                <w:rFonts w:ascii="宋体" w:hAnsi="宋体" w:cs="宋体" w:eastAsia="宋体" w:hint="default"/>
                <w:sz w:val="21"/>
                <w:szCs w:val="21"/>
              </w:rPr>
              <w:t>股票激励计划》有关规</w:t>
            </w:r>
            <w:r>
              <w:rPr>
                <w:rFonts w:ascii="宋体" w:hAnsi="宋体" w:cs="宋体" w:eastAsia="宋体" w:hint="default"/>
                <w:w w:val="100"/>
                <w:sz w:val="21"/>
                <w:szCs w:val="21"/>
              </w:rPr>
              <w:t> </w:t>
            </w:r>
            <w:r>
              <w:rPr>
                <w:rFonts w:ascii="宋体" w:hAnsi="宋体" w:cs="宋体" w:eastAsia="宋体" w:hint="default"/>
                <w:sz w:val="21"/>
                <w:szCs w:val="21"/>
              </w:rPr>
              <w:t>定锁定和解锁。</w:t>
            </w:r>
          </w:p>
        </w:tc>
      </w:tr>
      <w:tr>
        <w:trPr>
          <w:trHeight w:val="946"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林立成</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宋体" w:hAnsi="宋体" w:cs="宋体" w:eastAsia="宋体" w:hint="default"/>
                <w:sz w:val="21"/>
                <w:szCs w:val="21"/>
              </w:rPr>
              <w:t>按公司《</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年限制性</w:t>
            </w:r>
            <w:r>
              <w:rPr>
                <w:rFonts w:ascii="宋体" w:hAnsi="宋体" w:cs="宋体" w:eastAsia="宋体" w:hint="default"/>
                <w:w w:val="100"/>
                <w:sz w:val="21"/>
                <w:szCs w:val="21"/>
              </w:rPr>
              <w:t> </w:t>
            </w:r>
            <w:r>
              <w:rPr>
                <w:rFonts w:ascii="宋体" w:hAnsi="宋体" w:cs="宋体" w:eastAsia="宋体" w:hint="default"/>
                <w:sz w:val="21"/>
                <w:szCs w:val="21"/>
              </w:rPr>
              <w:t>股票激励计划》有关规</w:t>
            </w:r>
            <w:r>
              <w:rPr>
                <w:rFonts w:ascii="宋体" w:hAnsi="宋体" w:cs="宋体" w:eastAsia="宋体" w:hint="default"/>
                <w:w w:val="100"/>
                <w:sz w:val="21"/>
                <w:szCs w:val="21"/>
              </w:rPr>
              <w:t> </w:t>
            </w:r>
            <w:r>
              <w:rPr>
                <w:rFonts w:ascii="宋体" w:hAnsi="宋体" w:cs="宋体" w:eastAsia="宋体" w:hint="default"/>
                <w:sz w:val="21"/>
                <w:szCs w:val="21"/>
              </w:rPr>
              <w:t>定锁定和解锁。</w:t>
            </w:r>
          </w:p>
        </w:tc>
      </w:tr>
      <w:tr>
        <w:trPr>
          <w:trHeight w:val="946"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3</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何飞</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51,480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宋体" w:hAnsi="宋体" w:cs="宋体" w:eastAsia="宋体" w:hint="default"/>
                <w:sz w:val="21"/>
                <w:szCs w:val="21"/>
              </w:rPr>
              <w:t>按公司《</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年限制性</w:t>
            </w:r>
            <w:r>
              <w:rPr>
                <w:rFonts w:ascii="宋体" w:hAnsi="宋体" w:cs="宋体" w:eastAsia="宋体" w:hint="default"/>
                <w:w w:val="100"/>
                <w:sz w:val="21"/>
                <w:szCs w:val="21"/>
              </w:rPr>
              <w:t> </w:t>
            </w:r>
            <w:r>
              <w:rPr>
                <w:rFonts w:ascii="宋体" w:hAnsi="宋体" w:cs="宋体" w:eastAsia="宋体" w:hint="default"/>
                <w:sz w:val="21"/>
                <w:szCs w:val="21"/>
              </w:rPr>
              <w:t>股票激励计划》有关规</w:t>
            </w:r>
            <w:r>
              <w:rPr>
                <w:rFonts w:ascii="宋体" w:hAnsi="宋体" w:cs="宋体" w:eastAsia="宋体" w:hint="default"/>
                <w:w w:val="100"/>
                <w:sz w:val="21"/>
                <w:szCs w:val="21"/>
              </w:rPr>
              <w:t> </w:t>
            </w:r>
            <w:r>
              <w:rPr>
                <w:rFonts w:ascii="宋体" w:hAnsi="宋体" w:cs="宋体" w:eastAsia="宋体" w:hint="default"/>
                <w:sz w:val="21"/>
                <w:szCs w:val="21"/>
              </w:rPr>
              <w:t>定锁定和解锁。</w:t>
            </w:r>
          </w:p>
        </w:tc>
      </w:tr>
      <w:tr>
        <w:trPr>
          <w:trHeight w:val="946"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胡柏耀</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宋体" w:hAnsi="宋体" w:cs="宋体" w:eastAsia="宋体" w:hint="default"/>
                <w:sz w:val="21"/>
                <w:szCs w:val="21"/>
              </w:rPr>
              <w:t>按公司《</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年限制性</w:t>
            </w:r>
            <w:r>
              <w:rPr>
                <w:rFonts w:ascii="宋体" w:hAnsi="宋体" w:cs="宋体" w:eastAsia="宋体" w:hint="default"/>
                <w:w w:val="100"/>
                <w:sz w:val="21"/>
                <w:szCs w:val="21"/>
              </w:rPr>
              <w:t> </w:t>
            </w:r>
            <w:r>
              <w:rPr>
                <w:rFonts w:ascii="宋体" w:hAnsi="宋体" w:cs="宋体" w:eastAsia="宋体" w:hint="default"/>
                <w:sz w:val="21"/>
                <w:szCs w:val="21"/>
              </w:rPr>
              <w:t>股票激励计划》有关规</w:t>
            </w:r>
            <w:r>
              <w:rPr>
                <w:rFonts w:ascii="宋体" w:hAnsi="宋体" w:cs="宋体" w:eastAsia="宋体" w:hint="default"/>
                <w:w w:val="100"/>
                <w:sz w:val="21"/>
                <w:szCs w:val="21"/>
              </w:rPr>
              <w:t> </w:t>
            </w:r>
            <w:r>
              <w:rPr>
                <w:rFonts w:ascii="宋体" w:hAnsi="宋体" w:cs="宋体" w:eastAsia="宋体" w:hint="default"/>
                <w:sz w:val="21"/>
                <w:szCs w:val="21"/>
              </w:rPr>
              <w:t>定锁定和解锁。</w:t>
            </w:r>
          </w:p>
        </w:tc>
      </w:tr>
      <w:tr>
        <w:trPr>
          <w:trHeight w:val="948"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糜威</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40,560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98"/>
              <w:jc w:val="both"/>
              <w:rPr>
                <w:rFonts w:ascii="宋体" w:hAnsi="宋体" w:cs="宋体" w:eastAsia="宋体" w:hint="default"/>
                <w:sz w:val="21"/>
                <w:szCs w:val="21"/>
              </w:rPr>
            </w:pPr>
            <w:r>
              <w:rPr>
                <w:rFonts w:ascii="宋体" w:hAnsi="宋体" w:cs="宋体" w:eastAsia="宋体" w:hint="default"/>
                <w:sz w:val="21"/>
                <w:szCs w:val="21"/>
              </w:rPr>
              <w:t>按公司《</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年限制性</w:t>
            </w:r>
            <w:r>
              <w:rPr>
                <w:rFonts w:ascii="宋体" w:hAnsi="宋体" w:cs="宋体" w:eastAsia="宋体" w:hint="default"/>
                <w:w w:val="100"/>
                <w:sz w:val="21"/>
                <w:szCs w:val="21"/>
              </w:rPr>
              <w:t> </w:t>
            </w:r>
            <w:r>
              <w:rPr>
                <w:rFonts w:ascii="宋体" w:hAnsi="宋体" w:cs="宋体" w:eastAsia="宋体" w:hint="default"/>
                <w:sz w:val="21"/>
                <w:szCs w:val="21"/>
              </w:rPr>
              <w:t>股票激励计划》有关规</w:t>
            </w:r>
            <w:r>
              <w:rPr>
                <w:rFonts w:ascii="宋体" w:hAnsi="宋体" w:cs="宋体" w:eastAsia="宋体" w:hint="default"/>
                <w:w w:val="100"/>
                <w:sz w:val="21"/>
                <w:szCs w:val="21"/>
              </w:rPr>
              <w:t> </w:t>
            </w:r>
            <w:r>
              <w:rPr>
                <w:rFonts w:ascii="宋体" w:hAnsi="宋体" w:cs="宋体" w:eastAsia="宋体" w:hint="default"/>
                <w:sz w:val="21"/>
                <w:szCs w:val="21"/>
              </w:rPr>
              <w:t>定锁定和解锁。</w:t>
            </w:r>
          </w:p>
        </w:tc>
      </w:tr>
      <w:tr>
        <w:trPr>
          <w:trHeight w:val="946"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黄金俊</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40,380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宋体" w:hAnsi="宋体" w:cs="宋体" w:eastAsia="宋体" w:hint="default"/>
                <w:sz w:val="21"/>
                <w:szCs w:val="21"/>
              </w:rPr>
              <w:t>按公司《</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年限制性</w:t>
            </w:r>
            <w:r>
              <w:rPr>
                <w:rFonts w:ascii="宋体" w:hAnsi="宋体" w:cs="宋体" w:eastAsia="宋体" w:hint="default"/>
                <w:w w:val="100"/>
                <w:sz w:val="21"/>
                <w:szCs w:val="21"/>
              </w:rPr>
              <w:t> </w:t>
            </w:r>
            <w:r>
              <w:rPr>
                <w:rFonts w:ascii="宋体" w:hAnsi="宋体" w:cs="宋体" w:eastAsia="宋体" w:hint="default"/>
                <w:sz w:val="21"/>
                <w:szCs w:val="21"/>
              </w:rPr>
              <w:t>股票激励计划》有关规</w:t>
            </w:r>
            <w:r>
              <w:rPr>
                <w:rFonts w:ascii="宋体" w:hAnsi="宋体" w:cs="宋体" w:eastAsia="宋体" w:hint="default"/>
                <w:w w:val="100"/>
                <w:sz w:val="21"/>
                <w:szCs w:val="21"/>
              </w:rPr>
              <w:t> </w:t>
            </w:r>
            <w:r>
              <w:rPr>
                <w:rFonts w:ascii="宋体" w:hAnsi="宋体" w:cs="宋体" w:eastAsia="宋体" w:hint="default"/>
                <w:sz w:val="21"/>
                <w:szCs w:val="21"/>
              </w:rPr>
              <w:t>定锁定和解锁。</w:t>
            </w:r>
          </w:p>
        </w:tc>
      </w:tr>
      <w:tr>
        <w:trPr>
          <w:trHeight w:val="946"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7</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张鹏程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36,000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宋体" w:hAnsi="宋体" w:cs="宋体" w:eastAsia="宋体" w:hint="default"/>
                <w:sz w:val="21"/>
                <w:szCs w:val="21"/>
              </w:rPr>
              <w:t>按公司《</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年限制性</w:t>
            </w:r>
            <w:r>
              <w:rPr>
                <w:rFonts w:ascii="宋体" w:hAnsi="宋体" w:cs="宋体" w:eastAsia="宋体" w:hint="default"/>
                <w:w w:val="100"/>
                <w:sz w:val="21"/>
                <w:szCs w:val="21"/>
              </w:rPr>
              <w:t> </w:t>
            </w:r>
            <w:r>
              <w:rPr>
                <w:rFonts w:ascii="宋体" w:hAnsi="宋体" w:cs="宋体" w:eastAsia="宋体" w:hint="default"/>
                <w:sz w:val="21"/>
                <w:szCs w:val="21"/>
              </w:rPr>
              <w:t>股票激励计划》有关规</w:t>
            </w:r>
            <w:r>
              <w:rPr>
                <w:rFonts w:ascii="宋体" w:hAnsi="宋体" w:cs="宋体" w:eastAsia="宋体" w:hint="default"/>
                <w:w w:val="100"/>
                <w:sz w:val="21"/>
                <w:szCs w:val="21"/>
              </w:rPr>
              <w:t> </w:t>
            </w:r>
            <w:r>
              <w:rPr>
                <w:rFonts w:ascii="宋体" w:hAnsi="宋体" w:cs="宋体" w:eastAsia="宋体" w:hint="default"/>
                <w:sz w:val="21"/>
                <w:szCs w:val="21"/>
              </w:rPr>
              <w:t>定锁定和解锁。</w:t>
            </w:r>
          </w:p>
        </w:tc>
      </w:tr>
      <w:tr>
        <w:trPr>
          <w:trHeight w:val="946"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吴丽卿</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36,000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宋体" w:hAnsi="宋体" w:cs="宋体" w:eastAsia="宋体" w:hint="default"/>
                <w:sz w:val="21"/>
                <w:szCs w:val="21"/>
              </w:rPr>
              <w:t>按公司《</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年限制性</w:t>
            </w:r>
            <w:r>
              <w:rPr>
                <w:rFonts w:ascii="宋体" w:hAnsi="宋体" w:cs="宋体" w:eastAsia="宋体" w:hint="default"/>
                <w:w w:val="100"/>
                <w:sz w:val="21"/>
                <w:szCs w:val="21"/>
              </w:rPr>
              <w:t> </w:t>
            </w:r>
            <w:r>
              <w:rPr>
                <w:rFonts w:ascii="宋体" w:hAnsi="宋体" w:cs="宋体" w:eastAsia="宋体" w:hint="default"/>
                <w:sz w:val="21"/>
                <w:szCs w:val="21"/>
              </w:rPr>
              <w:t>股票激励计划》有关规</w:t>
            </w:r>
            <w:r>
              <w:rPr>
                <w:rFonts w:ascii="宋体" w:hAnsi="宋体" w:cs="宋体" w:eastAsia="宋体" w:hint="default"/>
                <w:w w:val="100"/>
                <w:sz w:val="21"/>
                <w:szCs w:val="21"/>
              </w:rPr>
              <w:t> </w:t>
            </w:r>
            <w:r>
              <w:rPr>
                <w:rFonts w:ascii="宋体" w:hAnsi="宋体" w:cs="宋体" w:eastAsia="宋体" w:hint="default"/>
                <w:sz w:val="21"/>
                <w:szCs w:val="21"/>
              </w:rPr>
              <w:t>定锁定和解锁。</w:t>
            </w:r>
          </w:p>
        </w:tc>
      </w:tr>
      <w:tr>
        <w:trPr>
          <w:trHeight w:val="946"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廖长宝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36,000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宋体" w:hAnsi="宋体" w:cs="宋体" w:eastAsia="宋体" w:hint="default"/>
                <w:sz w:val="21"/>
                <w:szCs w:val="21"/>
              </w:rPr>
              <w:t>按公司《</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年限制性</w:t>
            </w:r>
            <w:r>
              <w:rPr>
                <w:rFonts w:ascii="宋体" w:hAnsi="宋体" w:cs="宋体" w:eastAsia="宋体" w:hint="default"/>
                <w:w w:val="100"/>
                <w:sz w:val="21"/>
                <w:szCs w:val="21"/>
              </w:rPr>
              <w:t> </w:t>
            </w:r>
            <w:r>
              <w:rPr>
                <w:rFonts w:ascii="宋体" w:hAnsi="宋体" w:cs="宋体" w:eastAsia="宋体" w:hint="default"/>
                <w:sz w:val="21"/>
                <w:szCs w:val="21"/>
              </w:rPr>
              <w:t>股票激励计划》有关规</w:t>
            </w:r>
            <w:r>
              <w:rPr>
                <w:rFonts w:ascii="宋体" w:hAnsi="宋体" w:cs="宋体" w:eastAsia="宋体" w:hint="default"/>
                <w:w w:val="100"/>
                <w:sz w:val="21"/>
                <w:szCs w:val="21"/>
              </w:rPr>
              <w:t> </w:t>
            </w:r>
            <w:r>
              <w:rPr>
                <w:rFonts w:ascii="宋体" w:hAnsi="宋体" w:cs="宋体" w:eastAsia="宋体" w:hint="default"/>
                <w:sz w:val="21"/>
                <w:szCs w:val="21"/>
              </w:rPr>
              <w:t>定锁定和解锁。</w:t>
            </w:r>
          </w:p>
        </w:tc>
      </w:tr>
      <w:tr>
        <w:trPr>
          <w:trHeight w:val="946"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侯济恭</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36,000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宋体" w:hAnsi="宋体" w:cs="宋体" w:eastAsia="宋体" w:hint="default"/>
                <w:sz w:val="21"/>
                <w:szCs w:val="21"/>
              </w:rPr>
              <w:t>按公司《</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年限制性</w:t>
            </w:r>
            <w:r>
              <w:rPr>
                <w:rFonts w:ascii="宋体" w:hAnsi="宋体" w:cs="宋体" w:eastAsia="宋体" w:hint="default"/>
                <w:w w:val="100"/>
                <w:sz w:val="21"/>
                <w:szCs w:val="21"/>
              </w:rPr>
              <w:t> </w:t>
            </w:r>
            <w:r>
              <w:rPr>
                <w:rFonts w:ascii="宋体" w:hAnsi="宋体" w:cs="宋体" w:eastAsia="宋体" w:hint="default"/>
                <w:sz w:val="21"/>
                <w:szCs w:val="21"/>
              </w:rPr>
              <w:t>股票激励计划》有关规</w:t>
            </w:r>
            <w:r>
              <w:rPr>
                <w:rFonts w:ascii="宋体" w:hAnsi="宋体" w:cs="宋体" w:eastAsia="宋体" w:hint="default"/>
                <w:w w:val="100"/>
                <w:sz w:val="21"/>
                <w:szCs w:val="21"/>
              </w:rPr>
              <w:t> </w:t>
            </w:r>
            <w:r>
              <w:rPr>
                <w:rFonts w:ascii="宋体" w:hAnsi="宋体" w:cs="宋体" w:eastAsia="宋体" w:hint="default"/>
                <w:sz w:val="21"/>
                <w:szCs w:val="21"/>
              </w:rPr>
              <w:t>定锁定和解锁。</w:t>
            </w:r>
          </w:p>
        </w:tc>
      </w:tr>
      <w:tr>
        <w:trPr>
          <w:trHeight w:val="636" w:hRule="exact"/>
        </w:trPr>
        <w:tc>
          <w:tcPr>
            <w:tcW w:w="2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27"/>
              <w:jc w:val="left"/>
              <w:rPr>
                <w:rFonts w:ascii="宋体" w:hAnsi="宋体" w:cs="宋体" w:eastAsia="宋体" w:hint="default"/>
                <w:sz w:val="21"/>
                <w:szCs w:val="21"/>
              </w:rPr>
            </w:pPr>
            <w:r>
              <w:rPr>
                <w:rFonts w:ascii="宋体" w:hAnsi="宋体" w:cs="宋体" w:eastAsia="宋体" w:hint="default"/>
                <w:sz w:val="21"/>
                <w:szCs w:val="21"/>
              </w:rPr>
              <w:t>上述股东关联关系</w:t>
            </w:r>
            <w:r>
              <w:rPr>
                <w:rFonts w:ascii="宋体" w:hAnsi="宋体" w:cs="宋体" w:eastAsia="宋体" w:hint="default"/>
                <w:w w:val="100"/>
                <w:sz w:val="21"/>
                <w:szCs w:val="21"/>
              </w:rPr>
              <w:t> </w:t>
            </w:r>
            <w:r>
              <w:rPr>
                <w:rFonts w:ascii="宋体" w:hAnsi="宋体" w:cs="宋体" w:eastAsia="宋体" w:hint="default"/>
                <w:sz w:val="21"/>
                <w:szCs w:val="21"/>
              </w:rPr>
              <w:t>或一致行动的说明</w:t>
            </w:r>
          </w:p>
        </w:tc>
        <w:tc>
          <w:tcPr>
            <w:tcW w:w="692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sz w:val="24"/>
          <w:szCs w:val="24"/>
        </w:rPr>
      </w:pPr>
    </w:p>
    <w:p>
      <w:pPr>
        <w:pStyle w:val="Heading4"/>
        <w:tabs>
          <w:tab w:pos="784" w:val="left" w:leader="none"/>
        </w:tabs>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70"/>
        <w:ind w:right="0"/>
        <w:jc w:val="left"/>
      </w:pPr>
      <w:r>
        <w:rPr/>
        <w:t>□适用</w:t>
      </w:r>
      <w:r>
        <w:rPr>
          <w:spacing w:val="-1"/>
        </w:rPr>
        <w:t> </w:t>
      </w:r>
      <w:r>
        <w:rPr/>
        <w:t>√不适用</w:t>
      </w:r>
    </w:p>
    <w:p>
      <w:pPr>
        <w:spacing w:after="0" w:line="240" w:lineRule="auto"/>
        <w:jc w:val="left"/>
        <w:sectPr>
          <w:type w:val="continuous"/>
          <w:pgSz w:w="11910" w:h="16840"/>
          <w:pgMar w:top="1580" w:bottom="280" w:left="1580" w:right="1040"/>
        </w:sectPr>
      </w:pPr>
    </w:p>
    <w:p>
      <w:pPr>
        <w:spacing w:line="240" w:lineRule="auto" w:before="10"/>
        <w:rPr>
          <w:rFonts w:ascii="宋体" w:hAnsi="宋体" w:cs="宋体" w:eastAsia="宋体" w:hint="default"/>
          <w:sz w:val="26"/>
          <w:szCs w:val="26"/>
        </w:rPr>
      </w:pPr>
    </w:p>
    <w:p>
      <w:pPr>
        <w:pStyle w:val="Heading4"/>
        <w:spacing w:line="240" w:lineRule="auto"/>
        <w:ind w:right="2631"/>
        <w:jc w:val="left"/>
        <w:rPr>
          <w:b w:val="0"/>
          <w:bCs w:val="0"/>
        </w:rPr>
      </w:pPr>
      <w:r>
        <w:rPr/>
        <w:t>四、</w:t>
      </w:r>
      <w:r>
        <w:rPr>
          <w:spacing w:val="-79"/>
        </w:rPr>
        <w:t> </w:t>
      </w:r>
      <w:r>
        <w:rPr/>
        <w:t>控股股东及实际控制人情况</w:t>
      </w:r>
      <w:r>
        <w:rPr>
          <w:b w:val="0"/>
          <w:bCs w:val="0"/>
        </w:rPr>
      </w:r>
    </w:p>
    <w:p>
      <w:pPr>
        <w:pStyle w:val="Heading4"/>
        <w:spacing w:line="240" w:lineRule="auto" w:before="97"/>
        <w:ind w:right="263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b w:val="0"/>
          <w:bCs w:val="0"/>
        </w:rPr>
      </w:r>
    </w:p>
    <w:p>
      <w:pPr>
        <w:pStyle w:val="Heading4"/>
        <w:tabs>
          <w:tab w:pos="637" w:val="left" w:leader="none"/>
        </w:tabs>
        <w:spacing w:line="240" w:lineRule="auto" w:before="70"/>
        <w:ind w:right="2631"/>
        <w:jc w:val="left"/>
        <w:rPr>
          <w:b w:val="0"/>
          <w:bCs w:val="0"/>
        </w:rPr>
      </w:pPr>
      <w:r>
        <w:rPr>
          <w:rFonts w:ascii="Times New Roman" w:hAnsi="Times New Roman" w:cs="Times New Roman" w:eastAsia="Times New Roman" w:hint="default"/>
        </w:rPr>
        <w:t>1</w:t>
        <w:tab/>
      </w:r>
      <w:r>
        <w:rPr/>
        <w:t>法人</w:t>
      </w:r>
      <w:r>
        <w:rPr>
          <w:b w:val="0"/>
          <w:bCs w:val="0"/>
        </w:rPr>
      </w:r>
    </w:p>
    <w:p>
      <w:pPr>
        <w:pStyle w:val="BodyText"/>
        <w:spacing w:line="240" w:lineRule="auto" w:before="81"/>
        <w:ind w:right="2631"/>
        <w:jc w:val="left"/>
      </w:pPr>
      <w:r>
        <w:rPr/>
        <w:t>□适用</w:t>
      </w:r>
      <w:r>
        <w:rPr>
          <w:spacing w:val="-1"/>
        </w:rPr>
        <w:t> </w:t>
      </w:r>
      <w:r>
        <w:rPr/>
        <w:t>√不适用</w:t>
      </w:r>
    </w:p>
    <w:p>
      <w:pPr>
        <w:pStyle w:val="Heading4"/>
        <w:tabs>
          <w:tab w:pos="637" w:val="left" w:leader="none"/>
        </w:tabs>
        <w:spacing w:line="240" w:lineRule="auto" w:before="97"/>
        <w:ind w:right="2631"/>
        <w:jc w:val="left"/>
        <w:rPr>
          <w:b w:val="0"/>
          <w:bCs w:val="0"/>
        </w:rPr>
      </w:pPr>
      <w:r>
        <w:rPr>
          <w:rFonts w:ascii="Times New Roman" w:hAnsi="Times New Roman" w:cs="Times New Roman" w:eastAsia="Times New Roman" w:hint="default"/>
        </w:rPr>
        <w:t>2</w:t>
        <w:tab/>
      </w:r>
      <w:r>
        <w:rPr/>
        <w:t>自然人</w:t>
      </w:r>
      <w:r>
        <w:rPr>
          <w:b w:val="0"/>
          <w:bCs w:val="0"/>
        </w:rPr>
      </w:r>
    </w:p>
    <w:p>
      <w:pPr>
        <w:pStyle w:val="BodyText"/>
        <w:spacing w:line="240" w:lineRule="auto" w:before="81"/>
        <w:ind w:right="2631"/>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91"/>
        <w:gridCol w:w="5533"/>
      </w:tblGrid>
      <w:tr>
        <w:trPr>
          <w:trHeight w:val="32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r>
      <w:tr>
        <w:trPr>
          <w:trHeight w:val="322"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2"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3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4"/>
              <w:jc w:val="both"/>
              <w:rPr>
                <w:rFonts w:ascii="宋体" w:hAnsi="宋体" w:cs="宋体" w:eastAsia="宋体" w:hint="default"/>
                <w:sz w:val="21"/>
                <w:szCs w:val="21"/>
              </w:rPr>
            </w:pPr>
            <w:r>
              <w:rPr>
                <w:rFonts w:ascii="宋体" w:hAnsi="宋体" w:cs="宋体" w:eastAsia="宋体" w:hint="default"/>
                <w:sz w:val="21"/>
                <w:szCs w:val="21"/>
              </w:rPr>
              <w:t>公司董事长兼总经理；福建省万石控股集团有限公司执行</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董事、福建新微科技有限公司执行董事、泰宁万石旅游投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资开发有限公司执行董事、武夷山国际健康管理集团有限</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公司执行董事、武夷山国际健康小镇有限公司执行董事、</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武夷山国际转诊中心有限公司执行董事、武夷山国际抗衰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老中心有限公司执行董事、武夷山国际医疗旅游旅行社有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限公司执行董事、武夷山国际康复疗养中心有限公司执行</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董事、武夷山国际体检中心有限公司执行董事、泉州匹兹</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堡健康中心有限公司执行董事、武夷山国际健康论坛有限</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公司执行董事。</w:t>
            </w:r>
          </w:p>
        </w:tc>
      </w:tr>
    </w:tbl>
    <w:p>
      <w:pPr>
        <w:spacing w:line="240" w:lineRule="auto" w:before="10"/>
        <w:rPr>
          <w:rFonts w:ascii="宋体" w:hAnsi="宋体" w:cs="宋体" w:eastAsia="宋体" w:hint="default"/>
          <w:sz w:val="24"/>
          <w:szCs w:val="24"/>
        </w:rPr>
      </w:pPr>
    </w:p>
    <w:p>
      <w:pPr>
        <w:pStyle w:val="Heading4"/>
        <w:tabs>
          <w:tab w:pos="637" w:val="left" w:leader="none"/>
        </w:tabs>
        <w:spacing w:line="240" w:lineRule="auto"/>
        <w:ind w:right="2631"/>
        <w:jc w:val="left"/>
        <w:rPr>
          <w:b w:val="0"/>
          <w:bCs w:val="0"/>
        </w:rPr>
      </w:pPr>
      <w:r>
        <w:rPr>
          <w:rFonts w:ascii="Times New Roman" w:hAnsi="Times New Roman" w:cs="Times New Roman" w:eastAsia="Times New Roman" w:hint="default"/>
        </w:rPr>
        <w:t>3</w:t>
        <w:tab/>
      </w:r>
      <w:r>
        <w:rPr/>
        <w:t>公司不存在控股股东情况的特别说明</w:t>
      </w:r>
      <w:r>
        <w:rPr>
          <w:b w:val="0"/>
          <w:bCs w:val="0"/>
        </w:rPr>
      </w:r>
    </w:p>
    <w:p>
      <w:pPr>
        <w:pStyle w:val="BodyText"/>
        <w:tabs>
          <w:tab w:pos="1060" w:val="left" w:leader="none"/>
        </w:tabs>
        <w:spacing w:line="240" w:lineRule="auto" w:before="81"/>
        <w:ind w:right="2631"/>
        <w:jc w:val="left"/>
      </w:pPr>
      <w:r>
        <w:rPr>
          <w:spacing w:val="-1"/>
        </w:rPr>
        <w:t>□适用</w:t>
        <w:tab/>
      </w:r>
      <w:r>
        <w:rPr>
          <w:spacing w:val="-2"/>
        </w:rPr>
        <w:t>√不适用</w:t>
      </w:r>
    </w:p>
    <w:p>
      <w:pPr>
        <w:pStyle w:val="Heading4"/>
        <w:tabs>
          <w:tab w:pos="637" w:val="left" w:leader="none"/>
        </w:tabs>
        <w:spacing w:line="240" w:lineRule="auto" w:before="97"/>
        <w:ind w:right="2631"/>
        <w:jc w:val="left"/>
        <w:rPr>
          <w:b w:val="0"/>
          <w:bCs w:val="0"/>
        </w:rPr>
      </w:pPr>
      <w:r>
        <w:rPr>
          <w:rFonts w:ascii="Times New Roman" w:hAnsi="Times New Roman" w:cs="Times New Roman" w:eastAsia="Times New Roman" w:hint="default"/>
        </w:rPr>
        <w:t>4</w:t>
        <w:tab/>
      </w:r>
      <w:r>
        <w:rPr/>
        <w:t>报告期内控股股东变更情况索引及日期</w:t>
      </w:r>
      <w:r>
        <w:rPr>
          <w:b w:val="0"/>
          <w:bCs w:val="0"/>
        </w:rPr>
      </w:r>
    </w:p>
    <w:p>
      <w:pPr>
        <w:pStyle w:val="BodyText"/>
        <w:tabs>
          <w:tab w:pos="1060" w:val="left" w:leader="none"/>
        </w:tabs>
        <w:spacing w:line="240" w:lineRule="auto" w:before="81"/>
        <w:ind w:right="2631"/>
        <w:jc w:val="left"/>
      </w:pPr>
      <w:r>
        <w:rPr>
          <w:spacing w:val="-1"/>
        </w:rPr>
        <w:t>□适用</w:t>
        <w:tab/>
      </w:r>
      <w:r>
        <w:rPr>
          <w:spacing w:val="-2"/>
        </w:rPr>
        <w:t>√不适用</w:t>
      </w:r>
    </w:p>
    <w:p>
      <w:pPr>
        <w:pStyle w:val="Heading4"/>
        <w:tabs>
          <w:tab w:pos="637" w:val="left" w:leader="none"/>
        </w:tabs>
        <w:spacing w:line="240" w:lineRule="auto" w:before="97"/>
        <w:ind w:right="2631"/>
        <w:jc w:val="left"/>
        <w:rPr>
          <w:b w:val="0"/>
          <w:bCs w:val="0"/>
        </w:rPr>
      </w:pPr>
      <w:r>
        <w:rPr>
          <w:rFonts w:ascii="Times New Roman" w:hAnsi="Times New Roman" w:cs="Times New Roman" w:eastAsia="Times New Roman" w:hint="default"/>
        </w:rPr>
        <w:t>5</w:t>
        <w:tab/>
      </w:r>
      <w:r>
        <w:rPr/>
        <w:t>公司与控股股东之间的产权及控制关系的方框图</w:t>
      </w:r>
      <w:r>
        <w:rPr>
          <w:b w:val="0"/>
          <w:bCs w:val="0"/>
        </w:rPr>
      </w:r>
    </w:p>
    <w:p>
      <w:pPr>
        <w:pStyle w:val="BodyText"/>
        <w:tabs>
          <w:tab w:pos="1060" w:val="left" w:leader="none"/>
        </w:tabs>
        <w:spacing w:line="240" w:lineRule="auto" w:before="81"/>
        <w:ind w:right="2631"/>
        <w:jc w:val="left"/>
      </w:pPr>
      <w:r>
        <w:rPr>
          <w:spacing w:val="-1"/>
        </w:rPr>
        <w:t>√适用</w:t>
        <w:tab/>
      </w:r>
      <w:r>
        <w:rPr>
          <w:spacing w:val="-2"/>
        </w:rPr>
        <w:t>□不适用</w:t>
      </w:r>
    </w:p>
    <w:p>
      <w:pPr>
        <w:spacing w:line="240" w:lineRule="auto" w:before="4"/>
        <w:rPr>
          <w:rFonts w:ascii="宋体" w:hAnsi="宋体" w:cs="宋体" w:eastAsia="宋体" w:hint="default"/>
          <w:sz w:val="8"/>
          <w:szCs w:val="8"/>
        </w:rPr>
      </w:pPr>
    </w:p>
    <w:p>
      <w:pPr>
        <w:spacing w:line="3000" w:lineRule="exact"/>
        <w:ind w:left="217"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3371850" cy="190500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32" cstate="print"/>
                    <a:stretch>
                      <a:fillRect/>
                    </a:stretch>
                  </pic:blipFill>
                  <pic:spPr>
                    <a:xfrm>
                      <a:off x="0" y="0"/>
                      <a:ext cx="3371850" cy="1905000"/>
                    </a:xfrm>
                    <a:prstGeom prst="rect">
                      <a:avLst/>
                    </a:prstGeom>
                  </pic:spPr>
                </pic:pic>
              </a:graphicData>
            </a:graphic>
          </wp:inline>
        </w:drawing>
      </w:r>
      <w:r>
        <w:rPr>
          <w:rFonts w:ascii="宋体" w:hAnsi="宋体" w:cs="宋体" w:eastAsia="宋体" w:hint="default"/>
          <w:position w:val="-59"/>
          <w:sz w:val="20"/>
          <w:szCs w:val="20"/>
        </w:rPr>
      </w:r>
    </w:p>
    <w:p>
      <w:pPr>
        <w:pStyle w:val="Heading4"/>
        <w:spacing w:line="240" w:lineRule="auto" w:before="109"/>
        <w:ind w:right="263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实际控制人情况</w:t>
      </w:r>
      <w:r>
        <w:rPr>
          <w:b w:val="0"/>
          <w:bCs w:val="0"/>
        </w:rPr>
      </w:r>
    </w:p>
    <w:p>
      <w:pPr>
        <w:pStyle w:val="Heading4"/>
        <w:tabs>
          <w:tab w:pos="642" w:val="left" w:leader="none"/>
        </w:tabs>
        <w:spacing w:line="240" w:lineRule="auto" w:before="70"/>
        <w:ind w:right="2631"/>
        <w:jc w:val="left"/>
        <w:rPr>
          <w:b w:val="0"/>
          <w:bCs w:val="0"/>
        </w:rPr>
      </w:pPr>
      <w:r>
        <w:rPr>
          <w:rFonts w:ascii="Times New Roman" w:hAnsi="Times New Roman" w:cs="Times New Roman" w:eastAsia="Times New Roman" w:hint="default"/>
        </w:rPr>
        <w:t>1</w:t>
        <w:tab/>
      </w:r>
      <w:r>
        <w:rPr/>
        <w:t>法人</w:t>
      </w:r>
      <w:r>
        <w:rPr>
          <w:b w:val="0"/>
          <w:bCs w:val="0"/>
        </w:rPr>
      </w:r>
    </w:p>
    <w:p>
      <w:pPr>
        <w:pStyle w:val="BodyText"/>
        <w:spacing w:line="240" w:lineRule="auto" w:before="81"/>
        <w:ind w:right="2631"/>
        <w:jc w:val="left"/>
      </w:pPr>
      <w:r>
        <w:rPr/>
        <w:t>□适用</w:t>
      </w:r>
      <w:r>
        <w:rPr>
          <w:spacing w:val="-1"/>
        </w:rPr>
        <w:t> </w:t>
      </w:r>
      <w:r>
        <w:rPr/>
        <w:t>√不适用</w:t>
      </w:r>
    </w:p>
    <w:p>
      <w:pPr>
        <w:pStyle w:val="Heading4"/>
        <w:tabs>
          <w:tab w:pos="642" w:val="left" w:leader="none"/>
        </w:tabs>
        <w:spacing w:line="240" w:lineRule="auto" w:before="97"/>
        <w:ind w:right="2631"/>
        <w:jc w:val="left"/>
        <w:rPr>
          <w:b w:val="0"/>
          <w:bCs w:val="0"/>
        </w:rPr>
      </w:pPr>
      <w:r>
        <w:rPr>
          <w:rFonts w:ascii="Times New Roman" w:hAnsi="Times New Roman" w:cs="Times New Roman" w:eastAsia="Times New Roman" w:hint="default"/>
        </w:rPr>
        <w:t>2</w:t>
        <w:tab/>
      </w:r>
      <w:r>
        <w:rPr/>
        <w:t>自然人</w:t>
      </w:r>
      <w:r>
        <w:rPr>
          <w:b w:val="0"/>
          <w:bCs w:val="0"/>
        </w:rPr>
      </w:r>
    </w:p>
    <w:p>
      <w:pPr>
        <w:pStyle w:val="BodyText"/>
        <w:spacing w:line="240" w:lineRule="auto" w:before="81"/>
        <w:ind w:right="2631"/>
        <w:jc w:val="left"/>
      </w:pPr>
      <w:r>
        <w:rPr/>
        <w:t>√适用</w:t>
      </w:r>
      <w:r>
        <w:rPr>
          <w:spacing w:val="-1"/>
        </w:rPr>
        <w:t> </w:t>
      </w:r>
      <w:r>
        <w:rPr/>
        <w:t>□不适用</w:t>
      </w:r>
    </w:p>
    <w:p>
      <w:pPr>
        <w:spacing w:after="0" w:line="240" w:lineRule="auto"/>
        <w:jc w:val="left"/>
        <w:sectPr>
          <w:pgSz w:w="11910" w:h="16840"/>
          <w:pgMar w:header="855" w:footer="979" w:top="1120" w:bottom="1160" w:left="15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10"/>
        <w:gridCol w:w="5514"/>
      </w:tblGrid>
      <w:tr>
        <w:trPr>
          <w:trHeight w:val="324"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5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r>
      <w:tr>
        <w:trPr>
          <w:trHeight w:val="322"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2"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30"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5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公司董事长兼总经理；福建省万石控股集团有限公司执行</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董事、福建新微科技有限公司执行董事、泰宁万石旅游投</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资开发有限公司执行董事、武夷山国际健康管理集团有限</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公司执行董事、武夷山国际健康小镇有限公司执行董事、</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武夷山国际转诊中心有限公司执行董事、武夷山国际抗衰</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老中心有限公司执行董事、武夷山国际医疗旅游旅行社有</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限公司执行董事、武夷山国际康复疗养中心有限公司执行</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董事、武夷山国际体检中心有限公司执行董事、泉州匹兹</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堡健康中心有限公司执行董事、武夷山国际健康论坛有限</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公司执行董事。</w:t>
            </w:r>
          </w:p>
        </w:tc>
      </w:tr>
      <w:tr>
        <w:trPr>
          <w:trHeight w:val="634"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9"/>
              <w:jc w:val="left"/>
              <w:rPr>
                <w:rFonts w:ascii="宋体" w:hAnsi="宋体" w:cs="宋体" w:eastAsia="宋体" w:hint="default"/>
                <w:sz w:val="21"/>
                <w:szCs w:val="21"/>
              </w:rPr>
            </w:pPr>
            <w:r>
              <w:rPr>
                <w:rFonts w:ascii="宋体" w:hAnsi="宋体" w:cs="宋体" w:eastAsia="宋体" w:hint="default"/>
                <w:sz w:val="21"/>
                <w:szCs w:val="21"/>
              </w:rPr>
              <w:t>过去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年曾控股的境内外上市公</w:t>
            </w:r>
            <w:r>
              <w:rPr>
                <w:rFonts w:ascii="宋体" w:hAnsi="宋体" w:cs="宋体" w:eastAsia="宋体" w:hint="default"/>
                <w:w w:val="100"/>
                <w:sz w:val="21"/>
                <w:szCs w:val="21"/>
              </w:rPr>
              <w:t> </w:t>
            </w:r>
            <w:r>
              <w:rPr>
                <w:rFonts w:ascii="宋体" w:hAnsi="宋体" w:cs="宋体" w:eastAsia="宋体" w:hint="default"/>
                <w:sz w:val="21"/>
                <w:szCs w:val="21"/>
              </w:rPr>
              <w:t>司情况</w:t>
            </w:r>
          </w:p>
        </w:tc>
        <w:tc>
          <w:tcPr>
            <w:tcW w:w="5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sz w:val="24"/>
          <w:szCs w:val="24"/>
        </w:rPr>
      </w:pPr>
    </w:p>
    <w:p>
      <w:pPr>
        <w:pStyle w:val="Heading4"/>
        <w:tabs>
          <w:tab w:pos="642" w:val="left" w:leader="none"/>
        </w:tabs>
        <w:spacing w:line="240" w:lineRule="auto"/>
        <w:ind w:right="2631"/>
        <w:jc w:val="left"/>
        <w:rPr>
          <w:b w:val="0"/>
          <w:bCs w:val="0"/>
        </w:rPr>
      </w:pPr>
      <w:r>
        <w:rPr>
          <w:rFonts w:ascii="Times New Roman" w:hAnsi="Times New Roman" w:cs="Times New Roman" w:eastAsia="Times New Roman" w:hint="default"/>
        </w:rPr>
        <w:t>3</w:t>
        <w:tab/>
      </w:r>
      <w:r>
        <w:rPr/>
        <w:t>公司不存在实际控制人情况的特别说明</w:t>
      </w:r>
      <w:r>
        <w:rPr>
          <w:b w:val="0"/>
          <w:bCs w:val="0"/>
        </w:rPr>
      </w:r>
    </w:p>
    <w:p>
      <w:pPr>
        <w:pStyle w:val="BodyText"/>
        <w:tabs>
          <w:tab w:pos="1060" w:val="left" w:leader="none"/>
        </w:tabs>
        <w:spacing w:line="240" w:lineRule="auto" w:before="81"/>
        <w:ind w:right="2631"/>
        <w:jc w:val="left"/>
      </w:pPr>
      <w:r>
        <w:rPr>
          <w:spacing w:val="-1"/>
        </w:rPr>
        <w:t>□适用</w:t>
        <w:tab/>
      </w:r>
      <w:r>
        <w:rPr>
          <w:spacing w:val="-2"/>
        </w:rPr>
        <w:t>√不适用</w:t>
      </w:r>
    </w:p>
    <w:p>
      <w:pPr>
        <w:pStyle w:val="Heading4"/>
        <w:tabs>
          <w:tab w:pos="642" w:val="left" w:leader="none"/>
        </w:tabs>
        <w:spacing w:line="240" w:lineRule="auto" w:before="97"/>
        <w:ind w:right="2631"/>
        <w:jc w:val="left"/>
        <w:rPr>
          <w:b w:val="0"/>
          <w:bCs w:val="0"/>
        </w:rPr>
      </w:pPr>
      <w:r>
        <w:rPr>
          <w:rFonts w:ascii="Times New Roman" w:hAnsi="Times New Roman" w:cs="Times New Roman" w:eastAsia="Times New Roman" w:hint="default"/>
        </w:rPr>
        <w:t>4</w:t>
        <w:tab/>
      </w:r>
      <w:r>
        <w:rPr/>
        <w:t>报告期内实际控制人变更情况索引及日期</w:t>
      </w:r>
      <w:r>
        <w:rPr>
          <w:b w:val="0"/>
          <w:bCs w:val="0"/>
        </w:rPr>
      </w:r>
    </w:p>
    <w:p>
      <w:pPr>
        <w:pStyle w:val="BodyText"/>
        <w:tabs>
          <w:tab w:pos="1060" w:val="left" w:leader="none"/>
        </w:tabs>
        <w:spacing w:line="240" w:lineRule="auto" w:before="81"/>
        <w:ind w:right="2631"/>
        <w:jc w:val="left"/>
      </w:pPr>
      <w:r>
        <w:rPr>
          <w:spacing w:val="-1"/>
        </w:rPr>
        <w:t>□适用</w:t>
        <w:tab/>
      </w:r>
      <w:r>
        <w:rPr>
          <w:spacing w:val="-2"/>
        </w:rPr>
        <w:t>√不适用</w:t>
      </w:r>
    </w:p>
    <w:p>
      <w:pPr>
        <w:pStyle w:val="Heading4"/>
        <w:tabs>
          <w:tab w:pos="642" w:val="left" w:leader="none"/>
        </w:tabs>
        <w:spacing w:line="240" w:lineRule="auto" w:before="97"/>
        <w:ind w:right="2631"/>
        <w:jc w:val="left"/>
        <w:rPr>
          <w:b w:val="0"/>
          <w:bCs w:val="0"/>
        </w:rPr>
      </w:pPr>
      <w:r>
        <w:rPr>
          <w:rFonts w:ascii="Times New Roman" w:hAnsi="Times New Roman" w:cs="Times New Roman" w:eastAsia="Times New Roman" w:hint="default"/>
        </w:rPr>
        <w:t>5</w:t>
        <w:tab/>
      </w:r>
      <w:r>
        <w:rPr/>
        <w:t>公司与实际控制人之间的产权及控制关系的方框图</w:t>
      </w:r>
      <w:r>
        <w:rPr>
          <w:b w:val="0"/>
          <w:bCs w:val="0"/>
        </w:rPr>
      </w:r>
    </w:p>
    <w:p>
      <w:pPr>
        <w:pStyle w:val="BodyText"/>
        <w:tabs>
          <w:tab w:pos="1060" w:val="left" w:leader="none"/>
        </w:tabs>
        <w:spacing w:line="240" w:lineRule="auto" w:before="81"/>
        <w:ind w:right="2631"/>
        <w:jc w:val="left"/>
      </w:pPr>
      <w:r>
        <w:rPr>
          <w:spacing w:val="-1"/>
        </w:rPr>
        <w:t>√适用</w:t>
        <w:tab/>
      </w:r>
      <w:r>
        <w:rPr>
          <w:spacing w:val="-2"/>
        </w:rPr>
        <w:t>□不适用</w:t>
      </w:r>
    </w:p>
    <w:p>
      <w:pPr>
        <w:spacing w:line="240" w:lineRule="auto" w:before="5"/>
        <w:rPr>
          <w:rFonts w:ascii="宋体" w:hAnsi="宋体" w:cs="宋体" w:eastAsia="宋体" w:hint="default"/>
          <w:sz w:val="8"/>
          <w:szCs w:val="8"/>
        </w:rPr>
      </w:pPr>
    </w:p>
    <w:p>
      <w:pPr>
        <w:spacing w:line="3000" w:lineRule="exact"/>
        <w:ind w:left="217"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3371850" cy="1905000"/>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32" cstate="print"/>
                    <a:stretch>
                      <a:fillRect/>
                    </a:stretch>
                  </pic:blipFill>
                  <pic:spPr>
                    <a:xfrm>
                      <a:off x="0" y="0"/>
                      <a:ext cx="3371850" cy="1905000"/>
                    </a:xfrm>
                    <a:prstGeom prst="rect">
                      <a:avLst/>
                    </a:prstGeom>
                  </pic:spPr>
                </pic:pic>
              </a:graphicData>
            </a:graphic>
          </wp:inline>
        </w:drawing>
      </w:r>
      <w:r>
        <w:rPr>
          <w:rFonts w:ascii="宋体" w:hAnsi="宋体" w:cs="宋体" w:eastAsia="宋体" w:hint="default"/>
          <w:position w:val="-59"/>
          <w:sz w:val="20"/>
          <w:szCs w:val="20"/>
        </w:rPr>
      </w:r>
    </w:p>
    <w:p>
      <w:pPr>
        <w:pStyle w:val="Heading4"/>
        <w:tabs>
          <w:tab w:pos="642" w:val="left" w:leader="none"/>
        </w:tabs>
        <w:spacing w:line="240" w:lineRule="auto" w:before="108"/>
        <w:ind w:right="2631"/>
        <w:jc w:val="left"/>
        <w:rPr>
          <w:b w:val="0"/>
          <w:bCs w:val="0"/>
        </w:rPr>
      </w:pPr>
      <w:r>
        <w:rPr>
          <w:rFonts w:ascii="Times New Roman" w:hAnsi="Times New Roman" w:cs="Times New Roman" w:eastAsia="Times New Roman" w:hint="default"/>
        </w:rPr>
        <w:t>6</w:t>
        <w:tab/>
      </w:r>
      <w:r>
        <w:rPr/>
        <w:t>实际控制人通过信托或其他资产管理方式控制公司</w:t>
      </w:r>
      <w:r>
        <w:rPr>
          <w:b w:val="0"/>
          <w:bCs w:val="0"/>
        </w:rPr>
      </w:r>
    </w:p>
    <w:p>
      <w:pPr>
        <w:pStyle w:val="BodyText"/>
        <w:tabs>
          <w:tab w:pos="1060" w:val="left" w:leader="none"/>
        </w:tabs>
        <w:spacing w:line="240" w:lineRule="auto" w:before="81"/>
        <w:ind w:right="2631"/>
        <w:jc w:val="left"/>
      </w:pPr>
      <w:r>
        <w:rPr>
          <w:spacing w:val="-1"/>
        </w:rPr>
        <w:t>□适用</w:t>
        <w:tab/>
      </w:r>
      <w:r>
        <w:rPr>
          <w:spacing w:val="-2"/>
        </w:rPr>
        <w:t>√不适用</w:t>
      </w:r>
    </w:p>
    <w:p>
      <w:pPr>
        <w:pStyle w:val="Heading4"/>
        <w:spacing w:line="240" w:lineRule="auto" w:before="97"/>
        <w:ind w:right="263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1060" w:val="left" w:leader="none"/>
        </w:tabs>
        <w:spacing w:line="240" w:lineRule="auto" w:before="70"/>
        <w:ind w:right="2631"/>
        <w:jc w:val="left"/>
      </w:pPr>
      <w:r>
        <w:rPr>
          <w:spacing w:val="-1"/>
        </w:rPr>
        <w:t>□适用</w:t>
        <w:tab/>
      </w:r>
      <w:r>
        <w:rPr>
          <w:spacing w:val="-2"/>
        </w:rPr>
        <w:t>√不适用</w:t>
      </w:r>
    </w:p>
    <w:p>
      <w:pPr>
        <w:pStyle w:val="Heading4"/>
        <w:spacing w:line="240" w:lineRule="auto" w:before="97"/>
        <w:ind w:right="2631"/>
        <w:jc w:val="left"/>
        <w:rPr>
          <w:b w:val="0"/>
          <w:bCs w:val="0"/>
        </w:rPr>
      </w:pPr>
      <w:r>
        <w:rPr/>
        <w:t>五、</w:t>
      </w:r>
      <w:r>
        <w:rPr>
          <w:spacing w:val="-78"/>
        </w:rPr>
        <w:t> </w:t>
      </w:r>
      <w:r>
        <w:rPr/>
        <w:t>其他持股在百分之十以上的法人股东</w:t>
      </w:r>
      <w:r>
        <w:rPr>
          <w:b w:val="0"/>
          <w:bCs w:val="0"/>
        </w:rPr>
      </w:r>
    </w:p>
    <w:p>
      <w:pPr>
        <w:pStyle w:val="BodyText"/>
        <w:spacing w:line="240" w:lineRule="auto" w:before="97"/>
        <w:ind w:right="2631"/>
        <w:jc w:val="left"/>
      </w:pPr>
      <w:r>
        <w:rPr/>
        <w:t>□适用</w:t>
      </w:r>
      <w:r>
        <w:rPr>
          <w:spacing w:val="-1"/>
        </w:rPr>
        <w:t> </w:t>
      </w:r>
      <w:r>
        <w:rPr/>
        <w:t>√不适用</w:t>
      </w:r>
    </w:p>
    <w:p>
      <w:pPr>
        <w:pStyle w:val="Heading4"/>
        <w:spacing w:line="240" w:lineRule="auto" w:before="97"/>
        <w:ind w:right="2631"/>
        <w:jc w:val="left"/>
        <w:rPr>
          <w:b w:val="0"/>
          <w:bCs w:val="0"/>
        </w:rPr>
      </w:pPr>
      <w:r>
        <w:rPr/>
        <w:t>六、</w:t>
      </w:r>
      <w:r>
        <w:rPr>
          <w:spacing w:val="-77"/>
        </w:rPr>
        <w:t> </w:t>
      </w:r>
      <w:r>
        <w:rPr/>
        <w:t>股份限制减持情况说明</w:t>
      </w:r>
      <w:r>
        <w:rPr>
          <w:b w:val="0"/>
          <w:bCs w:val="0"/>
        </w:rPr>
      </w:r>
    </w:p>
    <w:p>
      <w:pPr>
        <w:pStyle w:val="BodyText"/>
        <w:spacing w:line="240" w:lineRule="auto" w:before="97"/>
        <w:ind w:right="2631"/>
        <w:jc w:val="left"/>
      </w:pPr>
      <w:r>
        <w:rPr/>
        <w:t>□适用</w:t>
      </w:r>
      <w:r>
        <w:rPr>
          <w:spacing w:val="-1"/>
        </w:rPr>
        <w:t> </w:t>
      </w:r>
      <w:r>
        <w:rPr/>
        <w:t>√不适用</w:t>
      </w:r>
    </w:p>
    <w:p>
      <w:pPr>
        <w:spacing w:after="0" w:line="240" w:lineRule="auto"/>
        <w:jc w:val="left"/>
        <w:sectPr>
          <w:pgSz w:w="11910" w:h="16840"/>
          <w:pgMar w:header="855" w:footer="979" w:top="1120" w:bottom="1160" w:left="158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13"/>
        <w:rPr>
          <w:rFonts w:ascii="黑体" w:hAnsi="黑体" w:cs="黑体" w:eastAsia="黑体" w:hint="default"/>
          <w:b/>
          <w:bCs/>
          <w:sz w:val="13"/>
          <w:szCs w:val="13"/>
        </w:rPr>
      </w:pPr>
    </w:p>
    <w:p>
      <w:pPr>
        <w:pStyle w:val="BodyText"/>
        <w:spacing w:line="240" w:lineRule="auto" w:before="36"/>
        <w:ind w:left="138" w:right="0"/>
        <w:jc w:val="left"/>
      </w:pPr>
      <w:r>
        <w:rPr/>
        <w:t>□适用</w:t>
      </w:r>
      <w:r>
        <w:rPr>
          <w:spacing w:val="-1"/>
        </w:rPr>
        <w:t> </w:t>
      </w:r>
      <w:r>
        <w:rPr/>
        <w:t>√不适用</w:t>
      </w:r>
    </w:p>
    <w:p>
      <w:pPr>
        <w:spacing w:after="0" w:line="240" w:lineRule="auto"/>
        <w:jc w:val="left"/>
        <w:sectPr>
          <w:pgSz w:w="11910" w:h="16840"/>
          <w:pgMar w:header="855" w:footer="979" w:top="1120" w:bottom="1160" w:left="1660" w:right="1140"/>
        </w:sectPr>
      </w:pPr>
    </w:p>
    <w:p>
      <w:pPr>
        <w:spacing w:line="240" w:lineRule="auto" w:before="5"/>
        <w:rPr>
          <w:rFonts w:ascii="宋体" w:hAnsi="宋体" w:cs="宋体" w:eastAsia="宋体" w:hint="default"/>
          <w:sz w:val="11"/>
          <w:szCs w:val="11"/>
        </w:rPr>
      </w:pPr>
    </w:p>
    <w:p>
      <w:pPr>
        <w:pStyle w:val="Heading1"/>
        <w:tabs>
          <w:tab w:pos="5401" w:val="left" w:leader="none"/>
        </w:tabs>
        <w:spacing w:line="240" w:lineRule="auto"/>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3"/>
          <w:footerReference w:type="default" r:id="rId34"/>
          <w:pgSz w:w="16840" w:h="11910" w:orient="landscape"/>
          <w:pgMar w:header="855" w:footer="980" w:top="1120" w:bottom="1160" w:left="1300" w:right="1200"/>
          <w:pgNumType w:start="73"/>
        </w:sectPr>
      </w:pPr>
    </w:p>
    <w:p>
      <w:pPr>
        <w:pStyle w:val="Heading4"/>
        <w:spacing w:line="240" w:lineRule="auto"/>
        <w:ind w:left="224" w:right="-15"/>
        <w:jc w:val="left"/>
        <w:rPr>
          <w:b w:val="0"/>
          <w:bCs w:val="0"/>
        </w:rPr>
      </w:pPr>
      <w:r>
        <w:rPr/>
        <w:t>一、持股变动情况及报酬情况</w:t>
      </w:r>
      <w:r>
        <w:rPr>
          <w:b w:val="0"/>
          <w:bCs w:val="0"/>
        </w:rPr>
      </w:r>
    </w:p>
    <w:p>
      <w:pPr>
        <w:pStyle w:val="Heading4"/>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580" w:bottom="2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47"/>
        <w:gridCol w:w="1152"/>
        <w:gridCol w:w="847"/>
        <w:gridCol w:w="845"/>
        <w:gridCol w:w="1200"/>
        <w:gridCol w:w="1200"/>
        <w:gridCol w:w="1371"/>
        <w:gridCol w:w="1406"/>
        <w:gridCol w:w="1419"/>
        <w:gridCol w:w="1133"/>
        <w:gridCol w:w="1277"/>
        <w:gridCol w:w="1200"/>
      </w:tblGrid>
      <w:tr>
        <w:trPr>
          <w:trHeight w:val="1160"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53"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7"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4"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72" w:lineRule="exact"/>
              <w:ind w:left="386" w:right="168"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72" w:lineRule="exact"/>
              <w:ind w:left="386" w:right="168"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53" w:right="0"/>
              <w:jc w:val="left"/>
              <w:rPr>
                <w:rFonts w:ascii="宋体" w:hAnsi="宋体" w:cs="宋体" w:eastAsia="宋体" w:hint="default"/>
                <w:sz w:val="21"/>
                <w:szCs w:val="21"/>
              </w:rPr>
            </w:pPr>
            <w:r>
              <w:rPr>
                <w:rFonts w:ascii="宋体" w:hAnsi="宋体" w:cs="宋体" w:eastAsia="宋体" w:hint="default"/>
                <w:sz w:val="21"/>
                <w:szCs w:val="21"/>
              </w:rPr>
              <w:t>年初持股数</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72" w:right="0"/>
              <w:jc w:val="left"/>
              <w:rPr>
                <w:rFonts w:ascii="宋体" w:hAnsi="宋体" w:cs="宋体" w:eastAsia="宋体" w:hint="default"/>
                <w:sz w:val="21"/>
                <w:szCs w:val="21"/>
              </w:rPr>
            </w:pPr>
            <w:r>
              <w:rPr>
                <w:rFonts w:ascii="宋体" w:hAnsi="宋体" w:cs="宋体" w:eastAsia="宋体" w:hint="default"/>
                <w:sz w:val="21"/>
                <w:szCs w:val="21"/>
              </w:rPr>
              <w:t>年末持股数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72" w:lineRule="exact"/>
              <w:ind w:left="177" w:right="176"/>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72" w:lineRule="exact"/>
              <w:ind w:left="350" w:right="137"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10" w:right="101"/>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是否在公</w:t>
            </w:r>
          </w:p>
          <w:p>
            <w:pPr>
              <w:pStyle w:val="TableParagraph"/>
              <w:spacing w:line="240" w:lineRule="auto"/>
              <w:ind w:left="175" w:right="171"/>
              <w:jc w:val="left"/>
              <w:rPr>
                <w:rFonts w:ascii="宋体" w:hAnsi="宋体" w:cs="宋体" w:eastAsia="宋体" w:hint="default"/>
                <w:sz w:val="21"/>
                <w:szCs w:val="21"/>
              </w:rPr>
            </w:pPr>
            <w:r>
              <w:rPr>
                <w:rFonts w:ascii="宋体" w:hAnsi="宋体" w:cs="宋体" w:eastAsia="宋体" w:hint="default"/>
                <w:sz w:val="21"/>
                <w:szCs w:val="21"/>
              </w:rPr>
              <w:t>司关联方</w:t>
            </w:r>
            <w:r>
              <w:rPr>
                <w:rFonts w:ascii="宋体" w:hAnsi="宋体" w:cs="宋体" w:eastAsia="宋体" w:hint="default"/>
                <w:w w:val="100"/>
                <w:sz w:val="21"/>
                <w:szCs w:val="21"/>
              </w:rPr>
              <w:t> </w:t>
            </w:r>
            <w:r>
              <w:rPr>
                <w:rFonts w:ascii="宋体" w:hAnsi="宋体" w:cs="宋体" w:eastAsia="宋体" w:hint="default"/>
                <w:sz w:val="21"/>
                <w:szCs w:val="21"/>
              </w:rPr>
              <w:t>获取报酬</w:t>
            </w:r>
          </w:p>
        </w:tc>
      </w:tr>
      <w:tr>
        <w:trPr>
          <w:trHeight w:val="554"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2"/>
                <w:sz w:val="21"/>
                <w:szCs w:val="21"/>
              </w:rPr>
              <w:t>董事长兼</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2017/3/22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2020/3/22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230,017,000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298,976,786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68,959,786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配股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z w:val="21"/>
              </w:rPr>
              <w:t>131.58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徐春梅</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2"/>
                <w:sz w:val="21"/>
                <w:szCs w:val="21"/>
              </w:rPr>
              <w:t>董事、副</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2017/3/22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2020/3/22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8,000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10,398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2,398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配股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z w:val="21"/>
              </w:rPr>
              <w:t>75.75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廖长宝</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2"/>
                <w:sz w:val="21"/>
                <w:szCs w:val="21"/>
              </w:rPr>
              <w:t>董事、副</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2017/3/22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2020/3/22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1,250,200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1,625,014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374,814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配股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z w:val="21"/>
              </w:rPr>
              <w:t>53.88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赵小凡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68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2017/3/22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2020/3/22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6.00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王浩</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71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2018/4/20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2020/3/22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4.09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刘润</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2017/3/22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2020/3/22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6.00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吴丽卿</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2"/>
                <w:sz w:val="21"/>
                <w:szCs w:val="21"/>
              </w:rPr>
              <w:t>董事会秘</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2" w:lineRule="exact" w:before="27"/>
              <w:ind w:left="105" w:right="65"/>
              <w:jc w:val="left"/>
              <w:rPr>
                <w:rFonts w:ascii="宋体" w:hAnsi="宋体" w:cs="宋体" w:eastAsia="宋体" w:hint="default"/>
                <w:sz w:val="21"/>
                <w:szCs w:val="21"/>
              </w:rPr>
            </w:pPr>
            <w:r>
              <w:rPr>
                <w:rFonts w:ascii="宋体" w:hAnsi="宋体" w:cs="宋体" w:eastAsia="宋体" w:hint="default"/>
                <w:spacing w:val="22"/>
                <w:sz w:val="21"/>
                <w:szCs w:val="21"/>
              </w:rPr>
              <w:t>书、副总</w:t>
            </w:r>
            <w:r>
              <w:rPr>
                <w:rFonts w:ascii="宋体" w:hAnsi="宋体" w:cs="宋体" w:eastAsia="宋体" w:hint="default"/>
                <w:spacing w:val="-96"/>
                <w:sz w:val="21"/>
                <w:szCs w:val="21"/>
              </w:rPr>
              <w:t> </w:t>
            </w:r>
            <w:r>
              <w:rPr>
                <w:rFonts w:ascii="宋体" w:hAnsi="宋体" w:cs="宋体" w:eastAsia="宋体" w:hint="default"/>
                <w:sz w:val="21"/>
                <w:szCs w:val="21"/>
              </w:rPr>
              <w:t>经理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2017/3/22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2020/3/22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1,273,807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293,807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配股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81.91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林立成</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2017/3/22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2020/3/22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155,976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35,976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配股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64.96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曾志勇</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2017/3/22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2020/3/22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40,000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51,992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11,992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配股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53.60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陈周明</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2"/>
                <w:sz w:val="21"/>
                <w:szCs w:val="21"/>
              </w:rPr>
              <w:t>监事会主</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2017/3/22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2020/3/22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50,000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64,990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14,990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配股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z w:val="21"/>
              </w:rPr>
              <w:t>27.50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洪培琪</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22"/>
                <w:sz w:val="21"/>
                <w:szCs w:val="21"/>
              </w:rPr>
              <w:t>职工代表</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41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2017/3/22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2020/3/22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w w:val="100"/>
                <w:sz w:val="21"/>
              </w:rPr>
              <w:t>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Times New Roman" w:hAnsi="Times New Roman" w:cs="Times New Roman" w:eastAsia="Times New Roman" w:hint="default"/>
                <w:sz w:val="21"/>
                <w:szCs w:val="21"/>
              </w:rPr>
            </w:pPr>
            <w:r>
              <w:rPr>
                <w:rFonts w:ascii="Times New Roman"/>
                <w:sz w:val="21"/>
              </w:rPr>
              <w:t>27.08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曾文语</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2017/3/22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2020/3/22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32.04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2017/3/22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2018/4/20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2.00</w:t>
            </w:r>
          </w:p>
        </w:tc>
        <w:tc>
          <w:tcPr>
            <w:tcW w:w="12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1300" w:right="120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47"/>
        <w:gridCol w:w="1152"/>
        <w:gridCol w:w="847"/>
        <w:gridCol w:w="845"/>
        <w:gridCol w:w="1200"/>
        <w:gridCol w:w="1200"/>
        <w:gridCol w:w="1371"/>
        <w:gridCol w:w="1406"/>
        <w:gridCol w:w="1419"/>
        <w:gridCol w:w="1133"/>
        <w:gridCol w:w="1277"/>
        <w:gridCol w:w="1200"/>
      </w:tblGrid>
      <w:tr>
        <w:trPr>
          <w:trHeight w:val="826"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张鹏程</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65"/>
              <w:jc w:val="left"/>
              <w:rPr>
                <w:rFonts w:ascii="宋体" w:hAnsi="宋体" w:cs="宋体" w:eastAsia="宋体" w:hint="default"/>
                <w:sz w:val="21"/>
                <w:szCs w:val="21"/>
              </w:rPr>
            </w:pPr>
            <w:r>
              <w:rPr>
                <w:rFonts w:ascii="宋体" w:hAnsi="宋体" w:cs="宋体" w:eastAsia="宋体" w:hint="default"/>
                <w:spacing w:val="22"/>
                <w:sz w:val="21"/>
                <w:szCs w:val="21"/>
              </w:rPr>
              <w:t>董事、副</w:t>
            </w:r>
            <w:r>
              <w:rPr>
                <w:rFonts w:ascii="宋体" w:hAnsi="宋体" w:cs="宋体" w:eastAsia="宋体" w:hint="default"/>
                <w:spacing w:val="-96"/>
                <w:sz w:val="21"/>
                <w:szCs w:val="21"/>
              </w:rPr>
              <w:t> </w:t>
            </w:r>
            <w:r>
              <w:rPr>
                <w:rFonts w:ascii="宋体" w:hAnsi="宋体" w:cs="宋体" w:eastAsia="宋体" w:hint="default"/>
                <w:sz w:val="21"/>
                <w:szCs w:val="21"/>
              </w:rPr>
              <w:t>总经理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37" w:right="0"/>
              <w:jc w:val="left"/>
              <w:rPr>
                <w:rFonts w:ascii="Times New Roman" w:hAnsi="Times New Roman" w:cs="Times New Roman" w:eastAsia="Times New Roman" w:hint="default"/>
                <w:sz w:val="21"/>
                <w:szCs w:val="21"/>
              </w:rPr>
            </w:pPr>
            <w:r>
              <w:rPr>
                <w:rFonts w:ascii="Times New Roman"/>
                <w:sz w:val="21"/>
              </w:rPr>
              <w:t>2017/3/22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37" w:right="0"/>
              <w:jc w:val="left"/>
              <w:rPr>
                <w:rFonts w:ascii="Times New Roman" w:hAnsi="Times New Roman" w:cs="Times New Roman" w:eastAsia="Times New Roman" w:hint="default"/>
                <w:sz w:val="21"/>
                <w:szCs w:val="21"/>
              </w:rPr>
            </w:pPr>
            <w:r>
              <w:rPr>
                <w:rFonts w:ascii="Times New Roman"/>
                <w:sz w:val="21"/>
              </w:rPr>
              <w:t>2018/3/29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405,800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401,379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-4,421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配股、二</w:t>
            </w:r>
          </w:p>
          <w:p>
            <w:pPr>
              <w:pStyle w:val="TableParagraph"/>
              <w:spacing w:line="240" w:lineRule="auto"/>
              <w:ind w:left="456" w:right="137" w:hanging="315"/>
              <w:jc w:val="left"/>
              <w:rPr>
                <w:rFonts w:ascii="宋体" w:hAnsi="宋体" w:cs="宋体" w:eastAsia="宋体" w:hint="default"/>
                <w:sz w:val="21"/>
                <w:szCs w:val="21"/>
              </w:rPr>
            </w:pPr>
            <w:r>
              <w:rPr>
                <w:rFonts w:ascii="宋体" w:hAnsi="宋体" w:cs="宋体" w:eastAsia="宋体" w:hint="default"/>
                <w:sz w:val="21"/>
                <w:szCs w:val="21"/>
              </w:rPr>
              <w:t>级市场减</w:t>
            </w:r>
            <w:r>
              <w:rPr>
                <w:rFonts w:ascii="宋体" w:hAnsi="宋体" w:cs="宋体" w:eastAsia="宋体" w:hint="default"/>
                <w:w w:val="100"/>
                <w:sz w:val="21"/>
                <w:szCs w:val="21"/>
              </w:rPr>
              <w:t> </w:t>
            </w:r>
            <w:r>
              <w:rPr>
                <w:rFonts w:ascii="宋体" w:hAnsi="宋体" w:cs="宋体" w:eastAsia="宋体" w:hint="default"/>
                <w:sz w:val="21"/>
                <w:szCs w:val="21"/>
              </w:rPr>
              <w:t>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7.82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232,871,000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302,560,342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69,689,342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574.21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368"/>
        <w:gridCol w:w="12496"/>
      </w:tblGrid>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37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z w:val="21"/>
                <w:szCs w:val="21"/>
              </w:rPr>
              <w:t>吴志雄，男，</w:t>
            </w:r>
            <w:r>
              <w:rPr>
                <w:rFonts w:ascii="Times New Roman" w:hAnsi="Times New Roman" w:cs="Times New Roman" w:eastAsia="Times New Roman" w:hint="default"/>
                <w:sz w:val="21"/>
                <w:szCs w:val="21"/>
              </w:rPr>
              <w:t>1972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月出生，中国国籍，无永久境外居留权，硕士。自公司成立至今任董事长兼总经理、万石控股集团有限公司执</w:t>
            </w:r>
          </w:p>
          <w:p>
            <w:pPr>
              <w:pStyle w:val="TableParagraph"/>
              <w:spacing w:line="237" w:lineRule="auto"/>
              <w:ind w:left="103" w:right="102"/>
              <w:jc w:val="both"/>
              <w:rPr>
                <w:rFonts w:ascii="宋体" w:hAnsi="宋体" w:cs="宋体" w:eastAsia="宋体" w:hint="default"/>
                <w:sz w:val="21"/>
                <w:szCs w:val="21"/>
              </w:rPr>
            </w:pPr>
            <w:r>
              <w:rPr>
                <w:rFonts w:ascii="宋体" w:hAnsi="宋体" w:cs="宋体" w:eastAsia="宋体" w:hint="default"/>
                <w:sz w:val="21"/>
                <w:szCs w:val="21"/>
              </w:rPr>
              <w:t>行董事、福建新微科技有限公司执行董事、泰宁万石旅游投资开发有限公司执行董事、武夷山国际健康管理集团有限公司执行董事、</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武夷山国际健康小镇有限公司执行董事、武夷山国际转诊中心有限公司执行董事、武夷山国际抗衰老中心有限公司执行董事、武夷山</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国际医疗旅游旅行社有限公司执行董事、武夷山国际康复疗养中心有限公司执行董事、武夷山国际体检中心有限公司执行董事、武夷</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山国际健康论坛有限公司执行董事、泉州匹兹堡健康中心有限公司执行董事。</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徐春梅</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徐春梅，女，</w:t>
            </w:r>
            <w:r>
              <w:rPr>
                <w:rFonts w:ascii="Times New Roman" w:hAnsi="Times New Roman" w:cs="Times New Roman" w:eastAsia="Times New Roman" w:hint="default"/>
                <w:sz w:val="21"/>
                <w:szCs w:val="21"/>
              </w:rPr>
              <w:t>1979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月出生，中国国籍，无永久境外居留权，硕士，历任福建榕基软件股份有限公司售前支持部售前工程师，公司</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售前支持部经理、项目总监；现任公司董事、副总经理。</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廖长宝</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廖长宝，男，</w:t>
            </w:r>
            <w:r>
              <w:rPr>
                <w:rFonts w:ascii="Times New Roman" w:hAnsi="Times New Roman" w:cs="Times New Roman" w:eastAsia="Times New Roman" w:hint="default"/>
                <w:sz w:val="21"/>
                <w:szCs w:val="21"/>
              </w:rPr>
              <w:t>1971 </w:t>
            </w: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月出生，中国国籍，无永久境外居留权，硕士。历任福州诺威亚网络有限公司工程师，福建榕基软件股份有限</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公司售前支持部经理，公司技术总监。现任公司董事、副总经理。</w:t>
            </w:r>
          </w:p>
        </w:tc>
      </w:tr>
      <w:tr>
        <w:trPr>
          <w:trHeight w:val="8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赵小凡</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赵小凡，男，</w:t>
            </w:r>
            <w:r>
              <w:rPr>
                <w:rFonts w:ascii="Times New Roman" w:hAnsi="Times New Roman" w:cs="Times New Roman" w:eastAsia="Times New Roman" w:hint="default"/>
                <w:sz w:val="21"/>
                <w:szCs w:val="21"/>
              </w:rPr>
              <w:t>1950 </w:t>
            </w:r>
            <w:r>
              <w:rPr>
                <w:rFonts w:ascii="宋体" w:hAnsi="宋体" w:cs="宋体" w:eastAsia="宋体" w:hint="default"/>
                <w:sz w:val="21"/>
                <w:szCs w:val="21"/>
              </w:rPr>
              <w:t>年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月出生，中国国籍，中共党员，无永久境外居留权。硕士，研究员。曾任国务院信息化工作办公室司长，工业</w:t>
            </w:r>
          </w:p>
          <w:p>
            <w:pPr>
              <w:pStyle w:val="TableParagraph"/>
              <w:spacing w:line="272" w:lineRule="exact" w:before="19"/>
              <w:ind w:left="103" w:right="96"/>
              <w:jc w:val="left"/>
              <w:rPr>
                <w:rFonts w:ascii="宋体" w:hAnsi="宋体" w:cs="宋体" w:eastAsia="宋体" w:hint="default"/>
                <w:sz w:val="21"/>
                <w:szCs w:val="21"/>
              </w:rPr>
            </w:pPr>
            <w:r>
              <w:rPr>
                <w:rFonts w:ascii="宋体" w:hAnsi="宋体" w:cs="宋体" w:eastAsia="宋体" w:hint="default"/>
                <w:sz w:val="21"/>
                <w:szCs w:val="21"/>
              </w:rPr>
              <w:t>和信息化部司长，中国软件行业协会理事长，北京东方通科技股份有限公司独立董事，北京华宇软件股份有限公司独立董事。报告期</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内担任京华信息科技股份有限公司董事，现任公司独立董事。</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刘润</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刘润，男，</w:t>
            </w:r>
            <w:r>
              <w:rPr>
                <w:rFonts w:ascii="Times New Roman" w:hAnsi="Times New Roman" w:cs="Times New Roman" w:eastAsia="Times New Roman" w:hint="default"/>
                <w:sz w:val="21"/>
                <w:szCs w:val="21"/>
              </w:rPr>
              <w:t>1978 </w:t>
            </w:r>
            <w:r>
              <w:rPr>
                <w:rFonts w:ascii="宋体" w:hAnsi="宋体" w:cs="宋体" w:eastAsia="宋体" w:hint="default"/>
                <w:sz w:val="21"/>
                <w:szCs w:val="21"/>
              </w:rPr>
              <w:t>年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月出生，中国国籍，无永久境外居留权，本科，注册会计师。曾任福建华兴会计师事务所（特殊普通合伙）审计</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师、项目经理等职务，现任公司独立董事、致同会计师事务所（特殊普通合伙）总监。</w:t>
            </w:r>
          </w:p>
        </w:tc>
      </w:tr>
      <w:tr>
        <w:trPr>
          <w:trHeight w:val="8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王浩</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5"/>
              <w:jc w:val="left"/>
              <w:rPr>
                <w:rFonts w:ascii="宋体" w:hAnsi="宋体" w:cs="宋体" w:eastAsia="宋体" w:hint="default"/>
                <w:sz w:val="21"/>
                <w:szCs w:val="21"/>
              </w:rPr>
            </w:pPr>
            <w:r>
              <w:rPr>
                <w:rFonts w:ascii="宋体" w:hAnsi="宋体" w:cs="宋体" w:eastAsia="宋体" w:hint="default"/>
                <w:spacing w:val="-3"/>
                <w:sz w:val="21"/>
                <w:szCs w:val="21"/>
              </w:rPr>
              <w:t>王浩，男，</w:t>
            </w:r>
            <w:r>
              <w:rPr>
                <w:rFonts w:ascii="Times New Roman" w:hAnsi="Times New Roman" w:cs="Times New Roman" w:eastAsia="Times New Roman" w:hint="default"/>
                <w:spacing w:val="-3"/>
                <w:sz w:val="21"/>
                <w:szCs w:val="21"/>
              </w:rPr>
              <w:t>1953  </w:t>
            </w:r>
            <w:r>
              <w:rPr>
                <w:rFonts w:ascii="宋体" w:hAnsi="宋体" w:cs="宋体" w:eastAsia="宋体" w:hint="default"/>
                <w:sz w:val="21"/>
                <w:szCs w:val="21"/>
              </w:rPr>
              <w:t>年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月出生，中国国籍，中共党员，无永久境外居留权。中国工程院院士，教授级高工，博导，享有国务院政府津贴。</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z w:val="21"/>
                <w:szCs w:val="21"/>
              </w:rPr>
              <w:t>历任中国水科院水资源所工程师、副室主任、室主任、总工程师、所长。</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月至今任流域水循环模拟与调控国家重点实验室主</w:t>
            </w:r>
            <w:r>
              <w:rPr>
                <w:rFonts w:ascii="宋体" w:hAnsi="宋体" w:cs="宋体" w:eastAsia="宋体" w:hint="default"/>
                <w:w w:val="100"/>
                <w:sz w:val="21"/>
                <w:szCs w:val="21"/>
              </w:rPr>
              <w:t> </w:t>
            </w:r>
            <w:r>
              <w:rPr>
                <w:rFonts w:ascii="宋体" w:hAnsi="宋体" w:cs="宋体" w:eastAsia="宋体" w:hint="default"/>
                <w:sz w:val="21"/>
                <w:szCs w:val="21"/>
              </w:rPr>
              <w:t>任。曾任北京超图软件股份有限公司独立董事、北京正和恒基滨水生态环境治理股份有限公司独立董事。现任公司独立董事。</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曾志勇</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曾志勇，男，</w:t>
            </w:r>
            <w:r>
              <w:rPr>
                <w:rFonts w:ascii="Times New Roman" w:hAnsi="Times New Roman" w:cs="Times New Roman" w:eastAsia="Times New Roman" w:hint="default"/>
                <w:sz w:val="21"/>
                <w:szCs w:val="21"/>
              </w:rPr>
              <w:t>1970 </w:t>
            </w:r>
            <w:r>
              <w:rPr>
                <w:rFonts w:ascii="宋体" w:hAnsi="宋体" w:cs="宋体" w:eastAsia="宋体" w:hint="default"/>
                <w:sz w:val="21"/>
                <w:szCs w:val="21"/>
              </w:rPr>
              <w:t>年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月出生，中国国籍，无永久境外居留权，本科。历任中国绿色食品集团有限公司财务副总监、福建金山医药实</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业集团有限公司财务总监、公司财务中心总经理。现任公司财务总监。</w:t>
            </w:r>
          </w:p>
        </w:tc>
      </w:tr>
      <w:tr>
        <w:trPr>
          <w:trHeight w:val="55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陈周明</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陈周明，男，</w:t>
            </w:r>
            <w:r>
              <w:rPr>
                <w:rFonts w:ascii="Times New Roman" w:hAnsi="Times New Roman" w:cs="Times New Roman" w:eastAsia="Times New Roman" w:hint="default"/>
                <w:spacing w:val="-3"/>
                <w:sz w:val="21"/>
                <w:szCs w:val="21"/>
              </w:rPr>
              <w:t>1979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pacing w:val="-3"/>
                <w:sz w:val="21"/>
                <w:szCs w:val="21"/>
              </w:rPr>
              <w:t>月出生，中国国籍，无永久境外居留权，本科。历任中国联通泉州市分公司集团客户部总经理、县分公司总经</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理等职务。现任公司监事会主席、营销总监。</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洪培琪</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洪培琪，男，</w:t>
            </w:r>
            <w:r>
              <w:rPr>
                <w:rFonts w:ascii="Times New Roman" w:hAnsi="Times New Roman" w:cs="Times New Roman" w:eastAsia="Times New Roman" w:hint="default"/>
                <w:spacing w:val="-3"/>
                <w:sz w:val="21"/>
                <w:szCs w:val="21"/>
              </w:rPr>
              <w:t>1978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月出生，中国国籍，无永久境外居留权，硕士。曾就职于中国平安保险厦门寿险分公司、东莞市石碣溢年塑胶</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五金制品厂，历任公司软件工程师、项目经理等职务。现任公司职工代表监事、运营监管部经理。</w:t>
            </w:r>
          </w:p>
        </w:tc>
      </w:tr>
      <w:tr>
        <w:trPr>
          <w:trHeight w:val="28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曾文语</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宋体" w:hAnsi="宋体" w:cs="宋体" w:eastAsia="宋体" w:hint="default"/>
                <w:sz w:val="21"/>
                <w:szCs w:val="21"/>
              </w:rPr>
            </w:pPr>
            <w:r>
              <w:rPr>
                <w:rFonts w:ascii="宋体" w:hAnsi="宋体" w:cs="宋体" w:eastAsia="宋体" w:hint="default"/>
                <w:spacing w:val="-3"/>
                <w:sz w:val="21"/>
                <w:szCs w:val="21"/>
              </w:rPr>
              <w:t>曾文语，男，</w:t>
            </w:r>
            <w:r>
              <w:rPr>
                <w:rFonts w:ascii="Times New Roman" w:hAnsi="Times New Roman" w:cs="Times New Roman" w:eastAsia="Times New Roman" w:hint="default"/>
                <w:spacing w:val="-3"/>
                <w:sz w:val="21"/>
                <w:szCs w:val="21"/>
              </w:rPr>
              <w:t>1981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月出生，中国国籍，无永久境外居留权，本科。历任福州弘扬软件有限公司软件开发工程师、厦门西雅电子信</w:t>
            </w:r>
          </w:p>
        </w:tc>
      </w:tr>
    </w:tbl>
    <w:p>
      <w:pPr>
        <w:spacing w:after="0" w:line="257" w:lineRule="exact"/>
        <w:jc w:val="center"/>
        <w:rPr>
          <w:rFonts w:ascii="宋体" w:hAnsi="宋体" w:cs="宋体" w:eastAsia="宋体" w:hint="default"/>
          <w:sz w:val="21"/>
          <w:szCs w:val="21"/>
        </w:rPr>
        <w:sectPr>
          <w:pgSz w:w="16840" w:h="11910" w:orient="landscape"/>
          <w:pgMar w:header="855" w:footer="980" w:top="1120" w:bottom="1160" w:left="1300" w:right="120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68"/>
        <w:gridCol w:w="12496"/>
      </w:tblGrid>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息技术有限公司软件开发工程师。</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月至今历任技术主管、部门经理、政务事业部副总经理。现任公司监事、政务事业一部总</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吴丽卿</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吴丽卿，女，</w:t>
            </w:r>
            <w:r>
              <w:rPr>
                <w:rFonts w:ascii="Times New Roman" w:hAnsi="Times New Roman" w:cs="Times New Roman" w:eastAsia="Times New Roman" w:hint="default"/>
                <w:sz w:val="21"/>
                <w:szCs w:val="21"/>
              </w:rPr>
              <w:t>1979 </w:t>
            </w:r>
            <w:r>
              <w:rPr>
                <w:rFonts w:ascii="宋体" w:hAnsi="宋体" w:cs="宋体" w:eastAsia="宋体" w:hint="default"/>
                <w:sz w:val="21"/>
                <w:szCs w:val="21"/>
              </w:rPr>
              <w:t>年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月出生，中国国籍，无永久境外居留权，本科。历任公司总经理助理、总经理办公室主任。现任公司副总经理</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兼董事会秘书，成都四方伟业软件股份有限公司董事。</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林立成</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林立成，男，</w:t>
            </w:r>
            <w:r>
              <w:rPr>
                <w:rFonts w:ascii="Times New Roman" w:hAnsi="Times New Roman" w:cs="Times New Roman" w:eastAsia="Times New Roman" w:hint="default"/>
                <w:sz w:val="21"/>
                <w:szCs w:val="21"/>
              </w:rPr>
              <w:t>1970 </w:t>
            </w:r>
            <w:r>
              <w:rPr>
                <w:rFonts w:ascii="宋体" w:hAnsi="宋体" w:cs="宋体" w:eastAsia="宋体" w:hint="default"/>
                <w:sz w:val="21"/>
                <w:szCs w:val="21"/>
              </w:rPr>
              <w:t>年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月出生，中国国籍，无永久境外居留权，本科。历任福建省公安厅政治部秘书科、警务科科员，人事处地方工</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作科科员，人事处机关干部科副科长、科长，经济犯罪侦查总队副总队长。现任公司副总经理。</w:t>
            </w:r>
          </w:p>
        </w:tc>
      </w:tr>
      <w:tr>
        <w:trPr>
          <w:trHeight w:val="110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吴怡</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z w:val="21"/>
                <w:szCs w:val="21"/>
              </w:rPr>
              <w:t>吴怡，女，</w:t>
            </w:r>
            <w:r>
              <w:rPr>
                <w:rFonts w:ascii="Times New Roman" w:hAnsi="Times New Roman" w:cs="Times New Roman" w:eastAsia="Times New Roman" w:hint="default"/>
                <w:sz w:val="21"/>
                <w:szCs w:val="21"/>
              </w:rPr>
              <w:t>1970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月出生，中国国籍，无永久境外居留权，东南大学信息与通信工程专业博士研究生，中国民主促进会会员。历任</w:t>
            </w:r>
          </w:p>
          <w:p>
            <w:pPr>
              <w:pStyle w:val="TableParagraph"/>
              <w:spacing w:line="232" w:lineRule="auto"/>
              <w:ind w:left="103" w:right="96"/>
              <w:jc w:val="both"/>
              <w:rPr>
                <w:rFonts w:ascii="宋体" w:hAnsi="宋体" w:cs="宋体" w:eastAsia="宋体" w:hint="default"/>
                <w:sz w:val="21"/>
                <w:szCs w:val="21"/>
              </w:rPr>
            </w:pPr>
            <w:r>
              <w:rPr>
                <w:rFonts w:ascii="宋体" w:hAnsi="宋体" w:cs="宋体" w:eastAsia="宋体" w:hint="default"/>
                <w:sz w:val="21"/>
                <w:szCs w:val="21"/>
              </w:rPr>
              <w:t>福建师范大学物理与光电信息科技学院副教授，华映科技（集团）股份有限公司独立董事，公司独立董事。现任福建师范大学光电与</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2"/>
                <w:sz w:val="21"/>
                <w:szCs w:val="21"/>
              </w:rPr>
              <w:t>信息工程学院教授、博士生导师，</w:t>
            </w:r>
            <w:r>
              <w:rPr>
                <w:rFonts w:ascii="Times New Roman" w:hAnsi="Times New Roman" w:cs="Times New Roman" w:eastAsia="Times New Roman" w:hint="default"/>
                <w:spacing w:val="-2"/>
                <w:sz w:val="21"/>
                <w:szCs w:val="21"/>
              </w:rPr>
              <w:t>IEEE</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会员，中国电子学会高级会员，中国电子学会青年科学家俱乐部会员，福建省电子学会理事，</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福建省青年科学家协会理事，福建省女科学家协会理事。</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张鹏程</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6"/>
              <w:jc w:val="left"/>
              <w:rPr>
                <w:rFonts w:ascii="宋体" w:hAnsi="宋体" w:cs="宋体" w:eastAsia="宋体" w:hint="default"/>
                <w:sz w:val="21"/>
                <w:szCs w:val="21"/>
              </w:rPr>
            </w:pPr>
            <w:r>
              <w:rPr>
                <w:rFonts w:ascii="宋体" w:hAnsi="宋体" w:cs="宋体" w:eastAsia="宋体" w:hint="default"/>
                <w:spacing w:val="-3"/>
                <w:sz w:val="21"/>
                <w:szCs w:val="21"/>
              </w:rPr>
              <w:t>张鹏程，男，</w:t>
            </w:r>
            <w:r>
              <w:rPr>
                <w:rFonts w:ascii="Times New Roman" w:hAnsi="Times New Roman" w:cs="Times New Roman" w:eastAsia="Times New Roman" w:hint="default"/>
                <w:spacing w:val="-3"/>
                <w:sz w:val="21"/>
                <w:szCs w:val="21"/>
              </w:rPr>
              <w:t>1980  </w:t>
            </w:r>
            <w:r>
              <w:rPr>
                <w:rFonts w:ascii="宋体" w:hAnsi="宋体" w:cs="宋体" w:eastAsia="宋体" w:hint="default"/>
                <w:sz w:val="21"/>
                <w:szCs w:val="21"/>
              </w:rPr>
              <w:t>年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月出生，中国国籍，无永久境外居留权，硕士，高级项目经理，国际项目管理师。历任公司工程部经理、项目</w:t>
            </w:r>
          </w:p>
          <w:p>
            <w:pPr>
              <w:pStyle w:val="TableParagraph"/>
              <w:spacing w:line="266" w:lineRule="exact"/>
              <w:ind w:left="103" w:right="-6"/>
              <w:jc w:val="left"/>
              <w:rPr>
                <w:rFonts w:ascii="宋体" w:hAnsi="宋体" w:cs="宋体" w:eastAsia="宋体" w:hint="default"/>
                <w:sz w:val="21"/>
                <w:szCs w:val="21"/>
              </w:rPr>
            </w:pPr>
            <w:r>
              <w:rPr>
                <w:rFonts w:ascii="宋体" w:hAnsi="宋体" w:cs="宋体" w:eastAsia="宋体" w:hint="default"/>
                <w:spacing w:val="-2"/>
                <w:sz w:val="21"/>
                <w:szCs w:val="21"/>
              </w:rPr>
              <w:t>管理部经理、技术副总监、项目总监、公司董事、副总经理。现任福建南威软件有限公司总经理、浙江易政信息技术有限公司总经理。</w:t>
            </w:r>
          </w:p>
        </w:tc>
      </w:tr>
    </w:tbl>
    <w:p>
      <w:pPr>
        <w:spacing w:line="240" w:lineRule="auto" w:before="0"/>
        <w:rPr>
          <w:rFonts w:ascii="Times New Roman" w:hAnsi="Times New Roman" w:cs="Times New Roman" w:eastAsia="Times New Roman" w:hint="default"/>
          <w:sz w:val="21"/>
          <w:szCs w:val="21"/>
        </w:rPr>
      </w:pPr>
    </w:p>
    <w:p>
      <w:pPr>
        <w:pStyle w:val="BodyText"/>
        <w:spacing w:line="274" w:lineRule="exact" w:before="36"/>
        <w:ind w:left="224" w:right="0"/>
        <w:jc w:val="left"/>
      </w:pPr>
      <w:r>
        <w:rPr/>
        <w:t>其它情况说明</w:t>
      </w:r>
    </w:p>
    <w:p>
      <w:pPr>
        <w:pStyle w:val="BodyText"/>
        <w:spacing w:line="274" w:lineRule="exact"/>
        <w:ind w:left="224" w:right="0"/>
        <w:jc w:val="left"/>
      </w:pPr>
      <w:r>
        <w:rPr/>
        <w:t>√适用 □不适用</w:t>
      </w:r>
    </w:p>
    <w:p>
      <w:pPr>
        <w:pStyle w:val="BodyText"/>
        <w:spacing w:line="300" w:lineRule="auto" w:before="73"/>
        <w:ind w:left="224" w:right="115" w:firstLine="480"/>
        <w:jc w:val="both"/>
      </w:pPr>
      <w:r>
        <w:rPr>
          <w:rFonts w:ascii="Calibri" w:hAnsi="Calibri" w:cs="Calibri" w:eastAsia="Calibri" w:hint="default"/>
          <w:spacing w:val="-3"/>
        </w:rPr>
        <w:t>1</w:t>
      </w:r>
      <w:r>
        <w:rPr>
          <w:spacing w:val="-3"/>
        </w:rPr>
        <w:t>、公司于</w:t>
      </w:r>
      <w:r>
        <w:rPr>
          <w:rFonts w:ascii="Calibri" w:hAnsi="Calibri" w:cs="Calibri" w:eastAsia="Calibri" w:hint="default"/>
          <w:spacing w:val="-3"/>
        </w:rPr>
        <w:t>2018</w:t>
      </w:r>
      <w:r>
        <w:rPr>
          <w:spacing w:val="-3"/>
        </w:rPr>
        <w:t>年</w:t>
      </w:r>
      <w:r>
        <w:rPr>
          <w:rFonts w:ascii="Calibri" w:hAnsi="Calibri" w:cs="Calibri" w:eastAsia="Calibri" w:hint="default"/>
          <w:spacing w:val="-3"/>
        </w:rPr>
        <w:t>3</w:t>
      </w:r>
      <w:r>
        <w:rPr>
          <w:spacing w:val="-3"/>
        </w:rPr>
        <w:t>月</w:t>
      </w:r>
      <w:r>
        <w:rPr>
          <w:rFonts w:ascii="Calibri" w:hAnsi="Calibri" w:cs="Calibri" w:eastAsia="Calibri" w:hint="default"/>
          <w:spacing w:val="-3"/>
        </w:rPr>
        <w:t>29</w:t>
      </w:r>
      <w:r>
        <w:rPr>
          <w:spacing w:val="-3"/>
        </w:rPr>
        <w:t>日收到公司董事、副总经理张鹏程先生的辞职报告，张鹏程先生因工作繁忙，申请辞去公司董事及董事会下设各专门委员会</w:t>
      </w:r>
      <w:r>
        <w:rPr>
          <w:w w:val="100"/>
        </w:rPr>
        <w:t> </w:t>
      </w:r>
      <w:r>
        <w:rPr>
          <w:spacing w:val="-2"/>
        </w:rPr>
        <w:t>相关委员职务、副总经理职务，其辞职报告自送达公司董事会之日起生效。张鹏程先生在辞去上述职务后，仍担任福建南威软件有限公司总经理、浙江</w:t>
      </w:r>
      <w:r>
        <w:rPr>
          <w:spacing w:val="22"/>
        </w:rPr>
        <w:t> </w:t>
      </w:r>
      <w:r>
        <w:rPr>
          <w:spacing w:val="22"/>
        </w:rPr>
      </w:r>
      <w:r>
        <w:rPr/>
        <w:t>易政信息技术有限公司总经理。</w:t>
      </w:r>
    </w:p>
    <w:p>
      <w:pPr>
        <w:pStyle w:val="BodyText"/>
        <w:spacing w:line="240" w:lineRule="auto" w:before="32"/>
        <w:ind w:left="644" w:right="0"/>
        <w:jc w:val="left"/>
      </w:pPr>
      <w:r>
        <w:rPr>
          <w:rFonts w:ascii="Times New Roman" w:hAnsi="Times New Roman" w:cs="Times New Roman" w:eastAsia="Times New Roman" w:hint="default"/>
        </w:rPr>
        <w:t>2</w:t>
      </w:r>
      <w:r>
        <w:rPr/>
        <w:t>、公司于</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日收到公司独立董事吴怡女士提交的辞职报告，其因个人工作原因，申请辞去独立董事职务及相关专门委员会委员。</w:t>
      </w:r>
    </w:p>
    <w:p>
      <w:pPr>
        <w:pStyle w:val="BodyText"/>
        <w:spacing w:line="297" w:lineRule="auto" w:before="69"/>
        <w:ind w:left="224" w:right="113" w:firstLine="420"/>
        <w:jc w:val="both"/>
      </w:pPr>
      <w:r>
        <w:rPr>
          <w:rFonts w:ascii="Times New Roman" w:hAnsi="Times New Roman" w:cs="Times New Roman" w:eastAsia="Times New Roman" w:hint="default"/>
        </w:rPr>
        <w:t>3</w:t>
      </w:r>
      <w:r>
        <w:rPr/>
        <w:t>、经公司</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年年度股东大会审议通过，选举王浩先生为公司第三届董事会独立董事，任期与本届董事会任期一致。经公司第三届董事会第二十</w:t>
      </w:r>
      <w:r>
        <w:rPr>
          <w:w w:val="100"/>
        </w:rPr>
        <w:t> </w:t>
      </w:r>
      <w:r>
        <w:rPr/>
        <w:t>二次会议审议通过，选举王浩先生担任公司第三届董事会战略委员会、提名委员会、薪酬与考核委员会委员，任期与本届董事会任期一致。</w:t>
      </w:r>
    </w:p>
    <w:p>
      <w:pPr>
        <w:pStyle w:val="Heading4"/>
        <w:spacing w:line="240" w:lineRule="auto" w:before="18"/>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4"/>
        <w:spacing w:line="290" w:lineRule="auto" w:before="32"/>
        <w:ind w:left="224" w:right="779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left="224" w:right="0"/>
        <w:jc w:val="left"/>
      </w:pPr>
      <w:r>
        <w:rPr/>
        <w:t>□适用 √不适用</w:t>
      </w:r>
    </w:p>
    <w:p>
      <w:pPr>
        <w:pStyle w:val="Heading4"/>
        <w:spacing w:line="240" w:lineRule="auto" w:before="5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0"/>
        <w:jc w:val="left"/>
      </w:pPr>
      <w:r>
        <w:rPr/>
        <w:t>√适用 □不适用</w:t>
      </w:r>
    </w:p>
    <w:p>
      <w:pPr>
        <w:spacing w:after="0" w:line="240" w:lineRule="auto"/>
        <w:jc w:val="left"/>
        <w:sectPr>
          <w:pgSz w:w="16840" w:h="11910" w:orient="landscape"/>
          <w:pgMar w:header="855" w:footer="980" w:top="1120" w:bottom="1160" w:left="1300" w:right="13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2264"/>
        <w:gridCol w:w="4119"/>
        <w:gridCol w:w="2789"/>
        <w:gridCol w:w="2338"/>
        <w:gridCol w:w="2355"/>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万石控股集团有限公司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2015/12/1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2016/1/1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泰宁万石旅游投资开发有限公司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2016/12/1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武夷山国际健康管理集团有限公司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2017/3/21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武夷山国际健康小镇有限公司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2017/4/19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武夷山国际转诊中心有限公司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2017/4/19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武夷山国际抗衰老中心有限公司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2017/4/19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武夷山国际医疗旅游旅行社有限公司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2017/4/19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武夷山国际康复疗养中心有限公司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2017/4/19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武夷山国际体检中心有限公司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2017/4/19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武夷山国际健康论坛有限公司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2017/4/25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泉州匹兹堡健康中心有限公司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2017/9/13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赵小凡</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京华信息科技股份有限公司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2016/9/2</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吴怡</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福建师范大学光电与信息工程学院</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教授、博士生导师</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Times New Roman" w:hAnsi="Times New Roman" w:cs="Times New Roman" w:eastAsia="Times New Roman" w:hint="default"/>
                <w:sz w:val="21"/>
                <w:szCs w:val="21"/>
              </w:rPr>
            </w:pPr>
            <w:r>
              <w:rPr>
                <w:rFonts w:ascii="Times New Roman"/>
                <w:sz w:val="21"/>
              </w:rPr>
              <w:t>2015/9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吴怡</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福建省电子学会</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Times New Roman" w:hAnsi="Times New Roman" w:cs="Times New Roman" w:eastAsia="Times New Roman" w:hint="default"/>
                <w:sz w:val="21"/>
                <w:szCs w:val="21"/>
              </w:rPr>
            </w:pPr>
            <w:r>
              <w:rPr>
                <w:rFonts w:ascii="Times New Roman"/>
                <w:sz w:val="21"/>
              </w:rPr>
              <w:t>2008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吴怡</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福建省青年科学家协会</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21"/>
                <w:szCs w:val="21"/>
              </w:rPr>
            </w:pPr>
            <w:r>
              <w:rPr>
                <w:rFonts w:ascii="Times New Roman"/>
                <w:sz w:val="21"/>
              </w:rPr>
              <w:t>2010/4</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吴怡</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福建省女科学家协会</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Times New Roman" w:hAnsi="Times New Roman" w:cs="Times New Roman" w:eastAsia="Times New Roman" w:hint="default"/>
                <w:sz w:val="21"/>
                <w:szCs w:val="21"/>
              </w:rPr>
            </w:pPr>
            <w:r>
              <w:rPr>
                <w:rFonts w:ascii="Times New Roman"/>
                <w:sz w:val="21"/>
              </w:rPr>
              <w:t>2012/5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吴怡</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华映科技（集团）股份有限公司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2017/4/11</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 w:right="0"/>
              <w:jc w:val="center"/>
              <w:rPr>
                <w:rFonts w:ascii="Times New Roman" w:hAnsi="Times New Roman" w:cs="Times New Roman" w:eastAsia="Times New Roman" w:hint="default"/>
                <w:sz w:val="21"/>
                <w:szCs w:val="21"/>
              </w:rPr>
            </w:pPr>
            <w:r>
              <w:rPr>
                <w:rFonts w:ascii="Times New Roman"/>
                <w:sz w:val="21"/>
              </w:rPr>
              <w:t>2018/12/13</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刘润</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总监</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21"/>
                <w:szCs w:val="21"/>
              </w:rPr>
            </w:pPr>
            <w:r>
              <w:rPr>
                <w:rFonts w:ascii="Times New Roman"/>
                <w:sz w:val="21"/>
              </w:rPr>
              <w:t>2013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在其他单位任职情况</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的说明</w:t>
            </w:r>
          </w:p>
        </w:tc>
        <w:tc>
          <w:tcPr>
            <w:tcW w:w="116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1"/>
        <w:rPr>
          <w:rFonts w:ascii="宋体" w:hAnsi="宋体" w:cs="宋体" w:eastAsia="宋体" w:hint="default"/>
          <w:sz w:val="22"/>
          <w:szCs w:val="22"/>
        </w:rPr>
      </w:pPr>
    </w:p>
    <w:p>
      <w:pPr>
        <w:pStyle w:val="Heading4"/>
        <w:spacing w:line="240" w:lineRule="auto"/>
        <w:ind w:left="224" w:right="0"/>
        <w:jc w:val="left"/>
        <w:rPr>
          <w:b w:val="0"/>
          <w:bCs w:val="0"/>
        </w:rPr>
      </w:pPr>
      <w:r>
        <w:rPr/>
        <w:t>三、董事、监事、高级管理人员报酬情况</w:t>
      </w:r>
      <w:r>
        <w:rPr>
          <w:b w:val="0"/>
          <w:bCs w:val="0"/>
        </w:rPr>
      </w:r>
    </w:p>
    <w:p>
      <w:pPr>
        <w:pStyle w:val="BodyText"/>
        <w:spacing w:line="240" w:lineRule="auto" w:before="58"/>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5809"/>
        <w:gridCol w:w="8080"/>
      </w:tblGrid>
      <w:tr>
        <w:trPr>
          <w:trHeight w:val="284"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根据公司章程，董事、监事报酬由股东大会确定；高级管理人员报酬由董事会确定。</w:t>
            </w:r>
          </w:p>
        </w:tc>
      </w:tr>
      <w:tr>
        <w:trPr>
          <w:trHeight w:val="281"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结合公司所处行业及地区的薪酬水平，根据公司《薪酬管理制度》确定。</w:t>
            </w:r>
          </w:p>
        </w:tc>
      </w:tr>
      <w:tr>
        <w:trPr>
          <w:trHeight w:val="283"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董事、监事和高级管理人员报酬的实际支付情况</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574.21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283"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报告期末全体董事、监事和高级管理人员实际获得的报酬合计</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574.21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after="0" w:line="257" w:lineRule="exact"/>
        <w:jc w:val="left"/>
        <w:rPr>
          <w:rFonts w:ascii="宋体" w:hAnsi="宋体" w:cs="宋体" w:eastAsia="宋体" w:hint="default"/>
          <w:sz w:val="21"/>
          <w:szCs w:val="21"/>
        </w:rPr>
        <w:sectPr>
          <w:pgSz w:w="16840" w:h="11910" w:orient="landscape"/>
          <w:pgMar w:header="855" w:footer="980" w:top="1120" w:bottom="1160" w:left="130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4"/>
        <w:spacing w:line="240" w:lineRule="auto"/>
        <w:ind w:left="224" w:right="0"/>
        <w:jc w:val="left"/>
        <w:rPr>
          <w:b w:val="0"/>
          <w:bCs w:val="0"/>
        </w:rPr>
      </w:pPr>
      <w:r>
        <w:rPr/>
        <w:t>四、公司董事、监事、高级管理人员变动情况</w:t>
      </w:r>
      <w:r>
        <w:rPr>
          <w:b w:val="0"/>
          <w:bCs w:val="0"/>
        </w:rPr>
      </w:r>
    </w:p>
    <w:p>
      <w:pPr>
        <w:pStyle w:val="BodyText"/>
        <w:spacing w:line="240" w:lineRule="auto" w:before="58"/>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466"/>
        <w:gridCol w:w="3466"/>
        <w:gridCol w:w="3466"/>
        <w:gridCol w:w="3466"/>
      </w:tblGrid>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王浩</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选举独立董事</w:t>
            </w:r>
          </w:p>
        </w:tc>
      </w:tr>
      <w:tr>
        <w:trPr>
          <w:trHeight w:val="281"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吴怡</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辞职</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张鹏程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辞职</w:t>
            </w:r>
          </w:p>
        </w:tc>
      </w:tr>
    </w:tbl>
    <w:p>
      <w:pPr>
        <w:spacing w:line="240" w:lineRule="auto" w:before="1"/>
        <w:rPr>
          <w:rFonts w:ascii="宋体" w:hAnsi="宋体" w:cs="宋体" w:eastAsia="宋体" w:hint="default"/>
          <w:sz w:val="23"/>
          <w:szCs w:val="23"/>
        </w:rPr>
      </w:pPr>
    </w:p>
    <w:p>
      <w:pPr>
        <w:pStyle w:val="Heading4"/>
        <w:spacing w:line="240" w:lineRule="auto"/>
        <w:ind w:left="224" w:right="0"/>
        <w:jc w:val="left"/>
        <w:rPr>
          <w:b w:val="0"/>
          <w:bCs w:val="0"/>
        </w:rPr>
      </w:pPr>
      <w:r>
        <w:rPr/>
        <w:t>五、近三年受证券监管机构处罚的情况说明</w:t>
      </w:r>
      <w:r>
        <w:rPr>
          <w:b w:val="0"/>
          <w:bCs w:val="0"/>
        </w:rPr>
      </w:r>
    </w:p>
    <w:p>
      <w:pPr>
        <w:pStyle w:val="BodyText"/>
        <w:spacing w:line="240" w:lineRule="auto" w:before="56"/>
        <w:ind w:left="224" w:right="0"/>
        <w:jc w:val="left"/>
      </w:pPr>
      <w:r>
        <w:rPr/>
        <w:t>√适用 □不适用</w:t>
      </w:r>
    </w:p>
    <w:p>
      <w:pPr>
        <w:pStyle w:val="BodyText"/>
        <w:spacing w:line="314" w:lineRule="auto" w:before="75"/>
        <w:ind w:left="224" w:right="0" w:firstLine="480"/>
        <w:jc w:val="left"/>
      </w:pPr>
      <w:r>
        <w:rPr>
          <w:spacing w:val="-4"/>
        </w:rPr>
        <w:t>除本报告“第五节第十一条”所述公司原董事张鹏程先生在任职期间通过二级市场违规减持公司股份受到监管机构处罚外，近三年，公司其余董事、</w:t>
      </w:r>
      <w:r>
        <w:rPr>
          <w:w w:val="100"/>
        </w:rPr>
        <w:t> </w:t>
      </w:r>
      <w:r>
        <w:rPr/>
        <w:t>监事及高级管理人员不存在受到证券监管机构处罚的情形。</w:t>
      </w:r>
    </w:p>
    <w:p>
      <w:pPr>
        <w:spacing w:after="0" w:line="314" w:lineRule="auto"/>
        <w:jc w:val="left"/>
        <w:sectPr>
          <w:pgSz w:w="16840" w:h="11910" w:orient="landscape"/>
          <w:pgMar w:header="855" w:footer="980" w:top="1120" w:bottom="1160" w:left="1300" w:right="1220"/>
        </w:sectPr>
      </w:pPr>
    </w:p>
    <w:p>
      <w:pPr>
        <w:spacing w:line="240" w:lineRule="auto" w:before="11"/>
        <w:rPr>
          <w:rFonts w:ascii="宋体" w:hAnsi="宋体" w:cs="宋体" w:eastAsia="宋体" w:hint="default"/>
          <w:sz w:val="29"/>
          <w:szCs w:val="29"/>
        </w:rPr>
      </w:pPr>
    </w:p>
    <w:p>
      <w:pPr>
        <w:pStyle w:val="Heading4"/>
        <w:spacing w:line="240" w:lineRule="auto"/>
        <w:ind w:right="2631"/>
        <w:jc w:val="left"/>
        <w:rPr>
          <w:b w:val="0"/>
          <w:bCs w:val="0"/>
        </w:rPr>
      </w:pPr>
      <w:r>
        <w:rPr/>
        <w:t>六、母公司和主要子公司的员工情况</w:t>
      </w:r>
      <w:r>
        <w:rPr>
          <w:b w:val="0"/>
          <w:bCs w:val="0"/>
        </w:rPr>
      </w:r>
    </w:p>
    <w:p>
      <w:pPr>
        <w:pStyle w:val="Heading4"/>
        <w:spacing w:line="240" w:lineRule="auto" w:before="58"/>
        <w:ind w:right="263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412"/>
        <w:gridCol w:w="4412"/>
      </w:tblGrid>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309</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1,932</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2,241</w:t>
            </w:r>
          </w:p>
        </w:tc>
      </w:tr>
      <w:tr>
        <w:trPr>
          <w:trHeight w:val="554"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工人数</w:t>
            </w:r>
          </w:p>
        </w:tc>
        <w:tc>
          <w:tcPr>
            <w:tcW w:w="44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139</w:t>
            </w:r>
          </w:p>
        </w:tc>
      </w:tr>
      <w:tr>
        <w:trPr>
          <w:trHeight w:val="284"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1,707</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39</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356</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2,241</w:t>
            </w:r>
          </w:p>
        </w:tc>
      </w:tr>
      <w:tr>
        <w:trPr>
          <w:trHeight w:val="281"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75</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596</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1,512</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研究生及以上</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58</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2,241</w:t>
            </w:r>
          </w:p>
        </w:tc>
      </w:tr>
    </w:tbl>
    <w:p>
      <w:pPr>
        <w:spacing w:line="240" w:lineRule="auto" w:before="1"/>
        <w:rPr>
          <w:rFonts w:ascii="宋体" w:hAnsi="宋体" w:cs="宋体" w:eastAsia="宋体" w:hint="default"/>
          <w:b/>
          <w:bCs/>
          <w:sz w:val="23"/>
          <w:szCs w:val="23"/>
        </w:rPr>
      </w:pPr>
    </w:p>
    <w:p>
      <w:pPr>
        <w:pStyle w:val="Heading4"/>
        <w:spacing w:line="240" w:lineRule="auto"/>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307" w:lineRule="auto" w:before="29"/>
        <w:ind w:left="698" w:right="135" w:hanging="480"/>
        <w:jc w:val="left"/>
      </w:pPr>
      <w:r>
        <w:rPr>
          <w:spacing w:val="-1"/>
        </w:rPr>
        <w:t>√适用</w:t>
        <w:tab/>
      </w:r>
      <w:r>
        <w:rPr>
          <w:spacing w:val="-2"/>
        </w:rPr>
        <w:t>□不适用</w:t>
      </w:r>
      <w:r>
        <w:rPr>
          <w:spacing w:val="-99"/>
        </w:rPr>
        <w:t> </w:t>
      </w:r>
      <w:r>
        <w:rPr>
          <w:spacing w:val="-99"/>
        </w:rPr>
      </w:r>
      <w:r>
        <w:rPr>
          <w:spacing w:val="-3"/>
        </w:rPr>
        <w:t>紧随集团经营及国内外行业发展趋势，不断深化和完善薪酬管理体系，打造有竞争力的薪酬</w:t>
      </w:r>
    </w:p>
    <w:p>
      <w:pPr>
        <w:pStyle w:val="BodyText"/>
        <w:spacing w:line="314" w:lineRule="auto" w:before="26"/>
        <w:ind w:right="128"/>
        <w:jc w:val="both"/>
      </w:pPr>
      <w:r>
        <w:rPr>
          <w:spacing w:val="-1"/>
        </w:rPr>
        <w:t>体系和福利制度；集团薪酬管理体系严格遵循“一个前提”</w:t>
      </w:r>
      <w:r>
        <w:rPr>
          <w:rFonts w:ascii="宋体" w:hAnsi="宋体" w:cs="宋体" w:eastAsia="宋体" w:hint="default"/>
          <w:spacing w:val="-1"/>
        </w:rPr>
        <w:t>(</w:t>
      </w:r>
      <w:r>
        <w:rPr>
          <w:spacing w:val="-1"/>
        </w:rPr>
        <w:t>以控制人力成本预算为前提</w:t>
      </w:r>
      <w:r>
        <w:rPr>
          <w:rFonts w:ascii="宋体" w:hAnsi="宋体" w:cs="宋体" w:eastAsia="宋体" w:hint="default"/>
          <w:spacing w:val="-1"/>
        </w:rPr>
        <w:t>)</w:t>
      </w:r>
      <w:r>
        <w:rPr>
          <w:spacing w:val="-1"/>
        </w:rPr>
        <w:t>、“三</w:t>
      </w:r>
      <w:r>
        <w:rPr>
          <w:spacing w:val="-54"/>
        </w:rPr>
        <w:t> </w:t>
      </w:r>
      <w:r>
        <w:rPr>
          <w:spacing w:val="-54"/>
        </w:rPr>
      </w:r>
      <w:r>
        <w:rPr>
          <w:spacing w:val="-1"/>
        </w:rPr>
        <w:t>个公平”(内部公平、外部公平、自我公平</w:t>
      </w:r>
      <w:r>
        <w:rPr>
          <w:rFonts w:ascii="宋体" w:hAnsi="宋体" w:cs="宋体" w:eastAsia="宋体" w:hint="default"/>
          <w:spacing w:val="-1"/>
        </w:rPr>
        <w:t>)</w:t>
      </w:r>
      <w:r>
        <w:rPr>
          <w:spacing w:val="-1"/>
        </w:rPr>
        <w:t>和“三项匹配”（个人薪酬与岗位价值相匹配、个人</w:t>
      </w:r>
      <w:r>
        <w:rPr>
          <w:spacing w:val="-54"/>
        </w:rPr>
        <w:t> </w:t>
      </w:r>
      <w:r>
        <w:rPr>
          <w:spacing w:val="-54"/>
        </w:rPr>
      </w:r>
      <w:r>
        <w:rPr>
          <w:spacing w:val="-1"/>
        </w:rPr>
        <w:t>薪酬与绩效相匹配、人个薪酬与公司效益相匹配）的基本原则，逐步构建具有行业竞争力的薪酬</w:t>
      </w:r>
      <w:r>
        <w:rPr>
          <w:spacing w:val="-55"/>
        </w:rPr>
        <w:t> </w:t>
      </w:r>
      <w:r>
        <w:rPr>
          <w:spacing w:val="-55"/>
        </w:rPr>
      </w:r>
      <w:r>
        <w:rPr>
          <w:spacing w:val="-1"/>
        </w:rPr>
        <w:t>福利，从而建立科学的、符合集团发展利益且具有自身特色的薪酬管理体系，使员工个人的薪酬</w:t>
      </w:r>
      <w:r>
        <w:rPr>
          <w:spacing w:val="-55"/>
        </w:rPr>
        <w:t> </w:t>
      </w:r>
      <w:r>
        <w:rPr>
          <w:spacing w:val="-55"/>
        </w:rPr>
      </w:r>
      <w:r>
        <w:rPr>
          <w:spacing w:val="-1"/>
        </w:rPr>
        <w:t>与集团的经营业绩、岗位责任、个人效绩（贡献）指标相匹配，逐步建立以岗位价值为导向的合</w:t>
      </w:r>
      <w:r>
        <w:rPr>
          <w:spacing w:val="-55"/>
        </w:rPr>
        <w:t> </w:t>
      </w:r>
      <w:r>
        <w:rPr>
          <w:spacing w:val="-55"/>
        </w:rPr>
      </w:r>
      <w:r>
        <w:rPr>
          <w:spacing w:val="-7"/>
        </w:rPr>
        <w:t>理薪酬分配机制，客观地体现员工的贡献、价值和能力。进一步落实集团“一才一议、一事一议”</w:t>
      </w:r>
      <w:r>
        <w:rPr>
          <w:spacing w:val="-14"/>
        </w:rPr>
        <w:t> </w:t>
      </w:r>
      <w:r>
        <w:rPr>
          <w:spacing w:val="-14"/>
        </w:rPr>
      </w:r>
      <w:r>
        <w:rPr>
          <w:spacing w:val="-1"/>
        </w:rPr>
        <w:t>的弹性薪酬政策，着力引进一些关键岗位、重要岗位的人才；不断完善及优化年度调薪方案，使</w:t>
      </w:r>
      <w:r>
        <w:rPr>
          <w:spacing w:val="-55"/>
        </w:rPr>
        <w:t> </w:t>
      </w:r>
      <w:r>
        <w:rPr>
          <w:spacing w:val="-55"/>
        </w:rPr>
      </w:r>
      <w:r>
        <w:rPr/>
        <w:t>员工的薪酬待遇与公司的经营发展息息相关、相互促进。</w:t>
      </w:r>
    </w:p>
    <w:p>
      <w:pPr>
        <w:pStyle w:val="Heading4"/>
        <w:spacing w:line="240" w:lineRule="auto" w:before="3"/>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40" w:lineRule="auto" w:before="29"/>
        <w:ind w:right="0"/>
        <w:jc w:val="both"/>
      </w:pPr>
      <w:r>
        <w:rPr/>
        <w:t>√适用</w:t>
      </w:r>
      <w:r>
        <w:rPr>
          <w:spacing w:val="104"/>
        </w:rPr>
        <w:t> </w:t>
      </w:r>
      <w:r>
        <w:rPr/>
        <w:t>□不适用</w:t>
      </w:r>
    </w:p>
    <w:p>
      <w:pPr>
        <w:pStyle w:val="BodyText"/>
        <w:spacing w:line="304" w:lineRule="auto" w:before="75"/>
        <w:ind w:right="128" w:firstLine="47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31"/>
        </w:rPr>
        <w:t> </w:t>
      </w:r>
      <w:r>
        <w:rPr>
          <w:spacing w:val="-4"/>
        </w:rPr>
        <w:t>年，培训工作紧密围绕公司人才战略开展，透过积极探索多元化的培训方式，开展中高</w:t>
      </w:r>
      <w:r>
        <w:rPr>
          <w:w w:val="100"/>
        </w:rPr>
        <w:t> </w:t>
      </w:r>
      <w:r>
        <w:rPr>
          <w:spacing w:val="-1"/>
        </w:rPr>
        <w:t>层管理、业务狼性文化、技术交流、项目管理、产品管理以及校招生培养等方面培训，参训人员</w:t>
      </w:r>
      <w:r>
        <w:rPr>
          <w:spacing w:val="-55"/>
        </w:rPr>
        <w:t> </w:t>
      </w:r>
      <w:r>
        <w:rPr>
          <w:spacing w:val="-55"/>
        </w:rPr>
      </w:r>
      <w:r>
        <w:rPr/>
        <w:t>覆盖中高层管理和普通员工。</w:t>
      </w:r>
    </w:p>
    <w:p>
      <w:pPr>
        <w:pStyle w:val="BodyText"/>
        <w:spacing w:line="240" w:lineRule="auto" w:before="28"/>
        <w:ind w:left="638" w:right="47"/>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年共组织开展</w:t>
      </w:r>
      <w:r>
        <w:rPr>
          <w:spacing w:val="-45"/>
        </w:rPr>
        <w:t> </w:t>
      </w:r>
      <w:r>
        <w:rPr>
          <w:rFonts w:ascii="Times New Roman" w:hAnsi="Times New Roman" w:cs="Times New Roman" w:eastAsia="Times New Roman" w:hint="default"/>
        </w:rPr>
        <w:t>67</w:t>
      </w:r>
      <w:r>
        <w:rPr>
          <w:rFonts w:ascii="Times New Roman" w:hAnsi="Times New Roman" w:cs="Times New Roman" w:eastAsia="Times New Roman" w:hint="default"/>
          <w:spacing w:val="7"/>
        </w:rPr>
        <w:t> </w:t>
      </w:r>
      <w:r>
        <w:rPr/>
        <w:t>场公司级线上线下培训活动，参与人次达</w:t>
      </w:r>
      <w:r>
        <w:rPr>
          <w:spacing w:val="-45"/>
        </w:rPr>
        <w:t> </w:t>
      </w:r>
      <w:r>
        <w:rPr>
          <w:rFonts w:ascii="Times New Roman" w:hAnsi="Times New Roman" w:cs="Times New Roman" w:eastAsia="Times New Roman" w:hint="default"/>
        </w:rPr>
        <w:t>4,046</w:t>
      </w:r>
      <w:r>
        <w:rPr/>
        <w:t>，同比增长</w:t>
      </w:r>
      <w:r>
        <w:rPr>
          <w:spacing w:val="-45"/>
        </w:rPr>
        <w:t> </w:t>
      </w:r>
      <w:r>
        <w:rPr>
          <w:rFonts w:ascii="Times New Roman" w:hAnsi="Times New Roman" w:cs="Times New Roman" w:eastAsia="Times New Roman" w:hint="default"/>
        </w:rPr>
        <w:t>146%</w:t>
      </w:r>
      <w:r>
        <w:rPr/>
        <w:t>，总</w:t>
      </w:r>
    </w:p>
    <w:p>
      <w:pPr>
        <w:pStyle w:val="BodyText"/>
        <w:spacing w:line="240" w:lineRule="auto" w:before="69"/>
        <w:ind w:right="0"/>
        <w:jc w:val="both"/>
        <w:rPr>
          <w:rFonts w:ascii="Times New Roman" w:hAnsi="Times New Roman" w:cs="Times New Roman" w:eastAsia="Times New Roman" w:hint="default"/>
        </w:rPr>
      </w:pPr>
      <w:r>
        <w:rPr/>
        <w:t>时长达</w:t>
      </w:r>
      <w:r>
        <w:rPr>
          <w:spacing w:val="-48"/>
        </w:rPr>
        <w:t> </w:t>
      </w:r>
      <w:r>
        <w:rPr>
          <w:rFonts w:ascii="Times New Roman" w:hAnsi="Times New Roman" w:cs="Times New Roman" w:eastAsia="Times New Roman" w:hint="default"/>
        </w:rPr>
        <w:t>81,933</w:t>
      </w:r>
      <w:r>
        <w:rPr>
          <w:rFonts w:ascii="Times New Roman" w:hAnsi="Times New Roman" w:cs="Times New Roman" w:eastAsia="Times New Roman" w:hint="default"/>
          <w:spacing w:val="5"/>
        </w:rPr>
        <w:t> </w:t>
      </w:r>
      <w:r>
        <w:rPr/>
        <w:t>课时，同比增长</w:t>
      </w:r>
      <w:r>
        <w:rPr>
          <w:spacing w:val="-45"/>
        </w:rPr>
        <w:t> </w:t>
      </w:r>
      <w:r>
        <w:rPr>
          <w:rFonts w:ascii="Times New Roman" w:hAnsi="Times New Roman" w:cs="Times New Roman" w:eastAsia="Times New Roman" w:hint="default"/>
        </w:rPr>
        <w:t>734%</w:t>
      </w:r>
      <w:r>
        <w:rPr/>
        <w:t>；线上学习平台学习人数</w:t>
      </w:r>
      <w:r>
        <w:rPr>
          <w:spacing w:val="-45"/>
        </w:rPr>
        <w:t> </w:t>
      </w:r>
      <w:r>
        <w:rPr>
          <w:rFonts w:ascii="Times New Roman" w:hAnsi="Times New Roman" w:cs="Times New Roman" w:eastAsia="Times New Roman" w:hint="default"/>
        </w:rPr>
        <w:t>1513</w:t>
      </w:r>
      <w:r>
        <w:rPr>
          <w:rFonts w:ascii="Times New Roman" w:hAnsi="Times New Roman" w:cs="Times New Roman" w:eastAsia="Times New Roman" w:hint="default"/>
          <w:spacing w:val="7"/>
        </w:rPr>
        <w:t> </w:t>
      </w:r>
      <w:r>
        <w:rPr/>
        <w:t>人，学习平台总时长</w:t>
      </w:r>
      <w:r>
        <w:rPr>
          <w:spacing w:val="-45"/>
        </w:rPr>
        <w:t> </w:t>
      </w:r>
      <w:r>
        <w:rPr>
          <w:rFonts w:ascii="Times New Roman" w:hAnsi="Times New Roman" w:cs="Times New Roman" w:eastAsia="Times New Roman" w:hint="default"/>
        </w:rPr>
        <w:t>21809.8</w:t>
      </w:r>
    </w:p>
    <w:p>
      <w:pPr>
        <w:pStyle w:val="BodyText"/>
        <w:spacing w:line="240" w:lineRule="auto" w:before="69"/>
        <w:ind w:right="0"/>
        <w:jc w:val="both"/>
      </w:pPr>
      <w:r>
        <w:rPr/>
        <w:t>小时。进一步增强了公司各类人才的业务知识和岗位技能，保证了公司管理体系的有效运行。</w:t>
      </w:r>
    </w:p>
    <w:p>
      <w:pPr>
        <w:spacing w:after="0" w:line="240" w:lineRule="auto"/>
        <w:jc w:val="both"/>
        <w:sectPr>
          <w:headerReference w:type="default" r:id="rId35"/>
          <w:footerReference w:type="default" r:id="rId36"/>
          <w:pgSz w:w="11910" w:h="16840"/>
          <w:pgMar w:header="852" w:footer="979" w:top="1120" w:bottom="1160" w:left="1580" w:right="1140"/>
          <w:pgNumType w:start="78"/>
        </w:sectPr>
      </w:pPr>
    </w:p>
    <w:p>
      <w:pPr>
        <w:spacing w:line="240" w:lineRule="auto" w:before="4"/>
        <w:rPr>
          <w:rFonts w:ascii="宋体" w:hAnsi="宋体" w:cs="宋体" w:eastAsia="宋体" w:hint="default"/>
          <w:sz w:val="25"/>
          <w:szCs w:val="25"/>
        </w:rPr>
      </w:pPr>
    </w:p>
    <w:p>
      <w:pPr>
        <w:pStyle w:val="Heading4"/>
        <w:spacing w:line="240" w:lineRule="auto"/>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32"/>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tabs>
          <w:tab w:pos="980" w:val="left" w:leader="none"/>
        </w:tabs>
        <w:spacing w:line="240" w:lineRule="auto" w:before="14"/>
        <w:ind w:left="138" w:right="0"/>
        <w:jc w:val="left"/>
      </w:pPr>
      <w:r>
        <w:rPr>
          <w:spacing w:val="-1"/>
        </w:rPr>
        <w:t>□适用</w:t>
        <w:tab/>
      </w:r>
      <w:r>
        <w:rPr>
          <w:spacing w:val="-2"/>
        </w:rPr>
        <w:t>√不适用</w:t>
      </w:r>
    </w:p>
    <w:p>
      <w:pPr>
        <w:spacing w:after="0" w:line="240" w:lineRule="auto"/>
        <w:jc w:val="left"/>
        <w:sectPr>
          <w:pgSz w:w="11910" w:h="16840"/>
          <w:pgMar w:header="852" w:footer="979" w:top="1120" w:bottom="1160" w:left="1660" w:right="1140"/>
        </w:sectPr>
      </w:pPr>
    </w:p>
    <w:p>
      <w:pPr>
        <w:spacing w:line="240" w:lineRule="auto" w:before="11"/>
        <w:rPr>
          <w:rFonts w:ascii="宋体" w:hAnsi="宋体" w:cs="宋体" w:eastAsia="宋体" w:hint="default"/>
          <w:sz w:val="25"/>
          <w:szCs w:val="25"/>
        </w:rPr>
      </w:pPr>
    </w:p>
    <w:p>
      <w:pPr>
        <w:pStyle w:val="Heading1"/>
        <w:tabs>
          <w:tab w:pos="1342" w:val="left" w:leader="none"/>
        </w:tabs>
        <w:spacing w:line="240" w:lineRule="auto"/>
        <w:ind w:left="82" w:right="0"/>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right="0"/>
        <w:jc w:val="both"/>
        <w:rPr>
          <w:b w:val="0"/>
          <w:bCs w:val="0"/>
        </w:rPr>
      </w:pPr>
      <w:r>
        <w:rPr/>
        <w:t>一、公司治理相关情况说明</w:t>
      </w:r>
      <w:r>
        <w:rPr>
          <w:b w:val="0"/>
          <w:bCs w:val="0"/>
        </w:rPr>
      </w:r>
    </w:p>
    <w:p>
      <w:pPr>
        <w:pStyle w:val="BodyText"/>
        <w:tabs>
          <w:tab w:pos="1060" w:val="left" w:leader="none"/>
        </w:tabs>
        <w:spacing w:line="304" w:lineRule="auto" w:before="58"/>
        <w:ind w:left="698" w:right="135" w:hanging="480"/>
        <w:jc w:val="left"/>
      </w:pPr>
      <w:r>
        <w:rPr>
          <w:spacing w:val="-1"/>
        </w:rPr>
        <w:t>√适用</w:t>
        <w:tab/>
      </w:r>
      <w:r>
        <w:rPr>
          <w:spacing w:val="-2"/>
        </w:rPr>
        <w:t>□不适用</w:t>
      </w:r>
      <w:r>
        <w:rPr>
          <w:spacing w:val="-99"/>
        </w:rPr>
        <w:t> </w:t>
      </w:r>
      <w:r>
        <w:rPr>
          <w:spacing w:val="-99"/>
        </w:rPr>
      </w:r>
      <w:r>
        <w:rPr>
          <w:spacing w:val="-3"/>
        </w:rPr>
        <w:t>报告期内，公司严格按照《公司法》、《证券法》、《上市公司治理准则》和《上海证券交</w:t>
      </w:r>
    </w:p>
    <w:p>
      <w:pPr>
        <w:pStyle w:val="BodyText"/>
        <w:spacing w:line="314" w:lineRule="auto" w:before="28"/>
        <w:ind w:right="128"/>
        <w:jc w:val="both"/>
      </w:pPr>
      <w:r>
        <w:rPr>
          <w:spacing w:val="-1"/>
        </w:rPr>
        <w:t>易所股票上市规则》等有关上市公司治理法律法规及《公司章程》的要求，结合公司实际情况，</w:t>
      </w:r>
      <w:r>
        <w:rPr>
          <w:spacing w:val="-55"/>
        </w:rPr>
        <w:t> </w:t>
      </w:r>
      <w:r>
        <w:rPr>
          <w:spacing w:val="-55"/>
        </w:rPr>
      </w:r>
      <w:r>
        <w:rPr>
          <w:spacing w:val="-1"/>
        </w:rPr>
        <w:t>不断完善公司各项规章制度，加强信息披露工作，不断完善公司的法人治理结构，建立健全公司</w:t>
      </w:r>
      <w:r>
        <w:rPr>
          <w:spacing w:val="-55"/>
        </w:rPr>
        <w:t> </w:t>
      </w:r>
      <w:r>
        <w:rPr>
          <w:spacing w:val="-55"/>
        </w:rPr>
      </w:r>
      <w:r>
        <w:rPr>
          <w:spacing w:val="-1"/>
        </w:rPr>
        <w:t>内部管理和内控制度，持续深入开展公司治理活动，进一步提升公司治理水平，切实维护公司及</w:t>
      </w:r>
      <w:r>
        <w:rPr>
          <w:spacing w:val="-55"/>
        </w:rPr>
        <w:t> </w:t>
      </w:r>
      <w:r>
        <w:rPr>
          <w:spacing w:val="-55"/>
        </w:rPr>
      </w:r>
      <w:r>
        <w:rPr/>
        <w:t>全体股东的利益。</w:t>
      </w:r>
    </w:p>
    <w:p>
      <w:pPr>
        <w:pStyle w:val="BodyText"/>
        <w:spacing w:line="314" w:lineRule="auto" w:before="20"/>
        <w:ind w:right="128" w:firstLine="419"/>
        <w:jc w:val="both"/>
      </w:pPr>
      <w:r>
        <w:rPr>
          <w:spacing w:val="-2"/>
        </w:rPr>
        <w:t>报告期内，结合相关法律、法规的新要求和公司经营发展的需要，公司修订完善了《公司章</w:t>
      </w:r>
      <w:r>
        <w:rPr>
          <w:w w:val="100"/>
        </w:rPr>
        <w:t> </w:t>
      </w:r>
      <w:r>
        <w:rPr>
          <w:spacing w:val="-1"/>
        </w:rPr>
        <w:t>程》等公司制度，确保各项工作有章可循，内部控制体系水平得到了进一步提升，确保了公司合</w:t>
      </w:r>
      <w:r>
        <w:rPr>
          <w:spacing w:val="-55"/>
        </w:rPr>
        <w:t> </w:t>
      </w:r>
      <w:r>
        <w:rPr>
          <w:spacing w:val="-55"/>
        </w:rPr>
      </w:r>
      <w:r>
        <w:rPr>
          <w:spacing w:val="-1"/>
        </w:rPr>
        <w:t>规、稳定发展；公司股东大会、董事会、监事会、各经营管理层职责明确，同时全面执行了股东</w:t>
      </w:r>
      <w:r>
        <w:rPr>
          <w:spacing w:val="-55"/>
        </w:rPr>
        <w:t> </w:t>
      </w:r>
      <w:r>
        <w:rPr>
          <w:spacing w:val="-55"/>
        </w:rPr>
      </w:r>
      <w:r>
        <w:rPr>
          <w:spacing w:val="-7"/>
        </w:rPr>
        <w:t>大会的各项决议，积极推进各项工作，切实按照有关规定履行职责；公司按照《股票上市规则》、</w:t>
      </w:r>
    </w:p>
    <w:p>
      <w:pPr>
        <w:pStyle w:val="BodyText"/>
        <w:spacing w:line="314" w:lineRule="auto" w:before="20"/>
        <w:ind w:right="47"/>
        <w:jc w:val="left"/>
      </w:pPr>
      <w:r>
        <w:rPr>
          <w:spacing w:val="-1"/>
        </w:rPr>
        <w:t>《公司章程》等规定，真实、准确、完整、及时地履行信息披露义务，保障了公司股东尤其是中</w:t>
      </w:r>
      <w:r>
        <w:rPr>
          <w:spacing w:val="-55"/>
        </w:rPr>
        <w:t> </w:t>
      </w:r>
      <w:r>
        <w:rPr>
          <w:spacing w:val="-55"/>
        </w:rPr>
      </w:r>
      <w:r>
        <w:rPr/>
        <w:t>小股东的知情权。</w:t>
      </w:r>
    </w:p>
    <w:p>
      <w:pPr>
        <w:spacing w:line="240" w:lineRule="auto" w:before="2"/>
        <w:rPr>
          <w:rFonts w:ascii="宋体" w:hAnsi="宋体" w:cs="宋体" w:eastAsia="宋体" w:hint="default"/>
          <w:sz w:val="23"/>
          <w:szCs w:val="23"/>
        </w:rPr>
      </w:pPr>
    </w:p>
    <w:p>
      <w:pPr>
        <w:pStyle w:val="BodyText"/>
        <w:spacing w:line="274" w:lineRule="exact"/>
        <w:ind w:right="0"/>
        <w:jc w:val="both"/>
      </w:pPr>
      <w:r>
        <w:rPr/>
        <w:t>公司治理与中国证监会相关规定的要求是否存在重大差异；如有重大差异，应当说明原因</w:t>
      </w:r>
    </w:p>
    <w:p>
      <w:pPr>
        <w:spacing w:line="290" w:lineRule="auto" w:before="0"/>
        <w:ind w:left="218" w:right="68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830"/>
        <w:gridCol w:w="1534"/>
        <w:gridCol w:w="2348"/>
        <w:gridCol w:w="2113"/>
      </w:tblGrid>
      <w:tr>
        <w:trPr>
          <w:trHeight w:val="555"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年第一次临时股东大会</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2018-02-27</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3" w:right="0"/>
              <w:jc w:val="left"/>
              <w:rPr>
                <w:rFonts w:ascii="Times New Roman" w:hAnsi="Times New Roman" w:cs="Times New Roman" w:eastAsia="Times New Roman" w:hint="default"/>
                <w:sz w:val="21"/>
                <w:szCs w:val="21"/>
              </w:rPr>
            </w:pPr>
            <w:hyperlink r:id="rId11">
              <w:r>
                <w:rPr>
                  <w:rFonts w:ascii="Times New Roman"/>
                  <w:sz w:val="21"/>
                </w:rPr>
                <w:t>http://www.sse.com.cn</w:t>
              </w:r>
            </w:hyperlink>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2018-02-28</w:t>
            </w:r>
          </w:p>
        </w:tc>
      </w:tr>
      <w:tr>
        <w:trPr>
          <w:trHeight w:val="281"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年年度股东大会</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2018-04-20</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3" w:right="0"/>
              <w:jc w:val="left"/>
              <w:rPr>
                <w:rFonts w:ascii="Times New Roman" w:hAnsi="Times New Roman" w:cs="Times New Roman" w:eastAsia="Times New Roman" w:hint="default"/>
                <w:sz w:val="21"/>
                <w:szCs w:val="21"/>
              </w:rPr>
            </w:pPr>
            <w:hyperlink r:id="rId11">
              <w:r>
                <w:rPr>
                  <w:rFonts w:ascii="Times New Roman"/>
                  <w:sz w:val="21"/>
                </w:rPr>
                <w:t>http://www.sse.com.cn</w:t>
              </w:r>
            </w:hyperlink>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2018-04-21</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年第二次临时股东大会</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2018-09-25</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3" w:right="0"/>
              <w:jc w:val="left"/>
              <w:rPr>
                <w:rFonts w:ascii="Times New Roman" w:hAnsi="Times New Roman" w:cs="Times New Roman" w:eastAsia="Times New Roman" w:hint="default"/>
                <w:sz w:val="21"/>
                <w:szCs w:val="21"/>
              </w:rPr>
            </w:pPr>
            <w:hyperlink r:id="rId11">
              <w:r>
                <w:rPr>
                  <w:rFonts w:ascii="Times New Roman"/>
                  <w:sz w:val="21"/>
                </w:rPr>
                <w:t>http://www.sse.com.cn</w:t>
              </w:r>
            </w:hyperlink>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2018-09-26</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年第三次临时股东大会</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2018-11-07</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3" w:right="0"/>
              <w:jc w:val="left"/>
              <w:rPr>
                <w:rFonts w:ascii="Times New Roman" w:hAnsi="Times New Roman" w:cs="Times New Roman" w:eastAsia="Times New Roman" w:hint="default"/>
                <w:sz w:val="21"/>
                <w:szCs w:val="21"/>
              </w:rPr>
            </w:pPr>
            <w:hyperlink r:id="rId11">
              <w:r>
                <w:rPr>
                  <w:rFonts w:ascii="Times New Roman"/>
                  <w:sz w:val="21"/>
                </w:rPr>
                <w:t>http://www.sse.com.cn</w:t>
              </w:r>
            </w:hyperlink>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2018-11-08</w:t>
            </w:r>
          </w:p>
        </w:tc>
      </w:tr>
    </w:tbl>
    <w:p>
      <w:pPr>
        <w:spacing w:line="240" w:lineRule="auto" w:before="5"/>
        <w:rPr>
          <w:rFonts w:ascii="宋体" w:hAnsi="宋体" w:cs="宋体" w:eastAsia="宋体" w:hint="default"/>
          <w:b/>
          <w:bCs/>
          <w:sz w:val="15"/>
          <w:szCs w:val="15"/>
        </w:rPr>
      </w:pPr>
    </w:p>
    <w:p>
      <w:pPr>
        <w:pStyle w:val="BodyText"/>
        <w:spacing w:line="274" w:lineRule="exact" w:before="36"/>
        <w:ind w:right="2631"/>
        <w:jc w:val="left"/>
      </w:pPr>
      <w:r>
        <w:rPr/>
        <w:t>股东大会情况说明</w:t>
      </w:r>
    </w:p>
    <w:p>
      <w:pPr>
        <w:pStyle w:val="BodyText"/>
        <w:spacing w:line="304" w:lineRule="auto"/>
        <w:ind w:left="638" w:right="2631" w:hanging="420"/>
        <w:jc w:val="left"/>
      </w:pPr>
      <w:r>
        <w:rPr/>
        <w:t>√适用</w:t>
      </w:r>
      <w:r>
        <w:rPr>
          <w:spacing w:val="-2"/>
        </w:rPr>
        <w:t> </w:t>
      </w:r>
      <w:r>
        <w:rPr/>
        <w:t>□不适用</w:t>
      </w:r>
      <w:r>
        <w:rPr>
          <w:w w:val="100"/>
        </w:rPr>
        <w:t> </w:t>
      </w:r>
      <w:r>
        <w:rPr>
          <w:spacing w:val="-2"/>
        </w:rPr>
        <w:t>报告期内，公司股东大会审议的所有议案均获通过。</w:t>
      </w:r>
    </w:p>
    <w:p>
      <w:pPr>
        <w:pStyle w:val="Heading4"/>
        <w:spacing w:line="240" w:lineRule="auto" w:before="11"/>
        <w:ind w:right="2631"/>
        <w:jc w:val="left"/>
        <w:rPr>
          <w:b w:val="0"/>
          <w:bCs w:val="0"/>
        </w:rPr>
      </w:pPr>
      <w:r>
        <w:rPr/>
        <w:t>三、董事履行职责情况</w:t>
      </w:r>
      <w:r>
        <w:rPr>
          <w:b w:val="0"/>
          <w:bCs w:val="0"/>
        </w:rPr>
      </w:r>
    </w:p>
    <w:p>
      <w:pPr>
        <w:pStyle w:val="Heading4"/>
        <w:spacing w:line="240" w:lineRule="auto" w:before="59"/>
        <w:ind w:right="263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55"/>
        <w:gridCol w:w="826"/>
        <w:gridCol w:w="1071"/>
        <w:gridCol w:w="833"/>
        <w:gridCol w:w="943"/>
        <w:gridCol w:w="881"/>
        <w:gridCol w:w="826"/>
        <w:gridCol w:w="1261"/>
        <w:gridCol w:w="1229"/>
      </w:tblGrid>
      <w:tr>
        <w:trPr>
          <w:trHeight w:val="571" w:hRule="exact"/>
        </w:trPr>
        <w:tc>
          <w:tcPr>
            <w:tcW w:w="9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272" w:lineRule="exact"/>
              <w:ind w:left="261" w:right="259"/>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37" w:lineRule="auto"/>
              <w:ind w:left="196" w:right="19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p>
        </w:tc>
        <w:tc>
          <w:tcPr>
            <w:tcW w:w="58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89" w:right="185"/>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1099" w:hRule="exact"/>
        </w:trPr>
        <w:tc>
          <w:tcPr>
            <w:tcW w:w="955"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0" w:right="106"/>
              <w:jc w:val="center"/>
              <w:rPr>
                <w:rFonts w:ascii="宋体" w:hAnsi="宋体" w:cs="宋体" w:eastAsia="宋体" w:hint="default"/>
                <w:sz w:val="21"/>
                <w:szCs w:val="21"/>
              </w:rPr>
            </w:pPr>
            <w:r>
              <w:rPr>
                <w:rFonts w:ascii="宋体" w:hAnsi="宋体" w:cs="宋体" w:eastAsia="宋体" w:hint="default"/>
                <w:sz w:val="21"/>
                <w:szCs w:val="21"/>
              </w:rPr>
              <w:t>本年应参</w:t>
            </w:r>
            <w:r>
              <w:rPr>
                <w:rFonts w:ascii="宋体" w:hAnsi="宋体" w:cs="宋体" w:eastAsia="宋体" w:hint="default"/>
                <w:w w:val="100"/>
                <w:sz w:val="21"/>
                <w:szCs w:val="21"/>
              </w:rPr>
              <w:t> </w:t>
            </w: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99" w:right="199"/>
              <w:jc w:val="both"/>
              <w:rPr>
                <w:rFonts w:ascii="宋体" w:hAnsi="宋体" w:cs="宋体" w:eastAsia="宋体" w:hint="default"/>
                <w:sz w:val="21"/>
                <w:szCs w:val="21"/>
              </w:rPr>
            </w:pPr>
            <w:r>
              <w:rPr>
                <w:rFonts w:ascii="宋体" w:hAnsi="宋体" w:cs="宋体" w:eastAsia="宋体" w:hint="default"/>
                <w:sz w:val="21"/>
                <w:szCs w:val="21"/>
              </w:rPr>
              <w:t>亲自</w:t>
            </w:r>
            <w:r>
              <w:rPr>
                <w:rFonts w:ascii="宋体" w:hAnsi="宋体" w:cs="宋体" w:eastAsia="宋体" w:hint="default"/>
                <w:spacing w:val="-103"/>
                <w:sz w:val="21"/>
                <w:szCs w:val="21"/>
              </w:rPr>
              <w:t> </w:t>
            </w:r>
            <w:r>
              <w:rPr>
                <w:rFonts w:ascii="宋体" w:hAnsi="宋体" w:cs="宋体" w:eastAsia="宋体" w:hint="default"/>
                <w:sz w:val="21"/>
                <w:szCs w:val="21"/>
              </w:rPr>
              <w:t>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8" w:right="149"/>
              <w:jc w:val="both"/>
              <w:rPr>
                <w:rFonts w:ascii="宋体" w:hAnsi="宋体" w:cs="宋体" w:eastAsia="宋体" w:hint="default"/>
                <w:sz w:val="21"/>
                <w:szCs w:val="21"/>
              </w:rPr>
            </w:pPr>
            <w:r>
              <w:rPr>
                <w:rFonts w:ascii="宋体" w:hAnsi="宋体" w:cs="宋体" w:eastAsia="宋体" w:hint="default"/>
                <w:sz w:val="21"/>
                <w:szCs w:val="21"/>
              </w:rPr>
              <w:t>以通讯</w:t>
            </w:r>
            <w:r>
              <w:rPr>
                <w:rFonts w:ascii="宋体" w:hAnsi="宋体" w:cs="宋体" w:eastAsia="宋体" w:hint="default"/>
                <w:spacing w:val="-102"/>
                <w:sz w:val="21"/>
                <w:szCs w:val="21"/>
              </w:rPr>
              <w:t> </w:t>
            </w: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72" w:lineRule="exact"/>
              <w:ind w:left="120" w:right="115"/>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72" w:lineRule="exact"/>
              <w:ind w:left="196" w:right="194"/>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37" w:lineRule="auto" w:before="2"/>
              <w:ind w:left="203" w:right="202"/>
              <w:jc w:val="center"/>
              <w:rPr>
                <w:rFonts w:ascii="宋体" w:hAnsi="宋体" w:cs="宋体" w:eastAsia="宋体" w:hint="default"/>
                <w:sz w:val="21"/>
                <w:szCs w:val="21"/>
              </w:rPr>
            </w:pPr>
            <w:r>
              <w:rPr>
                <w:rFonts w:ascii="宋体" w:hAnsi="宋体" w:cs="宋体" w:eastAsia="宋体" w:hint="default"/>
                <w:sz w:val="21"/>
                <w:szCs w:val="21"/>
              </w:rPr>
              <w:t>两次未亲</w:t>
            </w:r>
            <w:r>
              <w:rPr>
                <w:rFonts w:ascii="宋体" w:hAnsi="宋体" w:cs="宋体" w:eastAsia="宋体" w:hint="default"/>
                <w:w w:val="100"/>
                <w:sz w:val="21"/>
                <w:szCs w:val="21"/>
              </w:rPr>
              <w:t> </w:t>
            </w:r>
            <w:r>
              <w:rPr>
                <w:rFonts w:ascii="宋体" w:hAnsi="宋体" w:cs="宋体" w:eastAsia="宋体" w:hint="default"/>
                <w:sz w:val="21"/>
                <w:szCs w:val="21"/>
              </w:rPr>
              <w:t>自参加会</w:t>
            </w:r>
            <w:r>
              <w:rPr>
                <w:rFonts w:ascii="宋体" w:hAnsi="宋体" w:cs="宋体" w:eastAsia="宋体" w:hint="default"/>
                <w:w w:val="100"/>
                <w:sz w:val="21"/>
                <w:szCs w:val="21"/>
              </w:rPr>
              <w:t> </w:t>
            </w:r>
            <w:r>
              <w:rPr>
                <w:rFonts w:ascii="宋体" w:hAnsi="宋体" w:cs="宋体" w:eastAsia="宋体" w:hint="default"/>
                <w:sz w:val="21"/>
                <w:szCs w:val="21"/>
              </w:rPr>
              <w:t>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9" w:right="185"/>
              <w:jc w:val="center"/>
              <w:rPr>
                <w:rFonts w:ascii="宋体" w:hAnsi="宋体" w:cs="宋体" w:eastAsia="宋体" w:hint="default"/>
                <w:sz w:val="21"/>
                <w:szCs w:val="21"/>
              </w:rPr>
            </w:pPr>
            <w:r>
              <w:rPr>
                <w:rFonts w:ascii="宋体" w:hAnsi="宋体" w:cs="宋体" w:eastAsia="宋体" w:hint="default"/>
                <w:sz w:val="21"/>
                <w:szCs w:val="21"/>
              </w:rPr>
              <w:t>出席股东</w:t>
            </w:r>
            <w:r>
              <w:rPr>
                <w:rFonts w:ascii="宋体" w:hAnsi="宋体" w:cs="宋体" w:eastAsia="宋体" w:hint="default"/>
                <w:w w:val="100"/>
                <w:sz w:val="21"/>
                <w:szCs w:val="21"/>
              </w:rPr>
              <w:t> </w:t>
            </w: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4</w:t>
            </w:r>
          </w:p>
        </w:tc>
      </w:tr>
      <w:tr>
        <w:trPr>
          <w:trHeight w:val="281"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徐春梅</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w w:val="100"/>
                <w:sz w:val="21"/>
              </w:rPr>
              <w:t>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廖长宝</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sz w:val="21"/>
              </w:rPr>
              <w:t>13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赵小凡</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sz w:val="21"/>
              </w:rPr>
              <w:t>17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刘润</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sz w:val="21"/>
              </w:rPr>
              <w:t>16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王浩</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吴怡</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w w:val="100"/>
                <w:sz w:val="21"/>
              </w:rPr>
              <w:t>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center"/>
        <w:rPr>
          <w:rFonts w:ascii="Times New Roman" w:hAnsi="Times New Roman" w:cs="Times New Roman" w:eastAsia="Times New Roman" w:hint="default"/>
          <w:sz w:val="21"/>
          <w:szCs w:val="21"/>
        </w:rPr>
        <w:sectPr>
          <w:pgSz w:w="11910" w:h="16840"/>
          <w:pgMar w:header="852" w:footer="979" w:top="1120" w:bottom="1160" w:left="1580" w:right="11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55"/>
        <w:gridCol w:w="826"/>
        <w:gridCol w:w="1071"/>
        <w:gridCol w:w="833"/>
        <w:gridCol w:w="943"/>
        <w:gridCol w:w="881"/>
        <w:gridCol w:w="826"/>
        <w:gridCol w:w="1261"/>
        <w:gridCol w:w="1229"/>
      </w:tblGrid>
      <w:tr>
        <w:trPr>
          <w:trHeight w:val="284"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5" w:right="0"/>
              <w:jc w:val="left"/>
              <w:rPr>
                <w:rFonts w:ascii="宋体" w:hAnsi="宋体" w:cs="宋体" w:eastAsia="宋体" w:hint="default"/>
                <w:sz w:val="21"/>
                <w:szCs w:val="21"/>
              </w:rPr>
            </w:pPr>
            <w:r>
              <w:rPr>
                <w:rFonts w:ascii="宋体" w:hAnsi="宋体" w:cs="宋体" w:eastAsia="宋体" w:hint="default"/>
                <w:sz w:val="21"/>
                <w:szCs w:val="21"/>
              </w:rPr>
              <w:t>张鹏程</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7"/>
        <w:rPr>
          <w:rFonts w:ascii="宋体" w:hAnsi="宋体" w:cs="宋体" w:eastAsia="宋体" w:hint="default"/>
          <w:b/>
          <w:bCs/>
          <w:sz w:val="15"/>
          <w:szCs w:val="15"/>
        </w:rPr>
      </w:pPr>
    </w:p>
    <w:p>
      <w:pPr>
        <w:pStyle w:val="BodyText"/>
        <w:spacing w:line="273" w:lineRule="exact" w:before="36"/>
        <w:ind w:right="99"/>
        <w:jc w:val="left"/>
      </w:pPr>
      <w:r>
        <w:rPr/>
        <w:t>连续两次未亲自出席董事会会议的说明</w:t>
      </w:r>
    </w:p>
    <w:p>
      <w:pPr>
        <w:pStyle w:val="BodyText"/>
        <w:spacing w:line="273" w:lineRule="exact"/>
        <w:ind w:right="9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17"/>
        <w:gridCol w:w="4407"/>
      </w:tblGrid>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17</w:t>
            </w: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7</w:t>
            </w:r>
          </w:p>
        </w:tc>
      </w:tr>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10</w:t>
            </w:r>
          </w:p>
        </w:tc>
      </w:tr>
    </w:tbl>
    <w:p>
      <w:pPr>
        <w:spacing w:line="240" w:lineRule="auto" w:before="1"/>
        <w:rPr>
          <w:rFonts w:ascii="宋体" w:hAnsi="宋体" w:cs="宋体" w:eastAsia="宋体" w:hint="default"/>
          <w:sz w:val="23"/>
          <w:szCs w:val="23"/>
        </w:rPr>
      </w:pPr>
    </w:p>
    <w:p>
      <w:pPr>
        <w:pStyle w:val="Heading4"/>
        <w:spacing w:line="240" w:lineRule="auto"/>
        <w:ind w:right="9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right="99"/>
        <w:jc w:val="left"/>
      </w:pPr>
      <w:r>
        <w:rPr/>
        <w:t>□适用</w:t>
      </w:r>
      <w:r>
        <w:rPr>
          <w:spacing w:val="-1"/>
        </w:rPr>
        <w:t> </w:t>
      </w:r>
      <w:r>
        <w:rPr/>
        <w:t>√不适用</w:t>
      </w:r>
    </w:p>
    <w:p>
      <w:pPr>
        <w:pStyle w:val="Heading4"/>
        <w:spacing w:line="240" w:lineRule="auto" w:before="57"/>
        <w:ind w:right="9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Heading4"/>
        <w:tabs>
          <w:tab w:pos="1060" w:val="left" w:leader="none"/>
        </w:tabs>
        <w:spacing w:line="290" w:lineRule="auto" w:before="32"/>
        <w:ind w:right="112"/>
        <w:jc w:val="left"/>
        <w:rPr>
          <w:b w:val="0"/>
          <w:bCs w:val="0"/>
        </w:rPr>
      </w:pPr>
      <w:r>
        <w:rPr>
          <w:rFonts w:ascii="宋体" w:hAnsi="宋体" w:cs="宋体" w:eastAsia="宋体" w:hint="default"/>
          <w:b w:val="0"/>
          <w:bCs w:val="0"/>
          <w:spacing w:val="-1"/>
        </w:rPr>
        <w:t>□适用</w:t>
        <w:tab/>
      </w:r>
      <w:r>
        <w:rPr>
          <w:rFonts w:ascii="宋体" w:hAnsi="宋体" w:cs="宋体" w:eastAsia="宋体" w:hint="default"/>
          <w:b w:val="0"/>
          <w:bCs w:val="0"/>
          <w:spacing w:val="-2"/>
        </w:rPr>
        <w:t>√不适用</w:t>
      </w:r>
      <w:r>
        <w:rPr>
          <w:rFonts w:ascii="宋体" w:hAnsi="宋体" w:cs="宋体" w:eastAsia="宋体" w:hint="default"/>
          <w:b w:val="0"/>
          <w:bCs w:val="0"/>
          <w:spacing w:val="-99"/>
        </w:rPr>
        <w:t> </w:t>
      </w:r>
      <w:r>
        <w:rPr>
          <w:rFonts w:ascii="宋体" w:hAnsi="宋体" w:cs="宋体" w:eastAsia="宋体" w:hint="default"/>
          <w:b w:val="0"/>
          <w:bCs w:val="0"/>
          <w:spacing w:val="-99"/>
        </w:rPr>
      </w:r>
      <w:r>
        <w:rPr/>
        <w:t>四、董事会下设专门委员会在报告期内履行职责时所提出的重要意见和建议，存在异议事项的，</w:t>
      </w:r>
      <w:r>
        <w:rPr>
          <w:b w:val="0"/>
          <w:bCs w:val="0"/>
        </w:rPr>
      </w:r>
    </w:p>
    <w:p>
      <w:pPr>
        <w:pStyle w:val="Heading4"/>
        <w:spacing w:line="227" w:lineRule="exact" w:before="0"/>
        <w:ind w:left="642" w:right="99"/>
        <w:jc w:val="left"/>
        <w:rPr>
          <w:b w:val="0"/>
          <w:bCs w:val="0"/>
        </w:rPr>
      </w:pPr>
      <w:r>
        <w:rPr/>
        <w:t>应当披露具体情况</w:t>
      </w:r>
      <w:r>
        <w:rPr>
          <w:b w:val="0"/>
          <w:bCs w:val="0"/>
        </w:rPr>
      </w:r>
    </w:p>
    <w:p>
      <w:pPr>
        <w:pStyle w:val="BodyText"/>
        <w:tabs>
          <w:tab w:pos="1060" w:val="left" w:leader="none"/>
        </w:tabs>
        <w:spacing w:line="304" w:lineRule="auto" w:before="58"/>
        <w:ind w:left="698" w:right="211" w:hanging="480"/>
        <w:jc w:val="left"/>
      </w:pPr>
      <w:r>
        <w:rPr>
          <w:spacing w:val="-1"/>
        </w:rPr>
        <w:t>√适用</w:t>
        <w:tab/>
      </w:r>
      <w:r>
        <w:rPr>
          <w:spacing w:val="-2"/>
        </w:rPr>
        <w:t>□不适用</w:t>
      </w:r>
      <w:r>
        <w:rPr>
          <w:spacing w:val="-99"/>
        </w:rPr>
        <w:t> </w:t>
      </w:r>
      <w:r>
        <w:rPr>
          <w:spacing w:val="-99"/>
        </w:rPr>
      </w:r>
      <w:r>
        <w:rPr>
          <w:spacing w:val="-3"/>
        </w:rPr>
        <w:t>报告期内，公司董事会下设的战略委员会、审计委员会、提名委员会、薪酬与考核委员会能</w:t>
      </w:r>
    </w:p>
    <w:p>
      <w:pPr>
        <w:pStyle w:val="BodyText"/>
        <w:spacing w:line="314" w:lineRule="auto" w:before="28"/>
        <w:ind w:right="99"/>
        <w:jc w:val="left"/>
      </w:pPr>
      <w:r>
        <w:rPr>
          <w:spacing w:val="-1"/>
        </w:rPr>
        <w:t>够按照各专门委员会工作细则认真履行职责，分别对公司募集资金、财务报告、内部控制等事项</w:t>
      </w:r>
      <w:r>
        <w:rPr>
          <w:spacing w:val="-55"/>
        </w:rPr>
        <w:t> </w:t>
      </w:r>
      <w:r>
        <w:rPr>
          <w:spacing w:val="-55"/>
        </w:rPr>
      </w:r>
      <w:r>
        <w:rPr/>
        <w:t>进行审查，均未对所审议案提出异议。</w:t>
      </w:r>
    </w:p>
    <w:p>
      <w:pPr>
        <w:pStyle w:val="Heading4"/>
        <w:spacing w:line="240" w:lineRule="auto" w:before="3"/>
        <w:ind w:right="99"/>
        <w:jc w:val="left"/>
        <w:rPr>
          <w:b w:val="0"/>
          <w:bCs w:val="0"/>
        </w:rPr>
      </w:pPr>
      <w:r>
        <w:rPr/>
        <w:t>五、监事会发现公司存在风险的说明</w:t>
      </w:r>
      <w:r>
        <w:rPr>
          <w:b w:val="0"/>
          <w:bCs w:val="0"/>
        </w:rPr>
      </w:r>
    </w:p>
    <w:p>
      <w:pPr>
        <w:pStyle w:val="Heading4"/>
        <w:spacing w:line="290" w:lineRule="auto" w:before="58"/>
        <w:ind w:right="99"/>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六、公司就其与控股股东在业务、人员、资产、机构、财务等方面存在的不能保证独立性、不能</w:t>
      </w:r>
      <w:r>
        <w:rPr>
          <w:b w:val="0"/>
          <w:bCs w:val="0"/>
          <w:spacing w:val="-1"/>
        </w:rPr>
      </w:r>
    </w:p>
    <w:p>
      <w:pPr>
        <w:pStyle w:val="Heading4"/>
        <w:spacing w:line="229" w:lineRule="exact" w:before="0"/>
        <w:ind w:left="642" w:right="99"/>
        <w:jc w:val="left"/>
        <w:rPr>
          <w:b w:val="0"/>
          <w:bCs w:val="0"/>
        </w:rPr>
      </w:pPr>
      <w:r>
        <w:rPr/>
        <w:t>保持自主经营能力的情况说明</w:t>
      </w:r>
      <w:r>
        <w:rPr>
          <w:b w:val="0"/>
          <w:bCs w:val="0"/>
        </w:rPr>
      </w:r>
    </w:p>
    <w:p>
      <w:pPr>
        <w:pStyle w:val="BodyText"/>
        <w:tabs>
          <w:tab w:pos="1060" w:val="left" w:leader="none"/>
        </w:tabs>
        <w:spacing w:line="240" w:lineRule="auto" w:before="56"/>
        <w:ind w:right="2949"/>
        <w:jc w:val="left"/>
      </w:pPr>
      <w:r>
        <w:rPr>
          <w:spacing w:val="-1"/>
        </w:rPr>
        <w:t>□适用</w:t>
        <w:tab/>
      </w:r>
      <w:r>
        <w:rPr>
          <w:spacing w:val="-2"/>
        </w:rPr>
        <w:t>√不适用</w:t>
      </w:r>
      <w:r>
        <w:rPr>
          <w:spacing w:val="-99"/>
        </w:rPr>
        <w:t> </w:t>
      </w:r>
      <w:r>
        <w:rPr>
          <w:spacing w:val="-99"/>
        </w:rPr>
      </w:r>
      <w:r>
        <w:rPr>
          <w:spacing w:val="-2"/>
        </w:rPr>
        <w:t>存在同业竞争的，公司相应的解决措施、工作进度及后续工作计划</w:t>
      </w:r>
    </w:p>
    <w:p>
      <w:pPr>
        <w:tabs>
          <w:tab w:pos="1060" w:val="left" w:leader="none"/>
        </w:tabs>
        <w:spacing w:line="290" w:lineRule="auto" w:before="0"/>
        <w:ind w:left="218" w:right="20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七、报告期内对高级管理人员的考评机制，以及激励机制的建立、实施情况</w:t>
      </w:r>
      <w:r>
        <w:rPr>
          <w:rFonts w:ascii="宋体" w:hAnsi="宋体" w:cs="宋体" w:eastAsia="宋体" w:hint="default"/>
          <w:spacing w:val="-1"/>
          <w:sz w:val="21"/>
          <w:szCs w:val="21"/>
        </w:rPr>
      </w:r>
    </w:p>
    <w:p>
      <w:pPr>
        <w:pStyle w:val="BodyText"/>
        <w:tabs>
          <w:tab w:pos="1060" w:val="left" w:leader="none"/>
        </w:tabs>
        <w:spacing w:line="307" w:lineRule="auto" w:before="12"/>
        <w:ind w:left="698" w:right="211" w:hanging="480"/>
        <w:jc w:val="left"/>
        <w:rPr>
          <w:rFonts w:ascii="Times New Roman" w:hAnsi="Times New Roman" w:cs="Times New Roman" w:eastAsia="Times New Roman" w:hint="default"/>
        </w:rPr>
      </w:pPr>
      <w:r>
        <w:rPr>
          <w:spacing w:val="-1"/>
        </w:rPr>
        <w:t>√适用</w:t>
        <w:tab/>
      </w:r>
      <w:r>
        <w:rPr>
          <w:spacing w:val="-2"/>
        </w:rPr>
        <w:t>□不适用</w:t>
      </w:r>
      <w:r>
        <w:rPr>
          <w:spacing w:val="-99"/>
        </w:rPr>
        <w:t> </w:t>
      </w:r>
      <w:r>
        <w:rPr>
          <w:spacing w:val="-99"/>
        </w:rPr>
      </w:r>
      <w:r>
        <w:rPr>
          <w:spacing w:val="2"/>
        </w:rPr>
        <w:t>报告期内，公司已建了较为完善的绩效管理体系，建立了高级管理人员的考评机制。</w:t>
      </w:r>
      <w:r>
        <w:rPr>
          <w:rFonts w:ascii="Times New Roman" w:hAnsi="Times New Roman" w:cs="Times New Roman" w:eastAsia="Times New Roman" w:hint="default"/>
          <w:spacing w:val="2"/>
        </w:rPr>
        <w:t>2018</w:t>
      </w:r>
    </w:p>
    <w:p>
      <w:pPr>
        <w:pStyle w:val="BodyText"/>
        <w:spacing w:line="302" w:lineRule="auto" w:before="4"/>
        <w:ind w:right="208"/>
        <w:jc w:val="both"/>
      </w:pP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日，根据股东大会的授权，公司分别召开第三届董事会第三十次会议及第三届监事会</w:t>
      </w:r>
      <w:r>
        <w:rPr>
          <w:w w:val="100"/>
        </w:rPr>
        <w:t> </w:t>
      </w:r>
      <w:r>
        <w:rPr>
          <w:spacing w:val="-1"/>
        </w:rPr>
        <w:t>第十九次会议，审议通过了《关于限制性股票激励计划首次授予股票第二期解锁及预留授予股票</w:t>
      </w:r>
      <w:r>
        <w:rPr>
          <w:spacing w:val="-55"/>
        </w:rPr>
        <w:t> </w:t>
      </w:r>
      <w:r>
        <w:rPr>
          <w:spacing w:val="-55"/>
        </w:rPr>
      </w:r>
      <w:r>
        <w:rPr>
          <w:spacing w:val="-13"/>
          <w:w w:val="100"/>
        </w:rPr>
        <w:t>第一期解锁的议案》。同意对符合条件的</w:t>
      </w:r>
      <w:r>
        <w:rPr>
          <w:spacing w:val="-43"/>
          <w:w w:val="100"/>
        </w:rPr>
        <w:t> </w:t>
      </w:r>
      <w:r>
        <w:rPr>
          <w:rFonts w:ascii="Times New Roman" w:hAnsi="Times New Roman" w:cs="Times New Roman" w:eastAsia="Times New Roman" w:hint="default"/>
          <w:spacing w:val="-1"/>
          <w:w w:val="100"/>
        </w:rPr>
        <w:t>138</w:t>
      </w:r>
      <w:r>
        <w:rPr>
          <w:rFonts w:ascii="Times New Roman" w:hAnsi="Times New Roman" w:cs="Times New Roman" w:eastAsia="Times New Roman" w:hint="default"/>
          <w:spacing w:val="11"/>
          <w:w w:val="100"/>
        </w:rPr>
        <w:t> </w:t>
      </w:r>
      <w:r>
        <w:rPr>
          <w:spacing w:val="-2"/>
          <w:w w:val="100"/>
        </w:rPr>
        <w:t>名首次授予激励对象的限制性股票实施第二期解锁，</w:t>
      </w:r>
      <w:r>
        <w:rPr>
          <w:spacing w:val="-102"/>
          <w:w w:val="100"/>
        </w:rPr>
        <w:t> </w:t>
      </w:r>
      <w:r>
        <w:rPr>
          <w:spacing w:val="-102"/>
          <w:w w:val="100"/>
        </w:rPr>
      </w:r>
      <w:r>
        <w:rPr/>
        <w:t>可解锁比例</w:t>
      </w:r>
      <w:r>
        <w:rPr>
          <w:spacing w:val="-57"/>
        </w:rPr>
        <w:t> </w:t>
      </w:r>
      <w:r>
        <w:rPr>
          <w:rFonts w:ascii="Times New Roman" w:hAnsi="Times New Roman" w:cs="Times New Roman" w:eastAsia="Times New Roman" w:hint="default"/>
        </w:rPr>
        <w:t>30%</w:t>
      </w:r>
      <w:r>
        <w:rPr/>
        <w:t>；对符合条件的</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名预留授予激励对象的限制性股票实施第一期解锁，可解锁比</w:t>
      </w:r>
      <w:r>
        <w:rPr>
          <w:w w:val="100"/>
        </w:rPr>
        <w:t> </w:t>
      </w:r>
      <w:r>
        <w:rPr/>
        <w:t>例</w:t>
      </w:r>
      <w:r>
        <w:rPr>
          <w:spacing w:val="-53"/>
        </w:rPr>
        <w:t> </w:t>
      </w:r>
      <w:r>
        <w:rPr>
          <w:rFonts w:ascii="Times New Roman" w:hAnsi="Times New Roman" w:cs="Times New Roman" w:eastAsia="Times New Roman" w:hint="default"/>
        </w:rPr>
        <w:t>50%</w:t>
      </w:r>
      <w:r>
        <w:rPr/>
        <w:t>，本次可解锁股份合计</w:t>
      </w:r>
      <w:r>
        <w:rPr>
          <w:spacing w:val="-52"/>
        </w:rPr>
        <w:t> </w:t>
      </w:r>
      <w:r>
        <w:rPr>
          <w:rFonts w:ascii="Times New Roman" w:hAnsi="Times New Roman" w:cs="Times New Roman" w:eastAsia="Times New Roman" w:hint="default"/>
        </w:rPr>
        <w:t>1,939,856</w:t>
      </w:r>
      <w:r>
        <w:rPr>
          <w:rFonts w:ascii="Times New Roman" w:hAnsi="Times New Roman" w:cs="Times New Roman" w:eastAsia="Times New Roman" w:hint="default"/>
          <w:spacing w:val="-3"/>
        </w:rPr>
        <w:t> </w:t>
      </w:r>
      <w:r>
        <w:rPr/>
        <w:t>股。</w:t>
      </w:r>
    </w:p>
    <w:p>
      <w:pPr>
        <w:pStyle w:val="Heading4"/>
        <w:spacing w:line="267" w:lineRule="exact" w:before="0"/>
        <w:ind w:right="99"/>
        <w:jc w:val="left"/>
        <w:rPr>
          <w:b w:val="0"/>
          <w:bCs w:val="0"/>
        </w:rPr>
      </w:pPr>
      <w:r>
        <w:rPr/>
        <w:t>八、是否披露内部控制自我评价报告</w:t>
      </w:r>
      <w:r>
        <w:rPr>
          <w:b w:val="0"/>
          <w:bCs w:val="0"/>
        </w:rPr>
      </w:r>
    </w:p>
    <w:p>
      <w:pPr>
        <w:pStyle w:val="BodyText"/>
        <w:spacing w:line="240" w:lineRule="auto" w:before="56"/>
        <w:ind w:right="99"/>
        <w:jc w:val="left"/>
      </w:pPr>
      <w:r>
        <w:rPr/>
        <w:t>√适用</w:t>
      </w:r>
      <w:r>
        <w:rPr>
          <w:spacing w:val="-1"/>
        </w:rPr>
        <w:t> </w:t>
      </w:r>
      <w:r>
        <w:rPr/>
        <w:t>□不适用</w:t>
      </w:r>
    </w:p>
    <w:p>
      <w:pPr>
        <w:pStyle w:val="BodyText"/>
        <w:spacing w:line="297" w:lineRule="auto" w:before="75"/>
        <w:ind w:right="206" w:firstLine="479"/>
        <w:jc w:val="left"/>
      </w:pPr>
      <w:r>
        <w:rPr/>
        <w:t>内部控制自我评价报告详见公司</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spacing w:val="-4"/>
        </w:rPr>
        <w:t>日披露的《南威软件股份有限公司内部控制</w:t>
      </w:r>
      <w:r>
        <w:rPr>
          <w:w w:val="100"/>
        </w:rPr>
        <w:t> </w:t>
      </w:r>
      <w:r>
        <w:rPr/>
        <w:t>自我评价报告》。</w:t>
      </w:r>
    </w:p>
    <w:p>
      <w:pPr>
        <w:pStyle w:val="BodyText"/>
        <w:spacing w:line="240" w:lineRule="auto" w:before="34"/>
        <w:ind w:right="99"/>
        <w:jc w:val="left"/>
      </w:pPr>
      <w:r>
        <w:rPr/>
        <w:t>报告期内部控制存在重大缺陷情况的说明</w:t>
      </w:r>
    </w:p>
    <w:p>
      <w:pPr>
        <w:spacing w:line="290" w:lineRule="auto" w:before="8"/>
        <w:ind w:left="218" w:right="544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九、内部控制审计报告的相关情况说明</w:t>
      </w:r>
      <w:r>
        <w:rPr>
          <w:rFonts w:ascii="宋体" w:hAnsi="宋体" w:cs="宋体" w:eastAsia="宋体" w:hint="default"/>
          <w:sz w:val="21"/>
          <w:szCs w:val="21"/>
        </w:rPr>
      </w:r>
    </w:p>
    <w:p>
      <w:pPr>
        <w:pStyle w:val="BodyText"/>
        <w:tabs>
          <w:tab w:pos="1060" w:val="left" w:leader="none"/>
        </w:tabs>
        <w:spacing w:line="240" w:lineRule="auto" w:before="14"/>
        <w:ind w:right="99"/>
        <w:jc w:val="left"/>
      </w:pPr>
      <w:r>
        <w:rPr>
          <w:spacing w:val="-1"/>
        </w:rPr>
        <w:t>√适用</w:t>
        <w:tab/>
      </w:r>
      <w:r>
        <w:rPr>
          <w:spacing w:val="-2"/>
        </w:rPr>
        <w:t>□不适用</w:t>
      </w:r>
    </w:p>
    <w:p>
      <w:pPr>
        <w:spacing w:after="0" w:line="240" w:lineRule="auto"/>
        <w:jc w:val="left"/>
        <w:sectPr>
          <w:pgSz w:w="11910" w:h="16840"/>
          <w:pgMar w:header="852" w:footer="979" w:top="1120" w:bottom="1160" w:left="158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85" w:lineRule="auto"/>
        <w:ind w:left="138" w:right="0" w:firstLine="419"/>
        <w:jc w:val="left"/>
      </w:pPr>
      <w:r>
        <w:rPr>
          <w:spacing w:val="-2"/>
        </w:rPr>
        <w:t>福建华兴会计师事务所（特殊普通合伙）对公司</w:t>
      </w:r>
      <w:r>
        <w:rPr>
          <w:rFonts w:ascii="Calibri" w:hAnsi="Calibri" w:cs="Calibri" w:eastAsia="Calibri" w:hint="default"/>
          <w:spacing w:val="-2"/>
        </w:rPr>
        <w:t>2018</w:t>
      </w:r>
      <w:r>
        <w:rPr>
          <w:spacing w:val="-2"/>
        </w:rPr>
        <w:t>年度财务报告内部控制的有效性进行了</w:t>
      </w:r>
      <w:r>
        <w:rPr>
          <w:w w:val="100"/>
        </w:rPr>
        <w:t> </w:t>
      </w:r>
      <w:r>
        <w:rPr/>
        <w:t>审计，并出具了标准无保留意见的审计报告。</w:t>
      </w:r>
    </w:p>
    <w:p>
      <w:pPr>
        <w:pStyle w:val="BodyText"/>
        <w:spacing w:line="297" w:lineRule="auto" w:before="45"/>
        <w:ind w:left="138" w:right="0" w:firstLine="419"/>
        <w:jc w:val="left"/>
      </w:pPr>
      <w:r>
        <w:rPr>
          <w:spacing w:val="-3"/>
        </w:rPr>
        <w:t>福建华兴会计师事务所（特殊普通合伙）出具的《</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
        </w:rPr>
        <w:t> </w:t>
      </w:r>
      <w:r>
        <w:rPr>
          <w:spacing w:val="-3"/>
        </w:rPr>
        <w:t>年度内部控制审计报告》与本公司的</w:t>
      </w:r>
      <w:r>
        <w:rPr>
          <w:w w:val="100"/>
        </w:rPr>
        <w:t> </w:t>
      </w:r>
      <w:r>
        <w:rPr/>
        <w:t>年度报告同时披露，具体内容详见上海证券交易所网站</w:t>
      </w:r>
      <w:r>
        <w:rPr>
          <w:spacing w:val="-54"/>
        </w:rPr>
        <w:t> </w:t>
      </w:r>
      <w:hyperlink r:id="rId11">
        <w:r>
          <w:rPr>
            <w:rFonts w:ascii="Times New Roman" w:hAnsi="Times New Roman" w:cs="Times New Roman" w:eastAsia="Times New Roman" w:hint="default"/>
          </w:rPr>
          <w:t>http://www.sse.com.cn</w:t>
        </w:r>
      </w:hyperlink>
      <w:r>
        <w:rPr/>
        <w:t>。</w:t>
      </w:r>
      <w:r>
        <w:rPr>
          <w:w w:val="100"/>
        </w:rPr>
        <w:t> </w:t>
      </w:r>
      <w:r>
        <w:rPr/>
        <w:t>是否披露内部控制审计报告：是</w:t>
      </w:r>
    </w:p>
    <w:p>
      <w:pPr>
        <w:pStyle w:val="Heading4"/>
        <w:spacing w:line="240" w:lineRule="auto" w:before="18"/>
        <w:ind w:left="138" w:right="0"/>
        <w:jc w:val="left"/>
        <w:rPr>
          <w:b w:val="0"/>
          <w:bCs w:val="0"/>
        </w:rPr>
      </w:pPr>
      <w:r>
        <w:rPr/>
        <w:t>十、其他</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6"/>
        <w:rPr>
          <w:rFonts w:ascii="宋体" w:hAnsi="宋体" w:cs="宋体" w:eastAsia="宋体" w:hint="default"/>
          <w:sz w:val="29"/>
          <w:szCs w:val="29"/>
        </w:rPr>
      </w:pPr>
    </w:p>
    <w:p>
      <w:pPr>
        <w:pStyle w:val="Heading1"/>
        <w:tabs>
          <w:tab w:pos="4060" w:val="left" w:leader="none"/>
        </w:tabs>
        <w:spacing w:line="240" w:lineRule="auto" w:before="0"/>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5"/>
        <w:rPr>
          <w:rFonts w:ascii="黑体" w:hAnsi="黑体" w:cs="黑体" w:eastAsia="黑体" w:hint="default"/>
          <w:b/>
          <w:bCs/>
          <w:sz w:val="19"/>
          <w:szCs w:val="19"/>
        </w:rPr>
      </w:pPr>
    </w:p>
    <w:p>
      <w:pPr>
        <w:pStyle w:val="BodyText"/>
        <w:spacing w:line="240" w:lineRule="auto"/>
        <w:ind w:left="138" w:right="0"/>
        <w:jc w:val="left"/>
      </w:pPr>
      <w:r>
        <w:rPr/>
        <w:t>□适用</w:t>
      </w:r>
      <w:r>
        <w:rPr>
          <w:spacing w:val="-1"/>
        </w:rPr>
        <w:t> </w:t>
      </w:r>
      <w:r>
        <w:rPr/>
        <w:t>√不适用</w:t>
      </w:r>
    </w:p>
    <w:p>
      <w:pPr>
        <w:spacing w:after="0" w:line="240" w:lineRule="auto"/>
        <w:jc w:val="left"/>
        <w:sectPr>
          <w:pgSz w:w="11910" w:h="16840"/>
          <w:pgMar w:header="852" w:footer="979" w:top="1120" w:bottom="1160" w:left="1660" w:right="1140"/>
        </w:sectPr>
      </w:pPr>
    </w:p>
    <w:p>
      <w:pPr>
        <w:spacing w:line="240" w:lineRule="auto" w:before="11"/>
        <w:rPr>
          <w:rFonts w:ascii="宋体" w:hAnsi="宋体" w:cs="宋体" w:eastAsia="宋体" w:hint="default"/>
          <w:sz w:val="25"/>
          <w:szCs w:val="25"/>
        </w:rPr>
      </w:pPr>
    </w:p>
    <w:p>
      <w:pPr>
        <w:pStyle w:val="Heading1"/>
        <w:spacing w:line="240" w:lineRule="auto"/>
        <w:ind w:left="3423" w:right="3518"/>
        <w:jc w:val="center"/>
        <w:rPr>
          <w:b w:val="0"/>
          <w:bCs w:val="0"/>
        </w:rPr>
      </w:pPr>
      <w:bookmarkStart w:name="_TOC_250001" w:id="11"/>
      <w:r>
        <w:rPr/>
        <w:t>第十一节</w:t>
      </w:r>
      <w:r>
        <w:rPr>
          <w:spacing w:val="-6"/>
        </w:rPr>
        <w:t> </w:t>
      </w:r>
      <w:r>
        <w:rPr/>
        <w:t>财务报告</w:t>
      </w:r>
      <w:bookmarkEnd w:id="11"/>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52" w:footer="979" w:top="1120" w:bottom="1160" w:left="1580" w:right="960"/>
        </w:sectPr>
      </w:pPr>
    </w:p>
    <w:p>
      <w:pPr>
        <w:pStyle w:val="Heading4"/>
        <w:spacing w:line="240" w:lineRule="auto"/>
        <w:ind w:right="-3"/>
        <w:jc w:val="left"/>
        <w:rPr>
          <w:b w:val="0"/>
          <w:bCs w:val="0"/>
        </w:rPr>
      </w:pPr>
      <w:r>
        <w:rPr/>
        <w:t>一、审计报告</w:t>
      </w:r>
      <w:r>
        <w:rPr>
          <w:b w:val="0"/>
          <w:bCs w:val="0"/>
        </w:rPr>
      </w:r>
    </w:p>
    <w:p>
      <w:pPr>
        <w:pStyle w:val="BodyText"/>
        <w:spacing w:line="240" w:lineRule="auto" w:before="58"/>
        <w:ind w:right="-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4"/>
        <w:spacing w:line="314" w:lineRule="auto" w:before="0"/>
        <w:ind w:left="640" w:right="-3" w:hanging="423"/>
        <w:jc w:val="left"/>
        <w:rPr>
          <w:b w:val="0"/>
          <w:bCs w:val="0"/>
        </w:rPr>
      </w:pPr>
      <w:r>
        <w:rPr>
          <w:spacing w:val="-1"/>
        </w:rPr>
        <w:t>南威软件股份有限公司全体股东：</w:t>
      </w:r>
      <w:r>
        <w:rPr>
          <w:spacing w:val="-92"/>
        </w:rPr>
        <w:t> </w:t>
      </w:r>
      <w:r>
        <w:rPr>
          <w:spacing w:val="-92"/>
        </w:rPr>
      </w:r>
      <w:r>
        <w:rPr/>
        <w:t>一、审计意见</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pStyle w:val="Heading4"/>
        <w:spacing w:line="240" w:lineRule="auto" w:before="0"/>
        <w:ind w:right="-19"/>
        <w:jc w:val="left"/>
        <w:rPr>
          <w:b w:val="0"/>
          <w:bCs w:val="0"/>
        </w:rPr>
      </w:pPr>
      <w:r>
        <w:rPr/>
        <w:t>审计报告</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闽华兴所（</w:t>
      </w:r>
      <w:r>
        <w:rPr>
          <w:rFonts w:ascii="Times New Roman" w:hAnsi="Times New Roman" w:cs="Times New Roman" w:eastAsia="Times New Roman" w:hint="default"/>
        </w:rPr>
        <w:t>2019</w:t>
      </w:r>
      <w:r>
        <w:rPr/>
        <w:t>）审字</w:t>
      </w:r>
      <w:r>
        <w:rPr>
          <w:rFonts w:ascii="Times New Roman" w:hAnsi="Times New Roman" w:cs="Times New Roman" w:eastAsia="Times New Roman" w:hint="default"/>
        </w:rPr>
        <w:t>H</w:t>
      </w:r>
      <w:r>
        <w:rPr>
          <w:rFonts w:ascii="宋体" w:hAnsi="宋体" w:cs="宋体" w:eastAsia="宋体" w:hint="default"/>
        </w:rPr>
        <w:t>-</w:t>
      </w:r>
      <w:r>
        <w:rPr>
          <w:rFonts w:ascii="Times New Roman" w:hAnsi="Times New Roman" w:cs="Times New Roman" w:eastAsia="Times New Roman" w:hint="default"/>
        </w:rPr>
        <w:t>019</w:t>
      </w:r>
      <w:r>
        <w:rPr/>
        <w:t>号</w:t>
      </w:r>
    </w:p>
    <w:p>
      <w:pPr>
        <w:spacing w:after="0" w:line="240" w:lineRule="auto"/>
        <w:jc w:val="left"/>
        <w:sectPr>
          <w:type w:val="continuous"/>
          <w:pgSz w:w="11910" w:h="16840"/>
          <w:pgMar w:top="1580" w:bottom="280" w:left="1580" w:right="960"/>
          <w:cols w:num="3" w:equalWidth="0">
            <w:col w:w="3382" w:space="852"/>
            <w:col w:w="1063" w:space="653"/>
            <w:col w:w="3420"/>
          </w:cols>
        </w:sectPr>
      </w:pPr>
    </w:p>
    <w:p>
      <w:pPr>
        <w:pStyle w:val="BodyText"/>
        <w:spacing w:line="297" w:lineRule="auto" w:before="20"/>
        <w:ind w:right="303" w:firstLine="412"/>
        <w:jc w:val="both"/>
      </w:pPr>
      <w:r>
        <w:rPr>
          <w:spacing w:val="-6"/>
        </w:rPr>
        <w:t>我们审计了南威软件股份有限公司</w:t>
      </w:r>
      <w:r>
        <w:rPr>
          <w:rFonts w:ascii="宋体" w:hAnsi="宋体" w:cs="宋体" w:eastAsia="宋体" w:hint="default"/>
          <w:spacing w:val="-6"/>
        </w:rPr>
        <w:t>(</w:t>
      </w:r>
      <w:r>
        <w:rPr>
          <w:spacing w:val="-6"/>
        </w:rPr>
        <w:t>以下简称“南威软件”</w:t>
      </w:r>
      <w:r>
        <w:rPr>
          <w:rFonts w:ascii="宋体" w:hAnsi="宋体" w:cs="宋体" w:eastAsia="宋体" w:hint="default"/>
          <w:spacing w:val="-6"/>
        </w:rPr>
        <w:t>)</w:t>
      </w:r>
      <w:r>
        <w:rPr>
          <w:spacing w:val="-6"/>
        </w:rPr>
        <w:t>财务报表，包括</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日的</w:t>
      </w:r>
      <w:r>
        <w:rPr>
          <w:w w:val="100"/>
        </w:rPr>
        <w:t> </w:t>
      </w:r>
      <w:r>
        <w:rPr>
          <w:spacing w:val="-6"/>
        </w:rPr>
        <w:t>合并及母公司资产负债表，</w:t>
      </w:r>
      <w:r>
        <w:rPr>
          <w:rFonts w:ascii="Times New Roman" w:hAnsi="Times New Roman" w:cs="Times New Roman" w:eastAsia="Times New Roman" w:hint="default"/>
          <w:spacing w:val="-6"/>
        </w:rPr>
        <w:t>2018</w:t>
      </w:r>
      <w:r>
        <w:rPr>
          <w:spacing w:val="-6"/>
        </w:rPr>
        <w:t>年度的合并及母公司利润表、合并及母公司现金流量表、合并及母</w:t>
      </w:r>
      <w:r>
        <w:rPr>
          <w:spacing w:val="-39"/>
        </w:rPr>
        <w:t> </w:t>
      </w:r>
      <w:r>
        <w:rPr>
          <w:spacing w:val="-39"/>
        </w:rPr>
      </w:r>
      <w:r>
        <w:rPr>
          <w:spacing w:val="-6"/>
        </w:rPr>
        <w:t>公司所有者权益变动表以及相关财务报表附注。</w:t>
      </w:r>
    </w:p>
    <w:p>
      <w:pPr>
        <w:pStyle w:val="BodyText"/>
        <w:spacing w:line="314" w:lineRule="auto" w:before="34"/>
        <w:ind w:right="0" w:firstLine="419"/>
        <w:jc w:val="left"/>
      </w:pPr>
      <w:r>
        <w:rPr/>
        <w:t>我们认为，后附的财务报表在所有重大方面按照企业会计准则的规定编制，公允反映了南威</w:t>
      </w:r>
      <w:r>
        <w:rPr>
          <w:w w:val="100"/>
        </w:rPr>
        <w:t> </w:t>
      </w:r>
      <w:r>
        <w:rPr>
          <w:spacing w:val="-1"/>
        </w:rPr>
        <w:t>软件</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日的合并及母公司财务状况以及</w:t>
      </w:r>
      <w:r>
        <w:rPr>
          <w:rFonts w:ascii="Times New Roman" w:hAnsi="Times New Roman" w:cs="Times New Roman" w:eastAsia="Times New Roman" w:hint="default"/>
          <w:spacing w:val="-1"/>
        </w:rPr>
        <w:t>2018</w:t>
      </w:r>
      <w:r>
        <w:rPr>
          <w:spacing w:val="-1"/>
        </w:rPr>
        <w:t>年度的合并及母公司经营成果和现金流量。</w:t>
      </w:r>
    </w:p>
    <w:p>
      <w:pPr>
        <w:spacing w:line="314" w:lineRule="auto" w:before="0"/>
        <w:ind w:left="638" w:right="310"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314" w:lineRule="auto" w:before="20"/>
        <w:ind w:right="308"/>
        <w:jc w:val="both"/>
      </w:pPr>
      <w:r>
        <w:rPr>
          <w:spacing w:val="-1"/>
        </w:rPr>
        <w:t>报表审计的责任”部分进一步阐述了我们在这些准则下的责任。按照中国注册会计师职业道德守</w:t>
      </w:r>
      <w:r>
        <w:rPr>
          <w:spacing w:val="-56"/>
        </w:rPr>
        <w:t> </w:t>
      </w:r>
      <w:r>
        <w:rPr>
          <w:spacing w:val="-56"/>
        </w:rPr>
      </w:r>
      <w:r>
        <w:rPr>
          <w:spacing w:val="-1"/>
        </w:rPr>
        <w:t>则，我们独立于南威软件，并履行了职业道德方面的其他责任。我们相信，我们获取的审计证据</w:t>
      </w:r>
      <w:r>
        <w:rPr>
          <w:spacing w:val="-55"/>
        </w:rPr>
        <w:t> </w:t>
      </w:r>
      <w:r>
        <w:rPr>
          <w:spacing w:val="-55"/>
        </w:rPr>
      </w:r>
      <w:r>
        <w:rPr/>
        <w:t>是充分、适当的，为发表审计意见提供了基础。</w:t>
      </w:r>
    </w:p>
    <w:p>
      <w:pPr>
        <w:pStyle w:val="BodyText"/>
        <w:spacing w:line="314" w:lineRule="auto" w:before="20"/>
        <w:ind w:left="638" w:right="310"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w:t>
      </w:r>
    </w:p>
    <w:p>
      <w:pPr>
        <w:pStyle w:val="BodyText"/>
        <w:spacing w:line="628" w:lineRule="auto" w:before="20"/>
        <w:ind w:left="638" w:right="310" w:hanging="420"/>
        <w:jc w:val="left"/>
      </w:pPr>
      <w:r>
        <w:rPr/>
        <w:pict>
          <v:shape style="position:absolute;margin-left:84.264pt;margin-top:52.863682pt;width:453.2pt;height:285.5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02"/>
                    <w:gridCol w:w="4647"/>
                  </w:tblGrid>
                  <w:tr>
                    <w:trPr>
                      <w:trHeight w:val="547" w:hRule="exact"/>
                    </w:trPr>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631" w:right="0"/>
                          <w:jc w:val="left"/>
                          <w:rPr>
                            <w:rFonts w:ascii="宋体" w:hAnsi="宋体" w:cs="宋体" w:eastAsia="宋体" w:hint="default"/>
                            <w:sz w:val="21"/>
                            <w:szCs w:val="21"/>
                          </w:rPr>
                        </w:pPr>
                        <w:r>
                          <w:rPr>
                            <w:rFonts w:ascii="宋体" w:hAnsi="宋体" w:cs="宋体" w:eastAsia="宋体" w:hint="default"/>
                            <w:b/>
                            <w:bCs/>
                            <w:sz w:val="21"/>
                            <w:szCs w:val="21"/>
                          </w:rPr>
                          <w:t>我们在审计中如何应对关键审计事项</w:t>
                        </w:r>
                        <w:r>
                          <w:rPr>
                            <w:rFonts w:ascii="宋体" w:hAnsi="宋体" w:cs="宋体" w:eastAsia="宋体" w:hint="default"/>
                            <w:sz w:val="21"/>
                            <w:szCs w:val="21"/>
                          </w:rPr>
                        </w:r>
                      </w:p>
                    </w:tc>
                  </w:tr>
                  <w:tr>
                    <w:trPr>
                      <w:trHeight w:val="46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b/>
                            <w:bCs/>
                            <w:sz w:val="21"/>
                            <w:szCs w:val="21"/>
                          </w:rPr>
                          <w:t>收入确认</w:t>
                        </w:r>
                        <w:r>
                          <w:rPr>
                            <w:rFonts w:ascii="宋体" w:hAnsi="宋体" w:cs="宋体" w:eastAsia="宋体" w:hint="default"/>
                            <w:sz w:val="21"/>
                            <w:szCs w:val="21"/>
                          </w:rPr>
                        </w:r>
                      </w:p>
                    </w:tc>
                  </w:tr>
                  <w:tr>
                    <w:trPr>
                      <w:trHeight w:val="4691" w:hRule="exact"/>
                    </w:trPr>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8"/>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）如财务报表附注五（三十七）所述，南</w:t>
                        </w:r>
                        <w:r>
                          <w:rPr>
                            <w:rFonts w:ascii="宋体" w:hAnsi="宋体" w:cs="宋体" w:eastAsia="宋体" w:hint="default"/>
                            <w:w w:val="100"/>
                            <w:sz w:val="21"/>
                            <w:szCs w:val="21"/>
                          </w:rPr>
                          <w:t> </w:t>
                        </w:r>
                        <w:r>
                          <w:rPr>
                            <w:rFonts w:ascii="宋体" w:hAnsi="宋体" w:cs="宋体" w:eastAsia="宋体" w:hint="default"/>
                            <w:spacing w:val="-2"/>
                            <w:sz w:val="21"/>
                            <w:szCs w:val="21"/>
                          </w:rPr>
                          <w:t>威软件</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年度营业收入</w:t>
                        </w:r>
                        <w:r>
                          <w:rPr>
                            <w:rFonts w:ascii="Times New Roman" w:hAnsi="Times New Roman" w:cs="Times New Roman" w:eastAsia="Times New Roman" w:hint="default"/>
                            <w:spacing w:val="-2"/>
                            <w:sz w:val="21"/>
                            <w:szCs w:val="21"/>
                          </w:rPr>
                          <w:t>97,940.39</w:t>
                        </w:r>
                        <w:r>
                          <w:rPr>
                            <w:rFonts w:ascii="宋体" w:hAnsi="宋体" w:cs="宋体" w:eastAsia="宋体" w:hint="default"/>
                            <w:spacing w:val="-2"/>
                            <w:sz w:val="21"/>
                            <w:szCs w:val="21"/>
                          </w:rPr>
                          <w:t>万元，</w:t>
                        </w:r>
                        <w:r>
                          <w:rPr>
                            <w:rFonts w:ascii="Times New Roman" w:hAnsi="Times New Roman" w:cs="Times New Roman" w:eastAsia="Times New Roman" w:hint="default"/>
                            <w:spacing w:val="-2"/>
                            <w:sz w:val="21"/>
                            <w:szCs w:val="21"/>
                          </w:rPr>
                          <w:t>2017</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pacing w:val="-13"/>
                            <w:sz w:val="21"/>
                            <w:szCs w:val="21"/>
                          </w:rPr>
                        </w:r>
                        <w:r>
                          <w:rPr>
                            <w:rFonts w:ascii="宋体" w:hAnsi="宋体" w:cs="宋体" w:eastAsia="宋体" w:hint="default"/>
                            <w:sz w:val="21"/>
                            <w:szCs w:val="21"/>
                          </w:rPr>
                          <w:t>年度为</w:t>
                        </w:r>
                        <w:r>
                          <w:rPr>
                            <w:rFonts w:ascii="Times New Roman" w:hAnsi="Times New Roman" w:cs="Times New Roman" w:eastAsia="Times New Roman" w:hint="default"/>
                            <w:sz w:val="21"/>
                            <w:szCs w:val="21"/>
                          </w:rPr>
                          <w:t>80,731.31</w:t>
                        </w:r>
                        <w:r>
                          <w:rPr>
                            <w:rFonts w:ascii="宋体" w:hAnsi="宋体" w:cs="宋体" w:eastAsia="宋体" w:hint="default"/>
                            <w:sz w:val="21"/>
                            <w:szCs w:val="21"/>
                          </w:rPr>
                          <w:t>万元，营业收入同比增长</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21.27%</w:t>
                        </w:r>
                        <w:r>
                          <w:rPr>
                            <w:rFonts w:ascii="宋体" w:hAnsi="宋体" w:cs="宋体" w:eastAsia="宋体" w:hint="default"/>
                            <w:spacing w:val="-3"/>
                            <w:sz w:val="21"/>
                            <w:szCs w:val="21"/>
                          </w:rPr>
                          <w:t>，公司营业收入增长较大，对经营业绩</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影响重大；</w:t>
                        </w:r>
                      </w:p>
                      <w:p>
                        <w:pPr>
                          <w:pStyle w:val="TableParagraph"/>
                          <w:spacing w:line="297" w:lineRule="auto" w:before="34"/>
                          <w:ind w:left="103" w:right="9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）应收账款期末余额为</w:t>
                        </w:r>
                        <w:r>
                          <w:rPr>
                            <w:rFonts w:ascii="Times New Roman" w:hAnsi="Times New Roman" w:cs="Times New Roman" w:eastAsia="Times New Roman" w:hint="default"/>
                            <w:sz w:val="21"/>
                            <w:szCs w:val="21"/>
                          </w:rPr>
                          <w:t>24,891.12</w:t>
                        </w:r>
                        <w:r>
                          <w:rPr>
                            <w:rFonts w:ascii="宋体" w:hAnsi="宋体" w:cs="宋体" w:eastAsia="宋体" w:hint="default"/>
                            <w:sz w:val="21"/>
                            <w:szCs w:val="21"/>
                          </w:rPr>
                          <w:t>万元，较</w:t>
                        </w:r>
                        <w:r>
                          <w:rPr>
                            <w:rFonts w:ascii="宋体" w:hAnsi="宋体" w:cs="宋体" w:eastAsia="宋体" w:hint="default"/>
                            <w:w w:val="100"/>
                            <w:sz w:val="21"/>
                            <w:szCs w:val="21"/>
                          </w:rPr>
                          <w:t> </w:t>
                        </w:r>
                        <w:r>
                          <w:rPr>
                            <w:rFonts w:ascii="宋体" w:hAnsi="宋体" w:cs="宋体" w:eastAsia="宋体" w:hint="default"/>
                            <w:spacing w:val="-3"/>
                            <w:sz w:val="21"/>
                            <w:szCs w:val="21"/>
                          </w:rPr>
                          <w:t>上年同期下降</w:t>
                        </w:r>
                        <w:r>
                          <w:rPr>
                            <w:rFonts w:ascii="Times New Roman" w:hAnsi="Times New Roman" w:cs="Times New Roman" w:eastAsia="Times New Roman" w:hint="default"/>
                            <w:spacing w:val="-3"/>
                            <w:sz w:val="21"/>
                            <w:szCs w:val="21"/>
                          </w:rPr>
                          <w:t>10.68%</w:t>
                        </w:r>
                        <w:r>
                          <w:rPr>
                            <w:rFonts w:ascii="宋体" w:hAnsi="宋体" w:cs="宋体" w:eastAsia="宋体" w:hint="default"/>
                            <w:spacing w:val="-3"/>
                            <w:sz w:val="21"/>
                            <w:szCs w:val="21"/>
                          </w:rPr>
                          <w:t>；长期应收款期末余额合</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计</w:t>
                        </w:r>
                        <w:r>
                          <w:rPr>
                            <w:rFonts w:ascii="Times New Roman" w:hAnsi="Times New Roman" w:cs="Times New Roman" w:eastAsia="Times New Roman" w:hint="default"/>
                            <w:sz w:val="21"/>
                            <w:szCs w:val="21"/>
                          </w:rPr>
                          <w:t>70,288.99</w:t>
                        </w:r>
                        <w:r>
                          <w:rPr>
                            <w:rFonts w:ascii="宋体" w:hAnsi="宋体" w:cs="宋体" w:eastAsia="宋体" w:hint="default"/>
                            <w:sz w:val="21"/>
                            <w:szCs w:val="21"/>
                          </w:rPr>
                          <w:t>万元，较上年同期增长</w:t>
                        </w:r>
                        <w:r>
                          <w:rPr>
                            <w:rFonts w:ascii="Times New Roman" w:hAnsi="Times New Roman" w:cs="Times New Roman" w:eastAsia="Times New Roman" w:hint="default"/>
                            <w:sz w:val="21"/>
                            <w:szCs w:val="21"/>
                          </w:rPr>
                          <w:t>239.48%</w:t>
                        </w:r>
                        <w:r>
                          <w:rPr>
                            <w:rFonts w:ascii="宋体" w:hAnsi="宋体" w:cs="宋体" w:eastAsia="宋体" w:hint="default"/>
                            <w:sz w:val="21"/>
                            <w:szCs w:val="21"/>
                          </w:rPr>
                          <w:t>;</w:t>
                        </w:r>
                      </w:p>
                      <w:p>
                        <w:pPr>
                          <w:pStyle w:val="TableParagraph"/>
                          <w:spacing w:line="304" w:lineRule="auto" w:before="13"/>
                          <w:ind w:left="103" w:right="9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）如附注三、</w:t>
                        </w:r>
                        <w:r>
                          <w:rPr>
                            <w:rFonts w:ascii="宋体" w:hAnsi="宋体" w:cs="宋体" w:eastAsia="宋体" w:hint="default"/>
                            <w:spacing w:val="-2"/>
                            <w:sz w:val="21"/>
                            <w:szCs w:val="21"/>
                          </w:rPr>
                          <w:t>(</w:t>
                        </w:r>
                        <w:r>
                          <w:rPr>
                            <w:rFonts w:ascii="宋体" w:hAnsi="宋体" w:cs="宋体" w:eastAsia="宋体" w:hint="default"/>
                            <w:spacing w:val="-2"/>
                            <w:sz w:val="21"/>
                            <w:szCs w:val="21"/>
                          </w:rPr>
                          <w:t>二十六</w:t>
                        </w:r>
                        <w:r>
                          <w:rPr>
                            <w:rFonts w:ascii="宋体" w:hAnsi="宋体" w:cs="宋体" w:eastAsia="宋体" w:hint="default"/>
                            <w:spacing w:val="-2"/>
                            <w:sz w:val="21"/>
                            <w:szCs w:val="21"/>
                          </w:rPr>
                          <w:t>)</w:t>
                        </w:r>
                        <w:r>
                          <w:rPr>
                            <w:rFonts w:ascii="宋体" w:hAnsi="宋体" w:cs="宋体" w:eastAsia="宋体" w:hint="default"/>
                            <w:spacing w:val="-2"/>
                            <w:sz w:val="21"/>
                            <w:szCs w:val="21"/>
                          </w:rPr>
                          <w:t>收入政策所表述</w:t>
                        </w:r>
                        <w:r>
                          <w:rPr>
                            <w:rFonts w:ascii="宋体" w:hAnsi="宋体" w:cs="宋体" w:eastAsia="宋体" w:hint="default"/>
                            <w:spacing w:val="-2"/>
                            <w:sz w:val="21"/>
                            <w:szCs w:val="21"/>
                          </w:rPr>
                          <w:t>,</w:t>
                        </w:r>
                        <w:r>
                          <w:rPr>
                            <w:rFonts w:ascii="宋体" w:hAnsi="宋体" w:cs="宋体" w:eastAsia="宋体" w:hint="default"/>
                            <w:spacing w:val="-2"/>
                            <w:sz w:val="21"/>
                            <w:szCs w:val="21"/>
                          </w:rPr>
                          <w:t>南</w:t>
                        </w:r>
                        <w:r>
                          <w:rPr>
                            <w:rFonts w:ascii="宋体" w:hAnsi="宋体" w:cs="宋体" w:eastAsia="宋体" w:hint="default"/>
                            <w:spacing w:val="-79"/>
                            <w:sz w:val="21"/>
                            <w:szCs w:val="21"/>
                          </w:rPr>
                          <w:t> </w:t>
                        </w:r>
                        <w:r>
                          <w:rPr>
                            <w:rFonts w:ascii="宋体" w:hAnsi="宋体" w:cs="宋体" w:eastAsia="宋体" w:hint="default"/>
                            <w:sz w:val="21"/>
                            <w:szCs w:val="21"/>
                          </w:rPr>
                          <w:t>威软件存在多种业务模式。</w:t>
                        </w:r>
                        <w:r>
                          <w:rPr>
                            <w:rFonts w:ascii="宋体" w:hAnsi="宋体" w:cs="宋体" w:eastAsia="宋体" w:hint="default"/>
                            <w:w w:val="100"/>
                            <w:sz w:val="21"/>
                            <w:szCs w:val="21"/>
                          </w:rPr>
                          <w:t> </w:t>
                        </w:r>
                        <w:r>
                          <w:rPr>
                            <w:rFonts w:ascii="宋体" w:hAnsi="宋体" w:cs="宋体" w:eastAsia="宋体" w:hint="default"/>
                            <w:sz w:val="21"/>
                            <w:szCs w:val="21"/>
                          </w:rPr>
                          <w:t>综上，我们确定营业收入为关键审计事项。</w:t>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8"/>
                          <w:jc w:val="both"/>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）了解、测试与销售及收款相关的内部控制制</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度；</w:t>
                        </w:r>
                      </w:p>
                      <w:p>
                        <w:pPr>
                          <w:pStyle w:val="TableParagraph"/>
                          <w:spacing w:line="297" w:lineRule="auto" w:before="35"/>
                          <w:ind w:left="103" w:right="98"/>
                          <w:jc w:val="both"/>
                          <w:rPr>
                            <w:rFonts w:ascii="宋体" w:hAnsi="宋体" w:cs="宋体" w:eastAsia="宋体" w:hint="default"/>
                            <w:sz w:val="21"/>
                            <w:szCs w:val="21"/>
                          </w:rPr>
                        </w:pPr>
                        <w:r>
                          <w:rPr>
                            <w:rFonts w:ascii="宋体" w:hAnsi="宋体" w:cs="宋体" w:eastAsia="宋体" w:hint="default"/>
                            <w:spacing w:val="-6"/>
                            <w:w w:val="100"/>
                            <w:sz w:val="21"/>
                            <w:szCs w:val="21"/>
                          </w:rPr>
                          <w:t>（</w:t>
                        </w:r>
                        <w:r>
                          <w:rPr>
                            <w:rFonts w:ascii="Times New Roman" w:hAnsi="Times New Roman" w:cs="Times New Roman" w:eastAsia="Times New Roman" w:hint="default"/>
                            <w:spacing w:val="-6"/>
                            <w:w w:val="100"/>
                            <w:sz w:val="21"/>
                            <w:szCs w:val="21"/>
                          </w:rPr>
                          <w:t>2</w:t>
                        </w:r>
                        <w:r>
                          <w:rPr>
                            <w:rFonts w:ascii="宋体" w:hAnsi="宋体" w:cs="宋体" w:eastAsia="宋体" w:hint="default"/>
                            <w:spacing w:val="-6"/>
                            <w:w w:val="100"/>
                            <w:sz w:val="21"/>
                            <w:szCs w:val="21"/>
                          </w:rPr>
                          <w:t>）访谈了解业绩增长原因并与实际收入进行比</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z w:val="21"/>
                            <w:szCs w:val="21"/>
                          </w:rPr>
                          <w:t>较，检查主要项目的收入情况；</w:t>
                        </w:r>
                      </w:p>
                      <w:p>
                        <w:pPr>
                          <w:pStyle w:val="TableParagraph"/>
                          <w:spacing w:line="304" w:lineRule="auto" w:before="34"/>
                          <w:ind w:left="103" w:right="96"/>
                          <w:jc w:val="both"/>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）区别不同的业务类型，结合具体业务的实际</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2"/>
                            <w:sz w:val="21"/>
                            <w:szCs w:val="21"/>
                          </w:rPr>
                          <w:t>情况，检查相关合同的约定，评价收入确认是否</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符合企业会计准则的要求；</w:t>
                        </w:r>
                      </w:p>
                      <w:p>
                        <w:pPr>
                          <w:pStyle w:val="TableParagraph"/>
                          <w:spacing w:line="304" w:lineRule="auto" w:before="28"/>
                          <w:ind w:left="103" w:right="96"/>
                          <w:jc w:val="both"/>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4</w:t>
                        </w:r>
                        <w:r>
                          <w:rPr>
                            <w:rFonts w:ascii="宋体" w:hAnsi="宋体" w:cs="宋体" w:eastAsia="宋体" w:hint="default"/>
                            <w:spacing w:val="-6"/>
                            <w:sz w:val="21"/>
                            <w:szCs w:val="21"/>
                          </w:rPr>
                          <w:t>）对不同类型收入选取样本进行测，试检查项</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目合同，将客户的验收报告与收入确认记录进行</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核对；</w:t>
                        </w:r>
                      </w:p>
                      <w:p>
                        <w:pPr>
                          <w:pStyle w:val="TableParagraph"/>
                          <w:spacing w:line="304" w:lineRule="auto" w:before="28"/>
                          <w:ind w:left="103" w:right="96"/>
                          <w:jc w:val="both"/>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5</w:t>
                        </w:r>
                        <w:r>
                          <w:rPr>
                            <w:rFonts w:ascii="宋体" w:hAnsi="宋体" w:cs="宋体" w:eastAsia="宋体" w:hint="default"/>
                            <w:spacing w:val="-6"/>
                            <w:sz w:val="21"/>
                            <w:szCs w:val="21"/>
                          </w:rPr>
                          <w:t>）根据收入的发生额及应收款项的余额，挑选</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样本执行函证程序以确认应收账款、长期应收款</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余额及营业收入金额的真实性及准确性。</w:t>
                        </w:r>
                      </w:p>
                    </w:tc>
                  </w:tr>
                </w:tbl>
                <w:p>
                  <w:pPr/>
                </w:p>
              </w:txbxContent>
            </v:textbox>
            <w10:wrap type="none"/>
          </v:shape>
        </w:pict>
      </w:r>
      <w:r>
        <w:rPr>
          <w:spacing w:val="-2"/>
        </w:rPr>
        <w:t>应对以对财务报表整体进行审计并形成审计意见为背景，我们不对这些事项单独发表意见。</w:t>
      </w:r>
      <w:r>
        <w:rPr>
          <w:spacing w:val="-28"/>
        </w:rPr>
        <w:t> </w:t>
      </w:r>
      <w:r>
        <w:rPr>
          <w:spacing w:val="-28"/>
        </w:rPr>
      </w:r>
      <w:r>
        <w:rPr/>
        <w:t>我们在审计中识别出的关键审计事项如下：</w:t>
      </w:r>
    </w:p>
    <w:p>
      <w:pPr>
        <w:spacing w:after="0" w:line="628" w:lineRule="auto"/>
        <w:jc w:val="left"/>
        <w:sectPr>
          <w:type w:val="continuous"/>
          <w:pgSz w:w="11910" w:h="16840"/>
          <w:pgMar w:top="1580" w:bottom="280" w:left="158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402"/>
        <w:gridCol w:w="4647"/>
      </w:tblGrid>
      <w:tr>
        <w:trPr>
          <w:trHeight w:val="548" w:hRule="exact"/>
        </w:trPr>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631" w:right="0"/>
              <w:jc w:val="left"/>
              <w:rPr>
                <w:rFonts w:ascii="宋体" w:hAnsi="宋体" w:cs="宋体" w:eastAsia="宋体" w:hint="default"/>
                <w:sz w:val="21"/>
                <w:szCs w:val="21"/>
              </w:rPr>
            </w:pPr>
            <w:r>
              <w:rPr>
                <w:rFonts w:ascii="宋体" w:hAnsi="宋体" w:cs="宋体" w:eastAsia="宋体" w:hint="default"/>
                <w:b/>
                <w:bCs/>
                <w:sz w:val="21"/>
                <w:szCs w:val="21"/>
              </w:rPr>
              <w:t>我们在审计中如何应对关键审计事项</w:t>
            </w:r>
            <w:r>
              <w:rPr>
                <w:rFonts w:ascii="宋体" w:hAnsi="宋体" w:cs="宋体" w:eastAsia="宋体" w:hint="default"/>
                <w:sz w:val="21"/>
                <w:szCs w:val="21"/>
              </w:rPr>
            </w:r>
          </w:p>
        </w:tc>
      </w:tr>
      <w:tr>
        <w:trPr>
          <w:trHeight w:val="46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商誉的减值测试</w:t>
            </w:r>
          </w:p>
        </w:tc>
      </w:tr>
      <w:tr>
        <w:trPr>
          <w:trHeight w:val="3973" w:hRule="exact"/>
        </w:trPr>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2"/>
              <w:ind w:left="103" w:right="81"/>
              <w:jc w:val="left"/>
              <w:rPr>
                <w:rFonts w:ascii="宋体" w:hAnsi="宋体" w:cs="宋体" w:eastAsia="宋体" w:hint="default"/>
                <w:sz w:val="21"/>
                <w:szCs w:val="21"/>
              </w:rPr>
            </w:pPr>
            <w:r>
              <w:rPr>
                <w:rFonts w:ascii="宋体" w:hAnsi="宋体" w:cs="宋体" w:eastAsia="宋体" w:hint="default"/>
                <w:spacing w:val="-2"/>
                <w:sz w:val="21"/>
                <w:szCs w:val="21"/>
              </w:rPr>
              <w:t>如合并财务报表附注七、（二十二）所列示，</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日，南威软件商誉的账面价</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值合计</w:t>
            </w:r>
            <w:r>
              <w:rPr>
                <w:rFonts w:ascii="Times New Roman" w:hAnsi="Times New Roman" w:cs="Times New Roman" w:eastAsia="Times New Roman" w:hint="default"/>
                <w:spacing w:val="-2"/>
                <w:sz w:val="21"/>
                <w:szCs w:val="21"/>
              </w:rPr>
              <w:t>17,855.05</w:t>
            </w:r>
            <w:r>
              <w:rPr>
                <w:rFonts w:ascii="宋体" w:hAnsi="宋体" w:cs="宋体" w:eastAsia="宋体" w:hint="default"/>
                <w:spacing w:val="-2"/>
                <w:sz w:val="21"/>
                <w:szCs w:val="21"/>
              </w:rPr>
              <w:t>万元。在对包含商誉的相关资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产组或者资产组组合进行减值测试时，公司估</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计相关资产组或者资产组组合未来的现金流</w:t>
            </w:r>
            <w:r>
              <w:rPr>
                <w:rFonts w:ascii="宋体" w:hAnsi="宋体" w:cs="宋体" w:eastAsia="宋体" w:hint="default"/>
                <w:w w:val="100"/>
                <w:sz w:val="21"/>
                <w:szCs w:val="21"/>
              </w:rPr>
              <w:t> </w:t>
            </w:r>
            <w:r>
              <w:rPr>
                <w:rFonts w:ascii="宋体" w:hAnsi="宋体" w:cs="宋体" w:eastAsia="宋体" w:hint="default"/>
                <w:spacing w:val="-2"/>
                <w:sz w:val="21"/>
                <w:szCs w:val="21"/>
              </w:rPr>
              <w:t>入以及确定合适的折现率去计算现值。若相关</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资产组的现金流量现值低于其账面价值的，确</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认商誉的减值损失。由于商誉金额占比公司合</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并资产总额的</w:t>
            </w:r>
            <w:r>
              <w:rPr>
                <w:rFonts w:ascii="Times New Roman" w:hAnsi="Times New Roman" w:cs="Times New Roman" w:eastAsia="Times New Roman" w:hint="default"/>
                <w:sz w:val="21"/>
                <w:szCs w:val="21"/>
              </w:rPr>
              <w:t>5.96%</w:t>
            </w:r>
            <w:r>
              <w:rPr>
                <w:rFonts w:ascii="宋体" w:hAnsi="宋体" w:cs="宋体" w:eastAsia="宋体" w:hint="default"/>
                <w:sz w:val="21"/>
                <w:szCs w:val="21"/>
              </w:rPr>
              <w:t>，相关减值评估与测试需</w:t>
            </w:r>
            <w:r>
              <w:rPr>
                <w:rFonts w:ascii="宋体" w:hAnsi="宋体" w:cs="宋体" w:eastAsia="宋体" w:hint="default"/>
                <w:w w:val="100"/>
                <w:sz w:val="21"/>
                <w:szCs w:val="21"/>
              </w:rPr>
              <w:t> </w:t>
            </w:r>
            <w:r>
              <w:rPr>
                <w:rFonts w:ascii="宋体" w:hAnsi="宋体" w:cs="宋体" w:eastAsia="宋体" w:hint="default"/>
                <w:spacing w:val="-2"/>
                <w:sz w:val="21"/>
                <w:szCs w:val="21"/>
              </w:rPr>
              <w:t>要管理层作出重大判断，因此我们将该类资产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的减值评估确认为重要审计领域。</w:t>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2"/>
              <w:ind w:left="103" w:right="96"/>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）了解公司商誉减值测试的控制程序，包括了</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解公司划分的资产组及公司对资产组价值的判</w:t>
            </w:r>
            <w:r>
              <w:rPr>
                <w:rFonts w:ascii="宋体" w:hAnsi="宋体" w:cs="宋体" w:eastAsia="宋体" w:hint="default"/>
                <w:w w:val="100"/>
                <w:sz w:val="21"/>
                <w:szCs w:val="21"/>
              </w:rPr>
              <w:t> </w:t>
            </w:r>
            <w:r>
              <w:rPr>
                <w:rFonts w:ascii="宋体" w:hAnsi="宋体" w:cs="宋体" w:eastAsia="宋体" w:hint="default"/>
                <w:sz w:val="21"/>
                <w:szCs w:val="21"/>
              </w:rPr>
              <w:t>定；</w:t>
            </w:r>
          </w:p>
          <w:p>
            <w:pPr>
              <w:pStyle w:val="TableParagraph"/>
              <w:spacing w:line="297" w:lineRule="auto" w:before="28"/>
              <w:ind w:left="103" w:right="98"/>
              <w:jc w:val="left"/>
              <w:rPr>
                <w:rFonts w:ascii="宋体" w:hAnsi="宋体" w:cs="宋体" w:eastAsia="宋体" w:hint="default"/>
                <w:sz w:val="21"/>
                <w:szCs w:val="21"/>
              </w:rPr>
            </w:pPr>
            <w:r>
              <w:rPr>
                <w:rFonts w:ascii="宋体" w:hAnsi="宋体" w:cs="宋体" w:eastAsia="宋体" w:hint="default"/>
                <w:spacing w:val="-6"/>
                <w:w w:val="100"/>
                <w:sz w:val="21"/>
                <w:szCs w:val="21"/>
              </w:rPr>
              <w:t>（</w:t>
            </w:r>
            <w:r>
              <w:rPr>
                <w:rFonts w:ascii="Times New Roman" w:hAnsi="Times New Roman" w:cs="Times New Roman" w:eastAsia="Times New Roman" w:hint="default"/>
                <w:spacing w:val="-6"/>
                <w:w w:val="100"/>
                <w:sz w:val="21"/>
                <w:szCs w:val="21"/>
              </w:rPr>
              <w:t>2</w:t>
            </w:r>
            <w:r>
              <w:rPr>
                <w:rFonts w:ascii="宋体" w:hAnsi="宋体" w:cs="宋体" w:eastAsia="宋体" w:hint="default"/>
                <w:spacing w:val="-6"/>
                <w:w w:val="100"/>
                <w:sz w:val="21"/>
                <w:szCs w:val="21"/>
              </w:rPr>
              <w:t>）了解并评价管理层聘用的外部评估专家的胜</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z w:val="21"/>
                <w:szCs w:val="21"/>
              </w:rPr>
              <w:t>任能力、专业素质和客观性；</w:t>
            </w:r>
          </w:p>
          <w:p>
            <w:pPr>
              <w:pStyle w:val="TableParagraph"/>
              <w:spacing w:line="307" w:lineRule="auto" w:before="34"/>
              <w:ind w:left="103" w:right="98"/>
              <w:jc w:val="both"/>
              <w:rPr>
                <w:rFonts w:ascii="宋体" w:hAnsi="宋体" w:cs="宋体" w:eastAsia="宋体" w:hint="default"/>
                <w:sz w:val="21"/>
                <w:szCs w:val="21"/>
              </w:rPr>
            </w:pPr>
            <w:r>
              <w:rPr>
                <w:rFonts w:ascii="宋体" w:hAnsi="宋体" w:cs="宋体" w:eastAsia="宋体" w:hint="default"/>
                <w:spacing w:val="-6"/>
                <w:w w:val="100"/>
                <w:sz w:val="21"/>
                <w:szCs w:val="21"/>
              </w:rPr>
              <w:t>（</w:t>
            </w:r>
            <w:r>
              <w:rPr>
                <w:rFonts w:ascii="Times New Roman" w:hAnsi="Times New Roman" w:cs="Times New Roman" w:eastAsia="Times New Roman" w:hint="default"/>
                <w:spacing w:val="-6"/>
                <w:w w:val="100"/>
                <w:sz w:val="21"/>
                <w:szCs w:val="21"/>
              </w:rPr>
              <w:t>3</w:t>
            </w:r>
            <w:r>
              <w:rPr>
                <w:rFonts w:ascii="宋体" w:hAnsi="宋体" w:cs="宋体" w:eastAsia="宋体" w:hint="default"/>
                <w:spacing w:val="-6"/>
                <w:w w:val="100"/>
                <w:sz w:val="21"/>
                <w:szCs w:val="21"/>
              </w:rPr>
              <w:t>）评估管理层进行减值测试时所用的主要输入</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pacing w:val="-2"/>
                <w:sz w:val="21"/>
                <w:szCs w:val="21"/>
              </w:rPr>
              <w:t>数据，包括营业收入、营业成本、资本性支出、</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增长率及折现率等，分析是否存在重大差异；</w:t>
            </w:r>
          </w:p>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）评价商誉减值测试的评估方法是否合理。</w:t>
            </w:r>
          </w:p>
        </w:tc>
      </w:tr>
    </w:tbl>
    <w:p>
      <w:pPr>
        <w:pStyle w:val="BodyText"/>
        <w:spacing w:line="314" w:lineRule="auto" w:before="42"/>
        <w:ind w:left="638" w:right="0" w:firstLine="2"/>
        <w:jc w:val="left"/>
      </w:pPr>
      <w:r>
        <w:rPr>
          <w:rFonts w:ascii="宋体" w:hAnsi="宋体" w:cs="宋体" w:eastAsia="宋体" w:hint="default"/>
          <w:b/>
          <w:bCs/>
        </w:rPr>
        <w:t>四、其他信息</w:t>
      </w:r>
      <w:r>
        <w:rPr>
          <w:rFonts w:ascii="宋体" w:hAnsi="宋体" w:cs="宋体" w:eastAsia="宋体" w:hint="default"/>
          <w:b/>
          <w:bCs/>
          <w:w w:val="100"/>
        </w:rPr>
        <w:t> </w:t>
      </w:r>
      <w:r>
        <w:rPr>
          <w:spacing w:val="-1"/>
        </w:rPr>
        <w:t>南威软件管理层（以下简称“管理层”）对其他信息负责。其他信息包括南威软件</w:t>
      </w:r>
      <w:r>
        <w:rPr>
          <w:rFonts w:ascii="宋体" w:hAnsi="宋体" w:cs="宋体" w:eastAsia="宋体" w:hint="default"/>
          <w:spacing w:val="-1"/>
        </w:rPr>
        <w:t>2018</w:t>
      </w:r>
      <w:r>
        <w:rPr>
          <w:spacing w:val="-1"/>
        </w:rPr>
        <w:t>年年</w:t>
      </w:r>
      <w:r>
        <w:rPr/>
      </w:r>
    </w:p>
    <w:p>
      <w:pPr>
        <w:pStyle w:val="BodyText"/>
        <w:spacing w:line="314" w:lineRule="auto" w:before="20"/>
        <w:ind w:left="638" w:right="0" w:hanging="420"/>
        <w:jc w:val="left"/>
      </w:pPr>
      <w:r>
        <w:rPr/>
        <w:t>度报告中涵盖的信息，但不包括财务报表和我们的审计报告。</w:t>
      </w:r>
      <w:r>
        <w:rPr>
          <w:w w:val="100"/>
        </w:rPr>
        <w:t> </w:t>
      </w:r>
      <w:r>
        <w:rPr>
          <w:spacing w:val="-2"/>
        </w:rPr>
        <w:t>我们对财务报表发表的审计意见不涵盖其他信息，我们也不对其他信息发表任何形式的鉴证</w:t>
      </w:r>
    </w:p>
    <w:p>
      <w:pPr>
        <w:pStyle w:val="BodyText"/>
        <w:spacing w:line="240" w:lineRule="auto" w:before="20"/>
        <w:ind w:right="0"/>
        <w:jc w:val="left"/>
      </w:pPr>
      <w:r>
        <w:rPr/>
        <w:t>结论。</w:t>
      </w:r>
    </w:p>
    <w:p>
      <w:pPr>
        <w:pStyle w:val="BodyText"/>
        <w:spacing w:line="314" w:lineRule="auto" w:before="85"/>
        <w:ind w:right="230" w:firstLine="419"/>
        <w:jc w:val="both"/>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14" w:lineRule="auto" w:before="20"/>
        <w:ind w:right="230" w:firstLine="419"/>
        <w:jc w:val="both"/>
      </w:pPr>
      <w:r>
        <w:rPr>
          <w:spacing w:val="-2"/>
        </w:rPr>
        <w:t>基于我们已执行的工作，如果我们确定其他信息存在重大错报，我们应当报告该事实。在这</w:t>
      </w:r>
      <w:r>
        <w:rPr>
          <w:w w:val="100"/>
        </w:rPr>
        <w:t> </w:t>
      </w:r>
      <w:r>
        <w:rPr/>
        <w:t>方面，我们无任何事项需要报告。</w:t>
      </w:r>
    </w:p>
    <w:p>
      <w:pPr>
        <w:spacing w:line="314" w:lineRule="auto" w:before="20"/>
        <w:ind w:left="638" w:right="0" w:firstLine="2"/>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80"/>
          <w:sz w:val="21"/>
          <w:szCs w:val="21"/>
        </w:rPr>
        <w:t> </w:t>
      </w:r>
      <w:r>
        <w:rPr>
          <w:rFonts w:ascii="宋体" w:hAnsi="宋体" w:cs="宋体" w:eastAsia="宋体" w:hint="default"/>
          <w:b/>
          <w:bCs/>
          <w:sz w:val="21"/>
          <w:szCs w:val="21"/>
        </w:rPr>
        <w:t>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管理层负责按照企业会计准则的规定编制财务报表，使其实现公允反映，并设计、执行和维</w:t>
      </w:r>
    </w:p>
    <w:p>
      <w:pPr>
        <w:pStyle w:val="BodyText"/>
        <w:spacing w:line="314" w:lineRule="auto" w:before="20"/>
        <w:ind w:left="638" w:right="0" w:hanging="420"/>
        <w:jc w:val="left"/>
      </w:pPr>
      <w:r>
        <w:rPr/>
        <w:t>护必要的内部控制，以使财务报表不存在由于舞弊或错误导致的重大错报。</w:t>
      </w:r>
      <w:r>
        <w:rPr>
          <w:w w:val="100"/>
        </w:rPr>
        <w:t> </w:t>
      </w:r>
      <w:r>
        <w:rPr>
          <w:spacing w:val="-2"/>
        </w:rPr>
        <w:t>在编制财务报表时，管理层负责评估南威软件的持续经营能力，披露与持续经营相关的事项</w:t>
      </w:r>
    </w:p>
    <w:p>
      <w:pPr>
        <w:pStyle w:val="BodyText"/>
        <w:spacing w:line="314" w:lineRule="auto" w:before="20"/>
        <w:ind w:right="0"/>
        <w:jc w:val="left"/>
      </w:pPr>
      <w:r>
        <w:rPr>
          <w:spacing w:val="-1"/>
        </w:rPr>
        <w:t>（如适用），并运用持续经营假设，除非管理层计划清算南威软件、终止运营或别无其他现实的</w:t>
      </w:r>
      <w:r>
        <w:rPr>
          <w:spacing w:val="-55"/>
        </w:rPr>
        <w:t> </w:t>
      </w:r>
      <w:r>
        <w:rPr>
          <w:spacing w:val="-55"/>
        </w:rPr>
      </w:r>
      <w:r>
        <w:rPr/>
        <w:t>选择。</w:t>
      </w:r>
    </w:p>
    <w:p>
      <w:pPr>
        <w:spacing w:line="314" w:lineRule="auto" w:before="20"/>
        <w:ind w:left="640" w:right="4295" w:hanging="3"/>
        <w:jc w:val="left"/>
        <w:rPr>
          <w:rFonts w:ascii="宋体" w:hAnsi="宋体" w:cs="宋体" w:eastAsia="宋体" w:hint="default"/>
          <w:sz w:val="21"/>
          <w:szCs w:val="21"/>
        </w:rPr>
      </w:pPr>
      <w:r>
        <w:rPr>
          <w:rFonts w:ascii="宋体" w:hAnsi="宋体" w:cs="宋体" w:eastAsia="宋体" w:hint="default"/>
          <w:spacing w:val="-2"/>
          <w:sz w:val="21"/>
          <w:szCs w:val="21"/>
        </w:rPr>
        <w:t>治理层负责监督南威软件的财务报告过程。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六、</w:t>
      </w:r>
      <w:r>
        <w:rPr>
          <w:rFonts w:ascii="宋体" w:hAnsi="宋体" w:cs="宋体" w:eastAsia="宋体" w:hint="default"/>
          <w:b/>
          <w:bCs/>
          <w:spacing w:val="-80"/>
          <w:sz w:val="21"/>
          <w:szCs w:val="21"/>
        </w:rPr>
        <w:t> </w:t>
      </w:r>
      <w:r>
        <w:rPr>
          <w:rFonts w:ascii="宋体" w:hAnsi="宋体" w:cs="宋体" w:eastAsia="宋体" w:hint="default"/>
          <w:b/>
          <w:bCs/>
          <w:sz w:val="21"/>
          <w:szCs w:val="21"/>
        </w:rPr>
        <w:t>注册会计师对财务报表审计的责任</w:t>
      </w:r>
      <w:r>
        <w:rPr>
          <w:rFonts w:ascii="宋体" w:hAnsi="宋体" w:cs="宋体" w:eastAsia="宋体" w:hint="default"/>
          <w:sz w:val="21"/>
          <w:szCs w:val="21"/>
        </w:rPr>
      </w:r>
    </w:p>
    <w:p>
      <w:pPr>
        <w:pStyle w:val="BodyText"/>
        <w:spacing w:line="314" w:lineRule="auto" w:before="20"/>
        <w:ind w:right="228" w:firstLine="419"/>
        <w:jc w:val="both"/>
      </w:pPr>
      <w:r>
        <w:rPr>
          <w:spacing w:val="-2"/>
        </w:rPr>
        <w:t>我们的目标是对财务报表整体是否不存在由于舞弊或错误导致的重大错报获取合理保证，并</w:t>
      </w:r>
      <w:r>
        <w:rPr>
          <w:w w:val="100"/>
        </w:rPr>
        <w:t> </w:t>
      </w: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p>
    <w:p>
      <w:pPr>
        <w:pStyle w:val="BodyText"/>
        <w:spacing w:line="314" w:lineRule="auto" w:before="20"/>
        <w:ind w:right="230" w:firstLine="419"/>
        <w:jc w:val="both"/>
      </w:pPr>
      <w:r>
        <w:rPr>
          <w:spacing w:val="-2"/>
        </w:rPr>
        <w:t>在按照审计准则执行审计工作的过程中，我们运用职业判断，并保持职业怀疑。同时，我们</w:t>
      </w:r>
      <w:r>
        <w:rPr>
          <w:w w:val="100"/>
        </w:rPr>
        <w:t> </w:t>
      </w:r>
      <w:r>
        <w:rPr/>
        <w:t>也执行以下工作：</w:t>
      </w:r>
    </w:p>
    <w:p>
      <w:pPr>
        <w:pStyle w:val="BodyText"/>
        <w:spacing w:line="240" w:lineRule="auto" w:before="20"/>
        <w:ind w:left="638" w:right="0"/>
        <w:jc w:val="left"/>
      </w:pPr>
      <w:r>
        <w:rPr>
          <w:spacing w:val="-4"/>
        </w:rPr>
        <w:t>（</w:t>
      </w:r>
      <w:r>
        <w:rPr>
          <w:rFonts w:ascii="Times New Roman" w:hAnsi="Times New Roman" w:cs="Times New Roman" w:eastAsia="Times New Roman" w:hint="default"/>
          <w:spacing w:val="-4"/>
        </w:rPr>
        <w:t>1</w:t>
      </w:r>
      <w:r>
        <w:rPr>
          <w:spacing w:val="-4"/>
        </w:rPr>
        <w:t>）识别和评估由于舞弊或错误导致的财务报表重大错报风险；设计和实施审计程序以应对</w:t>
      </w:r>
    </w:p>
    <w:p>
      <w:pPr>
        <w:spacing w:after="0" w:line="240" w:lineRule="auto"/>
        <w:jc w:val="left"/>
        <w:sectPr>
          <w:pgSz w:w="11910" w:h="16840"/>
          <w:pgMar w:header="852" w:footer="979" w:top="1120" w:bottom="116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right="208"/>
        <w:jc w:val="both"/>
      </w:pPr>
      <w:r>
        <w:rPr>
          <w:spacing w:val="-1"/>
        </w:rPr>
        <w:t>这些风险，并获取充分、适当的审计证据，作为发表审计意见的基础。由于舞弊可能涉及串通、</w:t>
      </w:r>
      <w:r>
        <w:rPr>
          <w:spacing w:val="-55"/>
        </w:rPr>
        <w:t> </w:t>
      </w:r>
      <w:r>
        <w:rPr>
          <w:spacing w:val="-55"/>
        </w:rPr>
      </w:r>
      <w:r>
        <w:rPr>
          <w:spacing w:val="-1"/>
        </w:rPr>
        <w:t>伪造、故意遗漏、虚假陈述或凌驾于内部控制之上，未能发现由于舞弊导致的重大错报的风险高</w:t>
      </w:r>
      <w:r>
        <w:rPr>
          <w:spacing w:val="-55"/>
        </w:rPr>
        <w:t> </w:t>
      </w:r>
      <w:r>
        <w:rPr>
          <w:spacing w:val="-55"/>
        </w:rPr>
      </w:r>
      <w:r>
        <w:rPr/>
        <w:t>于未能发现由于错误导致的重大错报的风险。</w:t>
      </w:r>
    </w:p>
    <w:p>
      <w:pPr>
        <w:pStyle w:val="BodyText"/>
        <w:spacing w:line="240" w:lineRule="auto" w:before="20"/>
        <w:ind w:left="638" w:right="99"/>
        <w:jc w:val="left"/>
      </w:pPr>
      <w:r>
        <w:rPr/>
        <w:t>（</w:t>
      </w: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69"/>
        <w:ind w:left="638" w:right="99"/>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09" w:lineRule="auto" w:before="69"/>
        <w:ind w:right="208" w:firstLine="419"/>
        <w:jc w:val="both"/>
      </w:pPr>
      <w:r>
        <w:rPr>
          <w:spacing w:val="-4"/>
        </w:rPr>
        <w:t>（</w:t>
      </w:r>
      <w:r>
        <w:rPr>
          <w:rFonts w:ascii="Times New Roman" w:hAnsi="Times New Roman" w:cs="Times New Roman" w:eastAsia="Times New Roman" w:hint="default"/>
          <w:spacing w:val="-4"/>
        </w:rPr>
        <w:t>4</w:t>
      </w:r>
      <w:r>
        <w:rPr>
          <w:spacing w:val="-4"/>
        </w:rPr>
        <w:t>）对管理层使用持续经营假设的恰当性得出结论。同时，根据获取的审计证据，就可能导</w:t>
      </w:r>
      <w:r>
        <w:rPr>
          <w:w w:val="100"/>
        </w:rPr>
        <w:t> </w:t>
      </w:r>
      <w:r>
        <w:rPr>
          <w:spacing w:val="-1"/>
        </w:rPr>
        <w:t>致对南威软件持续经营能力产生重大疑虑的事项或情况是否存在重大不确定性得出结论。如果我</w:t>
      </w:r>
      <w:r>
        <w:rPr>
          <w:spacing w:val="-55"/>
        </w:rPr>
        <w:t> </w:t>
      </w:r>
      <w:r>
        <w:rPr>
          <w:spacing w:val="-55"/>
        </w:rPr>
      </w:r>
      <w:r>
        <w:rPr>
          <w:spacing w:val="-1"/>
        </w:rPr>
        <w:t>们得出结论认为存在重大不确定性，审计准则要求我们在审计报告中提请报表使用者注意财务报</w:t>
      </w:r>
      <w:r>
        <w:rPr>
          <w:spacing w:val="-55"/>
        </w:rPr>
        <w:t> </w:t>
      </w:r>
      <w:r>
        <w:rPr>
          <w:spacing w:val="-55"/>
        </w:rPr>
      </w:r>
      <w:r>
        <w:rPr>
          <w:spacing w:val="-1"/>
        </w:rPr>
        <w:t>表中的相关披露；如果披露不充分，我们应当发表非无保留意见。我们的结论基于截至审计报告</w:t>
      </w:r>
      <w:r>
        <w:rPr>
          <w:spacing w:val="-55"/>
        </w:rPr>
        <w:t> </w:t>
      </w:r>
      <w:r>
        <w:rPr>
          <w:spacing w:val="-55"/>
        </w:rPr>
      </w:r>
      <w:r>
        <w:rPr/>
        <w:t>日可获得的信息。然而，未来的事项或情况可能导致南威软件不能持续经营。</w:t>
      </w:r>
    </w:p>
    <w:p>
      <w:pPr>
        <w:pStyle w:val="BodyText"/>
        <w:spacing w:line="297" w:lineRule="auto" w:before="24"/>
        <w:ind w:right="208" w:firstLine="419"/>
        <w:jc w:val="both"/>
      </w:pPr>
      <w:r>
        <w:rPr>
          <w:spacing w:val="-4"/>
        </w:rPr>
        <w:t>（</w:t>
      </w:r>
      <w:r>
        <w:rPr>
          <w:rFonts w:ascii="Times New Roman" w:hAnsi="Times New Roman" w:cs="Times New Roman" w:eastAsia="Times New Roman" w:hint="default"/>
          <w:spacing w:val="-4"/>
        </w:rPr>
        <w:t>5</w:t>
      </w:r>
      <w:r>
        <w:rPr>
          <w:spacing w:val="-4"/>
        </w:rPr>
        <w:t>）评价财务报表的总体列报、结构和内容</w:t>
      </w:r>
      <w:r>
        <w:rPr>
          <w:rFonts w:ascii="宋体" w:hAnsi="宋体" w:cs="宋体" w:eastAsia="宋体" w:hint="default"/>
          <w:spacing w:val="-4"/>
        </w:rPr>
        <w:t>(</w:t>
      </w:r>
      <w:r>
        <w:rPr>
          <w:spacing w:val="-4"/>
        </w:rPr>
        <w:t>包括披露</w:t>
      </w:r>
      <w:r>
        <w:rPr>
          <w:rFonts w:ascii="宋体" w:hAnsi="宋体" w:cs="宋体" w:eastAsia="宋体" w:hint="default"/>
          <w:spacing w:val="-4"/>
        </w:rPr>
        <w:t>)</w:t>
      </w:r>
      <w:r>
        <w:rPr>
          <w:spacing w:val="-4"/>
        </w:rPr>
        <w:t>，并评价财务报表是否公允反映相关</w:t>
      </w:r>
      <w:r>
        <w:rPr>
          <w:w w:val="100"/>
        </w:rPr>
        <w:t> </w:t>
      </w:r>
      <w:r>
        <w:rPr/>
        <w:t>交易和事项。</w:t>
      </w:r>
    </w:p>
    <w:p>
      <w:pPr>
        <w:pStyle w:val="BodyText"/>
        <w:spacing w:line="297" w:lineRule="auto" w:before="34"/>
        <w:ind w:right="208" w:firstLine="419"/>
        <w:jc w:val="both"/>
      </w:pPr>
      <w:r>
        <w:rPr>
          <w:spacing w:val="-4"/>
        </w:rPr>
        <w:t>（</w:t>
      </w:r>
      <w:r>
        <w:rPr>
          <w:rFonts w:ascii="Times New Roman" w:hAnsi="Times New Roman" w:cs="Times New Roman" w:eastAsia="Times New Roman" w:hint="default"/>
          <w:spacing w:val="-4"/>
        </w:rPr>
        <w:t>6</w:t>
      </w:r>
      <w:r>
        <w:rPr>
          <w:spacing w:val="-4"/>
        </w:rPr>
        <w:t>）就南威软件中实体或业务活动的财务信息获取充分、适当的审计证据，以对财务报表发</w:t>
      </w:r>
      <w:r>
        <w:rPr>
          <w:w w:val="100"/>
        </w:rPr>
        <w:t> </w:t>
      </w:r>
      <w:r>
        <w:rPr/>
        <w:t>表审计意见。我们负责指导、监督和执行集团审计，并对审计意见承担全部责任。</w:t>
      </w:r>
    </w:p>
    <w:p>
      <w:pPr>
        <w:pStyle w:val="BodyText"/>
        <w:spacing w:line="314" w:lineRule="auto" w:before="34"/>
        <w:ind w:right="210"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14" w:lineRule="auto" w:before="20"/>
        <w:ind w:right="210" w:firstLine="419"/>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p>
    <w:p>
      <w:pPr>
        <w:pStyle w:val="BodyText"/>
        <w:spacing w:line="314" w:lineRule="auto" w:before="20"/>
        <w:ind w:right="208" w:firstLine="419"/>
        <w:jc w:val="both"/>
      </w:pPr>
      <w:r>
        <w:rPr>
          <w:spacing w:val="-2"/>
        </w:rPr>
        <w:t>从与治理层沟通过的事项中，我们确定哪些事项对本期财务报表审计最为重要，因而构成关</w:t>
      </w:r>
      <w:r>
        <w:rPr>
          <w:w w:val="100"/>
        </w:rPr>
        <w:t> </w:t>
      </w: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r>
        <w:rPr>
          <w:spacing w:val="-55"/>
        </w:rPr>
        <w:t> </w:t>
      </w:r>
      <w:r>
        <w:rPr>
          <w:spacing w:val="-55"/>
        </w:rPr>
      </w: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tbl>
      <w:tblPr>
        <w:tblW w:w="0" w:type="auto"/>
        <w:jc w:val="left"/>
        <w:tblInd w:w="752" w:type="dxa"/>
        <w:tblLayout w:type="fixed"/>
        <w:tblCellMar>
          <w:top w:w="0" w:type="dxa"/>
          <w:left w:w="0" w:type="dxa"/>
          <w:bottom w:w="0" w:type="dxa"/>
          <w:right w:w="0" w:type="dxa"/>
        </w:tblCellMar>
        <w:tblLook w:val="01E0"/>
      </w:tblPr>
      <w:tblGrid>
        <w:gridCol w:w="3492"/>
        <w:gridCol w:w="3492"/>
      </w:tblGrid>
      <w:tr>
        <w:trPr>
          <w:trHeight w:val="822"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10" w:lineRule="exact"/>
              <w:ind w:right="980"/>
              <w:jc w:val="center"/>
              <w:rPr>
                <w:rFonts w:ascii="宋体" w:hAnsi="宋体" w:cs="宋体" w:eastAsia="宋体" w:hint="default"/>
                <w:sz w:val="21"/>
                <w:szCs w:val="21"/>
              </w:rPr>
            </w:pPr>
            <w:r>
              <w:rPr>
                <w:rFonts w:ascii="宋体" w:hAnsi="宋体" w:cs="宋体" w:eastAsia="宋体" w:hint="default"/>
                <w:b/>
                <w:bCs/>
                <w:sz w:val="21"/>
                <w:szCs w:val="21"/>
              </w:rPr>
              <w:t>福建华兴会计师事务所</w:t>
            </w:r>
            <w:r>
              <w:rPr>
                <w:rFonts w:ascii="宋体" w:hAnsi="宋体" w:cs="宋体" w:eastAsia="宋体" w:hint="default"/>
                <w:sz w:val="21"/>
                <w:szCs w:val="21"/>
              </w:rPr>
            </w:r>
          </w:p>
          <w:p>
            <w:pPr>
              <w:pStyle w:val="TableParagraph"/>
              <w:spacing w:line="274" w:lineRule="exact"/>
              <w:ind w:right="982"/>
              <w:jc w:val="center"/>
              <w:rPr>
                <w:rFonts w:ascii="宋体" w:hAnsi="宋体" w:cs="宋体" w:eastAsia="宋体" w:hint="default"/>
                <w:sz w:val="21"/>
                <w:szCs w:val="21"/>
              </w:rPr>
            </w:pPr>
            <w:r>
              <w:rPr>
                <w:rFonts w:ascii="宋体" w:hAnsi="宋体" w:cs="宋体" w:eastAsia="宋体" w:hint="default"/>
                <w:b/>
                <w:bCs/>
                <w:sz w:val="21"/>
                <w:szCs w:val="21"/>
              </w:rPr>
              <w:t>（特殊普通合伙）</w:t>
            </w:r>
            <w:r>
              <w:rPr>
                <w:rFonts w:ascii="宋体" w:hAnsi="宋体" w:cs="宋体" w:eastAsia="宋体" w:hint="default"/>
                <w:sz w:val="21"/>
                <w:szCs w:val="21"/>
              </w:rPr>
            </w:r>
          </w:p>
        </w:tc>
        <w:tc>
          <w:tcPr>
            <w:tcW w:w="3492" w:type="dxa"/>
            <w:tcBorders>
              <w:top w:val="nil" w:sz="6" w:space="0" w:color="auto"/>
              <w:left w:val="nil" w:sz="6" w:space="0" w:color="auto"/>
              <w:bottom w:val="nil" w:sz="6" w:space="0" w:color="auto"/>
              <w:right w:val="nil" w:sz="6" w:space="0" w:color="auto"/>
            </w:tcBorders>
          </w:tcPr>
          <w:p>
            <w:pPr>
              <w:pStyle w:val="TableParagraph"/>
              <w:spacing w:line="210" w:lineRule="exact"/>
              <w:ind w:left="1182" w:right="0"/>
              <w:jc w:val="left"/>
              <w:rPr>
                <w:rFonts w:ascii="宋体" w:hAnsi="宋体" w:cs="宋体" w:eastAsia="宋体" w:hint="default"/>
                <w:sz w:val="21"/>
                <w:szCs w:val="21"/>
              </w:rPr>
            </w:pPr>
            <w:r>
              <w:rPr>
                <w:rFonts w:ascii="宋体" w:hAnsi="宋体" w:cs="宋体" w:eastAsia="宋体" w:hint="default"/>
                <w:b/>
                <w:bCs/>
                <w:sz w:val="21"/>
                <w:szCs w:val="21"/>
              </w:rPr>
              <w:t>中国注册会计师：</w:t>
            </w:r>
            <w:r>
              <w:rPr>
                <w:rFonts w:ascii="宋体" w:hAnsi="宋体" w:cs="宋体" w:eastAsia="宋体" w:hint="default"/>
                <w:sz w:val="21"/>
                <w:szCs w:val="21"/>
              </w:rPr>
            </w:r>
          </w:p>
          <w:p>
            <w:pPr>
              <w:pStyle w:val="TableParagraph"/>
              <w:spacing w:line="274" w:lineRule="exact"/>
              <w:ind w:left="1288"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项目合伙人</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898" w:hRule="exact"/>
        </w:trPr>
        <w:tc>
          <w:tcPr>
            <w:tcW w:w="3492" w:type="dxa"/>
            <w:tcBorders>
              <w:top w:val="nil" w:sz="6" w:space="0" w:color="auto"/>
              <w:left w:val="nil" w:sz="6" w:space="0" w:color="auto"/>
              <w:bottom w:val="nil" w:sz="6" w:space="0" w:color="auto"/>
              <w:right w:val="nil" w:sz="6" w:space="0" w:color="auto"/>
            </w:tcBorders>
          </w:tcPr>
          <w:p>
            <w:pP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182" w:right="0"/>
              <w:jc w:val="left"/>
              <w:rPr>
                <w:rFonts w:ascii="宋体" w:hAnsi="宋体" w:cs="宋体" w:eastAsia="宋体" w:hint="default"/>
                <w:sz w:val="21"/>
                <w:szCs w:val="21"/>
              </w:rPr>
            </w:pPr>
            <w:r>
              <w:rPr>
                <w:rFonts w:ascii="宋体" w:hAnsi="宋体" w:cs="宋体" w:eastAsia="宋体" w:hint="default"/>
                <w:b/>
                <w:bCs/>
                <w:sz w:val="21"/>
                <w:szCs w:val="21"/>
              </w:rPr>
              <w:t>中国注册会计师：</w:t>
            </w:r>
            <w:r>
              <w:rPr>
                <w:rFonts w:ascii="宋体" w:hAnsi="宋体" w:cs="宋体" w:eastAsia="宋体" w:hint="default"/>
                <w:sz w:val="21"/>
                <w:szCs w:val="21"/>
              </w:rPr>
            </w:r>
          </w:p>
        </w:tc>
      </w:tr>
      <w:tr>
        <w:trPr>
          <w:trHeight w:val="560"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725" w:right="0"/>
              <w:jc w:val="left"/>
              <w:rPr>
                <w:rFonts w:ascii="宋体" w:hAnsi="宋体" w:cs="宋体" w:eastAsia="宋体" w:hint="default"/>
                <w:sz w:val="21"/>
                <w:szCs w:val="21"/>
              </w:rPr>
            </w:pPr>
            <w:r>
              <w:rPr>
                <w:rFonts w:ascii="宋体" w:hAnsi="宋体" w:cs="宋体" w:eastAsia="宋体" w:hint="default"/>
                <w:b/>
                <w:bCs/>
                <w:sz w:val="21"/>
                <w:szCs w:val="21"/>
              </w:rPr>
              <w:t>中国福州市</w:t>
            </w:r>
            <w:r>
              <w:rPr>
                <w:rFonts w:ascii="宋体" w:hAnsi="宋体" w:cs="宋体" w:eastAsia="宋体" w:hint="default"/>
                <w:sz w:val="21"/>
                <w:szCs w:val="21"/>
              </w:rPr>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182" w:right="0"/>
              <w:jc w:val="left"/>
              <w:rPr>
                <w:rFonts w:ascii="宋体" w:hAnsi="宋体" w:cs="宋体" w:eastAsia="宋体" w:hint="default"/>
                <w:sz w:val="21"/>
                <w:szCs w:val="21"/>
              </w:rPr>
            </w:pPr>
            <w:r>
              <w:rPr>
                <w:rFonts w:ascii="宋体" w:hAnsi="宋体" w:cs="宋体" w:eastAsia="宋体" w:hint="default"/>
                <w:b/>
                <w:bCs/>
                <w:sz w:val="21"/>
                <w:szCs w:val="21"/>
              </w:rPr>
              <w:t>二○一九年四月十二日</w:t>
            </w:r>
            <w:r>
              <w:rPr>
                <w:rFonts w:ascii="宋体" w:hAnsi="宋体" w:cs="宋体" w:eastAsia="宋体" w:hint="default"/>
                <w:sz w:val="21"/>
                <w:szCs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52" w:footer="979" w:top="1120" w:bottom="1160" w:left="1580" w:right="1060"/>
        </w:sectPr>
      </w:pPr>
    </w:p>
    <w:p>
      <w:pPr>
        <w:pStyle w:val="Heading4"/>
        <w:spacing w:line="240" w:lineRule="auto"/>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9"/>
          <w:szCs w:val="29"/>
        </w:rPr>
      </w:pPr>
    </w:p>
    <w:p>
      <w:pPr>
        <w:pStyle w:val="BodyText"/>
        <w:spacing w:line="240" w:lineRule="auto"/>
        <w:ind w:right="-16"/>
        <w:jc w:val="left"/>
      </w:pPr>
      <w:r>
        <w:rPr/>
        <w:t>编制单位</w:t>
      </w:r>
      <w:r>
        <w:rPr>
          <w:rFonts w:ascii="宋体" w:hAnsi="宋体" w:cs="宋体" w:eastAsia="宋体" w:hint="default"/>
        </w:rPr>
        <w:t>:</w:t>
      </w:r>
      <w:r>
        <w:rPr>
          <w:rFonts w:ascii="宋体" w:hAnsi="宋体" w:cs="宋体" w:eastAsia="宋体" w:hint="default"/>
          <w:spacing w:val="-1"/>
        </w:rPr>
        <w:t> </w:t>
      </w:r>
      <w:r>
        <w:rPr/>
        <w:t>南威软件股份有限公司</w:t>
      </w:r>
    </w:p>
    <w:p>
      <w:pPr>
        <w:spacing w:line="240" w:lineRule="auto" w:before="10"/>
        <w:rPr>
          <w:rFonts w:ascii="宋体" w:hAnsi="宋体" w:cs="宋体" w:eastAsia="宋体" w:hint="default"/>
          <w:sz w:val="27"/>
          <w:szCs w:val="27"/>
        </w:rPr>
      </w:pPr>
      <w:r>
        <w:rPr/>
        <w:br w:type="column"/>
      </w:r>
      <w:r>
        <w:rPr>
          <w:rFonts w:ascii="宋体"/>
          <w:sz w:val="27"/>
        </w:rPr>
      </w:r>
    </w:p>
    <w:p>
      <w:pPr>
        <w:pStyle w:val="Heading2"/>
        <w:spacing w:line="240" w:lineRule="auto" w:before="0"/>
        <w:ind w:left="239" w:right="-16"/>
        <w:jc w:val="left"/>
        <w:rPr>
          <w:b w:val="0"/>
          <w:bCs w:val="0"/>
        </w:rPr>
      </w:pPr>
      <w:r>
        <w:rPr/>
        <w:t>合并资产负债表</w:t>
      </w:r>
      <w:r>
        <w:rPr>
          <w:b w:val="0"/>
          <w:bCs w:val="0"/>
        </w:rPr>
      </w:r>
    </w:p>
    <w:p>
      <w:pPr>
        <w:pStyle w:val="BodyText"/>
        <w:spacing w:line="240" w:lineRule="auto" w:before="4"/>
        <w:ind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60"/>
          <w:cols w:num="3" w:equalWidth="0">
            <w:col w:w="3372" w:space="178"/>
            <w:col w:w="1954" w:space="1229"/>
            <w:col w:w="253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type w:val="continuous"/>
          <w:pgSz w:w="11910" w:h="16840"/>
          <w:pgMar w:top="1580" w:bottom="2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599,856,207.80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288,368,442.20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113,710,759.27</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248,911,241.15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278,665,932.12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248,911,241.15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278,665,932.12</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17,532,076.25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12,602,685.07</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46,538,474.95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49,211,259.64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183,156.53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0.00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482,156,808.68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291,707,639.74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91,480,843.82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82,961,615.43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160,774,308.86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1,477,956,424.26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1,286,521,870.72</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2,000,000.00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702,889,910.08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207,050,074.30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195,522,147.61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89,199,109.24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29,980,207.55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31,072,448.99</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178,738,710.34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161,404,754.24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9,376,590.56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4,411,849.92</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133,540,580.83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113,024,500.68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60,889,912.97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29,798,901.11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178,550,549.69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1,640,129.31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209,867.68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18,732,010.43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24,515,585.28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7,435,996.89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17,288,590.48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1,519,296,746.26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677,975,681.92</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2,997,253,170.52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1,964,497,552.64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3,000,000.00</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120" w:bottom="116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478,037,765.83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525,382,727.35</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248,242,126.49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149,141,964.89</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55,131,616.56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27,130,109.42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91,517,931.60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56,972,058.15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34,413,595.22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50,885,054.47</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58,187.27</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62,378,883.93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55,823,267.50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998,366,303.20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871,890,798.21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209,824,635.34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81,142,857.14</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4,023,852.66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3,999,134.00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16,831,783.07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13,797.74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230,680,271.07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85,155,788.88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1,229,046,574.27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957,046,587.09</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526,684,472.00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407,097,800.00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708,204,790.83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180,342,840.48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15,732,668.62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39,887,176.32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64,084,066.25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53,401,869.29</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464,516,842.15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408,127,113.68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1,747,757,502.61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1,009,082,447.13</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20,449,093.64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-1,631,481.58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1,768,206,596.25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1,007,450,965.55</w:t>
            </w:r>
          </w:p>
        </w:tc>
      </w:tr>
      <w:tr>
        <w:trPr>
          <w:trHeight w:val="555"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负债和所有者权益（或股东权益）总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2,997,253,170.52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1,964,497,552.64</w:t>
            </w:r>
          </w:p>
        </w:tc>
      </w:tr>
    </w:tbl>
    <w:p>
      <w:pPr>
        <w:pStyle w:val="BodyText"/>
        <w:spacing w:line="241" w:lineRule="exact"/>
        <w:ind w:left="743" w:right="99"/>
        <w:jc w:val="left"/>
      </w:pPr>
      <w:r>
        <w:rPr/>
        <w:t>法定代表人：吴志雄 主管会计工作负责人：曾志勇</w:t>
      </w:r>
      <w:r>
        <w:rPr>
          <w:spacing w:val="-7"/>
        </w:rPr>
        <w:t> </w:t>
      </w:r>
      <w:r>
        <w:rPr/>
        <w:t>会计机构负责人：曾志勇</w:t>
      </w:r>
    </w:p>
    <w:p>
      <w:pPr>
        <w:spacing w:after="0" w:line="241" w:lineRule="exact"/>
        <w:jc w:val="left"/>
        <w:sectPr>
          <w:footerReference w:type="default" r:id="rId37"/>
          <w:pgSz w:w="11910" w:h="16840"/>
          <w:pgMar w:footer="979" w:header="852" w:top="1120" w:bottom="1160" w:left="1580" w:right="1060"/>
          <w:pgNumType w:start="87"/>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52" w:footer="979" w:top="1120" w:bottom="116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南威软件股份有限公司</w:t>
      </w:r>
    </w:p>
    <w:p>
      <w:pPr>
        <w:pStyle w:val="Heading2"/>
        <w:spacing w:line="240" w:lineRule="auto"/>
        <w:ind w:left="218" w:right="0"/>
        <w:jc w:val="left"/>
        <w:rPr>
          <w:b w:val="0"/>
          <w:bCs w:val="0"/>
        </w:rPr>
      </w:pPr>
      <w:r>
        <w:rPr>
          <w:b w:val="0"/>
          <w:bCs w:val="0"/>
          <w:w w:val="95"/>
        </w:rPr>
        <w:br w:type="column"/>
      </w:r>
      <w:r>
        <w:rPr>
          <w:w w:val="95"/>
        </w:rPr>
        <w:t>母公司资产负债表</w:t>
      </w:r>
      <w:r>
        <w:rPr>
          <w:b w:val="0"/>
          <w:bCs w:val="0"/>
        </w:rPr>
      </w:r>
    </w:p>
    <w:p>
      <w:pPr>
        <w:pStyle w:val="BodyText"/>
        <w:spacing w:line="240" w:lineRule="auto" w:before="4"/>
        <w:ind w:left="316"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42"/>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3" w:equalWidth="0">
            <w:col w:w="3267" w:space="185"/>
            <w:col w:w="2146" w:space="1136"/>
            <w:col w:w="255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419,602,595.60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246,954,534.05</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60,091,984.92</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195,680,383.64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267,073,411.93</w:t>
            </w:r>
          </w:p>
        </w:tc>
      </w:tr>
      <w:tr>
        <w:trPr>
          <w:trHeight w:val="319"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z w:val="21"/>
              </w:rPr>
              <w:t>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195,680,383.64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267,073,411.93</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16,000,441.58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5,112,592.29</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70,418,302.72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64,029,113.11</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183,156.53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368,300,023.70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230,957,289.56</w:t>
            </w:r>
          </w:p>
        </w:tc>
      </w:tr>
      <w:tr>
        <w:trPr>
          <w:trHeight w:val="319"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41,375,000.00</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1"/>
                <w:szCs w:val="21"/>
              </w:rPr>
            </w:pPr>
            <w:r>
              <w:rPr>
                <w:rFonts w:ascii="Times New Roman"/>
                <w:spacing w:val="-1"/>
                <w:sz w:val="21"/>
              </w:rPr>
              <w:t>67,116,037.75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Times New Roman" w:hAnsi="Times New Roman" w:cs="Times New Roman" w:eastAsia="Times New Roman" w:hint="default"/>
                <w:sz w:val="21"/>
                <w:szCs w:val="21"/>
              </w:rPr>
            </w:pPr>
            <w:r>
              <w:rPr>
                <w:rFonts w:ascii="Times New Roman"/>
                <w:spacing w:val="-1"/>
                <w:sz w:val="21"/>
              </w:rPr>
              <w:t>88,196,356.36</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1,137,117,784.99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1,003,790,282.22</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194,262,332.89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148,217,863.04</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1,222,048,799.96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470,996,787.38</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29,980,207.55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31,072,448.99</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88,869,734.90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87,057,825.09</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3,715,293.57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913,218.88</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68,542,567.41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79,425,947.65</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44,312,413.84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18,616,838.97</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61,415.17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78,962.29</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11,703,286.97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10,022,610.65</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3,597,606.89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17,288,590.48</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1,667,093,659.15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863,691,093.42</w:t>
            </w:r>
          </w:p>
        </w:tc>
      </w:tr>
      <w:tr>
        <w:trPr>
          <w:trHeight w:val="319"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2,804,211,444.14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1,867,481,375.64</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557"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570,912,452.52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528,179,018.40</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234,249,373.59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170,534,955.24</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14,482,033.79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7,820,376.34</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57,130,605.12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43,348,308.88</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45,465,132.81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83,828,259.85</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55,823,267.50</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978,062,865.33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833,710,918.71</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114,967,492.50</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833,852.66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3,999,134.00</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4,825,506.00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13,797.74</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120,626,851.16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4,012,931.74</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1,098,689,716.49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837,723,850.45</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526,684,472.00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407,097,800.00</w:t>
            </w:r>
          </w:p>
        </w:tc>
      </w:tr>
      <w:tr>
        <w:trPr>
          <w:trHeight w:val="319"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712,443,564.32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181,791,120.77</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15,732,668.62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39,887,176.32</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64,084,066.25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53,401,869.29</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418,042,293.70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427,353,911.45</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所有者权益（或股东权益）合计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1,705,521,727.65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1,029,757,525.19</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2,804,211,444.14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1,867,481,375.64</w:t>
            </w:r>
          </w:p>
        </w:tc>
      </w:tr>
    </w:tbl>
    <w:p>
      <w:pPr>
        <w:pStyle w:val="BodyText"/>
        <w:spacing w:line="241" w:lineRule="exact"/>
        <w:ind w:left="638" w:right="0"/>
        <w:jc w:val="left"/>
      </w:pPr>
      <w:r>
        <w:rPr/>
        <w:t>法定代表人：吴志雄 主管会计工作负责人：曾志勇</w:t>
      </w:r>
      <w:r>
        <w:rPr>
          <w:spacing w:val="-6"/>
        </w:rPr>
        <w:t> </w:t>
      </w:r>
      <w:r>
        <w:rPr/>
        <w:t>会计机构负责人：曾志勇</w:t>
      </w:r>
    </w:p>
    <w:p>
      <w:pPr>
        <w:spacing w:after="0" w:line="241" w:lineRule="exact"/>
        <w:jc w:val="left"/>
        <w:sectPr>
          <w:pgSz w:w="11910" w:h="16840"/>
          <w:pgMar w:header="852" w:footer="979" w:top="1120" w:bottom="116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52" w:footer="979" w:top="1120" w:bottom="1160" w:left="1660" w:right="1140"/>
        </w:sectPr>
      </w:pPr>
    </w:p>
    <w:p>
      <w:pPr>
        <w:pStyle w:val="Heading4"/>
        <w:spacing w:line="274" w:lineRule="exact"/>
        <w:ind w:left="0" w:right="199"/>
        <w:jc w:val="right"/>
        <w:rPr>
          <w:b w:val="0"/>
          <w:bCs w:val="0"/>
        </w:rPr>
      </w:pPr>
      <w:r>
        <w:rPr/>
        <w:t>合并利润表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250" w:val="left" w:leader="none"/>
        </w:tabs>
        <w:spacing w:line="240" w:lineRule="auto"/>
        <w:ind w:left="130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660" w:right="1140"/>
          <w:cols w:num="2" w:equalWidth="0">
            <w:col w:w="5528" w:space="40"/>
            <w:col w:w="3542"/>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421"/>
        <w:gridCol w:w="1479"/>
        <w:gridCol w:w="1958"/>
        <w:gridCol w:w="1966"/>
      </w:tblGrid>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46"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5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979,043,905.27</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807,313,135.82</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979,043,905.27</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807,313,135.82</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797,968,021.23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724,768,327.55</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535,668,213.24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538,273,165.94</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9,582,598.24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7,247,672.28</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56,974,256.64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40,945,076.88</w:t>
            </w:r>
          </w:p>
        </w:tc>
      </w:tr>
      <w:tr>
        <w:trPr>
          <w:trHeight w:val="37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158,473,036.62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102,564,905.34</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22,221,838.94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16,656,111.55</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-2,711,834.95</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581,958.82</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13,895,326.24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1,324,199.49</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17,011,887.53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1,546,954.43</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17,759,912.50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18,499,436.74</w:t>
            </w:r>
          </w:p>
        </w:tc>
      </w:tr>
      <w:tr>
        <w:trPr>
          <w:trHeight w:val="37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20,114,008.08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17,165,233.05</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12,431,018.98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17,599,746.69</w:t>
            </w: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3"/>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资收益</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228,688.21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-1,152,007.32</w:t>
            </w: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3"/>
              <w:jc w:val="left"/>
              <w:rPr>
                <w:rFonts w:ascii="宋体" w:hAnsi="宋体" w:cs="宋体" w:eastAsia="宋体" w:hint="default"/>
                <w:sz w:val="21"/>
                <w:szCs w:val="21"/>
              </w:rPr>
            </w:pPr>
            <w:r>
              <w:rPr>
                <w:rFonts w:ascii="宋体" w:hAnsi="宋体" w:cs="宋体" w:eastAsia="宋体" w:hint="default"/>
                <w:sz w:val="21"/>
                <w:szCs w:val="21"/>
              </w:rPr>
              <w:t>公允价值变动收益（损失以“－”</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号填列）</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3,289,240.73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-5,610,523.91</w:t>
            </w: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3"/>
              <w:jc w:val="left"/>
              <w:rPr>
                <w:rFonts w:ascii="宋体" w:hAnsi="宋体" w:cs="宋体" w:eastAsia="宋体" w:hint="default"/>
                <w:sz w:val="21"/>
                <w:szCs w:val="21"/>
              </w:rPr>
            </w:pPr>
            <w:r>
              <w:rPr>
                <w:rFonts w:ascii="宋体" w:hAnsi="宋体" w:cs="宋体" w:eastAsia="宋体" w:hint="default"/>
                <w:sz w:val="21"/>
                <w:szCs w:val="21"/>
              </w:rPr>
              <w:t>资产处置收益（损失以“－”号填</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列）</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3,603.94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-100,256.61</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w w:val="100"/>
                <w:sz w:val="21"/>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73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3"/>
              <w:jc w:val="left"/>
              <w:rPr>
                <w:rFonts w:ascii="宋体" w:hAnsi="宋体" w:cs="宋体" w:eastAsia="宋体" w:hint="default"/>
                <w:sz w:val="21"/>
                <w:szCs w:val="21"/>
              </w:rPr>
            </w:pPr>
            <w:r>
              <w:rPr>
                <w:rFonts w:ascii="宋体" w:hAnsi="宋体" w:cs="宋体" w:eastAsia="宋体" w:hint="default"/>
                <w:sz w:val="21"/>
                <w:szCs w:val="21"/>
              </w:rPr>
              <w:t>三、营业利润（亏损以“－”号填</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列）</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216,913,755.77</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111,599,007.49</w:t>
            </w:r>
            <w:r>
              <w:rPr>
                <w:rFonts w:ascii="Calibri"/>
                <w:sz w:val="20"/>
              </w:rPr>
            </w:r>
          </w:p>
        </w:tc>
      </w:tr>
    </w:tbl>
    <w:p>
      <w:pPr>
        <w:spacing w:after="0" w:line="240" w:lineRule="auto"/>
        <w:jc w:val="right"/>
        <w:rPr>
          <w:rFonts w:ascii="Calibri" w:hAnsi="Calibri" w:cs="Calibri" w:eastAsia="Calibri" w:hint="default"/>
          <w:sz w:val="20"/>
          <w:szCs w:val="20"/>
        </w:rPr>
        <w:sectPr>
          <w:type w:val="continuous"/>
          <w:pgSz w:w="11910" w:h="16840"/>
          <w:pgMar w:top="1580" w:bottom="2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3421"/>
        <w:gridCol w:w="1479"/>
        <w:gridCol w:w="1958"/>
        <w:gridCol w:w="1966"/>
      </w:tblGrid>
      <w:tr>
        <w:trPr>
          <w:trHeight w:val="37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3,260,862.70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1,573,087.19</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1,735,924.56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2,303,096.69</w:t>
            </w: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3"/>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号填列）</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218,438,693.91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110,868,997.99</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48,596,294.24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18,833,539.26</w:t>
            </w: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3"/>
              <w:jc w:val="left"/>
              <w:rPr>
                <w:rFonts w:ascii="宋体" w:hAnsi="宋体" w:cs="宋体" w:eastAsia="宋体" w:hint="default"/>
                <w:sz w:val="21"/>
                <w:szCs w:val="21"/>
              </w:rPr>
            </w:pPr>
            <w:r>
              <w:rPr>
                <w:rFonts w:ascii="宋体" w:hAnsi="宋体" w:cs="宋体" w:eastAsia="宋体" w:hint="default"/>
                <w:sz w:val="21"/>
                <w:szCs w:val="21"/>
              </w:rPr>
              <w:t>五、净利润（净亏损以“－”号填</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列）</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169,842,399.67</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92,035,458.73</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73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持续经营净利润（净亏损以</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w:t>
            </w:r>
          </w:p>
          <w:p>
            <w:pPr>
              <w:pStyle w:val="TableParagraph"/>
              <w:spacing w:line="240" w:lineRule="auto" w:before="70"/>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169,842,399.67</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92,035,458.73</w:t>
            </w: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终止经营净利润（净亏损以</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w:t>
            </w:r>
          </w:p>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归属于母公司股东的净利润</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172,523,315.83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103,025,506.96</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少数股东损益</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-2,680,916.16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-10,990,048.23</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3"/>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的税后净额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3"/>
              <w:jc w:val="left"/>
              <w:rPr>
                <w:rFonts w:ascii="宋体" w:hAnsi="宋体" w:cs="宋体" w:eastAsia="宋体" w:hint="default"/>
                <w:sz w:val="21"/>
                <w:szCs w:val="21"/>
              </w:rPr>
            </w:pPr>
            <w:r>
              <w:rPr>
                <w:rFonts w:ascii="宋体" w:hAnsi="宋体" w:cs="宋体" w:eastAsia="宋体" w:hint="default"/>
                <w:sz w:val="21"/>
                <w:szCs w:val="21"/>
              </w:rPr>
              <w:t>（一）不能重分类进损益的其他综</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合收益</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0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权益法下不能转损益的其他综合</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收益</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3"/>
              <w:jc w:val="left"/>
              <w:rPr>
                <w:rFonts w:ascii="宋体" w:hAnsi="宋体" w:cs="宋体" w:eastAsia="宋体" w:hint="default"/>
                <w:sz w:val="21"/>
                <w:szCs w:val="21"/>
              </w:rPr>
            </w:pPr>
            <w:r>
              <w:rPr>
                <w:rFonts w:ascii="宋体" w:hAnsi="宋体" w:cs="宋体" w:eastAsia="宋体" w:hint="default"/>
                <w:sz w:val="21"/>
                <w:szCs w:val="21"/>
              </w:rPr>
              <w:t>（二）将重分类进损益的其他综合</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收益</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0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权益法下可转损益的其他综合收</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益</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5"/>
              <w:ind w:left="103" w:right="10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可供出售金融资产公允价值变动</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损益</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0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持有至到期投资重分类为可供出</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售金融资产损益</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3"/>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税后净额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169,842,399.67</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92,035,458.73</w:t>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979" w:top="1120" w:bottom="116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3421"/>
        <w:gridCol w:w="1479"/>
        <w:gridCol w:w="1958"/>
        <w:gridCol w:w="1966"/>
      </w:tblGrid>
      <w:tr>
        <w:trPr>
          <w:trHeight w:val="73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3"/>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172,523,315.83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103,025,506.96</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-2,680,916.16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-10,990,048.23</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0.35</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0.25</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0.35</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0.25</w:t>
            </w:r>
          </w:p>
        </w:tc>
      </w:tr>
    </w:tbl>
    <w:p>
      <w:pPr>
        <w:pStyle w:val="BodyText"/>
        <w:spacing w:line="284" w:lineRule="exact" w:before="12"/>
        <w:ind w:left="138" w:right="179"/>
        <w:jc w:val="left"/>
      </w:pPr>
      <w:r>
        <w:rPr>
          <w:sz w:val="24"/>
          <w:szCs w:val="24"/>
        </w:rPr>
        <w:t>本期</w:t>
      </w:r>
      <w:r>
        <w:rPr/>
        <w:t>发生同一控制下企业合并的，被合并方在合并前实现的净利润为：</w:t>
      </w:r>
      <w:r>
        <w:rPr>
          <w:rFonts w:ascii="Times New Roman" w:hAnsi="Times New Roman" w:cs="Times New Roman" w:eastAsia="Times New Roman" w:hint="default"/>
        </w:rPr>
        <w:t>0</w:t>
      </w:r>
      <w:r>
        <w:rPr>
          <w:rFonts w:ascii="Times New Roman" w:hAnsi="Times New Roman" w:cs="Times New Roman" w:eastAsia="Times New Roman" w:hint="default"/>
          <w:spacing w:val="46"/>
        </w:rPr>
        <w:t> </w:t>
      </w:r>
      <w:r>
        <w:rPr/>
        <w:t>元</w:t>
      </w:r>
      <w:r>
        <w:rPr>
          <w:rFonts w:ascii="宋体" w:hAnsi="宋体" w:cs="宋体" w:eastAsia="宋体" w:hint="default"/>
        </w:rPr>
        <w:t>,</w:t>
      </w:r>
      <w:r>
        <w:rPr/>
        <w:t>上期被合并方实现</w:t>
      </w:r>
      <w:r>
        <w:rPr>
          <w:w w:val="100"/>
        </w:rPr>
        <w:t> </w:t>
      </w:r>
      <w:r>
        <w:rPr/>
        <w:t>的净利润为：</w:t>
      </w:r>
      <w:r>
        <w:rPr>
          <w:rFonts w:ascii="Times New Roman" w:hAnsi="Times New Roman" w:cs="Times New Roman" w:eastAsia="Times New Roman" w:hint="default"/>
        </w:rPr>
        <w:t>0 </w:t>
      </w:r>
      <w:r>
        <w:rPr>
          <w:rFonts w:ascii="Times New Roman" w:hAnsi="Times New Roman" w:cs="Times New Roman" w:eastAsia="Times New Roman" w:hint="default"/>
          <w:spacing w:val="1"/>
        </w:rPr>
        <w:t> </w:t>
      </w:r>
      <w:r>
        <w:rPr/>
        <w:t>元。</w:t>
      </w:r>
    </w:p>
    <w:p>
      <w:pPr>
        <w:pStyle w:val="BodyText"/>
        <w:tabs>
          <w:tab w:pos="2764" w:val="left" w:leader="none"/>
        </w:tabs>
        <w:spacing w:line="246" w:lineRule="exact"/>
        <w:ind w:left="558" w:right="0"/>
        <w:jc w:val="left"/>
      </w:pPr>
      <w:r>
        <w:rPr>
          <w:spacing w:val="-1"/>
        </w:rPr>
        <w:t>法定代表人：吴志雄</w:t>
        <w:tab/>
      </w:r>
      <w:r>
        <w:rPr>
          <w:spacing w:val="-2"/>
        </w:rPr>
        <w:t>主管会计工作负责人：曾志勇</w:t>
      </w:r>
      <w:r>
        <w:rPr>
          <w:spacing w:val="37"/>
        </w:rPr>
        <w:t> </w:t>
      </w:r>
      <w:r>
        <w:rPr>
          <w:spacing w:val="-2"/>
        </w:rPr>
        <w:t>会计机构负责人：曾志勇</w:t>
      </w:r>
      <w:r>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52" w:footer="979" w:top="1120" w:bottom="1160" w:left="1660" w:right="1140"/>
        </w:sectPr>
      </w:pPr>
    </w:p>
    <w:p>
      <w:pPr>
        <w:pStyle w:val="Heading4"/>
        <w:spacing w:line="274" w:lineRule="exact"/>
        <w:ind w:left="0" w:right="95"/>
        <w:jc w:val="right"/>
        <w:rPr>
          <w:b w:val="0"/>
          <w:bCs w:val="0"/>
        </w:rPr>
      </w:pPr>
      <w:r>
        <w:rPr/>
        <w:t>母公司利润表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250" w:val="left" w:leader="none"/>
        </w:tabs>
        <w:spacing w:line="240" w:lineRule="auto"/>
        <w:ind w:left="130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660" w:right="1140"/>
          <w:cols w:num="2" w:equalWidth="0">
            <w:col w:w="5528" w:space="40"/>
            <w:col w:w="3542"/>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421"/>
        <w:gridCol w:w="1479"/>
        <w:gridCol w:w="1958"/>
        <w:gridCol w:w="1966"/>
      </w:tblGrid>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46"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5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3"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846,762,517.59</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782,342,632.34</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637,989,087.24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634,756,427.69</w:t>
            </w:r>
          </w:p>
        </w:tc>
      </w:tr>
      <w:tr>
        <w:trPr>
          <w:trHeight w:val="37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6,708,531.50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5,151,352.24</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20,023,118.88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15,325,294.02</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spacing w:val="-1"/>
                <w:sz w:val="21"/>
              </w:rPr>
              <w:t>68,749,354.50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spacing w:val="-1"/>
                <w:sz w:val="21"/>
              </w:rPr>
              <w:t>49,251,212.38</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10,315,791.94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7,484,558.12</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-10,401,206.44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-413,639.09</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0.00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0.00</w:t>
            </w:r>
          </w:p>
        </w:tc>
      </w:tr>
      <w:tr>
        <w:trPr>
          <w:trHeight w:val="37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10,717,052.84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1,123,571.83</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9,765,852.57</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13,628,902.10</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17,019,991.82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17,108,233.05</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12,897,443.34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9,898,391.76</w:t>
            </w: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3"/>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资收益</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1,212,661.87</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-1,153,532.28</w:t>
            </w: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3"/>
              <w:jc w:val="left"/>
              <w:rPr>
                <w:rFonts w:ascii="宋体" w:hAnsi="宋体" w:cs="宋体" w:eastAsia="宋体" w:hint="default"/>
                <w:sz w:val="21"/>
                <w:szCs w:val="21"/>
              </w:rPr>
            </w:pPr>
            <w:r>
              <w:rPr>
                <w:rFonts w:ascii="宋体" w:hAnsi="宋体" w:cs="宋体" w:eastAsia="宋体" w:hint="default"/>
                <w:sz w:val="21"/>
                <w:szCs w:val="21"/>
              </w:rPr>
              <w:t>公允价值变动收益（损失以“－”</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号填列）</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-91,984.92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770,701.74</w:t>
            </w:r>
          </w:p>
        </w:tc>
      </w:tr>
      <w:tr>
        <w:trPr>
          <w:trHeight w:val="73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3"/>
              <w:jc w:val="left"/>
              <w:rPr>
                <w:rFonts w:ascii="宋体" w:hAnsi="宋体" w:cs="宋体" w:eastAsia="宋体" w:hint="default"/>
                <w:sz w:val="21"/>
                <w:szCs w:val="21"/>
              </w:rPr>
            </w:pPr>
            <w:r>
              <w:rPr>
                <w:rFonts w:ascii="宋体" w:hAnsi="宋体" w:cs="宋体" w:eastAsia="宋体" w:hint="default"/>
                <w:sz w:val="21"/>
                <w:szCs w:val="21"/>
              </w:rPr>
              <w:t>资产处置收益（损失以“－”号填</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列）</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-67,651.87</w:t>
            </w: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83" w:right="104"/>
              <w:jc w:val="left"/>
              <w:rPr>
                <w:rFonts w:ascii="宋体" w:hAnsi="宋体" w:cs="宋体" w:eastAsia="宋体" w:hint="default"/>
                <w:sz w:val="21"/>
                <w:szCs w:val="21"/>
              </w:rPr>
            </w:pPr>
            <w:r>
              <w:rPr>
                <w:rFonts w:ascii="宋体" w:hAnsi="宋体" w:cs="宋体" w:eastAsia="宋体" w:hint="default"/>
                <w:spacing w:val="2"/>
                <w:sz w:val="21"/>
                <w:szCs w:val="21"/>
              </w:rPr>
              <w:t>二、营业利润（亏损以“－”号填</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列）</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133,437,437.64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84,868,199.56</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2,859,336.58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1,229,319.72</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1,664,392.16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1,368,304.81</w:t>
            </w: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83" w:right="104"/>
              <w:jc w:val="left"/>
              <w:rPr>
                <w:rFonts w:ascii="宋体" w:hAnsi="宋体" w:cs="宋体" w:eastAsia="宋体" w:hint="default"/>
                <w:sz w:val="21"/>
                <w:szCs w:val="21"/>
              </w:rPr>
            </w:pPr>
            <w:r>
              <w:rPr>
                <w:rFonts w:ascii="宋体" w:hAnsi="宋体" w:cs="宋体" w:eastAsia="宋体" w:hint="default"/>
                <w:spacing w:val="2"/>
                <w:sz w:val="21"/>
                <w:szCs w:val="21"/>
              </w:rPr>
              <w:t>三、利润总额（亏损总额以“－”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号填列）</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134,632,382.06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84,729,214.47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3421"/>
        <w:gridCol w:w="1479"/>
        <w:gridCol w:w="1958"/>
        <w:gridCol w:w="1966"/>
      </w:tblGrid>
      <w:tr>
        <w:trPr>
          <w:trHeight w:val="37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18,465,547.79</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12,180,122.08</w:t>
            </w: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83" w:right="104"/>
              <w:jc w:val="left"/>
              <w:rPr>
                <w:rFonts w:ascii="宋体" w:hAnsi="宋体" w:cs="宋体" w:eastAsia="宋体" w:hint="default"/>
                <w:sz w:val="21"/>
                <w:szCs w:val="21"/>
              </w:rPr>
            </w:pPr>
            <w:r>
              <w:rPr>
                <w:rFonts w:ascii="宋体" w:hAnsi="宋体" w:cs="宋体" w:eastAsia="宋体" w:hint="default"/>
                <w:spacing w:val="2"/>
                <w:sz w:val="21"/>
                <w:szCs w:val="21"/>
              </w:rPr>
              <w:t>四、净利润（净亏损以“－”号填</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列）</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116,166,834.27</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72,549,092.39</w:t>
            </w: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86" w:right="104"/>
              <w:jc w:val="left"/>
              <w:rPr>
                <w:rFonts w:ascii="宋体" w:hAnsi="宋体" w:cs="宋体" w:eastAsia="宋体" w:hint="default"/>
                <w:sz w:val="21"/>
                <w:szCs w:val="21"/>
              </w:rPr>
            </w:pPr>
            <w:r>
              <w:rPr>
                <w:rFonts w:ascii="宋体" w:hAnsi="宋体" w:cs="宋体" w:eastAsia="宋体" w:hint="default"/>
                <w:spacing w:val="2"/>
                <w:sz w:val="21"/>
                <w:szCs w:val="21"/>
              </w:rPr>
              <w:t>（一）持续经营净利润（净亏损以</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“－”号填列）</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116,166,834.27</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72,549,092.39</w:t>
            </w: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86" w:right="104"/>
              <w:jc w:val="left"/>
              <w:rPr>
                <w:rFonts w:ascii="宋体" w:hAnsi="宋体" w:cs="宋体" w:eastAsia="宋体" w:hint="default"/>
                <w:sz w:val="21"/>
                <w:szCs w:val="21"/>
              </w:rPr>
            </w:pPr>
            <w:r>
              <w:rPr>
                <w:rFonts w:ascii="宋体" w:hAnsi="宋体" w:cs="宋体" w:eastAsia="宋体" w:hint="default"/>
                <w:spacing w:val="2"/>
                <w:sz w:val="21"/>
                <w:szCs w:val="21"/>
              </w:rPr>
              <w:t>（二）终止经营净利润（净亏损以</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“－”号填列）</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3"/>
              <w:jc w:val="left"/>
              <w:rPr>
                <w:rFonts w:ascii="宋体" w:hAnsi="宋体" w:cs="宋体" w:eastAsia="宋体" w:hint="default"/>
                <w:sz w:val="21"/>
                <w:szCs w:val="21"/>
              </w:rPr>
            </w:pPr>
            <w:r>
              <w:rPr>
                <w:rFonts w:ascii="宋体" w:hAnsi="宋体" w:cs="宋体" w:eastAsia="宋体" w:hint="default"/>
                <w:sz w:val="21"/>
                <w:szCs w:val="21"/>
              </w:rPr>
              <w:t>（一）不能重分类进损益的其他综</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合收益</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0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权益法下不能转损益的其他综合</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收益</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3"/>
              <w:jc w:val="left"/>
              <w:rPr>
                <w:rFonts w:ascii="宋体" w:hAnsi="宋体" w:cs="宋体" w:eastAsia="宋体" w:hint="default"/>
                <w:sz w:val="21"/>
                <w:szCs w:val="21"/>
              </w:rPr>
            </w:pPr>
            <w:r>
              <w:rPr>
                <w:rFonts w:ascii="宋体" w:hAnsi="宋体" w:cs="宋体" w:eastAsia="宋体" w:hint="default"/>
                <w:sz w:val="21"/>
                <w:szCs w:val="21"/>
              </w:rPr>
              <w:t>（二）将重分类进损益的其他综合</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收益</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0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权益法下可转损益的其他综合收</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益</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0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可供出售金融资产公允价值变动</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损益</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0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持有至到期投资重分类为可供出</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售金融资产损益</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3"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116,166,834.27</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72,549,092.39</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47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tabs>
          <w:tab w:pos="2869" w:val="left" w:leader="none"/>
        </w:tabs>
        <w:spacing w:line="240" w:lineRule="auto" w:before="36"/>
        <w:ind w:left="558" w:right="0"/>
        <w:jc w:val="left"/>
      </w:pPr>
      <w:r>
        <w:rPr>
          <w:spacing w:val="-1"/>
        </w:rPr>
        <w:t>法定代表人：吴志雄</w:t>
        <w:tab/>
      </w:r>
      <w:r>
        <w:rPr>
          <w:spacing w:val="-2"/>
        </w:rPr>
        <w:t>主管会计工作负责人：曾志勇</w:t>
      </w:r>
      <w:r>
        <w:rPr>
          <w:spacing w:val="44"/>
        </w:rPr>
        <w:t> </w:t>
      </w:r>
      <w:r>
        <w:rPr>
          <w:spacing w:val="-2"/>
        </w:rPr>
        <w:t>会计机构负责人：曾志勇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52" w:footer="979" w:top="1120" w:bottom="1160" w:left="1660" w:right="1140"/>
        </w:sectPr>
      </w:pPr>
    </w:p>
    <w:p>
      <w:pPr>
        <w:pStyle w:val="Heading4"/>
        <w:spacing w:line="274" w:lineRule="exact"/>
        <w:ind w:left="0" w:right="0"/>
        <w:jc w:val="right"/>
        <w:rPr>
          <w:b w:val="0"/>
          <w:bCs w:val="0"/>
        </w:rPr>
      </w:pPr>
      <w:r>
        <w:rPr/>
        <w:t>合并现金流量表</w:t>
      </w:r>
      <w:r>
        <w:rPr>
          <w:b w:val="0"/>
          <w:bCs w:val="0"/>
        </w:rPr>
      </w:r>
    </w:p>
    <w:p>
      <w:pPr>
        <w:pStyle w:val="BodyText"/>
        <w:spacing w:line="290" w:lineRule="exact"/>
        <w:ind w:left="0" w:right="7"/>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135" w:val="left" w:leader="none"/>
        </w:tabs>
        <w:spacing w:line="240" w:lineRule="auto"/>
        <w:ind w:left="1083" w:right="0"/>
        <w:jc w:val="left"/>
      </w:pPr>
      <w:r>
        <w:rPr>
          <w:spacing w:val="-1"/>
        </w:rPr>
        <w:t>单位：元</w:t>
        <w:tab/>
        <w:t>币种：人民币</w:t>
      </w:r>
    </w:p>
    <w:p>
      <w:pPr>
        <w:spacing w:after="0" w:line="240" w:lineRule="auto"/>
        <w:jc w:val="left"/>
        <w:sectPr>
          <w:type w:val="continuous"/>
          <w:pgSz w:w="11910" w:h="16840"/>
          <w:pgMar w:top="1580" w:bottom="280" w:left="1660" w:right="1140"/>
          <w:cols w:num="2" w:equalWidth="0">
            <w:col w:w="5537" w:space="40"/>
            <w:col w:w="3533"/>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065"/>
        <w:gridCol w:w="1527"/>
        <w:gridCol w:w="2119"/>
        <w:gridCol w:w="2113"/>
      </w:tblGrid>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w w:val="100"/>
                <w:sz w:val="21"/>
                <w:szCs w:val="21"/>
              </w:rPr>
              <w:t>销售</w:t>
            </w:r>
            <w:r>
              <w:rPr>
                <w:rFonts w:ascii="宋体" w:hAnsi="宋体" w:cs="宋体" w:eastAsia="宋体" w:hint="default"/>
                <w:spacing w:val="-3"/>
                <w:w w:val="100"/>
                <w:sz w:val="21"/>
                <w:szCs w:val="21"/>
              </w:rPr>
              <w:t>商品</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提</w:t>
            </w:r>
            <w:r>
              <w:rPr>
                <w:rFonts w:ascii="宋体" w:hAnsi="宋体" w:cs="宋体" w:eastAsia="宋体" w:hint="default"/>
                <w:w w:val="100"/>
                <w:sz w:val="21"/>
                <w:szCs w:val="21"/>
              </w:rPr>
              <w:t>供</w:t>
            </w:r>
            <w:r>
              <w:rPr>
                <w:rFonts w:ascii="宋体" w:hAnsi="宋体" w:cs="宋体" w:eastAsia="宋体" w:hint="default"/>
                <w:spacing w:val="-3"/>
                <w:w w:val="100"/>
                <w:sz w:val="21"/>
                <w:szCs w:val="21"/>
              </w:rPr>
              <w:t>劳</w:t>
            </w:r>
            <w:r>
              <w:rPr>
                <w:rFonts w:ascii="宋体" w:hAnsi="宋体" w:cs="宋体" w:eastAsia="宋体" w:hint="default"/>
                <w:w w:val="100"/>
                <w:sz w:val="21"/>
                <w:szCs w:val="21"/>
              </w:rPr>
              <w:t>务</w:t>
            </w:r>
            <w:r>
              <w:rPr>
                <w:rFonts w:ascii="宋体" w:hAnsi="宋体" w:cs="宋体" w:eastAsia="宋体" w:hint="default"/>
                <w:spacing w:val="-3"/>
                <w:w w:val="100"/>
                <w:sz w:val="21"/>
                <w:szCs w:val="21"/>
              </w:rPr>
              <w:t>收</w:t>
            </w:r>
            <w:r>
              <w:rPr>
                <w:rFonts w:ascii="宋体" w:hAnsi="宋体" w:cs="宋体" w:eastAsia="宋体" w:hint="default"/>
                <w:w w:val="100"/>
                <w:sz w:val="21"/>
                <w:szCs w:val="21"/>
              </w:rPr>
              <w:t>到</w:t>
            </w:r>
            <w:r>
              <w:rPr>
                <w:rFonts w:ascii="宋体" w:hAnsi="宋体" w:cs="宋体" w:eastAsia="宋体" w:hint="default"/>
                <w:spacing w:val="-3"/>
                <w:w w:val="100"/>
                <w:sz w:val="21"/>
                <w:szCs w:val="21"/>
              </w:rPr>
              <w:t>的</w:t>
            </w:r>
            <w:r>
              <w:rPr>
                <w:rFonts w:ascii="宋体" w:hAnsi="宋体" w:cs="宋体" w:eastAsia="宋体" w:hint="default"/>
                <w:w w:val="100"/>
                <w:sz w:val="21"/>
                <w:szCs w:val="21"/>
              </w:rPr>
              <w:t>现金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693" w:right="0"/>
              <w:jc w:val="left"/>
              <w:rPr>
                <w:rFonts w:ascii="Times New Roman" w:hAnsi="Times New Roman" w:cs="Times New Roman" w:eastAsia="Times New Roman" w:hint="default"/>
                <w:sz w:val="21"/>
                <w:szCs w:val="21"/>
              </w:rPr>
            </w:pPr>
            <w:r>
              <w:rPr>
                <w:rFonts w:ascii="Times New Roman"/>
                <w:sz w:val="21"/>
              </w:rPr>
              <w:t>737,666,409.96</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687" w:right="0"/>
              <w:jc w:val="left"/>
              <w:rPr>
                <w:rFonts w:ascii="Times New Roman" w:hAnsi="Times New Roman" w:cs="Times New Roman" w:eastAsia="Times New Roman" w:hint="default"/>
                <w:sz w:val="21"/>
                <w:szCs w:val="21"/>
              </w:rPr>
            </w:pPr>
            <w:r>
              <w:rPr>
                <w:rFonts w:ascii="Times New Roman"/>
                <w:sz w:val="21"/>
              </w:rPr>
              <w:t>685,152,338.12</w:t>
            </w: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6"/>
                <w:sz w:val="21"/>
                <w:szCs w:val="21"/>
              </w:rPr>
              <w:t>客户存款和同业存放款项净增</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3065"/>
        <w:gridCol w:w="1527"/>
        <w:gridCol w:w="2119"/>
        <w:gridCol w:w="2113"/>
      </w:tblGrid>
      <w:tr>
        <w:trPr>
          <w:trHeight w:val="372"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6"/>
                <w:sz w:val="21"/>
                <w:szCs w:val="21"/>
              </w:rPr>
              <w:t>向其他金融机构拆入资金净增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加额</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6"/>
                <w:sz w:val="21"/>
                <w:szCs w:val="21"/>
              </w:rPr>
              <w:t>收到原保险合同保费取得的现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1093"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2"/>
              <w:jc w:val="both"/>
              <w:rPr>
                <w:rFonts w:ascii="宋体" w:hAnsi="宋体" w:cs="宋体" w:eastAsia="宋体" w:hint="default"/>
                <w:sz w:val="21"/>
                <w:szCs w:val="21"/>
              </w:rPr>
            </w:pPr>
            <w:r>
              <w:rPr>
                <w:rFonts w:ascii="宋体" w:hAnsi="宋体" w:cs="宋体" w:eastAsia="宋体" w:hint="default"/>
                <w:spacing w:val="6"/>
                <w:sz w:val="21"/>
                <w:szCs w:val="21"/>
              </w:rPr>
              <w:t>处置以公允价值计量且其变动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6"/>
                <w:sz w:val="21"/>
                <w:szCs w:val="21"/>
              </w:rPr>
              <w:t>计入当期损益的金融资产净增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加额</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w w:val="100"/>
                <w:sz w:val="21"/>
                <w:szCs w:val="21"/>
              </w:rPr>
              <w:t>收取</w:t>
            </w:r>
            <w:r>
              <w:rPr>
                <w:rFonts w:ascii="宋体" w:hAnsi="宋体" w:cs="宋体" w:eastAsia="宋体" w:hint="default"/>
                <w:spacing w:val="-3"/>
                <w:w w:val="100"/>
                <w:sz w:val="21"/>
                <w:szCs w:val="21"/>
              </w:rPr>
              <w:t>利息</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手</w:t>
            </w:r>
            <w:r>
              <w:rPr>
                <w:rFonts w:ascii="宋体" w:hAnsi="宋体" w:cs="宋体" w:eastAsia="宋体" w:hint="default"/>
                <w:w w:val="100"/>
                <w:sz w:val="21"/>
                <w:szCs w:val="21"/>
              </w:rPr>
              <w:t>续</w:t>
            </w:r>
            <w:r>
              <w:rPr>
                <w:rFonts w:ascii="宋体" w:hAnsi="宋体" w:cs="宋体" w:eastAsia="宋体" w:hint="default"/>
                <w:spacing w:val="-3"/>
                <w:w w:val="100"/>
                <w:sz w:val="21"/>
                <w:szCs w:val="21"/>
              </w:rPr>
              <w:t>费</w:t>
            </w:r>
            <w:r>
              <w:rPr>
                <w:rFonts w:ascii="宋体" w:hAnsi="宋体" w:cs="宋体" w:eastAsia="宋体" w:hint="default"/>
                <w:w w:val="100"/>
                <w:sz w:val="21"/>
                <w:szCs w:val="21"/>
              </w:rPr>
              <w:t>及</w:t>
            </w:r>
            <w:r>
              <w:rPr>
                <w:rFonts w:ascii="宋体" w:hAnsi="宋体" w:cs="宋体" w:eastAsia="宋体" w:hint="default"/>
                <w:spacing w:val="-3"/>
                <w:w w:val="100"/>
                <w:sz w:val="21"/>
                <w:szCs w:val="21"/>
              </w:rPr>
              <w:t>佣</w:t>
            </w:r>
            <w:r>
              <w:rPr>
                <w:rFonts w:ascii="宋体" w:hAnsi="宋体" w:cs="宋体" w:eastAsia="宋体" w:hint="default"/>
                <w:w w:val="100"/>
                <w:sz w:val="21"/>
                <w:szCs w:val="21"/>
              </w:rPr>
              <w:t>金</w:t>
            </w:r>
            <w:r>
              <w:rPr>
                <w:rFonts w:ascii="宋体" w:hAnsi="宋体" w:cs="宋体" w:eastAsia="宋体" w:hint="default"/>
                <w:spacing w:val="-3"/>
                <w:w w:val="100"/>
                <w:sz w:val="21"/>
                <w:szCs w:val="21"/>
              </w:rPr>
              <w:t>的</w:t>
            </w:r>
            <w:r>
              <w:rPr>
                <w:rFonts w:ascii="宋体" w:hAnsi="宋体" w:cs="宋体" w:eastAsia="宋体" w:hint="default"/>
                <w:w w:val="100"/>
                <w:sz w:val="21"/>
                <w:szCs w:val="21"/>
              </w:rPr>
              <w:t>现金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14,395,044.59</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9,569,200.38</w:t>
            </w:r>
          </w:p>
        </w:tc>
      </w:tr>
      <w:tr>
        <w:trPr>
          <w:trHeight w:val="73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6"/>
                <w:sz w:val="21"/>
                <w:szCs w:val="21"/>
              </w:rPr>
              <w:t>收到其他与经营活动有关的现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77,590,292.49</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78,924,166.15</w:t>
            </w:r>
          </w:p>
        </w:tc>
      </w:tr>
      <w:tr>
        <w:trPr>
          <w:trHeight w:val="372"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829,651,747.04</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773,645,704.65</w:t>
            </w: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w w:val="100"/>
                <w:sz w:val="21"/>
                <w:szCs w:val="21"/>
              </w:rPr>
              <w:t>购买</w:t>
            </w:r>
            <w:r>
              <w:rPr>
                <w:rFonts w:ascii="宋体" w:hAnsi="宋体" w:cs="宋体" w:eastAsia="宋体" w:hint="default"/>
                <w:spacing w:val="-3"/>
                <w:w w:val="100"/>
                <w:sz w:val="21"/>
                <w:szCs w:val="21"/>
              </w:rPr>
              <w:t>商品</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接</w:t>
            </w:r>
            <w:r>
              <w:rPr>
                <w:rFonts w:ascii="宋体" w:hAnsi="宋体" w:cs="宋体" w:eastAsia="宋体" w:hint="default"/>
                <w:w w:val="100"/>
                <w:sz w:val="21"/>
                <w:szCs w:val="21"/>
              </w:rPr>
              <w:t>受</w:t>
            </w:r>
            <w:r>
              <w:rPr>
                <w:rFonts w:ascii="宋体" w:hAnsi="宋体" w:cs="宋体" w:eastAsia="宋体" w:hint="default"/>
                <w:spacing w:val="-3"/>
                <w:w w:val="100"/>
                <w:sz w:val="21"/>
                <w:szCs w:val="21"/>
              </w:rPr>
              <w:t>劳</w:t>
            </w:r>
            <w:r>
              <w:rPr>
                <w:rFonts w:ascii="宋体" w:hAnsi="宋体" w:cs="宋体" w:eastAsia="宋体" w:hint="default"/>
                <w:w w:val="100"/>
                <w:sz w:val="21"/>
                <w:szCs w:val="21"/>
              </w:rPr>
              <w:t>务</w:t>
            </w:r>
            <w:r>
              <w:rPr>
                <w:rFonts w:ascii="宋体" w:hAnsi="宋体" w:cs="宋体" w:eastAsia="宋体" w:hint="default"/>
                <w:spacing w:val="-3"/>
                <w:w w:val="100"/>
                <w:sz w:val="21"/>
                <w:szCs w:val="21"/>
              </w:rPr>
              <w:t>支</w:t>
            </w:r>
            <w:r>
              <w:rPr>
                <w:rFonts w:ascii="宋体" w:hAnsi="宋体" w:cs="宋体" w:eastAsia="宋体" w:hint="default"/>
                <w:w w:val="100"/>
                <w:sz w:val="21"/>
                <w:szCs w:val="21"/>
              </w:rPr>
              <w:t>付</w:t>
            </w:r>
            <w:r>
              <w:rPr>
                <w:rFonts w:ascii="宋体" w:hAnsi="宋体" w:cs="宋体" w:eastAsia="宋体" w:hint="default"/>
                <w:spacing w:val="-3"/>
                <w:w w:val="100"/>
                <w:sz w:val="21"/>
                <w:szCs w:val="21"/>
              </w:rPr>
              <w:t>的</w:t>
            </w:r>
            <w:r>
              <w:rPr>
                <w:rFonts w:ascii="宋体" w:hAnsi="宋体" w:cs="宋体" w:eastAsia="宋体" w:hint="default"/>
                <w:w w:val="100"/>
                <w:sz w:val="21"/>
                <w:szCs w:val="21"/>
              </w:rPr>
              <w:t>现金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739,356,161.48</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345,195,921.10</w:t>
            </w: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6"/>
                <w:sz w:val="21"/>
                <w:szCs w:val="21"/>
              </w:rPr>
              <w:t>存放中央银行和同业款项净增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加额</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6"/>
                <w:sz w:val="21"/>
                <w:szCs w:val="21"/>
              </w:rPr>
              <w:t>支付原保险合同赔付款项的现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w w:val="100"/>
                <w:sz w:val="21"/>
                <w:szCs w:val="21"/>
              </w:rPr>
              <w:t>支付</w:t>
            </w:r>
            <w:r>
              <w:rPr>
                <w:rFonts w:ascii="宋体" w:hAnsi="宋体" w:cs="宋体" w:eastAsia="宋体" w:hint="default"/>
                <w:spacing w:val="-3"/>
                <w:w w:val="100"/>
                <w:sz w:val="21"/>
                <w:szCs w:val="21"/>
              </w:rPr>
              <w:t>利息</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手</w:t>
            </w:r>
            <w:r>
              <w:rPr>
                <w:rFonts w:ascii="宋体" w:hAnsi="宋体" w:cs="宋体" w:eastAsia="宋体" w:hint="default"/>
                <w:w w:val="100"/>
                <w:sz w:val="21"/>
                <w:szCs w:val="21"/>
              </w:rPr>
              <w:t>续</w:t>
            </w:r>
            <w:r>
              <w:rPr>
                <w:rFonts w:ascii="宋体" w:hAnsi="宋体" w:cs="宋体" w:eastAsia="宋体" w:hint="default"/>
                <w:spacing w:val="-3"/>
                <w:w w:val="100"/>
                <w:sz w:val="21"/>
                <w:szCs w:val="21"/>
              </w:rPr>
              <w:t>费</w:t>
            </w:r>
            <w:r>
              <w:rPr>
                <w:rFonts w:ascii="宋体" w:hAnsi="宋体" w:cs="宋体" w:eastAsia="宋体" w:hint="default"/>
                <w:w w:val="100"/>
                <w:sz w:val="21"/>
                <w:szCs w:val="21"/>
              </w:rPr>
              <w:t>及</w:t>
            </w:r>
            <w:r>
              <w:rPr>
                <w:rFonts w:ascii="宋体" w:hAnsi="宋体" w:cs="宋体" w:eastAsia="宋体" w:hint="default"/>
                <w:spacing w:val="-3"/>
                <w:w w:val="100"/>
                <w:sz w:val="21"/>
                <w:szCs w:val="21"/>
              </w:rPr>
              <w:t>佣</w:t>
            </w:r>
            <w:r>
              <w:rPr>
                <w:rFonts w:ascii="宋体" w:hAnsi="宋体" w:cs="宋体" w:eastAsia="宋体" w:hint="default"/>
                <w:w w:val="100"/>
                <w:sz w:val="21"/>
                <w:szCs w:val="21"/>
              </w:rPr>
              <w:t>金</w:t>
            </w:r>
            <w:r>
              <w:rPr>
                <w:rFonts w:ascii="宋体" w:hAnsi="宋体" w:cs="宋体" w:eastAsia="宋体" w:hint="default"/>
                <w:spacing w:val="-3"/>
                <w:w w:val="100"/>
                <w:sz w:val="21"/>
                <w:szCs w:val="21"/>
              </w:rPr>
              <w:t>的</w:t>
            </w:r>
            <w:r>
              <w:rPr>
                <w:rFonts w:ascii="宋体" w:hAnsi="宋体" w:cs="宋体" w:eastAsia="宋体" w:hint="default"/>
                <w:w w:val="100"/>
                <w:sz w:val="21"/>
                <w:szCs w:val="21"/>
              </w:rPr>
              <w:t>现金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6"/>
                <w:sz w:val="21"/>
                <w:szCs w:val="21"/>
              </w:rPr>
              <w:t>支付给职工以及为职工支付的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现金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141,120,440.35</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98,397,800.00</w:t>
            </w: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78,753,232.05</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47,394,151.29</w:t>
            </w:r>
          </w:p>
        </w:tc>
      </w:tr>
      <w:tr>
        <w:trPr>
          <w:trHeight w:val="73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6"/>
                <w:sz w:val="21"/>
                <w:szCs w:val="21"/>
              </w:rPr>
              <w:t>支付其他与经营活动有关的现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140,202,881.22</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144,249,754.61</w:t>
            </w: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1,099,432,715.10</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635,237,627.00</w:t>
            </w: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-269,780,968.06</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138,408,077.65</w:t>
            </w:r>
          </w:p>
        </w:tc>
      </w:tr>
      <w:tr>
        <w:trPr>
          <w:trHeight w:val="372"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1,552,886,236.68</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1,763,762,328.89</w:t>
            </w: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7,352.30</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128,553.71</w:t>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979" w:top="1120" w:bottom="116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3065"/>
        <w:gridCol w:w="1527"/>
        <w:gridCol w:w="2119"/>
        <w:gridCol w:w="2113"/>
      </w:tblGrid>
      <w:tr>
        <w:trPr>
          <w:trHeight w:val="372"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长期资产收回的现金净额</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6"/>
                <w:sz w:val="21"/>
                <w:szCs w:val="21"/>
              </w:rPr>
              <w:t>处置子公司及其他营业单位收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到的现金净额</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9,750,000.00</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4,244,416.60</w:t>
            </w:r>
          </w:p>
        </w:tc>
      </w:tr>
      <w:tr>
        <w:trPr>
          <w:trHeight w:val="73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6"/>
                <w:sz w:val="21"/>
                <w:szCs w:val="21"/>
              </w:rPr>
              <w:t>收到其他与投资活动有关的现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66,000,000.00</w:t>
            </w: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1,562,643,588.98</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1,834,135,299.20</w:t>
            </w:r>
          </w:p>
        </w:tc>
      </w:tr>
      <w:tr>
        <w:trPr>
          <w:trHeight w:val="73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购建固定资产、无形资产和其他</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长期资产支付的现金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93,956,310.28</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103,009,400.81</w:t>
            </w: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1,398,236,335.50</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1,901,102,205.65</w:t>
            </w:r>
          </w:p>
        </w:tc>
      </w:tr>
      <w:tr>
        <w:trPr>
          <w:trHeight w:val="373"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73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6"/>
                <w:sz w:val="21"/>
                <w:szCs w:val="21"/>
              </w:rPr>
              <w:t>取得子公司及其他营业单位支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付的现金净额</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33,449,247.51</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73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6"/>
                <w:sz w:val="21"/>
                <w:szCs w:val="21"/>
              </w:rPr>
              <w:t>支付其他与投资活动有关的现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1,525,641,893.29</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2,034,111,606.46</w:t>
            </w: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37,001,695.69</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-199,976,307.26</w:t>
            </w: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654,787,294.30</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5,510,100.00</w:t>
            </w:r>
          </w:p>
        </w:tc>
      </w:tr>
      <w:tr>
        <w:trPr>
          <w:trHeight w:val="73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其中：子公司吸收少数股东投资</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收到的现金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1,672,900.00</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1,761,600.00</w:t>
            </w: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4,070,184.35</w:t>
            </w: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6"/>
                <w:sz w:val="21"/>
                <w:szCs w:val="21"/>
              </w:rPr>
              <w:t>收到其他与筹资活动有关的现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168,204,590.95</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84,990,536.06</w:t>
            </w: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822,991,885.25</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94,570,820.41</w:t>
            </w:r>
          </w:p>
        </w:tc>
      </w:tr>
      <w:tr>
        <w:trPr>
          <w:trHeight w:val="372"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400,000.00</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6,843,845.25</w:t>
            </w:r>
          </w:p>
        </w:tc>
      </w:tr>
      <w:tr>
        <w:trPr>
          <w:trHeight w:val="73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分配股利、利润或偿付利息支付</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的现金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105,630,229.71</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16,454,603.15</w:t>
            </w:r>
          </w:p>
        </w:tc>
      </w:tr>
      <w:tr>
        <w:trPr>
          <w:trHeight w:val="73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其中：子公司支付给少数股东的</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股利、利润</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6"/>
                <w:sz w:val="21"/>
                <w:szCs w:val="21"/>
              </w:rPr>
              <w:t>支付其他与筹资活动有关的现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金</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148,149,577.04</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110,293,177.71</w:t>
            </w: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254,179,806.75</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133,591,626.11</w:t>
            </w: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568,812,078.50</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-39,020,805.70</w:t>
            </w:r>
          </w:p>
        </w:tc>
      </w:tr>
      <w:tr>
        <w:trPr>
          <w:trHeight w:val="732"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1"/>
              <w:jc w:val="left"/>
              <w:rPr>
                <w:rFonts w:ascii="宋体" w:hAnsi="宋体" w:cs="宋体" w:eastAsia="宋体" w:hint="default"/>
                <w:sz w:val="21"/>
                <w:szCs w:val="21"/>
              </w:rPr>
            </w:pPr>
            <w:r>
              <w:rPr>
                <w:rFonts w:ascii="宋体" w:hAnsi="宋体" w:cs="宋体" w:eastAsia="宋体" w:hint="default"/>
                <w:b/>
                <w:bCs/>
                <w:spacing w:val="-8"/>
                <w:w w:val="100"/>
                <w:sz w:val="21"/>
                <w:szCs w:val="21"/>
              </w:rPr>
              <w:t>四、汇率变动对现金及现金等价</w:t>
            </w:r>
            <w:r>
              <w:rPr>
                <w:rFonts w:ascii="宋体" w:hAnsi="宋体" w:cs="宋体" w:eastAsia="宋体" w:hint="default"/>
                <w:b/>
                <w:bCs/>
                <w:spacing w:val="-104"/>
                <w:w w:val="100"/>
                <w:sz w:val="21"/>
                <w:szCs w:val="21"/>
              </w:rPr>
              <w:t> </w:t>
            </w:r>
            <w:r>
              <w:rPr>
                <w:rFonts w:ascii="宋体" w:hAnsi="宋体" w:cs="宋体" w:eastAsia="宋体" w:hint="default"/>
                <w:b/>
                <w:bCs/>
                <w:spacing w:val="-104"/>
                <w:w w:val="100"/>
                <w:sz w:val="21"/>
                <w:szCs w:val="21"/>
              </w:rPr>
            </w:r>
            <w:r>
              <w:rPr>
                <w:rFonts w:ascii="宋体" w:hAnsi="宋体" w:cs="宋体" w:eastAsia="宋体" w:hint="default"/>
                <w:b/>
                <w:bCs/>
                <w:sz w:val="21"/>
                <w:szCs w:val="21"/>
              </w:rPr>
              <w:t>物的影响</w:t>
            </w:r>
            <w:r>
              <w:rPr>
                <w:rFonts w:ascii="宋体" w:hAnsi="宋体" w:cs="宋体" w:eastAsia="宋体" w:hint="default"/>
                <w:sz w:val="21"/>
                <w:szCs w:val="21"/>
              </w:rPr>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w w:val="100"/>
                <w:sz w:val="21"/>
                <w:szCs w:val="21"/>
              </w:rPr>
              <w:t>五</w:t>
            </w:r>
            <w:r>
              <w:rPr>
                <w:rFonts w:ascii="宋体" w:hAnsi="宋体" w:cs="宋体" w:eastAsia="宋体" w:hint="default"/>
                <w:b/>
                <w:bCs/>
                <w:spacing w:val="-104"/>
                <w:w w:val="100"/>
                <w:sz w:val="21"/>
                <w:szCs w:val="21"/>
              </w:rPr>
              <w:t>、</w:t>
            </w:r>
            <w:r>
              <w:rPr>
                <w:rFonts w:ascii="宋体" w:hAnsi="宋体" w:cs="宋体" w:eastAsia="宋体" w:hint="default"/>
                <w:b/>
                <w:bCs/>
                <w:w w:val="100"/>
                <w:sz w:val="21"/>
                <w:szCs w:val="21"/>
              </w:rPr>
              <w:t>现金及现金等</w:t>
            </w:r>
            <w:r>
              <w:rPr>
                <w:rFonts w:ascii="宋体" w:hAnsi="宋体" w:cs="宋体" w:eastAsia="宋体" w:hint="default"/>
                <w:b/>
                <w:bCs/>
                <w:spacing w:val="-3"/>
                <w:w w:val="100"/>
                <w:sz w:val="21"/>
                <w:szCs w:val="21"/>
              </w:rPr>
              <w:t>价</w:t>
            </w:r>
            <w:r>
              <w:rPr>
                <w:rFonts w:ascii="宋体" w:hAnsi="宋体" w:cs="宋体" w:eastAsia="宋体" w:hint="default"/>
                <w:b/>
                <w:bCs/>
                <w:w w:val="100"/>
                <w:sz w:val="21"/>
                <w:szCs w:val="21"/>
              </w:rPr>
              <w:t>物净</w:t>
            </w:r>
            <w:r>
              <w:rPr>
                <w:rFonts w:ascii="宋体" w:hAnsi="宋体" w:cs="宋体" w:eastAsia="宋体" w:hint="default"/>
                <w:b/>
                <w:bCs/>
                <w:spacing w:val="-3"/>
                <w:w w:val="100"/>
                <w:sz w:val="21"/>
                <w:szCs w:val="21"/>
              </w:rPr>
              <w:t>增</w:t>
            </w:r>
            <w:r>
              <w:rPr>
                <w:rFonts w:ascii="宋体" w:hAnsi="宋体" w:cs="宋体" w:eastAsia="宋体" w:hint="default"/>
                <w:b/>
                <w:bCs/>
                <w:w w:val="100"/>
                <w:sz w:val="21"/>
                <w:szCs w:val="21"/>
              </w:rPr>
              <w:t>加额</w:t>
            </w:r>
            <w:r>
              <w:rPr>
                <w:rFonts w:ascii="宋体" w:hAnsi="宋体" w:cs="宋体" w:eastAsia="宋体" w:hint="default"/>
                <w:w w:val="100"/>
                <w:sz w:val="21"/>
                <w:szCs w:val="21"/>
              </w:rPr>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336,032,806.13</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-100,589,035.31</w:t>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979" w:top="1120" w:bottom="116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3065"/>
        <w:gridCol w:w="1527"/>
        <w:gridCol w:w="2119"/>
        <w:gridCol w:w="2113"/>
      </w:tblGrid>
      <w:tr>
        <w:trPr>
          <w:trHeight w:val="372"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94"/>
                <w:w w:val="100"/>
                <w:sz w:val="21"/>
                <w:szCs w:val="21"/>
              </w:rPr>
              <w:t>：</w:t>
            </w:r>
            <w:r>
              <w:rPr>
                <w:rFonts w:ascii="宋体" w:hAnsi="宋体" w:cs="宋体" w:eastAsia="宋体" w:hint="default"/>
                <w:w w:val="100"/>
                <w:sz w:val="21"/>
                <w:szCs w:val="21"/>
              </w:rPr>
              <w:t>期</w:t>
            </w:r>
            <w:r>
              <w:rPr>
                <w:rFonts w:ascii="宋体" w:hAnsi="宋体" w:cs="宋体" w:eastAsia="宋体" w:hint="default"/>
                <w:spacing w:val="-3"/>
                <w:w w:val="100"/>
                <w:sz w:val="21"/>
                <w:szCs w:val="21"/>
              </w:rPr>
              <w:t>初</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及</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等</w:t>
            </w:r>
            <w:r>
              <w:rPr>
                <w:rFonts w:ascii="宋体" w:hAnsi="宋体" w:cs="宋体" w:eastAsia="宋体" w:hint="default"/>
                <w:w w:val="100"/>
                <w:sz w:val="21"/>
                <w:szCs w:val="21"/>
              </w:rPr>
              <w:t>价</w:t>
            </w:r>
            <w:r>
              <w:rPr>
                <w:rFonts w:ascii="宋体" w:hAnsi="宋体" w:cs="宋体" w:eastAsia="宋体" w:hint="default"/>
                <w:spacing w:val="-3"/>
                <w:w w:val="100"/>
                <w:sz w:val="21"/>
                <w:szCs w:val="21"/>
              </w:rPr>
              <w:t>物</w:t>
            </w:r>
            <w:r>
              <w:rPr>
                <w:rFonts w:ascii="宋体" w:hAnsi="宋体" w:cs="宋体" w:eastAsia="宋体" w:hint="default"/>
                <w:w w:val="100"/>
                <w:sz w:val="21"/>
                <w:szCs w:val="21"/>
              </w:rPr>
              <w:t>余额</w:t>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188,433,545.46</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289,022,580.77</w:t>
            </w:r>
          </w:p>
        </w:tc>
      </w:tr>
      <w:tr>
        <w:trPr>
          <w:trHeight w:val="370"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w w:val="100"/>
                <w:sz w:val="21"/>
                <w:szCs w:val="21"/>
              </w:rPr>
              <w:t>六</w:t>
            </w:r>
            <w:r>
              <w:rPr>
                <w:rFonts w:ascii="宋体" w:hAnsi="宋体" w:cs="宋体" w:eastAsia="宋体" w:hint="default"/>
                <w:b/>
                <w:bCs/>
                <w:spacing w:val="-104"/>
                <w:w w:val="100"/>
                <w:sz w:val="21"/>
                <w:szCs w:val="21"/>
              </w:rPr>
              <w:t>、</w:t>
            </w:r>
            <w:r>
              <w:rPr>
                <w:rFonts w:ascii="宋体" w:hAnsi="宋体" w:cs="宋体" w:eastAsia="宋体" w:hint="default"/>
                <w:b/>
                <w:bCs/>
                <w:w w:val="100"/>
                <w:sz w:val="21"/>
                <w:szCs w:val="21"/>
              </w:rPr>
              <w:t>期末现金及现</w:t>
            </w:r>
            <w:r>
              <w:rPr>
                <w:rFonts w:ascii="宋体" w:hAnsi="宋体" w:cs="宋体" w:eastAsia="宋体" w:hint="default"/>
                <w:b/>
                <w:bCs/>
                <w:spacing w:val="-3"/>
                <w:w w:val="100"/>
                <w:sz w:val="21"/>
                <w:szCs w:val="21"/>
              </w:rPr>
              <w:t>金</w:t>
            </w:r>
            <w:r>
              <w:rPr>
                <w:rFonts w:ascii="宋体" w:hAnsi="宋体" w:cs="宋体" w:eastAsia="宋体" w:hint="default"/>
                <w:b/>
                <w:bCs/>
                <w:w w:val="100"/>
                <w:sz w:val="21"/>
                <w:szCs w:val="21"/>
              </w:rPr>
              <w:t>等价</w:t>
            </w:r>
            <w:r>
              <w:rPr>
                <w:rFonts w:ascii="宋体" w:hAnsi="宋体" w:cs="宋体" w:eastAsia="宋体" w:hint="default"/>
                <w:b/>
                <w:bCs/>
                <w:spacing w:val="-3"/>
                <w:w w:val="100"/>
                <w:sz w:val="21"/>
                <w:szCs w:val="21"/>
              </w:rPr>
              <w:t>物</w:t>
            </w:r>
            <w:r>
              <w:rPr>
                <w:rFonts w:ascii="宋体" w:hAnsi="宋体" w:cs="宋体" w:eastAsia="宋体" w:hint="default"/>
                <w:b/>
                <w:bCs/>
                <w:w w:val="100"/>
                <w:sz w:val="21"/>
                <w:szCs w:val="21"/>
              </w:rPr>
              <w:t>余额</w:t>
            </w:r>
            <w:r>
              <w:rPr>
                <w:rFonts w:ascii="宋体" w:hAnsi="宋体" w:cs="宋体" w:eastAsia="宋体" w:hint="default"/>
                <w:w w:val="100"/>
                <w:sz w:val="21"/>
                <w:szCs w:val="21"/>
              </w:rPr>
            </w:r>
          </w:p>
        </w:tc>
        <w:tc>
          <w:tcPr>
            <w:tcW w:w="1527"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524,466,351.59</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188,433,545.46</w:t>
            </w:r>
          </w:p>
        </w:tc>
      </w:tr>
    </w:tbl>
    <w:p>
      <w:pPr>
        <w:spacing w:line="240" w:lineRule="auto" w:before="0"/>
        <w:rPr>
          <w:rFonts w:ascii="Times New Roman" w:hAnsi="Times New Roman" w:cs="Times New Roman" w:eastAsia="Times New Roman" w:hint="default"/>
          <w:sz w:val="21"/>
          <w:szCs w:val="21"/>
        </w:rPr>
      </w:pPr>
    </w:p>
    <w:p>
      <w:pPr>
        <w:pStyle w:val="BodyText"/>
        <w:tabs>
          <w:tab w:pos="2764" w:val="left" w:leader="none"/>
        </w:tabs>
        <w:spacing w:line="240" w:lineRule="auto" w:before="36"/>
        <w:ind w:left="558" w:right="0"/>
        <w:jc w:val="left"/>
      </w:pPr>
      <w:r>
        <w:rPr>
          <w:spacing w:val="-1"/>
        </w:rPr>
        <w:t>法定代表人：吴志雄</w:t>
        <w:tab/>
      </w:r>
      <w:r>
        <w:rPr>
          <w:spacing w:val="-2"/>
        </w:rPr>
        <w:t>主管会计工作负责人：曾志勇</w:t>
      </w:r>
      <w:r>
        <w:rPr>
          <w:spacing w:val="37"/>
        </w:rPr>
        <w:t> </w:t>
      </w:r>
      <w:r>
        <w:rPr>
          <w:spacing w:val="-2"/>
        </w:rPr>
        <w:t>会计机构负责人：曾志勇</w:t>
      </w:r>
      <w:r>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52" w:footer="979" w:top="1120" w:bottom="1160" w:left="1660" w:right="1140"/>
        </w:sectPr>
      </w:pPr>
    </w:p>
    <w:p>
      <w:pPr>
        <w:pStyle w:val="Heading4"/>
        <w:spacing w:line="274" w:lineRule="exact"/>
        <w:ind w:left="0" w:right="0"/>
        <w:jc w:val="right"/>
        <w:rPr>
          <w:b w:val="0"/>
          <w:bCs w:val="0"/>
        </w:rPr>
      </w:pPr>
      <w:r>
        <w:rPr/>
        <w:t>母公司现金流量表</w:t>
      </w:r>
      <w:r>
        <w:rPr>
          <w:b w:val="0"/>
          <w:bCs w:val="0"/>
        </w:rPr>
      </w:r>
    </w:p>
    <w:p>
      <w:pPr>
        <w:pStyle w:val="BodyText"/>
        <w:spacing w:line="290" w:lineRule="exact"/>
        <w:ind w:left="0" w:right="112"/>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135" w:val="left" w:leader="none"/>
        </w:tabs>
        <w:spacing w:line="240" w:lineRule="auto"/>
        <w:ind w:left="1189"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660" w:right="1140"/>
          <w:cols w:num="2" w:equalWidth="0">
            <w:col w:w="5642" w:space="40"/>
            <w:col w:w="3428"/>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068"/>
        <w:gridCol w:w="1529"/>
        <w:gridCol w:w="2119"/>
        <w:gridCol w:w="2108"/>
      </w:tblGrid>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w w:val="100"/>
                <w:sz w:val="21"/>
                <w:szCs w:val="21"/>
              </w:rPr>
              <w:t>销售</w:t>
            </w:r>
            <w:r>
              <w:rPr>
                <w:rFonts w:ascii="宋体" w:hAnsi="宋体" w:cs="宋体" w:eastAsia="宋体" w:hint="default"/>
                <w:spacing w:val="-3"/>
                <w:w w:val="100"/>
                <w:sz w:val="21"/>
                <w:szCs w:val="21"/>
              </w:rPr>
              <w:t>商</w:t>
            </w:r>
            <w:r>
              <w:rPr>
                <w:rFonts w:ascii="宋体" w:hAnsi="宋体" w:cs="宋体" w:eastAsia="宋体" w:hint="default"/>
                <w:w w:val="100"/>
                <w:sz w:val="21"/>
                <w:szCs w:val="21"/>
              </w:rPr>
              <w:t>品</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提</w:t>
            </w:r>
            <w:r>
              <w:rPr>
                <w:rFonts w:ascii="宋体" w:hAnsi="宋体" w:cs="宋体" w:eastAsia="宋体" w:hint="default"/>
                <w:w w:val="100"/>
                <w:sz w:val="21"/>
                <w:szCs w:val="21"/>
              </w:rPr>
              <w:t>供</w:t>
            </w:r>
            <w:r>
              <w:rPr>
                <w:rFonts w:ascii="宋体" w:hAnsi="宋体" w:cs="宋体" w:eastAsia="宋体" w:hint="default"/>
                <w:spacing w:val="-3"/>
                <w:w w:val="100"/>
                <w:sz w:val="21"/>
                <w:szCs w:val="21"/>
              </w:rPr>
              <w:t>劳</w:t>
            </w:r>
            <w:r>
              <w:rPr>
                <w:rFonts w:ascii="宋体" w:hAnsi="宋体" w:cs="宋体" w:eastAsia="宋体" w:hint="default"/>
                <w:w w:val="100"/>
                <w:sz w:val="21"/>
                <w:szCs w:val="21"/>
              </w:rPr>
              <w:t>务</w:t>
            </w:r>
            <w:r>
              <w:rPr>
                <w:rFonts w:ascii="宋体" w:hAnsi="宋体" w:cs="宋体" w:eastAsia="宋体" w:hint="default"/>
                <w:spacing w:val="-3"/>
                <w:w w:val="100"/>
                <w:sz w:val="21"/>
                <w:szCs w:val="21"/>
              </w:rPr>
              <w:t>收</w:t>
            </w:r>
            <w:r>
              <w:rPr>
                <w:rFonts w:ascii="宋体" w:hAnsi="宋体" w:cs="宋体" w:eastAsia="宋体" w:hint="default"/>
                <w:w w:val="100"/>
                <w:sz w:val="21"/>
                <w:szCs w:val="21"/>
              </w:rPr>
              <w:t>到</w:t>
            </w:r>
            <w:r>
              <w:rPr>
                <w:rFonts w:ascii="宋体" w:hAnsi="宋体" w:cs="宋体" w:eastAsia="宋体" w:hint="default"/>
                <w:spacing w:val="-3"/>
                <w:w w:val="100"/>
                <w:sz w:val="21"/>
                <w:szCs w:val="21"/>
              </w:rPr>
              <w:t>的</w:t>
            </w:r>
            <w:r>
              <w:rPr>
                <w:rFonts w:ascii="宋体" w:hAnsi="宋体" w:cs="宋体" w:eastAsia="宋体" w:hint="default"/>
                <w:w w:val="100"/>
                <w:sz w:val="21"/>
                <w:szCs w:val="21"/>
              </w:rPr>
              <w:t>现金</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1,043,454,926.07</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717,237,738.25</w:t>
            </w:r>
          </w:p>
        </w:tc>
      </w:tr>
      <w:tr>
        <w:trPr>
          <w:trHeight w:val="37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13,104,710.48</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9,569,200.38</w:t>
            </w:r>
          </w:p>
        </w:tc>
      </w:tr>
      <w:tr>
        <w:trPr>
          <w:trHeight w:val="73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18"/>
              <w:jc w:val="left"/>
              <w:rPr>
                <w:rFonts w:ascii="宋体" w:hAnsi="宋体" w:cs="宋体" w:eastAsia="宋体" w:hint="default"/>
                <w:sz w:val="21"/>
                <w:szCs w:val="21"/>
              </w:rPr>
            </w:pPr>
            <w:r>
              <w:rPr>
                <w:rFonts w:ascii="宋体" w:hAnsi="宋体" w:cs="宋体" w:eastAsia="宋体" w:hint="default"/>
                <w:spacing w:val="-2"/>
                <w:sz w:val="21"/>
                <w:szCs w:val="21"/>
              </w:rPr>
              <w:t>收到其他与经营活动有关的现</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金</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64,156,872.66</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68,550,493.72</w:t>
            </w: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1,120,716,509.21</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795,357,432.35</w:t>
            </w: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w w:val="100"/>
                <w:sz w:val="21"/>
                <w:szCs w:val="21"/>
              </w:rPr>
              <w:t>购买</w:t>
            </w:r>
            <w:r>
              <w:rPr>
                <w:rFonts w:ascii="宋体" w:hAnsi="宋体" w:cs="宋体" w:eastAsia="宋体" w:hint="default"/>
                <w:spacing w:val="-3"/>
                <w:w w:val="100"/>
                <w:sz w:val="21"/>
                <w:szCs w:val="21"/>
              </w:rPr>
              <w:t>商</w:t>
            </w:r>
            <w:r>
              <w:rPr>
                <w:rFonts w:ascii="宋体" w:hAnsi="宋体" w:cs="宋体" w:eastAsia="宋体" w:hint="default"/>
                <w:w w:val="100"/>
                <w:sz w:val="21"/>
                <w:szCs w:val="21"/>
              </w:rPr>
              <w:t>品</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接</w:t>
            </w:r>
            <w:r>
              <w:rPr>
                <w:rFonts w:ascii="宋体" w:hAnsi="宋体" w:cs="宋体" w:eastAsia="宋体" w:hint="default"/>
                <w:w w:val="100"/>
                <w:sz w:val="21"/>
                <w:szCs w:val="21"/>
              </w:rPr>
              <w:t>受</w:t>
            </w:r>
            <w:r>
              <w:rPr>
                <w:rFonts w:ascii="宋体" w:hAnsi="宋体" w:cs="宋体" w:eastAsia="宋体" w:hint="default"/>
                <w:spacing w:val="-3"/>
                <w:w w:val="100"/>
                <w:sz w:val="21"/>
                <w:szCs w:val="21"/>
              </w:rPr>
              <w:t>劳</w:t>
            </w:r>
            <w:r>
              <w:rPr>
                <w:rFonts w:ascii="宋体" w:hAnsi="宋体" w:cs="宋体" w:eastAsia="宋体" w:hint="default"/>
                <w:w w:val="100"/>
                <w:sz w:val="21"/>
                <w:szCs w:val="21"/>
              </w:rPr>
              <w:t>务</w:t>
            </w:r>
            <w:r>
              <w:rPr>
                <w:rFonts w:ascii="宋体" w:hAnsi="宋体" w:cs="宋体" w:eastAsia="宋体" w:hint="default"/>
                <w:spacing w:val="-3"/>
                <w:w w:val="100"/>
                <w:sz w:val="21"/>
                <w:szCs w:val="21"/>
              </w:rPr>
              <w:t>支</w:t>
            </w:r>
            <w:r>
              <w:rPr>
                <w:rFonts w:ascii="宋体" w:hAnsi="宋体" w:cs="宋体" w:eastAsia="宋体" w:hint="default"/>
                <w:w w:val="100"/>
                <w:sz w:val="21"/>
                <w:szCs w:val="21"/>
              </w:rPr>
              <w:t>付</w:t>
            </w:r>
            <w:r>
              <w:rPr>
                <w:rFonts w:ascii="宋体" w:hAnsi="宋体" w:cs="宋体" w:eastAsia="宋体" w:hint="default"/>
                <w:spacing w:val="-3"/>
                <w:w w:val="100"/>
                <w:sz w:val="21"/>
                <w:szCs w:val="21"/>
              </w:rPr>
              <w:t>的</w:t>
            </w:r>
            <w:r>
              <w:rPr>
                <w:rFonts w:ascii="宋体" w:hAnsi="宋体" w:cs="宋体" w:eastAsia="宋体" w:hint="default"/>
                <w:w w:val="100"/>
                <w:sz w:val="21"/>
                <w:szCs w:val="21"/>
              </w:rPr>
              <w:t>现金</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827,996,768.95</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406,726,583.50</w:t>
            </w:r>
          </w:p>
        </w:tc>
      </w:tr>
      <w:tr>
        <w:trPr>
          <w:trHeight w:val="73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18"/>
              <w:jc w:val="lef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现金</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34,549,189.80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22,684,512.99</w:t>
            </w: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spacing w:val="-1"/>
                <w:sz w:val="21"/>
              </w:rPr>
              <w:t>54,149,416.90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43,264,978.33</w:t>
            </w:r>
          </w:p>
        </w:tc>
      </w:tr>
      <w:tr>
        <w:trPr>
          <w:trHeight w:val="73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18"/>
              <w:jc w:val="left"/>
              <w:rPr>
                <w:rFonts w:ascii="宋体" w:hAnsi="宋体" w:cs="宋体" w:eastAsia="宋体" w:hint="default"/>
                <w:sz w:val="21"/>
                <w:szCs w:val="21"/>
              </w:rPr>
            </w:pPr>
            <w:r>
              <w:rPr>
                <w:rFonts w:ascii="宋体" w:hAnsi="宋体" w:cs="宋体" w:eastAsia="宋体" w:hint="default"/>
                <w:spacing w:val="-2"/>
                <w:sz w:val="21"/>
                <w:szCs w:val="21"/>
              </w:rPr>
              <w:t>支付其他与经营活动有关的现</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金</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88,765,283.96</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107,856,106.51</w:t>
            </w: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1,005,460,659.61</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580,532,181.33</w:t>
            </w: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115,255,849.60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214,825,251.02</w:t>
            </w: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1,256,169,745.91</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1,583,412,498.92</w:t>
            </w: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r>
      <w:tr>
        <w:trPr>
          <w:trHeight w:val="733"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处置固定资产、无形资产和其他</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长期资产收回的现金净额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830.00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62,400.00</w:t>
            </w:r>
          </w:p>
        </w:tc>
      </w:tr>
      <w:tr>
        <w:trPr>
          <w:trHeight w:val="73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18"/>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到的现金净额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9,750,000.00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12,750,000.00</w:t>
            </w:r>
          </w:p>
        </w:tc>
      </w:tr>
      <w:tr>
        <w:trPr>
          <w:trHeight w:val="73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18"/>
              <w:jc w:val="left"/>
              <w:rPr>
                <w:rFonts w:ascii="宋体" w:hAnsi="宋体" w:cs="宋体" w:eastAsia="宋体" w:hint="default"/>
                <w:sz w:val="21"/>
                <w:szCs w:val="21"/>
              </w:rPr>
            </w:pPr>
            <w:r>
              <w:rPr>
                <w:rFonts w:ascii="宋体" w:hAnsi="宋体" w:cs="宋体" w:eastAsia="宋体" w:hint="default"/>
                <w:spacing w:val="-2"/>
                <w:sz w:val="21"/>
                <w:szCs w:val="21"/>
              </w:rPr>
              <w:t>收到其他与投资活动有关的现</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金</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67,976,173.70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133,254,028.63</w:t>
            </w: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1,333,896,749.61</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1,729,478,927.55</w:t>
            </w:r>
          </w:p>
        </w:tc>
      </w:tr>
      <w:tr>
        <w:trPr>
          <w:trHeight w:val="73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购建固定资产、无形资产和其他</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长期资产支付的现金</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48,949,772.41</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28,435,944.57</w:t>
            </w: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1,682,168,825.50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1,805,366,305.53</w:t>
            </w:r>
          </w:p>
        </w:tc>
      </w:tr>
      <w:tr>
        <w:trPr>
          <w:trHeight w:val="73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18"/>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付的现金净额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3068"/>
        <w:gridCol w:w="1529"/>
        <w:gridCol w:w="2119"/>
        <w:gridCol w:w="2108"/>
      </w:tblGrid>
      <w:tr>
        <w:trPr>
          <w:trHeight w:val="73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18"/>
              <w:jc w:val="left"/>
              <w:rPr>
                <w:rFonts w:ascii="宋体" w:hAnsi="宋体" w:cs="宋体" w:eastAsia="宋体" w:hint="default"/>
                <w:sz w:val="21"/>
                <w:szCs w:val="21"/>
              </w:rPr>
            </w:pPr>
            <w:r>
              <w:rPr>
                <w:rFonts w:ascii="宋体" w:hAnsi="宋体" w:cs="宋体" w:eastAsia="宋体" w:hint="default"/>
                <w:spacing w:val="-2"/>
                <w:sz w:val="21"/>
                <w:szCs w:val="21"/>
              </w:rPr>
              <w:t>支付其他与投资活动有关的现</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金</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85,416,442.03</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75,876,437.03</w:t>
            </w: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1,816,535,039.94</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1,909,678,687.13</w:t>
            </w: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-482,638,290.33</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-180,199,759.58</w:t>
            </w: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653,114,394.30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3,748,500.00</w:t>
            </w: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18"/>
              <w:jc w:val="left"/>
              <w:rPr>
                <w:rFonts w:ascii="宋体" w:hAnsi="宋体" w:cs="宋体" w:eastAsia="宋体" w:hint="default"/>
                <w:sz w:val="21"/>
                <w:szCs w:val="21"/>
              </w:rPr>
            </w:pPr>
            <w:r>
              <w:rPr>
                <w:rFonts w:ascii="宋体" w:hAnsi="宋体" w:cs="宋体" w:eastAsia="宋体" w:hint="default"/>
                <w:spacing w:val="-2"/>
                <w:sz w:val="21"/>
                <w:szCs w:val="21"/>
              </w:rPr>
              <w:t>收到其他与筹资活动有关的现</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金</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142,239,804.09</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795,354,198.39</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3,748,500.00</w:t>
            </w: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分配股利、利润或偿付利息支付</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的现金</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105,451,390.40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16,273,260.80</w:t>
            </w:r>
          </w:p>
        </w:tc>
      </w:tr>
      <w:tr>
        <w:trPr>
          <w:trHeight w:val="73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18"/>
              <w:jc w:val="left"/>
              <w:rPr>
                <w:rFonts w:ascii="宋体" w:hAnsi="宋体" w:cs="宋体" w:eastAsia="宋体" w:hint="default"/>
                <w:sz w:val="21"/>
                <w:szCs w:val="21"/>
              </w:rPr>
            </w:pPr>
            <w:r>
              <w:rPr>
                <w:rFonts w:ascii="宋体" w:hAnsi="宋体" w:cs="宋体" w:eastAsia="宋体" w:hint="default"/>
                <w:spacing w:val="-2"/>
                <w:sz w:val="21"/>
                <w:szCs w:val="21"/>
              </w:rPr>
              <w:t>支付其他与筹资活动有关的现</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金</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133,305,722.73</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74,798,038.91</w:t>
            </w:r>
          </w:p>
        </w:tc>
      </w:tr>
      <w:tr>
        <w:trPr>
          <w:trHeight w:val="37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238,757,113.13</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91,071,299.71</w:t>
            </w: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556,597,085.26</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-87,322,799.71</w:t>
            </w:r>
          </w:p>
        </w:tc>
      </w:tr>
      <w:tr>
        <w:trPr>
          <w:trHeight w:val="73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b/>
                <w:bCs/>
                <w:spacing w:val="-8"/>
                <w:w w:val="100"/>
                <w:sz w:val="21"/>
                <w:szCs w:val="21"/>
              </w:rPr>
              <w:t>四、汇率变动对现金及现金等价</w:t>
            </w:r>
            <w:r>
              <w:rPr>
                <w:rFonts w:ascii="宋体" w:hAnsi="宋体" w:cs="宋体" w:eastAsia="宋体" w:hint="default"/>
                <w:b/>
                <w:bCs/>
                <w:spacing w:val="-101"/>
                <w:w w:val="100"/>
                <w:sz w:val="21"/>
                <w:szCs w:val="21"/>
              </w:rPr>
              <w:t> </w:t>
            </w:r>
            <w:r>
              <w:rPr>
                <w:rFonts w:ascii="宋体" w:hAnsi="宋体" w:cs="宋体" w:eastAsia="宋体" w:hint="default"/>
                <w:b/>
                <w:bCs/>
                <w:spacing w:val="-101"/>
                <w:w w:val="100"/>
                <w:sz w:val="21"/>
                <w:szCs w:val="21"/>
              </w:rPr>
            </w:r>
            <w:r>
              <w:rPr>
                <w:rFonts w:ascii="宋体" w:hAnsi="宋体" w:cs="宋体" w:eastAsia="宋体" w:hint="default"/>
                <w:b/>
                <w:bCs/>
                <w:sz w:val="21"/>
                <w:szCs w:val="21"/>
              </w:rPr>
              <w:t>物的影响</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w w:val="100"/>
                <w:sz w:val="21"/>
                <w:szCs w:val="21"/>
              </w:rPr>
              <w:t>五</w:t>
            </w:r>
            <w:r>
              <w:rPr>
                <w:rFonts w:ascii="宋体" w:hAnsi="宋体" w:cs="宋体" w:eastAsia="宋体" w:hint="default"/>
                <w:b/>
                <w:bCs/>
                <w:spacing w:val="-101"/>
                <w:w w:val="100"/>
                <w:sz w:val="21"/>
                <w:szCs w:val="21"/>
              </w:rPr>
              <w:t>、</w:t>
            </w:r>
            <w:r>
              <w:rPr>
                <w:rFonts w:ascii="宋体" w:hAnsi="宋体" w:cs="宋体" w:eastAsia="宋体" w:hint="default"/>
                <w:b/>
                <w:bCs/>
                <w:w w:val="100"/>
                <w:sz w:val="21"/>
                <w:szCs w:val="21"/>
              </w:rPr>
              <w:t>现金及现金</w:t>
            </w:r>
            <w:r>
              <w:rPr>
                <w:rFonts w:ascii="宋体" w:hAnsi="宋体" w:cs="宋体" w:eastAsia="宋体" w:hint="default"/>
                <w:b/>
                <w:bCs/>
                <w:spacing w:val="-3"/>
                <w:w w:val="100"/>
                <w:sz w:val="21"/>
                <w:szCs w:val="21"/>
              </w:rPr>
              <w:t>等</w:t>
            </w:r>
            <w:r>
              <w:rPr>
                <w:rFonts w:ascii="宋体" w:hAnsi="宋体" w:cs="宋体" w:eastAsia="宋体" w:hint="default"/>
                <w:b/>
                <w:bCs/>
                <w:w w:val="100"/>
                <w:sz w:val="21"/>
                <w:szCs w:val="21"/>
              </w:rPr>
              <w:t>价物净</w:t>
            </w:r>
            <w:r>
              <w:rPr>
                <w:rFonts w:ascii="宋体" w:hAnsi="宋体" w:cs="宋体" w:eastAsia="宋体" w:hint="default"/>
                <w:b/>
                <w:bCs/>
                <w:spacing w:val="-3"/>
                <w:w w:val="100"/>
                <w:sz w:val="21"/>
                <w:szCs w:val="21"/>
              </w:rPr>
              <w:t>增</w:t>
            </w:r>
            <w:r>
              <w:rPr>
                <w:rFonts w:ascii="宋体" w:hAnsi="宋体" w:cs="宋体" w:eastAsia="宋体" w:hint="default"/>
                <w:b/>
                <w:bCs/>
                <w:w w:val="100"/>
                <w:sz w:val="21"/>
                <w:szCs w:val="21"/>
              </w:rPr>
              <w:t>加额</w:t>
            </w:r>
            <w:r>
              <w:rPr>
                <w:rFonts w:ascii="宋体" w:hAnsi="宋体" w:cs="宋体" w:eastAsia="宋体" w:hint="default"/>
                <w:w w:val="100"/>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189,214,644.53</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-52,697,308.27</w:t>
            </w:r>
          </w:p>
        </w:tc>
      </w:tr>
      <w:tr>
        <w:trPr>
          <w:trHeight w:val="37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92"/>
                <w:w w:val="100"/>
                <w:sz w:val="21"/>
                <w:szCs w:val="21"/>
              </w:rPr>
              <w:t>：</w:t>
            </w:r>
            <w:r>
              <w:rPr>
                <w:rFonts w:ascii="宋体" w:hAnsi="宋体" w:cs="宋体" w:eastAsia="宋体" w:hint="default"/>
                <w:w w:val="100"/>
                <w:sz w:val="21"/>
                <w:szCs w:val="21"/>
              </w:rPr>
              <w:t>期</w:t>
            </w:r>
            <w:r>
              <w:rPr>
                <w:rFonts w:ascii="宋体" w:hAnsi="宋体" w:cs="宋体" w:eastAsia="宋体" w:hint="default"/>
                <w:spacing w:val="-3"/>
                <w:w w:val="100"/>
                <w:sz w:val="21"/>
                <w:szCs w:val="21"/>
              </w:rPr>
              <w:t>初</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及</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等</w:t>
            </w:r>
            <w:r>
              <w:rPr>
                <w:rFonts w:ascii="宋体" w:hAnsi="宋体" w:cs="宋体" w:eastAsia="宋体" w:hint="default"/>
                <w:w w:val="100"/>
                <w:sz w:val="21"/>
                <w:szCs w:val="21"/>
              </w:rPr>
              <w:t>价</w:t>
            </w:r>
            <w:r>
              <w:rPr>
                <w:rFonts w:ascii="宋体" w:hAnsi="宋体" w:cs="宋体" w:eastAsia="宋体" w:hint="default"/>
                <w:spacing w:val="-3"/>
                <w:w w:val="100"/>
                <w:sz w:val="21"/>
                <w:szCs w:val="21"/>
              </w:rPr>
              <w:t>物</w:t>
            </w:r>
            <w:r>
              <w:rPr>
                <w:rFonts w:ascii="宋体" w:hAnsi="宋体" w:cs="宋体" w:eastAsia="宋体" w:hint="default"/>
                <w:w w:val="100"/>
                <w:sz w:val="21"/>
                <w:szCs w:val="21"/>
              </w:rPr>
              <w:t>余额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164,577,175.80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217,274,484.07</w:t>
            </w:r>
          </w:p>
        </w:tc>
      </w:tr>
      <w:tr>
        <w:trPr>
          <w:trHeight w:val="37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w w:val="100"/>
                <w:sz w:val="21"/>
                <w:szCs w:val="21"/>
              </w:rPr>
              <w:t>六</w:t>
            </w:r>
            <w:r>
              <w:rPr>
                <w:rFonts w:ascii="宋体" w:hAnsi="宋体" w:cs="宋体" w:eastAsia="宋体" w:hint="default"/>
                <w:b/>
                <w:bCs/>
                <w:spacing w:val="-101"/>
                <w:w w:val="100"/>
                <w:sz w:val="21"/>
                <w:szCs w:val="21"/>
              </w:rPr>
              <w:t>、</w:t>
            </w:r>
            <w:r>
              <w:rPr>
                <w:rFonts w:ascii="宋体" w:hAnsi="宋体" w:cs="宋体" w:eastAsia="宋体" w:hint="default"/>
                <w:b/>
                <w:bCs/>
                <w:w w:val="100"/>
                <w:sz w:val="21"/>
                <w:szCs w:val="21"/>
              </w:rPr>
              <w:t>期末现金及</w:t>
            </w:r>
            <w:r>
              <w:rPr>
                <w:rFonts w:ascii="宋体" w:hAnsi="宋体" w:cs="宋体" w:eastAsia="宋体" w:hint="default"/>
                <w:b/>
                <w:bCs/>
                <w:spacing w:val="-3"/>
                <w:w w:val="100"/>
                <w:sz w:val="21"/>
                <w:szCs w:val="21"/>
              </w:rPr>
              <w:t>现</w:t>
            </w:r>
            <w:r>
              <w:rPr>
                <w:rFonts w:ascii="宋体" w:hAnsi="宋体" w:cs="宋体" w:eastAsia="宋体" w:hint="default"/>
                <w:b/>
                <w:bCs/>
                <w:w w:val="100"/>
                <w:sz w:val="21"/>
                <w:szCs w:val="21"/>
              </w:rPr>
              <w:t>金等价</w:t>
            </w:r>
            <w:r>
              <w:rPr>
                <w:rFonts w:ascii="宋体" w:hAnsi="宋体" w:cs="宋体" w:eastAsia="宋体" w:hint="default"/>
                <w:b/>
                <w:bCs/>
                <w:spacing w:val="-3"/>
                <w:w w:val="100"/>
                <w:sz w:val="21"/>
                <w:szCs w:val="21"/>
              </w:rPr>
              <w:t>物</w:t>
            </w:r>
            <w:r>
              <w:rPr>
                <w:rFonts w:ascii="宋体" w:hAnsi="宋体" w:cs="宋体" w:eastAsia="宋体" w:hint="default"/>
                <w:b/>
                <w:bCs/>
                <w:w w:val="100"/>
                <w:sz w:val="21"/>
                <w:szCs w:val="21"/>
              </w:rPr>
              <w:t>余额</w:t>
            </w:r>
            <w:r>
              <w:rPr>
                <w:rFonts w:ascii="宋体" w:hAnsi="宋体" w:cs="宋体" w:eastAsia="宋体" w:hint="default"/>
                <w:w w:val="100"/>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353,791,820.33</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164,577,175.80</w:t>
            </w:r>
          </w:p>
        </w:tc>
      </w:tr>
    </w:tbl>
    <w:p>
      <w:pPr>
        <w:pStyle w:val="BodyText"/>
        <w:tabs>
          <w:tab w:pos="2658" w:val="left" w:leader="none"/>
        </w:tabs>
        <w:spacing w:line="241" w:lineRule="exact"/>
        <w:ind w:left="452" w:right="0"/>
        <w:jc w:val="left"/>
      </w:pPr>
      <w:r>
        <w:rPr>
          <w:spacing w:val="-1"/>
        </w:rPr>
        <w:t>法定代表人：吴志雄</w:t>
        <w:tab/>
      </w:r>
      <w:r>
        <w:rPr>
          <w:spacing w:val="-2"/>
        </w:rPr>
        <w:t>主管会计工作负责人：曾志勇</w:t>
      </w:r>
      <w:r>
        <w:rPr>
          <w:spacing w:val="37"/>
        </w:rPr>
        <w:t> </w:t>
      </w:r>
      <w:r>
        <w:rPr>
          <w:spacing w:val="-2"/>
        </w:rPr>
        <w:t>会计机构负责人：曾志勇</w:t>
      </w:r>
      <w:r>
        <w:rPr/>
      </w:r>
    </w:p>
    <w:p>
      <w:pPr>
        <w:spacing w:after="0" w:line="241" w:lineRule="exact"/>
        <w:jc w:val="left"/>
        <w:sectPr>
          <w:pgSz w:w="11910" w:h="16840"/>
          <w:pgMar w:header="852" w:footer="979" w:top="1120" w:bottom="1160" w:left="1660" w:right="1140"/>
        </w:sectPr>
      </w:pPr>
    </w:p>
    <w:p>
      <w:pPr>
        <w:spacing w:line="240" w:lineRule="auto" w:before="1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38"/>
          <w:footerReference w:type="default" r:id="rId39"/>
          <w:pgSz w:w="16840" w:h="11910" w:orient="landscape"/>
          <w:pgMar w:header="857" w:footer="980" w:top="1120" w:bottom="1160" w:left="1260" w:right="1180"/>
          <w:pgNumType w:start="98"/>
        </w:sectPr>
      </w:pPr>
    </w:p>
    <w:p>
      <w:pPr>
        <w:pStyle w:val="Heading2"/>
        <w:spacing w:line="313" w:lineRule="exact"/>
        <w:ind w:right="0"/>
        <w:jc w:val="right"/>
        <w:rPr>
          <w:b w:val="0"/>
          <w:bCs w:val="0"/>
        </w:rPr>
      </w:pPr>
      <w:r>
        <w:rPr>
          <w:w w:val="95"/>
        </w:rPr>
        <w:t>合并所有者权益变动表</w:t>
      </w:r>
      <w:r>
        <w:rPr>
          <w:b w:val="0"/>
          <w:bCs w:val="0"/>
        </w:rPr>
      </w:r>
    </w:p>
    <w:p>
      <w:pPr>
        <w:pStyle w:val="Heading3"/>
        <w:spacing w:line="331" w:lineRule="exact" w:before="0"/>
        <w:ind w:left="0" w:right="332"/>
        <w:jc w:val="right"/>
      </w:pP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4310" w:val="left" w:leader="none"/>
        </w:tabs>
        <w:spacing w:line="240" w:lineRule="auto" w:before="132"/>
        <w:ind w:left="336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580" w:bottom="280" w:left="1260" w:right="1180"/>
          <w:cols w:num="2" w:equalWidth="0">
            <w:col w:w="8634" w:space="40"/>
            <w:col w:w="5726"/>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414"/>
        <w:gridCol w:w="1558"/>
        <w:gridCol w:w="425"/>
        <w:gridCol w:w="428"/>
        <w:gridCol w:w="425"/>
        <w:gridCol w:w="1416"/>
        <w:gridCol w:w="1419"/>
        <w:gridCol w:w="710"/>
        <w:gridCol w:w="425"/>
        <w:gridCol w:w="1416"/>
        <w:gridCol w:w="428"/>
        <w:gridCol w:w="1274"/>
        <w:gridCol w:w="1277"/>
        <w:gridCol w:w="1558"/>
      </w:tblGrid>
      <w:tr>
        <w:trPr>
          <w:trHeight w:val="370" w:hRule="exact"/>
        </w:trPr>
        <w:tc>
          <w:tcPr>
            <w:tcW w:w="14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5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596"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552" w:hRule="exact"/>
        </w:trPr>
        <w:tc>
          <w:tcPr>
            <w:tcW w:w="1414" w:type="dxa"/>
            <w:vMerge/>
            <w:tcBorders>
              <w:left w:val="single" w:sz="4" w:space="0" w:color="000000"/>
              <w:right w:val="single" w:sz="4" w:space="0" w:color="000000"/>
            </w:tcBorders>
          </w:tcPr>
          <w:p>
            <w:pPr/>
          </w:p>
        </w:tc>
        <w:tc>
          <w:tcPr>
            <w:tcW w:w="992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596"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4" w:lineRule="auto"/>
              <w:ind w:left="527" w:right="103" w:hanging="420"/>
              <w:jc w:val="left"/>
              <w:rPr>
                <w:rFonts w:ascii="宋体" w:hAnsi="宋体" w:cs="宋体" w:eastAsia="宋体" w:hint="default"/>
                <w:sz w:val="21"/>
                <w:szCs w:val="21"/>
              </w:rPr>
            </w:pPr>
            <w:r>
              <w:rPr>
                <w:rFonts w:ascii="宋体" w:hAnsi="宋体" w:cs="宋体" w:eastAsia="宋体" w:hint="default"/>
                <w:sz w:val="21"/>
                <w:szCs w:val="21"/>
              </w:rPr>
              <w:t>少数股东权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4" w:lineRule="auto"/>
              <w:ind w:left="670" w:right="139" w:hanging="526"/>
              <w:jc w:val="left"/>
              <w:rPr>
                <w:rFonts w:ascii="宋体" w:hAnsi="宋体" w:cs="宋体" w:eastAsia="宋体" w:hint="default"/>
                <w:sz w:val="21"/>
                <w:szCs w:val="21"/>
              </w:rPr>
            </w:pPr>
            <w:r>
              <w:rPr>
                <w:rFonts w:ascii="宋体" w:hAnsi="宋体" w:cs="宋体" w:eastAsia="宋体" w:hint="default"/>
                <w:sz w:val="21"/>
                <w:szCs w:val="21"/>
              </w:rPr>
              <w:t>所有者权益合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730" w:hRule="exact"/>
        </w:trPr>
        <w:tc>
          <w:tcPr>
            <w:tcW w:w="1414" w:type="dxa"/>
            <w:vMerge/>
            <w:tcBorders>
              <w:left w:val="single" w:sz="4" w:space="0" w:color="000000"/>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2"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530" w:right="101" w:hanging="420"/>
              <w:jc w:val="left"/>
              <w:rPr>
                <w:rFonts w:ascii="宋体" w:hAnsi="宋体" w:cs="宋体" w:eastAsia="宋体" w:hint="default"/>
                <w:sz w:val="21"/>
                <w:szCs w:val="21"/>
              </w:rPr>
            </w:pPr>
            <w:r>
              <w:rPr>
                <w:rFonts w:ascii="宋体" w:hAnsi="宋体" w:cs="宋体" w:eastAsia="宋体" w:hint="default"/>
                <w:sz w:val="21"/>
                <w:szCs w:val="21"/>
              </w:rPr>
              <w:t>其他权益工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具</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28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179"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14" w:lineRule="auto"/>
              <w:ind w:left="141"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1"/>
              <w:ind w:left="103" w:right="98"/>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储</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28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28" w:type="dxa"/>
            <w:vMerge w:val="restart"/>
            <w:tcBorders>
              <w:top w:val="single" w:sz="4" w:space="0" w:color="000000"/>
              <w:left w:val="single" w:sz="4" w:space="0" w:color="000000"/>
              <w:right w:val="single" w:sz="4" w:space="0" w:color="000000"/>
            </w:tcBorders>
          </w:tcPr>
          <w:p>
            <w:pPr>
              <w:pStyle w:val="TableParagraph"/>
              <w:spacing w:line="314" w:lineRule="auto" w:before="42"/>
              <w:ind w:left="103" w:right="101"/>
              <w:jc w:val="both"/>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般</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10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7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r>
      <w:tr>
        <w:trPr>
          <w:trHeight w:val="1440" w:hRule="exact"/>
        </w:trPr>
        <w:tc>
          <w:tcPr>
            <w:tcW w:w="141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67" w:lineRule="auto"/>
              <w:ind w:left="120" w:right="11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67" w:lineRule="auto"/>
              <w:ind w:left="120" w:right="11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67" w:lineRule="auto"/>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41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r>
      <w:tr>
        <w:trPr>
          <w:trHeight w:val="73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pacing w:val="-12"/>
                <w:sz w:val="21"/>
                <w:szCs w:val="21"/>
              </w:rPr>
              <w:t>一、上年期末</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407,097,800.00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180,342,840.48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39,887,176.32</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53,401,869.29</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408,127,113.6</w:t>
            </w:r>
          </w:p>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-1,631,481.58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1,007,450,965.55</w:t>
            </w:r>
          </w:p>
        </w:tc>
      </w:tr>
      <w:tr>
        <w:trPr>
          <w:trHeight w:val="73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99"/>
              <w:jc w:val="left"/>
              <w:rPr>
                <w:rFonts w:ascii="宋体" w:hAnsi="宋体" w:cs="宋体" w:eastAsia="宋体" w:hint="default"/>
                <w:sz w:val="21"/>
                <w:szCs w:val="21"/>
              </w:rPr>
            </w:pPr>
            <w:r>
              <w:rPr>
                <w:rFonts w:ascii="宋体" w:hAnsi="宋体" w:cs="宋体" w:eastAsia="宋体" w:hint="default"/>
                <w:spacing w:val="-12"/>
                <w:sz w:val="21"/>
                <w:szCs w:val="21"/>
              </w:rPr>
              <w:t>加：会计政策</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变更</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63"/>
              <w:jc w:val="left"/>
              <w:rPr>
                <w:rFonts w:ascii="宋体" w:hAnsi="宋体" w:cs="宋体" w:eastAsia="宋体" w:hint="default"/>
                <w:sz w:val="21"/>
                <w:szCs w:val="21"/>
              </w:rPr>
            </w:pPr>
            <w:r>
              <w:rPr>
                <w:rFonts w:ascii="宋体" w:hAnsi="宋体" w:cs="宋体" w:eastAsia="宋体" w:hint="default"/>
                <w:spacing w:val="28"/>
                <w:sz w:val="21"/>
                <w:szCs w:val="21"/>
              </w:rPr>
              <w:t>前期差错更</w:t>
            </w:r>
            <w:r>
              <w:rPr>
                <w:rFonts w:ascii="宋体" w:hAnsi="宋体" w:cs="宋体" w:eastAsia="宋体" w:hint="default"/>
                <w:spacing w:val="-95"/>
                <w:sz w:val="21"/>
                <w:szCs w:val="21"/>
              </w:rPr>
              <w:t> </w:t>
            </w:r>
            <w:r>
              <w:rPr>
                <w:rFonts w:ascii="宋体" w:hAnsi="宋体" w:cs="宋体" w:eastAsia="宋体" w:hint="default"/>
                <w:sz w:val="21"/>
                <w:szCs w:val="21"/>
              </w:rPr>
              <w:t>正</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63"/>
              <w:jc w:val="left"/>
              <w:rPr>
                <w:rFonts w:ascii="宋体" w:hAnsi="宋体" w:cs="宋体" w:eastAsia="宋体" w:hint="default"/>
                <w:sz w:val="21"/>
                <w:szCs w:val="21"/>
              </w:rPr>
            </w:pPr>
            <w:r>
              <w:rPr>
                <w:rFonts w:ascii="宋体" w:hAnsi="宋体" w:cs="宋体" w:eastAsia="宋体" w:hint="default"/>
                <w:spacing w:val="28"/>
                <w:sz w:val="21"/>
                <w:szCs w:val="21"/>
              </w:rPr>
              <w:t>同一控制下</w:t>
            </w:r>
            <w:r>
              <w:rPr>
                <w:rFonts w:ascii="宋体" w:hAnsi="宋体" w:cs="宋体" w:eastAsia="宋体" w:hint="default"/>
                <w:spacing w:val="-95"/>
                <w:sz w:val="21"/>
                <w:szCs w:val="21"/>
              </w:rPr>
              <w:t> </w:t>
            </w:r>
            <w:r>
              <w:rPr>
                <w:rFonts w:ascii="宋体" w:hAnsi="宋体" w:cs="宋体" w:eastAsia="宋体" w:hint="default"/>
                <w:sz w:val="21"/>
                <w:szCs w:val="21"/>
              </w:rPr>
              <w:t>企业合并</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99"/>
              <w:jc w:val="left"/>
              <w:rPr>
                <w:rFonts w:ascii="宋体" w:hAnsi="宋体" w:cs="宋体" w:eastAsia="宋体" w:hint="default"/>
                <w:sz w:val="21"/>
                <w:szCs w:val="21"/>
              </w:rPr>
            </w:pPr>
            <w:r>
              <w:rPr>
                <w:rFonts w:ascii="宋体" w:hAnsi="宋体" w:cs="宋体" w:eastAsia="宋体" w:hint="default"/>
                <w:spacing w:val="-12"/>
                <w:sz w:val="21"/>
                <w:szCs w:val="21"/>
              </w:rPr>
              <w:t>二、本年期初</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407,097,800.00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180,342,840.48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39,887,176.32</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53,401,869.29</w:t>
            </w: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408,127,113.6</w:t>
            </w:r>
          </w:p>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-1,631,481.58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1,007,450,965.55</w:t>
            </w: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12"/>
                <w:sz w:val="21"/>
                <w:szCs w:val="21"/>
              </w:rPr>
              <w:t>三、本期增减</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1"/>
                <w:sz w:val="18"/>
              </w:rPr>
              <w:t>119,586,672.00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527,861,950.35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pacing w:val="-1"/>
                <w:sz w:val="18"/>
              </w:rPr>
              <w:t>-24,154,507.70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10,682,196.96</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7" w:right="0"/>
              <w:jc w:val="left"/>
              <w:rPr>
                <w:rFonts w:ascii="Times New Roman" w:hAnsi="Times New Roman" w:cs="Times New Roman" w:eastAsia="Times New Roman" w:hint="default"/>
                <w:sz w:val="18"/>
                <w:szCs w:val="18"/>
              </w:rPr>
            </w:pPr>
            <w:r>
              <w:rPr>
                <w:rFonts w:ascii="Times New Roman"/>
                <w:sz w:val="18"/>
              </w:rPr>
              <w:t>56,389,728.47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22,080,575.22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pacing w:val="-1"/>
                <w:sz w:val="18"/>
              </w:rPr>
              <w:t>760,755,630.70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580" w:bottom="280" w:left="1260" w:right="1180"/>
        </w:sectPr>
      </w:pPr>
    </w:p>
    <w:p>
      <w:pPr>
        <w:spacing w:line="240" w:lineRule="auto" w:before="11"/>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414"/>
        <w:gridCol w:w="1558"/>
        <w:gridCol w:w="425"/>
        <w:gridCol w:w="428"/>
        <w:gridCol w:w="425"/>
        <w:gridCol w:w="1416"/>
        <w:gridCol w:w="1419"/>
        <w:gridCol w:w="710"/>
        <w:gridCol w:w="425"/>
        <w:gridCol w:w="1416"/>
        <w:gridCol w:w="428"/>
        <w:gridCol w:w="1274"/>
        <w:gridCol w:w="1277"/>
        <w:gridCol w:w="1558"/>
      </w:tblGrid>
      <w:tr>
        <w:trPr>
          <w:trHeight w:val="109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both"/>
              <w:rPr>
                <w:rFonts w:ascii="宋体" w:hAnsi="宋体" w:cs="宋体" w:eastAsia="宋体" w:hint="default"/>
                <w:sz w:val="21"/>
                <w:szCs w:val="21"/>
              </w:rPr>
            </w:pPr>
            <w:r>
              <w:rPr>
                <w:rFonts w:ascii="宋体" w:hAnsi="宋体" w:cs="宋体" w:eastAsia="宋体" w:hint="default"/>
                <w:spacing w:val="-12"/>
                <w:sz w:val="21"/>
                <w:szCs w:val="21"/>
              </w:rPr>
              <w:t>变动金额（减</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2"/>
                <w:sz w:val="21"/>
                <w:szCs w:val="21"/>
              </w:rPr>
              <w:t>少以“－”号</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填列）</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12"/>
                <w:sz w:val="21"/>
                <w:szCs w:val="21"/>
              </w:rPr>
              <w:t>（一）综合收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益总额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172,523,315.8</w:t>
            </w:r>
          </w:p>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-2,680,916.16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169,842,399.67</w:t>
            </w:r>
          </w:p>
        </w:tc>
      </w:tr>
      <w:tr>
        <w:trPr>
          <w:trHeight w:val="109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12"/>
                <w:sz w:val="21"/>
                <w:szCs w:val="21"/>
              </w:rPr>
              <w:t>（二）所有者</w:t>
            </w:r>
          </w:p>
          <w:p>
            <w:pPr>
              <w:pStyle w:val="TableParagraph"/>
              <w:spacing w:line="314" w:lineRule="auto" w:before="85"/>
              <w:ind w:left="103" w:right="63"/>
              <w:jc w:val="left"/>
              <w:rPr>
                <w:rFonts w:ascii="宋体" w:hAnsi="宋体" w:cs="宋体" w:eastAsia="宋体" w:hint="default"/>
                <w:sz w:val="21"/>
                <w:szCs w:val="21"/>
              </w:rPr>
            </w:pPr>
            <w:r>
              <w:rPr>
                <w:rFonts w:ascii="宋体" w:hAnsi="宋体" w:cs="宋体" w:eastAsia="宋体" w:hint="default"/>
                <w:spacing w:val="28"/>
                <w:sz w:val="21"/>
                <w:szCs w:val="21"/>
              </w:rPr>
              <w:t>投入和减少</w:t>
            </w:r>
            <w:r>
              <w:rPr>
                <w:rFonts w:ascii="宋体" w:hAnsi="宋体" w:cs="宋体" w:eastAsia="宋体" w:hint="default"/>
                <w:spacing w:val="-95"/>
                <w:sz w:val="21"/>
                <w:szCs w:val="21"/>
              </w:rPr>
              <w:t> </w:t>
            </w:r>
            <w:r>
              <w:rPr>
                <w:rFonts w:ascii="宋体" w:hAnsi="宋体" w:cs="宋体" w:eastAsia="宋体" w:hint="default"/>
                <w:sz w:val="21"/>
                <w:szCs w:val="21"/>
              </w:rPr>
              <w:t>资本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119,586,672.00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527,861,950.35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-24,154,507.70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24,761,491.38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696,364,621.43</w:t>
            </w:r>
          </w:p>
        </w:tc>
      </w:tr>
      <w:tr>
        <w:trPr>
          <w:trHeight w:val="73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0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．所有者投</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入的普通股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120,159,152.00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531,550,051.12</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1,672,900.00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653,382,103.12</w:t>
            </w:r>
          </w:p>
        </w:tc>
      </w:tr>
      <w:tr>
        <w:trPr>
          <w:trHeight w:val="109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．其他权益</w:t>
            </w:r>
          </w:p>
          <w:p>
            <w:pPr>
              <w:pStyle w:val="TableParagraph"/>
              <w:spacing w:line="314" w:lineRule="auto" w:before="69"/>
              <w:ind w:left="103" w:right="63"/>
              <w:jc w:val="left"/>
              <w:rPr>
                <w:rFonts w:ascii="宋体" w:hAnsi="宋体" w:cs="宋体" w:eastAsia="宋体" w:hint="default"/>
                <w:sz w:val="21"/>
                <w:szCs w:val="21"/>
              </w:rPr>
            </w:pPr>
            <w:r>
              <w:rPr>
                <w:rFonts w:ascii="宋体" w:hAnsi="宋体" w:cs="宋体" w:eastAsia="宋体" w:hint="default"/>
                <w:spacing w:val="28"/>
                <w:sz w:val="21"/>
                <w:szCs w:val="21"/>
              </w:rPr>
              <w:t>工具持有者</w:t>
            </w:r>
            <w:r>
              <w:rPr>
                <w:rFonts w:ascii="宋体" w:hAnsi="宋体" w:cs="宋体" w:eastAsia="宋体" w:hint="default"/>
                <w:spacing w:val="-95"/>
                <w:sz w:val="21"/>
                <w:szCs w:val="21"/>
              </w:rPr>
              <w:t> </w:t>
            </w:r>
            <w:r>
              <w:rPr>
                <w:rFonts w:ascii="宋体" w:hAnsi="宋体" w:cs="宋体" w:eastAsia="宋体" w:hint="default"/>
                <w:sz w:val="21"/>
                <w:szCs w:val="21"/>
              </w:rPr>
              <w:t>投入资本</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9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．股份支付</w:t>
            </w:r>
          </w:p>
          <w:p>
            <w:pPr>
              <w:pStyle w:val="TableParagraph"/>
              <w:spacing w:line="314" w:lineRule="auto" w:before="69"/>
              <w:ind w:left="103" w:right="63"/>
              <w:jc w:val="left"/>
              <w:rPr>
                <w:rFonts w:ascii="宋体" w:hAnsi="宋体" w:cs="宋体" w:eastAsia="宋体" w:hint="default"/>
                <w:sz w:val="21"/>
                <w:szCs w:val="21"/>
              </w:rPr>
            </w:pPr>
            <w:r>
              <w:rPr>
                <w:rFonts w:ascii="宋体" w:hAnsi="宋体" w:cs="宋体" w:eastAsia="宋体" w:hint="default"/>
                <w:spacing w:val="28"/>
                <w:sz w:val="21"/>
                <w:szCs w:val="21"/>
              </w:rPr>
              <w:t>计入所有者</w:t>
            </w:r>
            <w:r>
              <w:rPr>
                <w:rFonts w:ascii="宋体" w:hAnsi="宋体" w:cs="宋体" w:eastAsia="宋体" w:hint="default"/>
                <w:spacing w:val="-95"/>
                <w:sz w:val="21"/>
                <w:szCs w:val="21"/>
              </w:rPr>
              <w:t> </w:t>
            </w:r>
            <w:r>
              <w:rPr>
                <w:rFonts w:ascii="宋体" w:hAnsi="宋体" w:cs="宋体" w:eastAsia="宋体" w:hint="default"/>
                <w:sz w:val="21"/>
                <w:szCs w:val="21"/>
              </w:rPr>
              <w:t>权益的金额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-572,480.00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-1,330,059.71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-24,154,507.70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22,251,967.99</w:t>
            </w: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-2,358,041.06</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23,088,591.38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pacing w:val="-1"/>
                <w:sz w:val="18"/>
              </w:rPr>
              <w:t>20,730,550.32</w:t>
            </w:r>
          </w:p>
        </w:tc>
      </w:tr>
      <w:tr>
        <w:trPr>
          <w:trHeight w:val="73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12"/>
                <w:sz w:val="21"/>
                <w:szCs w:val="21"/>
              </w:rPr>
              <w:t>（三）利润分</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配</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11,616,683.43</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-117,068,073.</w:t>
            </w:r>
          </w:p>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83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-105,451,390.40</w:t>
            </w:r>
          </w:p>
        </w:tc>
      </w:tr>
      <w:tr>
        <w:trPr>
          <w:trHeight w:val="73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0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．提取盈余</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公积</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11,616,683.43</w:t>
            </w: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-11,616,683.4</w:t>
            </w:r>
          </w:p>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0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．提取一般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风险准备</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．对所有者</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-105,451,390.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spacing w:val="-1"/>
                <w:sz w:val="18"/>
              </w:rPr>
              <w:t>-105,451,390.40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57" w:footer="980" w:top="1120" w:bottom="1160" w:left="1260" w:right="1180"/>
        </w:sectPr>
      </w:pPr>
    </w:p>
    <w:p>
      <w:pPr>
        <w:spacing w:line="240" w:lineRule="auto" w:before="11"/>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414"/>
        <w:gridCol w:w="1558"/>
        <w:gridCol w:w="425"/>
        <w:gridCol w:w="428"/>
        <w:gridCol w:w="425"/>
        <w:gridCol w:w="1416"/>
        <w:gridCol w:w="1419"/>
        <w:gridCol w:w="710"/>
        <w:gridCol w:w="425"/>
        <w:gridCol w:w="1416"/>
        <w:gridCol w:w="428"/>
        <w:gridCol w:w="1274"/>
        <w:gridCol w:w="1277"/>
        <w:gridCol w:w="1558"/>
      </w:tblGrid>
      <w:tr>
        <w:trPr>
          <w:trHeight w:val="73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12"/>
                <w:sz w:val="21"/>
                <w:szCs w:val="21"/>
              </w:rPr>
              <w:t>（或股东）的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分配</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z w:val="18"/>
              </w:rPr>
              <w:t>40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9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12"/>
                <w:sz w:val="21"/>
                <w:szCs w:val="21"/>
              </w:rPr>
              <w:t>（四）所有者</w:t>
            </w:r>
          </w:p>
          <w:p>
            <w:pPr>
              <w:pStyle w:val="TableParagraph"/>
              <w:spacing w:line="314" w:lineRule="auto" w:before="85"/>
              <w:ind w:left="103" w:right="63"/>
              <w:jc w:val="left"/>
              <w:rPr>
                <w:rFonts w:ascii="宋体" w:hAnsi="宋体" w:cs="宋体" w:eastAsia="宋体" w:hint="default"/>
                <w:sz w:val="21"/>
                <w:szCs w:val="21"/>
              </w:rPr>
            </w:pPr>
            <w:r>
              <w:rPr>
                <w:rFonts w:ascii="宋体" w:hAnsi="宋体" w:cs="宋体" w:eastAsia="宋体" w:hint="default"/>
                <w:spacing w:val="28"/>
                <w:sz w:val="21"/>
                <w:szCs w:val="21"/>
              </w:rPr>
              <w:t>权益内部结</w:t>
            </w:r>
            <w:r>
              <w:rPr>
                <w:rFonts w:ascii="宋体" w:hAnsi="宋体" w:cs="宋体" w:eastAsia="宋体" w:hint="default"/>
                <w:spacing w:val="-95"/>
                <w:sz w:val="21"/>
                <w:szCs w:val="21"/>
              </w:rPr>
              <w:t> </w:t>
            </w:r>
            <w:r>
              <w:rPr>
                <w:rFonts w:ascii="宋体" w:hAnsi="宋体" w:cs="宋体" w:eastAsia="宋体" w:hint="default"/>
                <w:sz w:val="21"/>
                <w:szCs w:val="21"/>
              </w:rPr>
              <w:t>转</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2"/>
              <w:ind w:left="103" w:right="99"/>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．资本公积</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2"/>
                <w:sz w:val="21"/>
                <w:szCs w:val="21"/>
              </w:rPr>
              <w:t>转增资本（或</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股本）</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9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5"/>
              <w:ind w:left="103" w:right="99"/>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．盈余公积</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2"/>
                <w:sz w:val="21"/>
                <w:szCs w:val="21"/>
              </w:rPr>
              <w:t>转增资本（或</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股本）</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0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．盈余公积</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弥补亏损</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．设定受益</w:t>
            </w:r>
          </w:p>
          <w:p>
            <w:pPr>
              <w:pStyle w:val="TableParagraph"/>
              <w:spacing w:line="314" w:lineRule="auto" w:before="69"/>
              <w:ind w:left="103" w:right="63"/>
              <w:jc w:val="both"/>
              <w:rPr>
                <w:rFonts w:ascii="宋体" w:hAnsi="宋体" w:cs="宋体" w:eastAsia="宋体" w:hint="default"/>
                <w:sz w:val="21"/>
                <w:szCs w:val="21"/>
              </w:rPr>
            </w:pPr>
            <w:r>
              <w:rPr>
                <w:rFonts w:ascii="宋体" w:hAnsi="宋体" w:cs="宋体" w:eastAsia="宋体" w:hint="default"/>
                <w:spacing w:val="28"/>
                <w:sz w:val="21"/>
                <w:szCs w:val="21"/>
              </w:rPr>
              <w:t>计划变动额</w:t>
            </w:r>
            <w:r>
              <w:rPr>
                <w:rFonts w:ascii="宋体" w:hAnsi="宋体" w:cs="宋体" w:eastAsia="宋体" w:hint="default"/>
                <w:spacing w:val="-95"/>
                <w:sz w:val="21"/>
                <w:szCs w:val="21"/>
              </w:rPr>
              <w:t> </w:t>
            </w:r>
            <w:r>
              <w:rPr>
                <w:rFonts w:ascii="宋体" w:hAnsi="宋体" w:cs="宋体" w:eastAsia="宋体" w:hint="default"/>
                <w:spacing w:val="28"/>
                <w:sz w:val="21"/>
                <w:szCs w:val="21"/>
              </w:rPr>
              <w:t>结转留存收</w:t>
            </w:r>
            <w:r>
              <w:rPr>
                <w:rFonts w:ascii="宋体" w:hAnsi="宋体" w:cs="宋体" w:eastAsia="宋体" w:hint="default"/>
                <w:spacing w:val="-95"/>
                <w:sz w:val="21"/>
                <w:szCs w:val="21"/>
              </w:rPr>
              <w:t> </w:t>
            </w:r>
            <w:r>
              <w:rPr>
                <w:rFonts w:ascii="宋体" w:hAnsi="宋体" w:cs="宋体" w:eastAsia="宋体" w:hint="default"/>
                <w:sz w:val="21"/>
                <w:szCs w:val="21"/>
              </w:rPr>
              <w:t>益</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12"/>
                <w:sz w:val="21"/>
                <w:szCs w:val="21"/>
              </w:rPr>
              <w:t>（五）专项储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备</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32" w:right="0"/>
              <w:jc w:val="left"/>
              <w:rPr>
                <w:rFonts w:ascii="Times New Roman" w:hAnsi="Times New Roman" w:cs="Times New Roman" w:eastAsia="Times New Roman" w:hint="default"/>
                <w:sz w:val="18"/>
                <w:szCs w:val="18"/>
              </w:rPr>
            </w:pPr>
            <w:r>
              <w:rPr>
                <w:rFonts w:ascii="Times New Roman"/>
                <w:sz w:val="18"/>
              </w:rPr>
              <w:t>-934,486.47</w:t>
            </w: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934,486.47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40"/>
          <w:pgSz w:w="16840" w:h="11910" w:orient="landscape"/>
          <w:pgMar w:footer="980" w:header="857" w:top="1120" w:bottom="1160" w:left="1260" w:right="1180"/>
        </w:sectPr>
      </w:pPr>
    </w:p>
    <w:p>
      <w:pPr>
        <w:spacing w:line="240" w:lineRule="auto" w:before="11"/>
        <w:rPr>
          <w:rFonts w:ascii="Times New Roman" w:hAnsi="Times New Roman" w:cs="Times New Roman" w:eastAsia="Times New Roman" w:hint="default"/>
          <w:sz w:val="12"/>
          <w:szCs w:val="12"/>
        </w:rPr>
      </w:pPr>
    </w:p>
    <w:tbl>
      <w:tblPr>
        <w:tblW w:w="0" w:type="auto"/>
        <w:jc w:val="left"/>
        <w:tblInd w:w="210" w:type="dxa"/>
        <w:tblLayout w:type="fixed"/>
        <w:tblCellMar>
          <w:top w:w="0" w:type="dxa"/>
          <w:left w:w="0" w:type="dxa"/>
          <w:bottom w:w="0" w:type="dxa"/>
          <w:right w:w="0" w:type="dxa"/>
        </w:tblCellMar>
        <w:tblLook w:val="01E0"/>
      </w:tblPr>
      <w:tblGrid>
        <w:gridCol w:w="1414"/>
        <w:gridCol w:w="1558"/>
        <w:gridCol w:w="425"/>
        <w:gridCol w:w="428"/>
        <w:gridCol w:w="425"/>
        <w:gridCol w:w="1416"/>
        <w:gridCol w:w="1419"/>
        <w:gridCol w:w="710"/>
        <w:gridCol w:w="425"/>
        <w:gridCol w:w="1416"/>
        <w:gridCol w:w="428"/>
        <w:gridCol w:w="1274"/>
        <w:gridCol w:w="1277"/>
        <w:gridCol w:w="1558"/>
      </w:tblGrid>
      <w:tr>
        <w:trPr>
          <w:trHeight w:val="73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pacing w:val="-12"/>
                <w:sz w:val="21"/>
                <w:szCs w:val="21"/>
              </w:rPr>
              <w:t>四、本期期末</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526,684,472.00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708,204,790.83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15,732,668.62</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64,084,066.25</w:t>
            </w:r>
          </w:p>
        </w:tc>
        <w:tc>
          <w:tcPr>
            <w:tcW w:w="4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464,516,842.1</w:t>
            </w:r>
          </w:p>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20,449,093.64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1,768,206,596.25</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275"/>
        <w:gridCol w:w="1418"/>
        <w:gridCol w:w="425"/>
        <w:gridCol w:w="425"/>
        <w:gridCol w:w="428"/>
        <w:gridCol w:w="1702"/>
        <w:gridCol w:w="1416"/>
        <w:gridCol w:w="425"/>
        <w:gridCol w:w="427"/>
        <w:gridCol w:w="1416"/>
        <w:gridCol w:w="425"/>
        <w:gridCol w:w="1419"/>
        <w:gridCol w:w="1416"/>
        <w:gridCol w:w="1560"/>
      </w:tblGrid>
      <w:tr>
        <w:trPr>
          <w:trHeight w:val="370" w:hRule="exact"/>
        </w:trPr>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90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600"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82" w:hRule="exact"/>
        </w:trPr>
        <w:tc>
          <w:tcPr>
            <w:tcW w:w="1275" w:type="dxa"/>
            <w:vMerge/>
            <w:tcBorders>
              <w:left w:val="single" w:sz="4" w:space="0" w:color="000000"/>
              <w:right w:val="single" w:sz="4" w:space="0" w:color="000000"/>
            </w:tcBorders>
          </w:tcPr>
          <w:p>
            <w:pPr/>
          </w:p>
        </w:tc>
        <w:tc>
          <w:tcPr>
            <w:tcW w:w="992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60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314" w:lineRule="auto"/>
              <w:ind w:left="597" w:right="173" w:hanging="420"/>
              <w:jc w:val="left"/>
              <w:rPr>
                <w:rFonts w:ascii="宋体" w:hAnsi="宋体" w:cs="宋体" w:eastAsia="宋体" w:hint="default"/>
                <w:sz w:val="21"/>
                <w:szCs w:val="21"/>
              </w:rPr>
            </w:pPr>
            <w:r>
              <w:rPr>
                <w:rFonts w:ascii="宋体" w:hAnsi="宋体" w:cs="宋体" w:eastAsia="宋体" w:hint="default"/>
                <w:sz w:val="21"/>
                <w:szCs w:val="21"/>
              </w:rPr>
              <w:t>少数股东权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314" w:lineRule="auto"/>
              <w:ind w:left="672" w:right="139" w:hanging="526"/>
              <w:jc w:val="left"/>
              <w:rPr>
                <w:rFonts w:ascii="宋体" w:hAnsi="宋体" w:cs="宋体" w:eastAsia="宋体" w:hint="default"/>
                <w:sz w:val="21"/>
                <w:szCs w:val="21"/>
              </w:rPr>
            </w:pPr>
            <w:r>
              <w:rPr>
                <w:rFonts w:ascii="宋体" w:hAnsi="宋体" w:cs="宋体" w:eastAsia="宋体" w:hint="default"/>
                <w:sz w:val="21"/>
                <w:szCs w:val="21"/>
              </w:rPr>
              <w:t>所有者权益合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730" w:hRule="exact"/>
        </w:trPr>
        <w:tc>
          <w:tcPr>
            <w:tcW w:w="1275" w:type="dxa"/>
            <w:vMerge/>
            <w:tcBorders>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530" w:right="101" w:hanging="420"/>
              <w:jc w:val="left"/>
              <w:rPr>
                <w:rFonts w:ascii="宋体" w:hAnsi="宋体" w:cs="宋体" w:eastAsia="宋体" w:hint="default"/>
                <w:sz w:val="21"/>
                <w:szCs w:val="21"/>
              </w:rPr>
            </w:pPr>
            <w:r>
              <w:rPr>
                <w:rFonts w:ascii="宋体" w:hAnsi="宋体" w:cs="宋体" w:eastAsia="宋体" w:hint="default"/>
                <w:sz w:val="21"/>
                <w:szCs w:val="21"/>
              </w:rPr>
              <w:t>其他权益工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具</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425" w:type="dxa"/>
            <w:vMerge w:val="restart"/>
            <w:tcBorders>
              <w:top w:val="single" w:sz="4" w:space="0" w:color="000000"/>
              <w:left w:val="single" w:sz="4" w:space="0" w:color="000000"/>
              <w:right w:val="single" w:sz="4" w:space="0" w:color="000000"/>
            </w:tcBorders>
          </w:tcPr>
          <w:p>
            <w:pPr>
              <w:pStyle w:val="TableParagraph"/>
              <w:spacing w:line="314" w:lineRule="auto" w:before="42"/>
              <w:ind w:left="103" w:right="98"/>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4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5" w:right="98"/>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储</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25" w:type="dxa"/>
            <w:vMerge w:val="restart"/>
            <w:tcBorders>
              <w:top w:val="single" w:sz="4" w:space="0" w:color="000000"/>
              <w:left w:val="single" w:sz="4" w:space="0" w:color="000000"/>
              <w:right w:val="single" w:sz="4" w:space="0" w:color="000000"/>
            </w:tcBorders>
          </w:tcPr>
          <w:p>
            <w:pPr>
              <w:pStyle w:val="TableParagraph"/>
              <w:spacing w:line="314" w:lineRule="auto" w:before="42"/>
              <w:ind w:left="103" w:right="98"/>
              <w:jc w:val="both"/>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般</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1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1440" w:hRule="exact"/>
        </w:trPr>
        <w:tc>
          <w:tcPr>
            <w:tcW w:w="127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67" w:lineRule="auto"/>
              <w:ind w:left="120" w:right="11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67" w:lineRule="auto"/>
              <w:ind w:left="119" w:right="11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67" w:lineRule="auto"/>
              <w:ind w:left="120"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73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7"/>
              <w:jc w:val="left"/>
              <w:rPr>
                <w:rFonts w:ascii="宋体" w:hAnsi="宋体" w:cs="宋体" w:eastAsia="宋体" w:hint="default"/>
                <w:sz w:val="21"/>
                <w:szCs w:val="21"/>
              </w:rPr>
            </w:pPr>
            <w:r>
              <w:rPr>
                <w:rFonts w:ascii="宋体" w:hAnsi="宋体" w:cs="宋体" w:eastAsia="宋体" w:hint="default"/>
                <w:sz w:val="21"/>
                <w:szCs w:val="21"/>
              </w:rPr>
              <w:t>一、上年期</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101,707,880.00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468,470,984.18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61,654,468.00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46,146,960.05</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328,619,427.96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20,718,506.02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904,009,290.21</w:t>
            </w:r>
          </w:p>
        </w:tc>
      </w:tr>
      <w:tr>
        <w:trPr>
          <w:trHeight w:val="73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97"/>
              <w:jc w:val="left"/>
              <w:rPr>
                <w:rFonts w:ascii="宋体" w:hAnsi="宋体" w:cs="宋体" w:eastAsia="宋体" w:hint="default"/>
                <w:sz w:val="21"/>
                <w:szCs w:val="21"/>
              </w:rPr>
            </w:pPr>
            <w:r>
              <w:rPr>
                <w:rFonts w:ascii="宋体" w:hAnsi="宋体" w:cs="宋体" w:eastAsia="宋体" w:hint="default"/>
                <w:sz w:val="21"/>
                <w:szCs w:val="21"/>
              </w:rPr>
              <w:t>加：会计政</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策变更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7"/>
              <w:jc w:val="left"/>
              <w:rPr>
                <w:rFonts w:ascii="宋体" w:hAnsi="宋体" w:cs="宋体" w:eastAsia="宋体" w:hint="default"/>
                <w:sz w:val="21"/>
                <w:szCs w:val="21"/>
              </w:rPr>
            </w:pPr>
            <w:r>
              <w:rPr>
                <w:rFonts w:ascii="宋体" w:hAnsi="宋体" w:cs="宋体" w:eastAsia="宋体" w:hint="default"/>
                <w:sz w:val="21"/>
                <w:szCs w:val="21"/>
              </w:rPr>
              <w:t>前期差错更</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7"/>
              <w:jc w:val="left"/>
              <w:rPr>
                <w:rFonts w:ascii="宋体" w:hAnsi="宋体" w:cs="宋体" w:eastAsia="宋体" w:hint="default"/>
                <w:sz w:val="21"/>
                <w:szCs w:val="21"/>
              </w:rPr>
            </w:pPr>
            <w:r>
              <w:rPr>
                <w:rFonts w:ascii="宋体" w:hAnsi="宋体" w:cs="宋体" w:eastAsia="宋体" w:hint="default"/>
                <w:sz w:val="21"/>
                <w:szCs w:val="21"/>
              </w:rPr>
              <w:t>同一控制下</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企业合并</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97"/>
              <w:jc w:val="left"/>
              <w:rPr>
                <w:rFonts w:ascii="宋体" w:hAnsi="宋体" w:cs="宋体" w:eastAsia="宋体" w:hint="default"/>
                <w:sz w:val="21"/>
                <w:szCs w:val="21"/>
              </w:rPr>
            </w:pPr>
            <w:r>
              <w:rPr>
                <w:rFonts w:ascii="宋体" w:hAnsi="宋体" w:cs="宋体" w:eastAsia="宋体" w:hint="default"/>
                <w:sz w:val="21"/>
                <w:szCs w:val="21"/>
              </w:rPr>
              <w:t>二、本年期</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101,707,880.00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468,470,984.18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61,654,468.00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46,146,960.05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328,619,427.96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20,718,506.02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904,009,290.21</w:t>
            </w:r>
          </w:p>
        </w:tc>
      </w:tr>
      <w:tr>
        <w:trPr>
          <w:trHeight w:val="37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三、本期增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81" w:right="0"/>
              <w:jc w:val="center"/>
              <w:rPr>
                <w:rFonts w:ascii="Times New Roman" w:hAnsi="Times New Roman" w:cs="Times New Roman" w:eastAsia="Times New Roman" w:hint="default"/>
                <w:sz w:val="18"/>
                <w:szCs w:val="18"/>
              </w:rPr>
            </w:pPr>
            <w:r>
              <w:rPr>
                <w:rFonts w:ascii="Times New Roman"/>
                <w:sz w:val="18"/>
              </w:rPr>
              <w:t>305,389,920.00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-288,128,143.70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-21,767,291.68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7,254,909.24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pacing w:val="-1"/>
                <w:sz w:val="18"/>
              </w:rPr>
              <w:t>79,507,685.72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-22,349,987.60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pacing w:val="-1"/>
                <w:sz w:val="18"/>
              </w:rPr>
              <w:t>103,441,675.34</w:t>
            </w:r>
          </w:p>
        </w:tc>
      </w:tr>
    </w:tbl>
    <w:p>
      <w:pPr>
        <w:spacing w:after="0" w:line="240" w:lineRule="auto"/>
        <w:jc w:val="right"/>
        <w:rPr>
          <w:rFonts w:ascii="Times New Roman" w:hAnsi="Times New Roman" w:cs="Times New Roman" w:eastAsia="Times New Roman" w:hint="default"/>
          <w:sz w:val="18"/>
          <w:szCs w:val="18"/>
        </w:rPr>
        <w:sectPr>
          <w:footerReference w:type="default" r:id="rId41"/>
          <w:pgSz w:w="16840" w:h="11910" w:orient="landscape"/>
          <w:pgMar w:footer="980" w:header="857" w:top="1120" w:bottom="1160" w:left="1160" w:right="1180"/>
          <w:pgNumType w:start="101"/>
        </w:sectPr>
      </w:pPr>
    </w:p>
    <w:p>
      <w:pPr>
        <w:spacing w:line="240" w:lineRule="auto" w:before="11"/>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275"/>
        <w:gridCol w:w="1418"/>
        <w:gridCol w:w="425"/>
        <w:gridCol w:w="425"/>
        <w:gridCol w:w="428"/>
        <w:gridCol w:w="1702"/>
        <w:gridCol w:w="1416"/>
        <w:gridCol w:w="425"/>
        <w:gridCol w:w="427"/>
        <w:gridCol w:w="1416"/>
        <w:gridCol w:w="425"/>
        <w:gridCol w:w="1419"/>
        <w:gridCol w:w="1416"/>
        <w:gridCol w:w="1560"/>
      </w:tblGrid>
      <w:tr>
        <w:trPr>
          <w:trHeight w:val="145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both"/>
              <w:rPr>
                <w:rFonts w:ascii="宋体" w:hAnsi="宋体" w:cs="宋体" w:eastAsia="宋体" w:hint="default"/>
                <w:sz w:val="21"/>
                <w:szCs w:val="21"/>
              </w:rPr>
            </w:pPr>
            <w:r>
              <w:rPr>
                <w:rFonts w:ascii="宋体" w:hAnsi="宋体" w:cs="宋体" w:eastAsia="宋体" w:hint="default"/>
                <w:sz w:val="21"/>
                <w:szCs w:val="21"/>
              </w:rPr>
              <w:t>减变动金额</w:t>
            </w:r>
          </w:p>
          <w:p>
            <w:pPr>
              <w:pStyle w:val="TableParagraph"/>
              <w:spacing w:line="314" w:lineRule="auto" w:before="85"/>
              <w:ind w:left="103" w:right="97"/>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3"/>
                <w:sz w:val="21"/>
                <w:szCs w:val="21"/>
              </w:rPr>
              <w:t> </w:t>
            </w:r>
            <w:r>
              <w:rPr>
                <w:rFonts w:ascii="宋体" w:hAnsi="宋体" w:cs="宋体" w:eastAsia="宋体" w:hint="default"/>
                <w:sz w:val="21"/>
                <w:szCs w:val="21"/>
              </w:rPr>
              <w:t>减</w:t>
            </w:r>
            <w:r>
              <w:rPr>
                <w:rFonts w:ascii="宋体" w:hAnsi="宋体" w:cs="宋体" w:eastAsia="宋体" w:hint="default"/>
                <w:spacing w:val="-33"/>
                <w:sz w:val="21"/>
                <w:szCs w:val="21"/>
              </w:rPr>
              <w:t> </w:t>
            </w:r>
            <w:r>
              <w:rPr>
                <w:rFonts w:ascii="宋体" w:hAnsi="宋体" w:cs="宋体" w:eastAsia="宋体" w:hint="default"/>
                <w:sz w:val="21"/>
                <w:szCs w:val="21"/>
              </w:rPr>
              <w:t>少</w:t>
            </w:r>
            <w:r>
              <w:rPr>
                <w:rFonts w:ascii="宋体" w:hAnsi="宋体" w:cs="宋体" w:eastAsia="宋体" w:hint="default"/>
                <w:spacing w:val="-30"/>
                <w:sz w:val="21"/>
                <w:szCs w:val="21"/>
              </w:rPr>
              <w:t> </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z w:val="21"/>
                <w:szCs w:val="21"/>
              </w:rPr>
              <w:t>“－”号填</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列）</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7"/>
              <w:jc w:val="left"/>
              <w:rPr>
                <w:rFonts w:ascii="宋体" w:hAnsi="宋体" w:cs="宋体" w:eastAsia="宋体" w:hint="default"/>
                <w:sz w:val="21"/>
                <w:szCs w:val="21"/>
              </w:rPr>
            </w:pPr>
            <w:r>
              <w:rPr>
                <w:rFonts w:ascii="宋体" w:hAnsi="宋体" w:cs="宋体" w:eastAsia="宋体" w:hint="default"/>
                <w:sz w:val="21"/>
                <w:szCs w:val="21"/>
              </w:rPr>
              <w:t>（一）综合</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收益总额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103,025,506.96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-10,990,048.23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92,035,458.73</w:t>
            </w:r>
          </w:p>
        </w:tc>
      </w:tr>
      <w:tr>
        <w:trPr>
          <w:trHeight w:val="109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7"/>
              <w:jc w:val="both"/>
              <w:rPr>
                <w:rFonts w:ascii="宋体" w:hAnsi="宋体" w:cs="宋体" w:eastAsia="宋体" w:hint="default"/>
                <w:sz w:val="21"/>
                <w:szCs w:val="21"/>
              </w:rPr>
            </w:pPr>
            <w:r>
              <w:rPr>
                <w:rFonts w:ascii="宋体" w:hAnsi="宋体" w:cs="宋体" w:eastAsia="宋体" w:hint="default"/>
                <w:sz w:val="21"/>
                <w:szCs w:val="21"/>
              </w:rPr>
              <w:t>（二）所有</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者投入和减</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少资本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266,280.00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16,995,496.30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-21,767,291.68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-11,359,939.37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27,669,128.61</w:t>
            </w:r>
          </w:p>
        </w:tc>
      </w:tr>
      <w:tr>
        <w:trPr>
          <w:trHeight w:val="73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6"/>
              <w:jc w:val="left"/>
              <w:rPr>
                <w:rFonts w:ascii="宋体" w:hAnsi="宋体" w:cs="宋体" w:eastAsia="宋体" w:hint="default"/>
                <w:sz w:val="21"/>
                <w:szCs w:val="21"/>
              </w:rPr>
            </w:pPr>
            <w:r>
              <w:rPr>
                <w:rFonts w:ascii="Times New Roman" w:hAnsi="Times New Roman" w:cs="Times New Roman" w:eastAsia="Times New Roman" w:hint="default"/>
                <w:spacing w:val="-17"/>
                <w:w w:val="100"/>
                <w:sz w:val="21"/>
                <w:szCs w:val="21"/>
              </w:rPr>
              <w:t>1</w:t>
            </w:r>
            <w:r>
              <w:rPr>
                <w:rFonts w:ascii="宋体" w:hAnsi="宋体" w:cs="宋体" w:eastAsia="宋体" w:hint="default"/>
                <w:spacing w:val="-17"/>
                <w:w w:val="100"/>
                <w:sz w:val="21"/>
                <w:szCs w:val="21"/>
              </w:rPr>
              <w:t>．所有者投</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入的普通股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1,761,600.00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1,761,600.00</w:t>
            </w:r>
          </w:p>
        </w:tc>
      </w:tr>
      <w:tr>
        <w:trPr>
          <w:trHeight w:val="109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5"/>
              <w:ind w:left="103" w:right="96"/>
              <w:jc w:val="both"/>
              <w:rPr>
                <w:rFonts w:ascii="宋体" w:hAnsi="宋体" w:cs="宋体" w:eastAsia="宋体" w:hint="default"/>
                <w:sz w:val="21"/>
                <w:szCs w:val="21"/>
              </w:rPr>
            </w:pPr>
            <w:r>
              <w:rPr>
                <w:rFonts w:ascii="Times New Roman" w:hAnsi="Times New Roman" w:cs="Times New Roman" w:eastAsia="Times New Roman" w:hint="default"/>
                <w:spacing w:val="-17"/>
                <w:w w:val="100"/>
                <w:sz w:val="21"/>
                <w:szCs w:val="21"/>
              </w:rPr>
              <w:t>2</w:t>
            </w:r>
            <w:r>
              <w:rPr>
                <w:rFonts w:ascii="宋体" w:hAnsi="宋体" w:cs="宋体" w:eastAsia="宋体" w:hint="default"/>
                <w:spacing w:val="-17"/>
                <w:w w:val="100"/>
                <w:sz w:val="21"/>
                <w:szCs w:val="21"/>
              </w:rPr>
              <w:t>．其他权益</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工具持有者</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2"/>
              <w:ind w:left="103" w:right="96"/>
              <w:jc w:val="both"/>
              <w:rPr>
                <w:rFonts w:ascii="宋体" w:hAnsi="宋体" w:cs="宋体" w:eastAsia="宋体" w:hint="default"/>
                <w:sz w:val="21"/>
                <w:szCs w:val="21"/>
              </w:rPr>
            </w:pPr>
            <w:r>
              <w:rPr>
                <w:rFonts w:ascii="Times New Roman" w:hAnsi="Times New Roman" w:cs="Times New Roman" w:eastAsia="Times New Roman" w:hint="default"/>
                <w:spacing w:val="-17"/>
                <w:w w:val="100"/>
                <w:sz w:val="21"/>
                <w:szCs w:val="21"/>
              </w:rPr>
              <w:t>3</w:t>
            </w:r>
            <w:r>
              <w:rPr>
                <w:rFonts w:ascii="宋体" w:hAnsi="宋体" w:cs="宋体" w:eastAsia="宋体" w:hint="default"/>
                <w:spacing w:val="-17"/>
                <w:w w:val="100"/>
                <w:sz w:val="21"/>
                <w:szCs w:val="21"/>
              </w:rPr>
              <w:t>．股份支付</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计入所有者</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权益的金额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266,280.00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17,613,438.99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-21,767,291.68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39,647,010.67</w:t>
            </w:r>
          </w:p>
        </w:tc>
      </w:tr>
      <w:tr>
        <w:trPr>
          <w:trHeight w:val="37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-617,942.69</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-13,121,539.37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pacing w:val="-1"/>
                <w:sz w:val="18"/>
              </w:rPr>
              <w:t>-13,739,482.06</w:t>
            </w:r>
          </w:p>
        </w:tc>
      </w:tr>
      <w:tr>
        <w:trPr>
          <w:trHeight w:val="73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7"/>
              <w:jc w:val="left"/>
              <w:rPr>
                <w:rFonts w:ascii="宋体" w:hAnsi="宋体" w:cs="宋体" w:eastAsia="宋体" w:hint="default"/>
                <w:sz w:val="21"/>
                <w:szCs w:val="21"/>
              </w:rPr>
            </w:pPr>
            <w:r>
              <w:rPr>
                <w:rFonts w:ascii="宋体" w:hAnsi="宋体" w:cs="宋体" w:eastAsia="宋体" w:hint="default"/>
                <w:sz w:val="21"/>
                <w:szCs w:val="21"/>
              </w:rPr>
              <w:t>（三）利润</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-16,262,912.00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-16,262,912.00</w:t>
            </w:r>
          </w:p>
        </w:tc>
      </w:tr>
      <w:tr>
        <w:trPr>
          <w:trHeight w:val="73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6"/>
              <w:jc w:val="left"/>
              <w:rPr>
                <w:rFonts w:ascii="宋体" w:hAnsi="宋体" w:cs="宋体" w:eastAsia="宋体" w:hint="default"/>
                <w:sz w:val="21"/>
                <w:szCs w:val="21"/>
              </w:rPr>
            </w:pPr>
            <w:r>
              <w:rPr>
                <w:rFonts w:ascii="Times New Roman" w:hAnsi="Times New Roman" w:cs="Times New Roman" w:eastAsia="Times New Roman" w:hint="default"/>
                <w:spacing w:val="-17"/>
                <w:w w:val="100"/>
                <w:sz w:val="21"/>
                <w:szCs w:val="21"/>
              </w:rPr>
              <w:t>1</w:t>
            </w:r>
            <w:r>
              <w:rPr>
                <w:rFonts w:ascii="宋体" w:hAnsi="宋体" w:cs="宋体" w:eastAsia="宋体" w:hint="default"/>
                <w:spacing w:val="-17"/>
                <w:w w:val="100"/>
                <w:sz w:val="21"/>
                <w:szCs w:val="21"/>
              </w:rPr>
              <w:t>．提取盈余</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6"/>
              <w:jc w:val="left"/>
              <w:rPr>
                <w:rFonts w:ascii="宋体" w:hAnsi="宋体" w:cs="宋体" w:eastAsia="宋体" w:hint="default"/>
                <w:sz w:val="21"/>
                <w:szCs w:val="21"/>
              </w:rPr>
            </w:pPr>
            <w:r>
              <w:rPr>
                <w:rFonts w:ascii="Times New Roman" w:hAnsi="Times New Roman" w:cs="Times New Roman" w:eastAsia="Times New Roman" w:hint="default"/>
                <w:spacing w:val="-17"/>
                <w:w w:val="100"/>
                <w:sz w:val="21"/>
                <w:szCs w:val="21"/>
              </w:rPr>
              <w:t>2</w:t>
            </w:r>
            <w:r>
              <w:rPr>
                <w:rFonts w:ascii="宋体" w:hAnsi="宋体" w:cs="宋体" w:eastAsia="宋体" w:hint="default"/>
                <w:spacing w:val="-17"/>
                <w:w w:val="100"/>
                <w:sz w:val="21"/>
                <w:szCs w:val="21"/>
              </w:rPr>
              <w:t>．提取一般</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7" w:footer="980" w:top="1120" w:bottom="1160" w:left="1160" w:right="1280"/>
        </w:sectPr>
      </w:pPr>
    </w:p>
    <w:p>
      <w:pPr>
        <w:spacing w:line="240" w:lineRule="auto" w:before="11"/>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275"/>
        <w:gridCol w:w="1418"/>
        <w:gridCol w:w="425"/>
        <w:gridCol w:w="425"/>
        <w:gridCol w:w="428"/>
        <w:gridCol w:w="1702"/>
        <w:gridCol w:w="1416"/>
        <w:gridCol w:w="425"/>
        <w:gridCol w:w="427"/>
        <w:gridCol w:w="1416"/>
        <w:gridCol w:w="425"/>
        <w:gridCol w:w="1419"/>
        <w:gridCol w:w="1416"/>
        <w:gridCol w:w="1560"/>
      </w:tblGrid>
      <w:tr>
        <w:trPr>
          <w:trHeight w:val="109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97"/>
                <w:w w:val="100"/>
                <w:sz w:val="21"/>
                <w:szCs w:val="21"/>
              </w:rPr>
              <w:t>．</w:t>
            </w:r>
            <w:r>
              <w:rPr>
                <w:rFonts w:ascii="宋体" w:hAnsi="宋体" w:cs="宋体" w:eastAsia="宋体" w:hint="default"/>
                <w:w w:val="100"/>
                <w:sz w:val="21"/>
                <w:szCs w:val="21"/>
              </w:rPr>
              <w:t>对</w:t>
            </w:r>
            <w:r>
              <w:rPr>
                <w:rFonts w:ascii="宋体" w:hAnsi="宋体" w:cs="宋体" w:eastAsia="宋体" w:hint="default"/>
                <w:spacing w:val="-3"/>
                <w:w w:val="100"/>
                <w:sz w:val="21"/>
                <w:szCs w:val="21"/>
              </w:rPr>
              <w:t>所</w:t>
            </w:r>
            <w:r>
              <w:rPr>
                <w:rFonts w:ascii="宋体" w:hAnsi="宋体" w:cs="宋体" w:eastAsia="宋体" w:hint="default"/>
                <w:w w:val="100"/>
                <w:sz w:val="21"/>
                <w:szCs w:val="21"/>
              </w:rPr>
              <w:t>有者</w:t>
            </w:r>
          </w:p>
          <w:p>
            <w:pPr>
              <w:pStyle w:val="TableParagraph"/>
              <w:spacing w:line="314" w:lineRule="auto" w:before="69"/>
              <w:ind w:left="103" w:right="97"/>
              <w:jc w:val="left"/>
              <w:rPr>
                <w:rFonts w:ascii="宋体" w:hAnsi="宋体" w:cs="宋体" w:eastAsia="宋体" w:hint="default"/>
                <w:sz w:val="21"/>
                <w:szCs w:val="21"/>
              </w:rPr>
            </w:pPr>
            <w:r>
              <w:rPr>
                <w:rFonts w:ascii="宋体" w:hAnsi="宋体" w:cs="宋体" w:eastAsia="宋体" w:hint="default"/>
                <w:sz w:val="21"/>
                <w:szCs w:val="21"/>
              </w:rPr>
              <w:t>（或股东）</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-16,262,912.00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-16,262,912.00</w:t>
            </w:r>
          </w:p>
        </w:tc>
      </w:tr>
      <w:tr>
        <w:trPr>
          <w:trHeight w:val="37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7"/>
              <w:jc w:val="both"/>
              <w:rPr>
                <w:rFonts w:ascii="宋体" w:hAnsi="宋体" w:cs="宋体" w:eastAsia="宋体" w:hint="default"/>
                <w:sz w:val="21"/>
                <w:szCs w:val="21"/>
              </w:rPr>
            </w:pPr>
            <w:r>
              <w:rPr>
                <w:rFonts w:ascii="宋体" w:hAnsi="宋体" w:cs="宋体" w:eastAsia="宋体" w:hint="default"/>
                <w:sz w:val="21"/>
                <w:szCs w:val="21"/>
              </w:rPr>
              <w:t>（四）所有</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者权益内部</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结转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305,123,640.00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-305,123,640.00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6"/>
              <w:jc w:val="left"/>
              <w:rPr>
                <w:rFonts w:ascii="宋体" w:hAnsi="宋体" w:cs="宋体" w:eastAsia="宋体" w:hint="default"/>
                <w:sz w:val="21"/>
                <w:szCs w:val="21"/>
              </w:rPr>
            </w:pPr>
            <w:r>
              <w:rPr>
                <w:rFonts w:ascii="Times New Roman" w:hAnsi="Times New Roman" w:cs="Times New Roman" w:eastAsia="Times New Roman" w:hint="default"/>
                <w:spacing w:val="-17"/>
                <w:w w:val="100"/>
                <w:sz w:val="21"/>
                <w:szCs w:val="21"/>
              </w:rPr>
              <w:t>1</w:t>
            </w:r>
            <w:r>
              <w:rPr>
                <w:rFonts w:ascii="宋体" w:hAnsi="宋体" w:cs="宋体" w:eastAsia="宋体" w:hint="default"/>
                <w:spacing w:val="-17"/>
                <w:w w:val="100"/>
                <w:sz w:val="21"/>
                <w:szCs w:val="21"/>
              </w:rPr>
              <w:t>．资本公积</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转</w:t>
            </w:r>
            <w:r>
              <w:rPr>
                <w:rFonts w:ascii="宋体" w:hAnsi="宋体" w:cs="宋体" w:eastAsia="宋体" w:hint="default"/>
                <w:spacing w:val="-33"/>
                <w:sz w:val="21"/>
                <w:szCs w:val="21"/>
              </w:rPr>
              <w:t> </w:t>
            </w:r>
            <w:r>
              <w:rPr>
                <w:rFonts w:ascii="宋体" w:hAnsi="宋体" w:cs="宋体" w:eastAsia="宋体" w:hint="default"/>
                <w:sz w:val="21"/>
                <w:szCs w:val="21"/>
              </w:rPr>
              <w:t>增</w:t>
            </w:r>
            <w:r>
              <w:rPr>
                <w:rFonts w:ascii="宋体" w:hAnsi="宋体" w:cs="宋体" w:eastAsia="宋体" w:hint="default"/>
                <w:spacing w:val="-33"/>
                <w:sz w:val="21"/>
                <w:szCs w:val="21"/>
              </w:rPr>
              <w:t> </w:t>
            </w:r>
            <w:r>
              <w:rPr>
                <w:rFonts w:ascii="宋体" w:hAnsi="宋体" w:cs="宋体" w:eastAsia="宋体" w:hint="default"/>
                <w:sz w:val="21"/>
                <w:szCs w:val="21"/>
              </w:rPr>
              <w:t>资</w:t>
            </w:r>
            <w:r>
              <w:rPr>
                <w:rFonts w:ascii="宋体" w:hAnsi="宋体" w:cs="宋体" w:eastAsia="宋体" w:hint="default"/>
                <w:spacing w:val="-30"/>
                <w:sz w:val="21"/>
                <w:szCs w:val="21"/>
              </w:rPr>
              <w:t> </w:t>
            </w:r>
            <w:r>
              <w:rPr>
                <w:rFonts w:ascii="宋体" w:hAnsi="宋体" w:cs="宋体" w:eastAsia="宋体" w:hint="default"/>
                <w:sz w:val="21"/>
                <w:szCs w:val="21"/>
              </w:rPr>
              <w:t>本</w:t>
            </w:r>
          </w:p>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305,123,640.00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-305,123,640.00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109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5"/>
              <w:ind w:left="103" w:right="96"/>
              <w:jc w:val="left"/>
              <w:rPr>
                <w:rFonts w:ascii="宋体" w:hAnsi="宋体" w:cs="宋体" w:eastAsia="宋体" w:hint="default"/>
                <w:sz w:val="21"/>
                <w:szCs w:val="21"/>
              </w:rPr>
            </w:pPr>
            <w:r>
              <w:rPr>
                <w:rFonts w:ascii="Times New Roman" w:hAnsi="Times New Roman" w:cs="Times New Roman" w:eastAsia="Times New Roman" w:hint="default"/>
                <w:spacing w:val="-17"/>
                <w:w w:val="100"/>
                <w:sz w:val="21"/>
                <w:szCs w:val="21"/>
              </w:rPr>
              <w:t>2</w:t>
            </w:r>
            <w:r>
              <w:rPr>
                <w:rFonts w:ascii="宋体" w:hAnsi="宋体" w:cs="宋体" w:eastAsia="宋体" w:hint="default"/>
                <w:spacing w:val="-17"/>
                <w:w w:val="100"/>
                <w:sz w:val="21"/>
                <w:szCs w:val="21"/>
              </w:rPr>
              <w:t>．盈余公积</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转</w:t>
            </w:r>
            <w:r>
              <w:rPr>
                <w:rFonts w:ascii="宋体" w:hAnsi="宋体" w:cs="宋体" w:eastAsia="宋体" w:hint="default"/>
                <w:spacing w:val="-33"/>
                <w:sz w:val="21"/>
                <w:szCs w:val="21"/>
              </w:rPr>
              <w:t> </w:t>
            </w:r>
            <w:r>
              <w:rPr>
                <w:rFonts w:ascii="宋体" w:hAnsi="宋体" w:cs="宋体" w:eastAsia="宋体" w:hint="default"/>
                <w:sz w:val="21"/>
                <w:szCs w:val="21"/>
              </w:rPr>
              <w:t>增</w:t>
            </w:r>
            <w:r>
              <w:rPr>
                <w:rFonts w:ascii="宋体" w:hAnsi="宋体" w:cs="宋体" w:eastAsia="宋体" w:hint="default"/>
                <w:spacing w:val="-33"/>
                <w:sz w:val="21"/>
                <w:szCs w:val="21"/>
              </w:rPr>
              <w:t> </w:t>
            </w:r>
            <w:r>
              <w:rPr>
                <w:rFonts w:ascii="宋体" w:hAnsi="宋体" w:cs="宋体" w:eastAsia="宋体" w:hint="default"/>
                <w:sz w:val="21"/>
                <w:szCs w:val="21"/>
              </w:rPr>
              <w:t>资</w:t>
            </w:r>
            <w:r>
              <w:rPr>
                <w:rFonts w:ascii="宋体" w:hAnsi="宋体" w:cs="宋体" w:eastAsia="宋体" w:hint="default"/>
                <w:spacing w:val="-30"/>
                <w:sz w:val="21"/>
                <w:szCs w:val="21"/>
              </w:rPr>
              <w:t> </w:t>
            </w:r>
            <w:r>
              <w:rPr>
                <w:rFonts w:ascii="宋体" w:hAnsi="宋体" w:cs="宋体" w:eastAsia="宋体" w:hint="default"/>
                <w:sz w:val="21"/>
                <w:szCs w:val="21"/>
              </w:rPr>
              <w:t>本</w:t>
            </w:r>
          </w:p>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6"/>
              <w:jc w:val="left"/>
              <w:rPr>
                <w:rFonts w:ascii="宋体" w:hAnsi="宋体" w:cs="宋体" w:eastAsia="宋体" w:hint="default"/>
                <w:sz w:val="21"/>
                <w:szCs w:val="21"/>
              </w:rPr>
            </w:pPr>
            <w:r>
              <w:rPr>
                <w:rFonts w:ascii="Times New Roman" w:hAnsi="Times New Roman" w:cs="Times New Roman" w:eastAsia="Times New Roman" w:hint="default"/>
                <w:spacing w:val="-17"/>
                <w:w w:val="100"/>
                <w:sz w:val="21"/>
                <w:szCs w:val="21"/>
              </w:rPr>
              <w:t>3</w:t>
            </w:r>
            <w:r>
              <w:rPr>
                <w:rFonts w:ascii="宋体" w:hAnsi="宋体" w:cs="宋体" w:eastAsia="宋体" w:hint="default"/>
                <w:spacing w:val="-17"/>
                <w:w w:val="100"/>
                <w:sz w:val="21"/>
                <w:szCs w:val="21"/>
              </w:rPr>
              <w:t>．盈余公积</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2"/>
              <w:ind w:left="103" w:right="96"/>
              <w:jc w:val="both"/>
              <w:rPr>
                <w:rFonts w:ascii="宋体" w:hAnsi="宋体" w:cs="宋体" w:eastAsia="宋体" w:hint="default"/>
                <w:sz w:val="21"/>
                <w:szCs w:val="21"/>
              </w:rPr>
            </w:pPr>
            <w:r>
              <w:rPr>
                <w:rFonts w:ascii="Times New Roman" w:hAnsi="Times New Roman" w:cs="Times New Roman" w:eastAsia="Times New Roman" w:hint="default"/>
                <w:spacing w:val="-17"/>
                <w:w w:val="100"/>
                <w:sz w:val="21"/>
                <w:szCs w:val="21"/>
              </w:rPr>
              <w:t>4</w:t>
            </w:r>
            <w:r>
              <w:rPr>
                <w:rFonts w:ascii="宋体" w:hAnsi="宋体" w:cs="宋体" w:eastAsia="宋体" w:hint="default"/>
                <w:spacing w:val="-17"/>
                <w:w w:val="100"/>
                <w:sz w:val="21"/>
                <w:szCs w:val="21"/>
              </w:rPr>
              <w:t>．设定受益</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计划变动额</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结转留存收</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7"/>
              <w:jc w:val="left"/>
              <w:rPr>
                <w:rFonts w:ascii="宋体" w:hAnsi="宋体" w:cs="宋体" w:eastAsia="宋体" w:hint="default"/>
                <w:sz w:val="21"/>
                <w:szCs w:val="21"/>
              </w:rPr>
            </w:pPr>
            <w:r>
              <w:rPr>
                <w:rFonts w:ascii="宋体" w:hAnsi="宋体" w:cs="宋体" w:eastAsia="宋体" w:hint="default"/>
                <w:sz w:val="21"/>
                <w:szCs w:val="21"/>
              </w:rPr>
              <w:t>（五）专项</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7,254,909.24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-7,254,909.24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97"/>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期</w:t>
            </w:r>
            <w:r>
              <w:rPr>
                <w:rFonts w:ascii="宋体" w:hAnsi="宋体" w:cs="宋体" w:eastAsia="宋体" w:hint="default"/>
                <w:w w:val="100"/>
                <w:sz w:val="21"/>
                <w:szCs w:val="21"/>
              </w:rPr>
              <w:t>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7,254,909.24</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1"/>
                <w:sz w:val="18"/>
              </w:rPr>
              <w:t>-7,254,909.24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97"/>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期</w:t>
            </w:r>
            <w:r>
              <w:rPr>
                <w:rFonts w:ascii="宋体" w:hAnsi="宋体" w:cs="宋体" w:eastAsia="宋体" w:hint="default"/>
                <w:w w:val="100"/>
                <w:sz w:val="21"/>
                <w:szCs w:val="21"/>
              </w:rPr>
              <w:t>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7" w:footer="980" w:top="1120" w:bottom="1160" w:left="1160" w:right="1280"/>
        </w:sectPr>
      </w:pPr>
    </w:p>
    <w:p>
      <w:pPr>
        <w:spacing w:line="240" w:lineRule="auto" w:before="11"/>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275"/>
        <w:gridCol w:w="1418"/>
        <w:gridCol w:w="425"/>
        <w:gridCol w:w="425"/>
        <w:gridCol w:w="428"/>
        <w:gridCol w:w="1702"/>
        <w:gridCol w:w="1416"/>
        <w:gridCol w:w="425"/>
        <w:gridCol w:w="427"/>
        <w:gridCol w:w="1416"/>
        <w:gridCol w:w="425"/>
        <w:gridCol w:w="1419"/>
        <w:gridCol w:w="1416"/>
        <w:gridCol w:w="1560"/>
      </w:tblGrid>
      <w:tr>
        <w:trPr>
          <w:trHeight w:val="37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7"/>
              <w:jc w:val="left"/>
              <w:rPr>
                <w:rFonts w:ascii="宋体" w:hAnsi="宋体" w:cs="宋体" w:eastAsia="宋体" w:hint="default"/>
                <w:sz w:val="21"/>
                <w:szCs w:val="21"/>
              </w:rPr>
            </w:pPr>
            <w:r>
              <w:rPr>
                <w:rFonts w:ascii="宋体" w:hAnsi="宋体" w:cs="宋体" w:eastAsia="宋体" w:hint="default"/>
                <w:sz w:val="21"/>
                <w:szCs w:val="21"/>
              </w:rPr>
              <w:t>四、本期期</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407,097,800.00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180,342,840.48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39,887,176.32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53,401,869.29</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408,127,113.68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-1,631,481.58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1,007,450,965.55</w:t>
            </w:r>
          </w:p>
        </w:tc>
      </w:tr>
    </w:tbl>
    <w:p>
      <w:pPr>
        <w:pStyle w:val="BodyText"/>
        <w:tabs>
          <w:tab w:pos="6244" w:val="left" w:leader="none"/>
          <w:tab w:pos="11182" w:val="left" w:leader="none"/>
        </w:tabs>
        <w:spacing w:line="241" w:lineRule="exact"/>
        <w:ind w:left="784" w:right="0"/>
        <w:jc w:val="left"/>
      </w:pPr>
      <w:r>
        <w:rPr>
          <w:spacing w:val="-1"/>
        </w:rPr>
        <w:t>法定代表人：吴志雄</w:t>
        <w:tab/>
      </w:r>
      <w:r>
        <w:rPr>
          <w:spacing w:val="-2"/>
        </w:rPr>
        <w:t>主管会计工作负责人：曾志勇</w:t>
        <w:tab/>
        <w:t>会计机构负责人：曾志勇</w:t>
      </w: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6840" w:h="11910" w:orient="landscape"/>
          <w:pgMar w:header="857" w:footer="980" w:top="1120" w:bottom="1160" w:left="1160" w:right="1280"/>
        </w:sectPr>
      </w:pPr>
    </w:p>
    <w:p>
      <w:pPr>
        <w:pStyle w:val="Heading2"/>
        <w:spacing w:line="313" w:lineRule="exact"/>
        <w:ind w:right="0"/>
        <w:jc w:val="right"/>
        <w:rPr>
          <w:b w:val="0"/>
          <w:bCs w:val="0"/>
        </w:rPr>
      </w:pPr>
      <w:r>
        <w:rPr>
          <w:w w:val="95"/>
        </w:rPr>
        <w:t>母公司所有者权益变动表</w:t>
      </w:r>
      <w:r>
        <w:rPr>
          <w:b w:val="0"/>
          <w:bCs w:val="0"/>
        </w:rPr>
      </w:r>
    </w:p>
    <w:p>
      <w:pPr>
        <w:pStyle w:val="Heading3"/>
        <w:spacing w:line="331" w:lineRule="exact" w:before="0"/>
        <w:ind w:left="0" w:right="453"/>
        <w:jc w:val="right"/>
      </w:pP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4190" w:val="left" w:leader="none"/>
        </w:tabs>
        <w:spacing w:line="240" w:lineRule="auto" w:before="132"/>
        <w:ind w:left="324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580" w:bottom="280" w:left="1160" w:right="1280"/>
          <w:cols w:num="2" w:equalWidth="0">
            <w:col w:w="8854" w:space="40"/>
            <w:col w:w="5506"/>
          </w:cols>
        </w:sectPr>
      </w:pPr>
    </w:p>
    <w:p>
      <w:pPr>
        <w:spacing w:line="240" w:lineRule="auto" w:before="5"/>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419"/>
        <w:gridCol w:w="1558"/>
        <w:gridCol w:w="427"/>
        <w:gridCol w:w="425"/>
        <w:gridCol w:w="425"/>
        <w:gridCol w:w="1558"/>
        <w:gridCol w:w="1702"/>
        <w:gridCol w:w="710"/>
        <w:gridCol w:w="850"/>
        <w:gridCol w:w="1561"/>
        <w:gridCol w:w="1702"/>
        <w:gridCol w:w="1824"/>
      </w:tblGrid>
      <w:tr>
        <w:trPr>
          <w:trHeight w:val="370"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4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732" w:hRule="exact"/>
        </w:trPr>
        <w:tc>
          <w:tcPr>
            <w:tcW w:w="1419" w:type="dxa"/>
            <w:vMerge/>
            <w:tcBorders>
              <w:left w:val="single" w:sz="4" w:space="0" w:color="000000"/>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530" w:right="101" w:hanging="420"/>
              <w:jc w:val="left"/>
              <w:rPr>
                <w:rFonts w:ascii="宋体" w:hAnsi="宋体" w:cs="宋体" w:eastAsia="宋体" w:hint="default"/>
                <w:sz w:val="21"/>
                <w:szCs w:val="21"/>
              </w:rPr>
            </w:pPr>
            <w:r>
              <w:rPr>
                <w:rFonts w:ascii="宋体" w:hAnsi="宋体" w:cs="宋体" w:eastAsia="宋体" w:hint="default"/>
                <w:sz w:val="21"/>
                <w:szCs w:val="21"/>
              </w:rPr>
              <w:t>其他权益工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具</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8"/>
              <w:ind w:left="141"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4" w:lineRule="auto"/>
              <w:ind w:left="314" w:right="98" w:hanging="209"/>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090" w:hRule="exact"/>
        </w:trPr>
        <w:tc>
          <w:tcPr>
            <w:tcW w:w="1419"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19" w:right="11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17" w:right="11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367" w:lineRule="auto"/>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558"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824" w:type="dxa"/>
            <w:vMerge/>
            <w:tcBorders>
              <w:left w:val="single" w:sz="4" w:space="0" w:color="000000"/>
              <w:bottom w:val="single" w:sz="4" w:space="0" w:color="000000"/>
              <w:right w:val="single" w:sz="4" w:space="0" w:color="000000"/>
            </w:tcBorders>
          </w:tcPr>
          <w:p>
            <w:pPr/>
          </w:p>
        </w:tc>
      </w:tr>
      <w:tr>
        <w:trPr>
          <w:trHeight w:val="73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99"/>
              <w:jc w:val="left"/>
              <w:rPr>
                <w:rFonts w:ascii="宋体" w:hAnsi="宋体" w:cs="宋体" w:eastAsia="宋体" w:hint="default"/>
                <w:sz w:val="21"/>
                <w:szCs w:val="21"/>
              </w:rPr>
            </w:pPr>
            <w:r>
              <w:rPr>
                <w:rFonts w:ascii="宋体" w:hAnsi="宋体" w:cs="宋体" w:eastAsia="宋体" w:hint="default"/>
                <w:spacing w:val="-11"/>
                <w:sz w:val="21"/>
                <w:szCs w:val="21"/>
              </w:rPr>
              <w:t>一、上年期末</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407,097,800.00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181,791,120.77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39,887,176.32</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53,401,869.29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427,353,911.45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1,029,757,525.19</w:t>
            </w:r>
          </w:p>
        </w:tc>
      </w:tr>
      <w:tr>
        <w:trPr>
          <w:trHeight w:val="73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pacing w:val="-11"/>
                <w:sz w:val="21"/>
                <w:szCs w:val="21"/>
              </w:rPr>
              <w:t>加：会计政策</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变更</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73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66"/>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差</w:t>
            </w:r>
            <w:r>
              <w:rPr>
                <w:rFonts w:ascii="宋体" w:hAnsi="宋体" w:cs="宋体" w:eastAsia="宋体" w:hint="default"/>
                <w:spacing w:val="-69"/>
                <w:sz w:val="21"/>
                <w:szCs w:val="21"/>
              </w:rPr>
              <w:t> </w:t>
            </w:r>
            <w:r>
              <w:rPr>
                <w:rFonts w:ascii="宋体" w:hAnsi="宋体" w:cs="宋体" w:eastAsia="宋体" w:hint="default"/>
                <w:sz w:val="21"/>
                <w:szCs w:val="21"/>
              </w:rPr>
              <w:t>错</w:t>
            </w:r>
            <w:r>
              <w:rPr>
                <w:rFonts w:ascii="宋体" w:hAnsi="宋体" w:cs="宋体" w:eastAsia="宋体" w:hint="default"/>
                <w:spacing w:val="-66"/>
                <w:sz w:val="21"/>
                <w:szCs w:val="21"/>
              </w:rPr>
              <w:t> </w:t>
            </w:r>
            <w:r>
              <w:rPr>
                <w:rFonts w:ascii="宋体" w:hAnsi="宋体" w:cs="宋体" w:eastAsia="宋体" w:hint="default"/>
                <w:sz w:val="21"/>
                <w:szCs w:val="21"/>
              </w:rPr>
              <w:t>更</w:t>
            </w:r>
            <w:r>
              <w:rPr>
                <w:rFonts w:ascii="宋体" w:hAnsi="宋体" w:cs="宋体" w:eastAsia="宋体" w:hint="default"/>
                <w:w w:val="100"/>
                <w:sz w:val="21"/>
                <w:szCs w:val="21"/>
              </w:rPr>
              <w:t> </w:t>
            </w:r>
            <w:r>
              <w:rPr>
                <w:rFonts w:ascii="宋体" w:hAnsi="宋体" w:cs="宋体" w:eastAsia="宋体" w:hint="default"/>
                <w:sz w:val="21"/>
                <w:szCs w:val="21"/>
              </w:rPr>
              <w:t>正</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7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73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9"/>
              <w:jc w:val="left"/>
              <w:rPr>
                <w:rFonts w:ascii="宋体" w:hAnsi="宋体" w:cs="宋体" w:eastAsia="宋体" w:hint="default"/>
                <w:sz w:val="21"/>
                <w:szCs w:val="21"/>
              </w:rPr>
            </w:pPr>
            <w:r>
              <w:rPr>
                <w:rFonts w:ascii="宋体" w:hAnsi="宋体" w:cs="宋体" w:eastAsia="宋体" w:hint="default"/>
                <w:spacing w:val="-11"/>
                <w:sz w:val="21"/>
                <w:szCs w:val="21"/>
              </w:rPr>
              <w:t>二、本年期初</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407,097,800.00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181,791,120.77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39,887,176.32</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53,401,869.29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427,353,911.45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1,029,757,525.19</w:t>
            </w:r>
          </w:p>
        </w:tc>
      </w:tr>
      <w:tr>
        <w:trPr>
          <w:trHeight w:val="73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pacing w:val="-11"/>
                <w:sz w:val="21"/>
                <w:szCs w:val="21"/>
              </w:rPr>
              <w:t>三、本期增减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变动金额（减</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119,586,672.00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530,652,443.55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-24,154,507.70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10,682,196.96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-9,311,617.75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675,764,202.46</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580" w:bottom="280" w:left="1160" w:right="1280"/>
        </w:sectPr>
      </w:pPr>
    </w:p>
    <w:p>
      <w:pPr>
        <w:spacing w:line="240" w:lineRule="auto" w:before="11"/>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9"/>
        <w:gridCol w:w="1558"/>
        <w:gridCol w:w="427"/>
        <w:gridCol w:w="425"/>
        <w:gridCol w:w="425"/>
        <w:gridCol w:w="1558"/>
        <w:gridCol w:w="1702"/>
        <w:gridCol w:w="710"/>
        <w:gridCol w:w="850"/>
        <w:gridCol w:w="1561"/>
        <w:gridCol w:w="1702"/>
        <w:gridCol w:w="1824"/>
      </w:tblGrid>
      <w:tr>
        <w:trPr>
          <w:trHeight w:val="73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pacing w:val="-11"/>
                <w:sz w:val="21"/>
                <w:szCs w:val="21"/>
              </w:rPr>
              <w:t>少以“－”号</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填列）</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pacing w:val="-11"/>
                <w:sz w:val="21"/>
                <w:szCs w:val="21"/>
              </w:rPr>
              <w:t>（一）综合收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益总额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116,166,834.27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116,166,834.27</w:t>
            </w:r>
          </w:p>
        </w:tc>
      </w:tr>
      <w:tr>
        <w:trPr>
          <w:trHeight w:val="109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both"/>
              <w:rPr>
                <w:rFonts w:ascii="宋体" w:hAnsi="宋体" w:cs="宋体" w:eastAsia="宋体" w:hint="default"/>
                <w:sz w:val="21"/>
                <w:szCs w:val="21"/>
              </w:rPr>
            </w:pPr>
            <w:r>
              <w:rPr>
                <w:rFonts w:ascii="宋体" w:hAnsi="宋体" w:cs="宋体" w:eastAsia="宋体" w:hint="default"/>
                <w:spacing w:val="-11"/>
                <w:sz w:val="21"/>
                <w:szCs w:val="21"/>
              </w:rPr>
              <w:t>（二）所有者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投</w:t>
            </w:r>
            <w:r>
              <w:rPr>
                <w:rFonts w:ascii="宋体" w:hAnsi="宋体" w:cs="宋体" w:eastAsia="宋体" w:hint="default"/>
                <w:spacing w:val="-66"/>
                <w:sz w:val="21"/>
                <w:szCs w:val="21"/>
              </w:rPr>
              <w:t> </w:t>
            </w:r>
            <w:r>
              <w:rPr>
                <w:rFonts w:ascii="宋体" w:hAnsi="宋体" w:cs="宋体" w:eastAsia="宋体" w:hint="default"/>
                <w:sz w:val="21"/>
                <w:szCs w:val="21"/>
              </w:rPr>
              <w:t>入</w:t>
            </w:r>
            <w:r>
              <w:rPr>
                <w:rFonts w:ascii="宋体" w:hAnsi="宋体" w:cs="宋体" w:eastAsia="宋体" w:hint="default"/>
                <w:spacing w:val="-69"/>
                <w:sz w:val="21"/>
                <w:szCs w:val="21"/>
              </w:rPr>
              <w:t> </w:t>
            </w:r>
            <w:r>
              <w:rPr>
                <w:rFonts w:ascii="宋体" w:hAnsi="宋体" w:cs="宋体" w:eastAsia="宋体" w:hint="default"/>
                <w:sz w:val="21"/>
                <w:szCs w:val="21"/>
              </w:rPr>
              <w:t>和</w:t>
            </w:r>
            <w:r>
              <w:rPr>
                <w:rFonts w:ascii="宋体" w:hAnsi="宋体" w:cs="宋体" w:eastAsia="宋体" w:hint="default"/>
                <w:spacing w:val="-69"/>
                <w:sz w:val="21"/>
                <w:szCs w:val="21"/>
              </w:rPr>
              <w:t> </w:t>
            </w:r>
            <w:r>
              <w:rPr>
                <w:rFonts w:ascii="宋体" w:hAnsi="宋体" w:cs="宋体" w:eastAsia="宋体" w:hint="default"/>
                <w:sz w:val="21"/>
                <w:szCs w:val="21"/>
              </w:rPr>
              <w:t>减</w:t>
            </w:r>
            <w:r>
              <w:rPr>
                <w:rFonts w:ascii="宋体" w:hAnsi="宋体" w:cs="宋体" w:eastAsia="宋体" w:hint="default"/>
                <w:spacing w:val="-66"/>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119,586,672.00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530,652,443.55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-24,154,507.70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674,393,623.25</w:t>
            </w:r>
          </w:p>
        </w:tc>
      </w:tr>
      <w:tr>
        <w:trPr>
          <w:trHeight w:val="73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0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．所有者投</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入的普通股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120,159,152.00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531,550,051.12</w:t>
            </w: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651,709,203.12</w:t>
            </w:r>
          </w:p>
        </w:tc>
      </w:tr>
      <w:tr>
        <w:trPr>
          <w:trHeight w:val="109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5"/>
              <w:ind w:left="103" w:right="100"/>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．其他权益</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工</w:t>
            </w:r>
            <w:r>
              <w:rPr>
                <w:rFonts w:ascii="宋体" w:hAnsi="宋体" w:cs="宋体" w:eastAsia="宋体" w:hint="default"/>
                <w:spacing w:val="-66"/>
                <w:sz w:val="21"/>
                <w:szCs w:val="21"/>
              </w:rPr>
              <w:t> </w:t>
            </w:r>
            <w:r>
              <w:rPr>
                <w:rFonts w:ascii="宋体" w:hAnsi="宋体" w:cs="宋体" w:eastAsia="宋体" w:hint="default"/>
                <w:sz w:val="21"/>
                <w:szCs w:val="21"/>
              </w:rPr>
              <w:t>具</w:t>
            </w:r>
            <w:r>
              <w:rPr>
                <w:rFonts w:ascii="宋体" w:hAnsi="宋体" w:cs="宋体" w:eastAsia="宋体" w:hint="default"/>
                <w:spacing w:val="-69"/>
                <w:sz w:val="21"/>
                <w:szCs w:val="21"/>
              </w:rPr>
              <w:t> </w:t>
            </w:r>
            <w:r>
              <w:rPr>
                <w:rFonts w:ascii="宋体" w:hAnsi="宋体" w:cs="宋体" w:eastAsia="宋体" w:hint="default"/>
                <w:sz w:val="21"/>
                <w:szCs w:val="21"/>
              </w:rPr>
              <w:t>持</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者</w:t>
            </w:r>
            <w:r>
              <w:rPr>
                <w:rFonts w:ascii="宋体" w:hAnsi="宋体" w:cs="宋体" w:eastAsia="宋体" w:hint="default"/>
                <w:w w:val="100"/>
                <w:sz w:val="21"/>
                <w:szCs w:val="21"/>
              </w:rPr>
              <w:t> </w:t>
            </w:r>
            <w:r>
              <w:rPr>
                <w:rFonts w:ascii="宋体" w:hAnsi="宋体" w:cs="宋体" w:eastAsia="宋体" w:hint="default"/>
                <w:sz w:val="21"/>
                <w:szCs w:val="21"/>
              </w:rPr>
              <w:t>投入资本</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109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2"/>
              <w:ind w:left="103" w:right="100"/>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．股份支付</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计</w:t>
            </w:r>
            <w:r>
              <w:rPr>
                <w:rFonts w:ascii="宋体" w:hAnsi="宋体" w:cs="宋体" w:eastAsia="宋体" w:hint="default"/>
                <w:spacing w:val="-66"/>
                <w:sz w:val="21"/>
                <w:szCs w:val="21"/>
              </w:rPr>
              <w:t> </w:t>
            </w:r>
            <w:r>
              <w:rPr>
                <w:rFonts w:ascii="宋体" w:hAnsi="宋体" w:cs="宋体" w:eastAsia="宋体" w:hint="default"/>
                <w:sz w:val="21"/>
                <w:szCs w:val="21"/>
              </w:rPr>
              <w:t>入</w:t>
            </w:r>
            <w:r>
              <w:rPr>
                <w:rFonts w:ascii="宋体" w:hAnsi="宋体" w:cs="宋体" w:eastAsia="宋体" w:hint="default"/>
                <w:spacing w:val="-69"/>
                <w:sz w:val="21"/>
                <w:szCs w:val="21"/>
              </w:rPr>
              <w:t> </w:t>
            </w:r>
            <w:r>
              <w:rPr>
                <w:rFonts w:ascii="宋体" w:hAnsi="宋体" w:cs="宋体" w:eastAsia="宋体" w:hint="default"/>
                <w:sz w:val="21"/>
                <w:szCs w:val="21"/>
              </w:rPr>
              <w:t>所</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者</w:t>
            </w:r>
            <w:r>
              <w:rPr>
                <w:rFonts w:ascii="宋体" w:hAnsi="宋体" w:cs="宋体" w:eastAsia="宋体" w:hint="default"/>
                <w:w w:val="100"/>
                <w:sz w:val="21"/>
                <w:szCs w:val="21"/>
              </w:rPr>
              <w:t> </w:t>
            </w:r>
            <w:r>
              <w:rPr>
                <w:rFonts w:ascii="宋体" w:hAnsi="宋体" w:cs="宋体" w:eastAsia="宋体" w:hint="default"/>
                <w:sz w:val="21"/>
                <w:szCs w:val="21"/>
              </w:rPr>
              <w:t>权益的金额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-572,480.00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2,272,777.61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-24,154,507.70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25,854,805.31</w:t>
            </w:r>
          </w:p>
        </w:tc>
      </w:tr>
      <w:tr>
        <w:trPr>
          <w:trHeight w:val="37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-3,170,385.18</w:t>
            </w: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-3,170,385.18</w:t>
            </w:r>
          </w:p>
        </w:tc>
      </w:tr>
      <w:tr>
        <w:trPr>
          <w:trHeight w:val="73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pacing w:val="-11"/>
                <w:sz w:val="21"/>
                <w:szCs w:val="21"/>
              </w:rPr>
              <w:t>（三）利润分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配</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11,616,683.43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-117,068,073.83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-105,451,390.40</w:t>
            </w:r>
          </w:p>
        </w:tc>
      </w:tr>
      <w:tr>
        <w:trPr>
          <w:trHeight w:val="73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0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．提取盈余</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公积</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11,616,683.43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-11,616,683.43</w:t>
            </w: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．对所有者</w:t>
            </w:r>
          </w:p>
          <w:p>
            <w:pPr>
              <w:pStyle w:val="TableParagraph"/>
              <w:spacing w:line="314" w:lineRule="auto" w:before="70"/>
              <w:ind w:left="103" w:right="99"/>
              <w:jc w:val="left"/>
              <w:rPr>
                <w:rFonts w:ascii="宋体" w:hAnsi="宋体" w:cs="宋体" w:eastAsia="宋体" w:hint="default"/>
                <w:sz w:val="21"/>
                <w:szCs w:val="21"/>
              </w:rPr>
            </w:pPr>
            <w:r>
              <w:rPr>
                <w:rFonts w:ascii="宋体" w:hAnsi="宋体" w:cs="宋体" w:eastAsia="宋体" w:hint="default"/>
                <w:spacing w:val="-11"/>
                <w:sz w:val="21"/>
                <w:szCs w:val="21"/>
              </w:rPr>
              <w:t>（或股东）的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分配</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-105,451,390.40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-105,451,390.40</w:t>
            </w:r>
          </w:p>
        </w:tc>
      </w:tr>
      <w:tr>
        <w:trPr>
          <w:trHeight w:val="37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57" w:footer="980" w:top="1120" w:bottom="1160" w:left="1160" w:right="1280"/>
        </w:sectPr>
      </w:pPr>
    </w:p>
    <w:p>
      <w:pPr>
        <w:spacing w:line="240" w:lineRule="auto" w:before="11"/>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9"/>
        <w:gridCol w:w="1558"/>
        <w:gridCol w:w="427"/>
        <w:gridCol w:w="425"/>
        <w:gridCol w:w="425"/>
        <w:gridCol w:w="1558"/>
        <w:gridCol w:w="1702"/>
        <w:gridCol w:w="710"/>
        <w:gridCol w:w="850"/>
        <w:gridCol w:w="1561"/>
        <w:gridCol w:w="1702"/>
        <w:gridCol w:w="1824"/>
      </w:tblGrid>
      <w:tr>
        <w:trPr>
          <w:trHeight w:val="109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both"/>
              <w:rPr>
                <w:rFonts w:ascii="宋体" w:hAnsi="宋体" w:cs="宋体" w:eastAsia="宋体" w:hint="default"/>
                <w:sz w:val="21"/>
                <w:szCs w:val="21"/>
              </w:rPr>
            </w:pPr>
            <w:r>
              <w:rPr>
                <w:rFonts w:ascii="宋体" w:hAnsi="宋体" w:cs="宋体" w:eastAsia="宋体" w:hint="default"/>
                <w:spacing w:val="-11"/>
                <w:sz w:val="21"/>
                <w:szCs w:val="21"/>
              </w:rPr>
              <w:t>（四）所有者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权</w:t>
            </w:r>
            <w:r>
              <w:rPr>
                <w:rFonts w:ascii="宋体" w:hAnsi="宋体" w:cs="宋体" w:eastAsia="宋体" w:hint="default"/>
                <w:spacing w:val="-66"/>
                <w:sz w:val="21"/>
                <w:szCs w:val="21"/>
              </w:rPr>
              <w:t> </w:t>
            </w:r>
            <w:r>
              <w:rPr>
                <w:rFonts w:ascii="宋体" w:hAnsi="宋体" w:cs="宋体" w:eastAsia="宋体" w:hint="default"/>
                <w:sz w:val="21"/>
                <w:szCs w:val="21"/>
              </w:rPr>
              <w:t>益</w:t>
            </w:r>
            <w:r>
              <w:rPr>
                <w:rFonts w:ascii="宋体" w:hAnsi="宋体" w:cs="宋体" w:eastAsia="宋体" w:hint="default"/>
                <w:spacing w:val="-69"/>
                <w:sz w:val="21"/>
                <w:szCs w:val="21"/>
              </w:rPr>
              <w:t> </w:t>
            </w:r>
            <w:r>
              <w:rPr>
                <w:rFonts w:ascii="宋体" w:hAnsi="宋体" w:cs="宋体" w:eastAsia="宋体" w:hint="default"/>
                <w:sz w:val="21"/>
                <w:szCs w:val="21"/>
              </w:rPr>
              <w:t>内</w:t>
            </w:r>
            <w:r>
              <w:rPr>
                <w:rFonts w:ascii="宋体" w:hAnsi="宋体" w:cs="宋体" w:eastAsia="宋体" w:hint="default"/>
                <w:spacing w:val="-69"/>
                <w:sz w:val="21"/>
                <w:szCs w:val="21"/>
              </w:rPr>
              <w:t> </w:t>
            </w:r>
            <w:r>
              <w:rPr>
                <w:rFonts w:ascii="宋体" w:hAnsi="宋体" w:cs="宋体" w:eastAsia="宋体" w:hint="default"/>
                <w:sz w:val="21"/>
                <w:szCs w:val="21"/>
              </w:rPr>
              <w:t>部</w:t>
            </w:r>
            <w:r>
              <w:rPr>
                <w:rFonts w:ascii="宋体" w:hAnsi="宋体" w:cs="宋体" w:eastAsia="宋体" w:hint="default"/>
                <w:spacing w:val="-66"/>
                <w:sz w:val="21"/>
                <w:szCs w:val="21"/>
              </w:rPr>
              <w:t> </w:t>
            </w:r>
            <w:r>
              <w:rPr>
                <w:rFonts w:ascii="宋体" w:hAnsi="宋体" w:cs="宋体" w:eastAsia="宋体" w:hint="default"/>
                <w:sz w:val="21"/>
                <w:szCs w:val="21"/>
              </w:rPr>
              <w:t>结</w:t>
            </w:r>
            <w:r>
              <w:rPr>
                <w:rFonts w:ascii="宋体" w:hAnsi="宋体" w:cs="宋体" w:eastAsia="宋体" w:hint="default"/>
                <w:w w:val="100"/>
                <w:sz w:val="21"/>
                <w:szCs w:val="21"/>
              </w:rPr>
              <w:t> </w:t>
            </w:r>
            <w:r>
              <w:rPr>
                <w:rFonts w:ascii="宋体" w:hAnsi="宋体" w:cs="宋体" w:eastAsia="宋体" w:hint="default"/>
                <w:sz w:val="21"/>
                <w:szCs w:val="21"/>
              </w:rPr>
              <w:t>转</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109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2"/>
              <w:ind w:left="103" w:right="99"/>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．资本公积</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1"/>
                <w:sz w:val="21"/>
                <w:szCs w:val="21"/>
              </w:rPr>
              <w:t>转增资本（或</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股本）</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109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2"/>
              <w:ind w:left="103" w:right="99"/>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．盈余公积</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1"/>
                <w:sz w:val="21"/>
                <w:szCs w:val="21"/>
              </w:rPr>
              <w:t>转增资本（或</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股本）</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73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0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．盈余公积</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弥补亏损</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145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5"/>
              <w:ind w:left="103" w:right="100"/>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．设定受益</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计</w:t>
            </w:r>
            <w:r>
              <w:rPr>
                <w:rFonts w:ascii="宋体" w:hAnsi="宋体" w:cs="宋体" w:eastAsia="宋体" w:hint="default"/>
                <w:spacing w:val="-66"/>
                <w:sz w:val="21"/>
                <w:szCs w:val="21"/>
              </w:rPr>
              <w:t> </w:t>
            </w:r>
            <w:r>
              <w:rPr>
                <w:rFonts w:ascii="宋体" w:hAnsi="宋体" w:cs="宋体" w:eastAsia="宋体" w:hint="default"/>
                <w:sz w:val="21"/>
                <w:szCs w:val="21"/>
              </w:rPr>
              <w:t>划</w:t>
            </w:r>
            <w:r>
              <w:rPr>
                <w:rFonts w:ascii="宋体" w:hAnsi="宋体" w:cs="宋体" w:eastAsia="宋体" w:hint="default"/>
                <w:spacing w:val="-69"/>
                <w:sz w:val="21"/>
                <w:szCs w:val="21"/>
              </w:rPr>
              <w:t> </w:t>
            </w:r>
            <w:r>
              <w:rPr>
                <w:rFonts w:ascii="宋体" w:hAnsi="宋体" w:cs="宋体" w:eastAsia="宋体" w:hint="default"/>
                <w:sz w:val="21"/>
                <w:szCs w:val="21"/>
              </w:rPr>
              <w:t>变</w:t>
            </w:r>
            <w:r>
              <w:rPr>
                <w:rFonts w:ascii="宋体" w:hAnsi="宋体" w:cs="宋体" w:eastAsia="宋体" w:hint="default"/>
                <w:spacing w:val="-69"/>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结</w:t>
            </w:r>
            <w:r>
              <w:rPr>
                <w:rFonts w:ascii="宋体" w:hAnsi="宋体" w:cs="宋体" w:eastAsia="宋体" w:hint="default"/>
                <w:spacing w:val="-66"/>
                <w:sz w:val="21"/>
                <w:szCs w:val="21"/>
              </w:rPr>
              <w:t> </w:t>
            </w:r>
            <w:r>
              <w:rPr>
                <w:rFonts w:ascii="宋体" w:hAnsi="宋体" w:cs="宋体" w:eastAsia="宋体" w:hint="default"/>
                <w:sz w:val="21"/>
                <w:szCs w:val="21"/>
              </w:rPr>
              <w:t>转</w:t>
            </w:r>
            <w:r>
              <w:rPr>
                <w:rFonts w:ascii="宋体" w:hAnsi="宋体" w:cs="宋体" w:eastAsia="宋体" w:hint="default"/>
                <w:spacing w:val="-69"/>
                <w:sz w:val="21"/>
                <w:szCs w:val="21"/>
              </w:rPr>
              <w:t> </w:t>
            </w:r>
            <w:r>
              <w:rPr>
                <w:rFonts w:ascii="宋体" w:hAnsi="宋体" w:cs="宋体" w:eastAsia="宋体" w:hint="default"/>
                <w:sz w:val="21"/>
                <w:szCs w:val="21"/>
              </w:rPr>
              <w:t>留</w:t>
            </w:r>
            <w:r>
              <w:rPr>
                <w:rFonts w:ascii="宋体" w:hAnsi="宋体" w:cs="宋体" w:eastAsia="宋体" w:hint="default"/>
                <w:spacing w:val="-69"/>
                <w:sz w:val="21"/>
                <w:szCs w:val="21"/>
              </w:rPr>
              <w:t> </w:t>
            </w:r>
            <w:r>
              <w:rPr>
                <w:rFonts w:ascii="宋体" w:hAnsi="宋体" w:cs="宋体" w:eastAsia="宋体" w:hint="default"/>
                <w:sz w:val="21"/>
                <w:szCs w:val="21"/>
              </w:rPr>
              <w:t>存</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7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73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pacing w:val="-11"/>
                <w:sz w:val="21"/>
                <w:szCs w:val="21"/>
              </w:rPr>
              <w:t>（五）专项储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备</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-934,486.47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15" w:right="0"/>
              <w:jc w:val="left"/>
              <w:rPr>
                <w:rFonts w:ascii="Times New Roman" w:hAnsi="Times New Roman" w:cs="Times New Roman" w:eastAsia="Times New Roman" w:hint="default"/>
                <w:sz w:val="21"/>
                <w:szCs w:val="21"/>
              </w:rPr>
            </w:pPr>
            <w:r>
              <w:rPr>
                <w:rFonts w:ascii="Times New Roman"/>
                <w:sz w:val="21"/>
              </w:rPr>
              <w:t>-8,410,378.19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-9,344,864.66</w:t>
            </w:r>
          </w:p>
        </w:tc>
      </w:tr>
      <w:tr>
        <w:trPr>
          <w:trHeight w:val="73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9"/>
              <w:jc w:val="left"/>
              <w:rPr>
                <w:rFonts w:ascii="宋体" w:hAnsi="宋体" w:cs="宋体" w:eastAsia="宋体" w:hint="default"/>
                <w:sz w:val="21"/>
                <w:szCs w:val="21"/>
              </w:rPr>
            </w:pPr>
            <w:r>
              <w:rPr>
                <w:rFonts w:ascii="宋体" w:hAnsi="宋体" w:cs="宋体" w:eastAsia="宋体" w:hint="default"/>
                <w:spacing w:val="-11"/>
                <w:sz w:val="21"/>
                <w:szCs w:val="21"/>
              </w:rPr>
              <w:t>四、本期期末</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526,684,472.00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712,443,564.32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44" w:right="0"/>
              <w:jc w:val="left"/>
              <w:rPr>
                <w:rFonts w:ascii="Times New Roman" w:hAnsi="Times New Roman" w:cs="Times New Roman" w:eastAsia="Times New Roman" w:hint="default"/>
                <w:sz w:val="21"/>
                <w:szCs w:val="21"/>
              </w:rPr>
            </w:pPr>
            <w:r>
              <w:rPr>
                <w:rFonts w:ascii="Times New Roman"/>
                <w:sz w:val="21"/>
              </w:rPr>
              <w:t>15,732,668.62</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66"/>
              <w:jc w:val="right"/>
              <w:rPr>
                <w:rFonts w:ascii="Times New Roman" w:hAnsi="Times New Roman" w:cs="Times New Roman" w:eastAsia="Times New Roman" w:hint="default"/>
                <w:sz w:val="21"/>
                <w:szCs w:val="21"/>
              </w:rPr>
            </w:pPr>
            <w:r>
              <w:rPr>
                <w:rFonts w:ascii="Times New Roman"/>
                <w:spacing w:val="-1"/>
                <w:sz w:val="21"/>
              </w:rPr>
              <w:t>64,084,066.25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89" w:right="0"/>
              <w:jc w:val="left"/>
              <w:rPr>
                <w:rFonts w:ascii="Times New Roman" w:hAnsi="Times New Roman" w:cs="Times New Roman" w:eastAsia="Times New Roman" w:hint="default"/>
                <w:sz w:val="21"/>
                <w:szCs w:val="21"/>
              </w:rPr>
            </w:pPr>
            <w:r>
              <w:rPr>
                <w:rFonts w:ascii="Times New Roman"/>
                <w:sz w:val="21"/>
              </w:rPr>
              <w:t>418,042,293.70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72" w:right="0"/>
              <w:jc w:val="left"/>
              <w:rPr>
                <w:rFonts w:ascii="Times New Roman" w:hAnsi="Times New Roman" w:cs="Times New Roman" w:eastAsia="Times New Roman" w:hint="default"/>
                <w:sz w:val="21"/>
                <w:szCs w:val="21"/>
              </w:rPr>
            </w:pPr>
            <w:r>
              <w:rPr>
                <w:rFonts w:ascii="Times New Roman"/>
                <w:sz w:val="21"/>
              </w:rPr>
              <w:t>1,705,521,727.65</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57" w:footer="980" w:top="1120" w:bottom="1160" w:left="1160" w:right="1280"/>
        </w:sectPr>
      </w:pPr>
    </w:p>
    <w:p>
      <w:pPr>
        <w:spacing w:line="240" w:lineRule="auto" w:before="11"/>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563"/>
        <w:gridCol w:w="1558"/>
        <w:gridCol w:w="567"/>
        <w:gridCol w:w="425"/>
        <w:gridCol w:w="569"/>
        <w:gridCol w:w="1699"/>
        <w:gridCol w:w="1560"/>
        <w:gridCol w:w="708"/>
        <w:gridCol w:w="710"/>
        <w:gridCol w:w="1558"/>
        <w:gridCol w:w="1560"/>
        <w:gridCol w:w="1688"/>
      </w:tblGrid>
      <w:tr>
        <w:trPr>
          <w:trHeight w:val="374" w:hRule="exact"/>
        </w:trPr>
        <w:tc>
          <w:tcPr>
            <w:tcW w:w="156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602"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372" w:hRule="exact"/>
        </w:trPr>
        <w:tc>
          <w:tcPr>
            <w:tcW w:w="1563" w:type="dxa"/>
            <w:vMerge/>
            <w:tcBorders>
              <w:left w:val="single" w:sz="6" w:space="0" w:color="000000"/>
              <w:right w:val="single" w:sz="6" w:space="0" w:color="000000"/>
            </w:tcBorders>
          </w:tcPr>
          <w:p>
            <w:pPr/>
          </w:p>
        </w:tc>
        <w:tc>
          <w:tcPr>
            <w:tcW w:w="1558"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561"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42"/>
              <w:ind w:left="14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6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42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249"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4" w:lineRule="auto"/>
              <w:ind w:left="139" w:right="131"/>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71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80"/>
              <w:ind w:left="139" w:right="132"/>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35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24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8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10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097" w:hRule="exact"/>
        </w:trPr>
        <w:tc>
          <w:tcPr>
            <w:tcW w:w="1563"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4" w:space="0" w:color="000000"/>
            </w:tcBorders>
          </w:tcPr>
          <w:p>
            <w:pPr/>
          </w:p>
        </w:tc>
        <w:tc>
          <w:tcPr>
            <w:tcW w:w="567" w:type="dxa"/>
            <w:tcBorders>
              <w:top w:val="single" w:sz="4" w:space="0" w:color="000000"/>
              <w:left w:val="single" w:sz="4" w:space="0" w:color="000000"/>
              <w:bottom w:val="single" w:sz="6" w:space="0" w:color="000000"/>
              <w:right w:val="single" w:sz="4" w:space="0" w:color="000000"/>
            </w:tcBorders>
          </w:tcPr>
          <w:p>
            <w:pPr>
              <w:pStyle w:val="TableParagraph"/>
              <w:spacing w:line="360" w:lineRule="exact" w:before="5"/>
              <w:ind w:left="187" w:right="18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360" w:lineRule="exact" w:before="5"/>
              <w:ind w:left="119" w:right="11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6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67" w:lineRule="auto"/>
              <w:ind w:left="189" w:right="185"/>
              <w:jc w:val="center"/>
              <w:rPr>
                <w:rFonts w:ascii="宋体" w:hAnsi="宋体" w:cs="宋体" w:eastAsia="宋体" w:hint="default"/>
                <w:sz w:val="18"/>
                <w:szCs w:val="18"/>
              </w:rPr>
            </w:pPr>
            <w:r>
              <w:rPr>
                <w:rFonts w:ascii="宋体" w:hAnsi="宋体" w:cs="宋体" w:eastAsia="宋体" w:hint="default"/>
                <w:sz w:val="18"/>
                <w:szCs w:val="18"/>
              </w:rPr>
              <w:t>其 他</w:t>
            </w:r>
          </w:p>
        </w:tc>
        <w:tc>
          <w:tcPr>
            <w:tcW w:w="1699"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688" w:type="dxa"/>
            <w:vMerge/>
            <w:tcBorders>
              <w:left w:val="single" w:sz="6" w:space="0" w:color="000000"/>
              <w:bottom w:val="single" w:sz="6" w:space="0" w:color="000000"/>
              <w:right w:val="single" w:sz="6" w:space="0" w:color="000000"/>
            </w:tcBorders>
          </w:tcPr>
          <w:p>
            <w:pPr/>
          </w:p>
        </w:tc>
      </w:tr>
      <w:tr>
        <w:trPr>
          <w:trHeight w:val="737"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03" w:right="97"/>
              <w:jc w:val="left"/>
              <w:rPr>
                <w:rFonts w:ascii="宋体" w:hAnsi="宋体" w:cs="宋体" w:eastAsia="宋体" w:hint="default"/>
                <w:sz w:val="21"/>
                <w:szCs w:val="21"/>
              </w:rPr>
            </w:pPr>
            <w:r>
              <w:rPr>
                <w:rFonts w:ascii="宋体" w:hAnsi="宋体" w:cs="宋体" w:eastAsia="宋体" w:hint="default"/>
                <w:spacing w:val="11"/>
                <w:sz w:val="21"/>
                <w:szCs w:val="21"/>
              </w:rPr>
              <w:t>一、上年期末</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余额</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101,707,880.00</w:t>
            </w: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6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468,884,921.35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61,654,468.00</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46,146,960.05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38" w:right="0"/>
              <w:jc w:val="center"/>
              <w:rPr>
                <w:rFonts w:ascii="Times New Roman" w:hAnsi="Times New Roman" w:cs="Times New Roman" w:eastAsia="Times New Roman" w:hint="default"/>
                <w:sz w:val="21"/>
                <w:szCs w:val="21"/>
              </w:rPr>
            </w:pPr>
            <w:r>
              <w:rPr>
                <w:rFonts w:ascii="Times New Roman"/>
                <w:sz w:val="21"/>
              </w:rPr>
              <w:t>378,322,640.30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933,407,933.70</w:t>
            </w:r>
          </w:p>
        </w:tc>
      </w:tr>
      <w:tr>
        <w:trPr>
          <w:trHeight w:val="734"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3" w:right="97"/>
              <w:jc w:val="left"/>
              <w:rPr>
                <w:rFonts w:ascii="宋体" w:hAnsi="宋体" w:cs="宋体" w:eastAsia="宋体" w:hint="default"/>
                <w:sz w:val="21"/>
                <w:szCs w:val="21"/>
              </w:rPr>
            </w:pPr>
            <w:r>
              <w:rPr>
                <w:rFonts w:ascii="宋体" w:hAnsi="宋体" w:cs="宋体" w:eastAsia="宋体" w:hint="default"/>
                <w:spacing w:val="11"/>
                <w:sz w:val="21"/>
                <w:szCs w:val="21"/>
              </w:rPr>
              <w:t>加：会计政策</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变更</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699"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374"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699"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374"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699"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737"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03" w:right="97"/>
              <w:jc w:val="left"/>
              <w:rPr>
                <w:rFonts w:ascii="宋体" w:hAnsi="宋体" w:cs="宋体" w:eastAsia="宋体" w:hint="default"/>
                <w:sz w:val="21"/>
                <w:szCs w:val="21"/>
              </w:rPr>
            </w:pPr>
            <w:r>
              <w:rPr>
                <w:rFonts w:ascii="宋体" w:hAnsi="宋体" w:cs="宋体" w:eastAsia="宋体" w:hint="default"/>
                <w:spacing w:val="11"/>
                <w:sz w:val="21"/>
                <w:szCs w:val="21"/>
              </w:rPr>
              <w:t>二、本年期初</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余额</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101,707,880.00</w:t>
            </w: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6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468,884,921.35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61,654,468.00</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46,146,960.05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38" w:right="0"/>
              <w:jc w:val="center"/>
              <w:rPr>
                <w:rFonts w:ascii="Times New Roman" w:hAnsi="Times New Roman" w:cs="Times New Roman" w:eastAsia="Times New Roman" w:hint="default"/>
                <w:sz w:val="21"/>
                <w:szCs w:val="21"/>
              </w:rPr>
            </w:pPr>
            <w:r>
              <w:rPr>
                <w:rFonts w:ascii="Times New Roman"/>
                <w:sz w:val="21"/>
              </w:rPr>
              <w:t>378,322,640.30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933,407,933.70</w:t>
            </w:r>
          </w:p>
        </w:tc>
      </w:tr>
      <w:tr>
        <w:trPr>
          <w:trHeight w:val="1455"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3"/>
              <w:ind w:left="103" w:right="97"/>
              <w:jc w:val="both"/>
              <w:rPr>
                <w:rFonts w:ascii="宋体" w:hAnsi="宋体" w:cs="宋体" w:eastAsia="宋体" w:hint="default"/>
                <w:sz w:val="21"/>
                <w:szCs w:val="21"/>
              </w:rPr>
            </w:pPr>
            <w:r>
              <w:rPr>
                <w:rFonts w:ascii="宋体" w:hAnsi="宋体" w:cs="宋体" w:eastAsia="宋体" w:hint="default"/>
                <w:spacing w:val="11"/>
                <w:sz w:val="21"/>
                <w:szCs w:val="21"/>
              </w:rPr>
              <w:t>三、本期增减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变动金额（减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少以“－”号</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填列）</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305,389,920.00</w:t>
            </w: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3"/>
              <w:jc w:val="right"/>
              <w:rPr>
                <w:rFonts w:ascii="Times New Roman" w:hAnsi="Times New Roman" w:cs="Times New Roman" w:eastAsia="Times New Roman" w:hint="default"/>
                <w:sz w:val="21"/>
                <w:szCs w:val="21"/>
              </w:rPr>
            </w:pPr>
            <w:r>
              <w:rPr>
                <w:rFonts w:ascii="Times New Roman"/>
                <w:spacing w:val="-1"/>
                <w:sz w:val="21"/>
              </w:rPr>
              <w:t>-287,093,800.58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4"/>
              <w:jc w:val="right"/>
              <w:rPr>
                <w:rFonts w:ascii="Times New Roman" w:hAnsi="Times New Roman" w:cs="Times New Roman" w:eastAsia="Times New Roman" w:hint="default"/>
                <w:sz w:val="21"/>
                <w:szCs w:val="21"/>
              </w:rPr>
            </w:pPr>
            <w:r>
              <w:rPr>
                <w:rFonts w:ascii="Times New Roman"/>
                <w:spacing w:val="-1"/>
                <w:sz w:val="21"/>
              </w:rPr>
              <w:t>-21,767,291.68</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4"/>
              <w:jc w:val="right"/>
              <w:rPr>
                <w:rFonts w:ascii="Times New Roman" w:hAnsi="Times New Roman" w:cs="Times New Roman" w:eastAsia="Times New Roman" w:hint="default"/>
                <w:sz w:val="21"/>
                <w:szCs w:val="21"/>
              </w:rPr>
            </w:pPr>
            <w:r>
              <w:rPr>
                <w:rFonts w:ascii="Times New Roman"/>
                <w:spacing w:val="-1"/>
                <w:sz w:val="21"/>
              </w:rPr>
              <w:t>7,254,909.24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44" w:right="0"/>
              <w:jc w:val="center"/>
              <w:rPr>
                <w:rFonts w:ascii="Times New Roman" w:hAnsi="Times New Roman" w:cs="Times New Roman" w:eastAsia="Times New Roman" w:hint="default"/>
                <w:sz w:val="21"/>
                <w:szCs w:val="21"/>
              </w:rPr>
            </w:pPr>
            <w:r>
              <w:rPr>
                <w:rFonts w:ascii="Times New Roman"/>
                <w:sz w:val="21"/>
              </w:rPr>
              <w:t>49,031,271.15</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4"/>
              <w:jc w:val="right"/>
              <w:rPr>
                <w:rFonts w:ascii="Times New Roman" w:hAnsi="Times New Roman" w:cs="Times New Roman" w:eastAsia="Times New Roman" w:hint="default"/>
                <w:sz w:val="21"/>
                <w:szCs w:val="21"/>
              </w:rPr>
            </w:pPr>
            <w:r>
              <w:rPr>
                <w:rFonts w:ascii="Times New Roman"/>
                <w:spacing w:val="-1"/>
                <w:sz w:val="21"/>
              </w:rPr>
              <w:t>96,349,591.49</w:t>
            </w:r>
          </w:p>
        </w:tc>
      </w:tr>
      <w:tr>
        <w:trPr>
          <w:trHeight w:val="734"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3" w:right="97"/>
              <w:jc w:val="left"/>
              <w:rPr>
                <w:rFonts w:ascii="宋体" w:hAnsi="宋体" w:cs="宋体" w:eastAsia="宋体" w:hint="default"/>
                <w:sz w:val="21"/>
                <w:szCs w:val="21"/>
              </w:rPr>
            </w:pPr>
            <w:r>
              <w:rPr>
                <w:rFonts w:ascii="宋体" w:hAnsi="宋体" w:cs="宋体" w:eastAsia="宋体" w:hint="default"/>
                <w:spacing w:val="11"/>
                <w:sz w:val="21"/>
                <w:szCs w:val="21"/>
              </w:rPr>
              <w:t>（一）综合收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益总额</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44" w:right="0"/>
              <w:jc w:val="center"/>
              <w:rPr>
                <w:rFonts w:ascii="Times New Roman" w:hAnsi="Times New Roman" w:cs="Times New Roman" w:eastAsia="Times New Roman" w:hint="default"/>
                <w:sz w:val="21"/>
                <w:szCs w:val="21"/>
              </w:rPr>
            </w:pPr>
            <w:r>
              <w:rPr>
                <w:rFonts w:ascii="Times New Roman"/>
                <w:sz w:val="21"/>
              </w:rPr>
              <w:t>72,549,092.39</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72,549,092.39</w:t>
            </w:r>
          </w:p>
        </w:tc>
      </w:tr>
      <w:tr>
        <w:trPr>
          <w:trHeight w:val="1095"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3" w:right="97"/>
              <w:jc w:val="both"/>
              <w:rPr>
                <w:rFonts w:ascii="宋体" w:hAnsi="宋体" w:cs="宋体" w:eastAsia="宋体" w:hint="default"/>
                <w:sz w:val="21"/>
                <w:szCs w:val="21"/>
              </w:rPr>
            </w:pPr>
            <w:r>
              <w:rPr>
                <w:rFonts w:ascii="宋体" w:hAnsi="宋体" w:cs="宋体" w:eastAsia="宋体" w:hint="default"/>
                <w:spacing w:val="11"/>
                <w:sz w:val="21"/>
                <w:szCs w:val="21"/>
              </w:rPr>
              <w:t>（二）所有者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投入和减少资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本</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266,280.00</w:t>
            </w: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18,029,839.42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-21,767,291.68</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40,063,411.10</w:t>
            </w:r>
          </w:p>
        </w:tc>
      </w:tr>
      <w:tr>
        <w:trPr>
          <w:trHeight w:val="377"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．所有者投入</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5"/>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57" w:footer="980" w:top="1120" w:bottom="1160" w:left="1140" w:right="1280"/>
        </w:sectPr>
      </w:pPr>
    </w:p>
    <w:p>
      <w:pPr>
        <w:spacing w:line="240" w:lineRule="auto" w:before="11"/>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563"/>
        <w:gridCol w:w="1558"/>
        <w:gridCol w:w="567"/>
        <w:gridCol w:w="425"/>
        <w:gridCol w:w="569"/>
        <w:gridCol w:w="1699"/>
        <w:gridCol w:w="1560"/>
        <w:gridCol w:w="708"/>
        <w:gridCol w:w="710"/>
        <w:gridCol w:w="1558"/>
        <w:gridCol w:w="1560"/>
        <w:gridCol w:w="1688"/>
      </w:tblGrid>
      <w:tr>
        <w:trPr>
          <w:trHeight w:val="374"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的普通股</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1094"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2"/>
              <w:ind w:left="103" w:right="96"/>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．其他权益工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1"/>
                <w:sz w:val="21"/>
                <w:szCs w:val="21"/>
              </w:rPr>
              <w:t>具持有者投入</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资本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1095"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2"/>
              <w:ind w:left="103" w:right="96"/>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．股份支付计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1"/>
                <w:sz w:val="21"/>
                <w:szCs w:val="21"/>
              </w:rPr>
              <w:t>入所有者权益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的金额</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266,280.00</w:t>
            </w: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18,029,839.42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-21,767,291.68</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40,063,411.10</w:t>
            </w:r>
          </w:p>
        </w:tc>
      </w:tr>
      <w:tr>
        <w:trPr>
          <w:trHeight w:val="377"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734"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3" w:right="97"/>
              <w:jc w:val="left"/>
              <w:rPr>
                <w:rFonts w:ascii="宋体" w:hAnsi="宋体" w:cs="宋体" w:eastAsia="宋体" w:hint="default"/>
                <w:sz w:val="21"/>
                <w:szCs w:val="21"/>
              </w:rPr>
            </w:pPr>
            <w:r>
              <w:rPr>
                <w:rFonts w:ascii="宋体" w:hAnsi="宋体" w:cs="宋体" w:eastAsia="宋体" w:hint="default"/>
                <w:spacing w:val="11"/>
                <w:sz w:val="21"/>
                <w:szCs w:val="21"/>
              </w:rPr>
              <w:t>（三）利润分</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配</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7,254,909.24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-23,517,821.24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-16,262,912.00</w:t>
            </w:r>
          </w:p>
        </w:tc>
      </w:tr>
      <w:tr>
        <w:trPr>
          <w:trHeight w:val="734"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3" w:right="96"/>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．提取盈余公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积</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7,254,909.24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-7,254,909.24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1095"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对</w:t>
            </w:r>
            <w:r>
              <w:rPr>
                <w:rFonts w:ascii="宋体" w:hAnsi="宋体" w:cs="宋体" w:eastAsia="宋体" w:hint="default"/>
                <w:spacing w:val="-69"/>
                <w:sz w:val="21"/>
                <w:szCs w:val="21"/>
              </w:rPr>
              <w:t> </w:t>
            </w:r>
            <w:r>
              <w:rPr>
                <w:rFonts w:ascii="宋体" w:hAnsi="宋体" w:cs="宋体" w:eastAsia="宋体" w:hint="default"/>
                <w:sz w:val="21"/>
                <w:szCs w:val="21"/>
              </w:rPr>
              <w:t>所</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者</w:t>
            </w:r>
          </w:p>
          <w:p>
            <w:pPr>
              <w:pStyle w:val="TableParagraph"/>
              <w:spacing w:line="314" w:lineRule="auto" w:before="69"/>
              <w:ind w:left="103" w:right="97"/>
              <w:jc w:val="left"/>
              <w:rPr>
                <w:rFonts w:ascii="宋体" w:hAnsi="宋体" w:cs="宋体" w:eastAsia="宋体" w:hint="default"/>
                <w:sz w:val="21"/>
                <w:szCs w:val="21"/>
              </w:rPr>
            </w:pPr>
            <w:r>
              <w:rPr>
                <w:rFonts w:ascii="宋体" w:hAnsi="宋体" w:cs="宋体" w:eastAsia="宋体" w:hint="default"/>
                <w:spacing w:val="11"/>
                <w:sz w:val="21"/>
                <w:szCs w:val="21"/>
              </w:rPr>
              <w:t>（或股东）的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分配</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-16,262,912.00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-16,262,912.00</w:t>
            </w:r>
          </w:p>
        </w:tc>
      </w:tr>
      <w:tr>
        <w:trPr>
          <w:trHeight w:val="377"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734"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3" w:right="97"/>
              <w:jc w:val="left"/>
              <w:rPr>
                <w:rFonts w:ascii="宋体" w:hAnsi="宋体" w:cs="宋体" w:eastAsia="宋体" w:hint="default"/>
                <w:sz w:val="21"/>
                <w:szCs w:val="21"/>
              </w:rPr>
            </w:pPr>
            <w:r>
              <w:rPr>
                <w:rFonts w:ascii="宋体" w:hAnsi="宋体" w:cs="宋体" w:eastAsia="宋体" w:hint="default"/>
                <w:spacing w:val="11"/>
                <w:sz w:val="21"/>
                <w:szCs w:val="21"/>
              </w:rPr>
              <w:t>（四）所有者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权益内部结转</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305,123,640.00</w:t>
            </w: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-305,123,640.00</w:t>
            </w: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1095"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2"/>
              <w:ind w:left="103" w:right="96"/>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．资本公积转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1"/>
                <w:sz w:val="21"/>
                <w:szCs w:val="21"/>
              </w:rPr>
              <w:t>增资本（或股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本）</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305,123,640.00</w:t>
            </w: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-305,123,640.00</w:t>
            </w: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1097"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2"/>
              <w:ind w:left="103" w:right="96"/>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．盈余公积转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1"/>
                <w:sz w:val="21"/>
                <w:szCs w:val="21"/>
              </w:rPr>
              <w:t>增资本（或股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57" w:footer="980" w:top="1120" w:bottom="1160" w:left="1140" w:right="1280"/>
        </w:sectPr>
      </w:pPr>
    </w:p>
    <w:p>
      <w:pPr>
        <w:spacing w:line="240" w:lineRule="auto" w:before="11"/>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563"/>
        <w:gridCol w:w="1558"/>
        <w:gridCol w:w="567"/>
        <w:gridCol w:w="425"/>
        <w:gridCol w:w="569"/>
        <w:gridCol w:w="1699"/>
        <w:gridCol w:w="1560"/>
        <w:gridCol w:w="708"/>
        <w:gridCol w:w="710"/>
        <w:gridCol w:w="1558"/>
        <w:gridCol w:w="1560"/>
        <w:gridCol w:w="1688"/>
      </w:tblGrid>
      <w:tr>
        <w:trPr>
          <w:trHeight w:val="734"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3" w:right="96"/>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．盈余公积弥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补亏损</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1094"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2"/>
              <w:ind w:left="103" w:right="96"/>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．设定受益计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1"/>
                <w:sz w:val="21"/>
                <w:szCs w:val="21"/>
              </w:rPr>
              <w:t>划变动额结转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留存收益</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737"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03" w:right="97"/>
              <w:jc w:val="left"/>
              <w:rPr>
                <w:rFonts w:ascii="宋体" w:hAnsi="宋体" w:cs="宋体" w:eastAsia="宋体" w:hint="default"/>
                <w:sz w:val="21"/>
                <w:szCs w:val="21"/>
              </w:rPr>
            </w:pPr>
            <w:r>
              <w:rPr>
                <w:rFonts w:ascii="宋体" w:hAnsi="宋体" w:cs="宋体" w:eastAsia="宋体" w:hint="default"/>
                <w:spacing w:val="11"/>
                <w:sz w:val="21"/>
                <w:szCs w:val="21"/>
              </w:rPr>
              <w:t>（五）专项储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备</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737"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03" w:right="97"/>
              <w:jc w:val="left"/>
              <w:rPr>
                <w:rFonts w:ascii="宋体" w:hAnsi="宋体" w:cs="宋体" w:eastAsia="宋体" w:hint="default"/>
                <w:sz w:val="21"/>
                <w:szCs w:val="21"/>
              </w:rPr>
            </w:pPr>
            <w:r>
              <w:rPr>
                <w:rFonts w:ascii="宋体" w:hAnsi="宋体" w:cs="宋体" w:eastAsia="宋体" w:hint="default"/>
                <w:spacing w:val="11"/>
                <w:sz w:val="21"/>
                <w:szCs w:val="21"/>
              </w:rPr>
              <w:t>四、本期期末</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余额</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31" w:right="0"/>
              <w:jc w:val="left"/>
              <w:rPr>
                <w:rFonts w:ascii="Times New Roman" w:hAnsi="Times New Roman" w:cs="Times New Roman" w:eastAsia="Times New Roman" w:hint="default"/>
                <w:sz w:val="21"/>
                <w:szCs w:val="21"/>
              </w:rPr>
            </w:pPr>
            <w:r>
              <w:rPr>
                <w:rFonts w:ascii="Times New Roman"/>
                <w:sz w:val="21"/>
              </w:rPr>
              <w:t>407,097,800.00</w:t>
            </w:r>
          </w:p>
        </w:tc>
        <w:tc>
          <w:tcPr>
            <w:tcW w:w="56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73" w:right="0"/>
              <w:jc w:val="left"/>
              <w:rPr>
                <w:rFonts w:ascii="Times New Roman" w:hAnsi="Times New Roman" w:cs="Times New Roman" w:eastAsia="Times New Roman" w:hint="default"/>
                <w:sz w:val="21"/>
                <w:szCs w:val="21"/>
              </w:rPr>
            </w:pPr>
            <w:r>
              <w:rPr>
                <w:rFonts w:ascii="Times New Roman"/>
                <w:sz w:val="21"/>
              </w:rPr>
              <w:t>181,791,120.77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0" w:right="0"/>
              <w:jc w:val="left"/>
              <w:rPr>
                <w:rFonts w:ascii="Times New Roman" w:hAnsi="Times New Roman" w:cs="Times New Roman" w:eastAsia="Times New Roman" w:hint="default"/>
                <w:sz w:val="21"/>
                <w:szCs w:val="21"/>
              </w:rPr>
            </w:pPr>
            <w:r>
              <w:rPr>
                <w:rFonts w:ascii="Times New Roman"/>
                <w:sz w:val="21"/>
              </w:rPr>
              <w:t>39,887,176.32</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7" w:right="0"/>
              <w:jc w:val="left"/>
              <w:rPr>
                <w:rFonts w:ascii="Times New Roman" w:hAnsi="Times New Roman" w:cs="Times New Roman" w:eastAsia="Times New Roman" w:hint="default"/>
                <w:sz w:val="21"/>
                <w:szCs w:val="21"/>
              </w:rPr>
            </w:pPr>
            <w:r>
              <w:rPr>
                <w:rFonts w:ascii="Times New Roman"/>
                <w:sz w:val="21"/>
              </w:rPr>
              <w:t>53,401,869.29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427,353,911.45</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1,029,757,525.19</w:t>
            </w:r>
          </w:p>
        </w:tc>
      </w:tr>
    </w:tbl>
    <w:p>
      <w:pPr>
        <w:pStyle w:val="BodyText"/>
        <w:tabs>
          <w:tab w:pos="4901" w:val="left" w:leader="none"/>
          <w:tab w:pos="10360" w:val="left" w:leader="none"/>
        </w:tabs>
        <w:spacing w:line="241" w:lineRule="exact"/>
        <w:ind w:left="804" w:right="0"/>
        <w:jc w:val="left"/>
      </w:pPr>
      <w:r>
        <w:rPr>
          <w:spacing w:val="-1"/>
        </w:rPr>
        <w:t>法定代表人：吴志雄</w:t>
        <w:tab/>
      </w:r>
      <w:r>
        <w:rPr>
          <w:spacing w:val="-2"/>
        </w:rPr>
        <w:t>主管会计工作负责人：曾志勇</w:t>
        <w:tab/>
        <w:t>会计机构负责人：曾志勇</w:t>
      </w:r>
    </w:p>
    <w:p>
      <w:pPr>
        <w:spacing w:after="0" w:line="241" w:lineRule="exact"/>
        <w:jc w:val="left"/>
        <w:sectPr>
          <w:pgSz w:w="16840" w:h="11910" w:orient="landscape"/>
          <w:pgMar w:header="857" w:footer="980" w:top="1120" w:bottom="1160" w:left="1140" w:right="1280"/>
        </w:sectPr>
      </w:pPr>
    </w:p>
    <w:p>
      <w:pPr>
        <w:spacing w:line="240" w:lineRule="auto" w:before="1"/>
        <w:rPr>
          <w:rFonts w:ascii="宋体" w:hAnsi="宋体" w:cs="宋体" w:eastAsia="宋体" w:hint="default"/>
          <w:sz w:val="23"/>
          <w:szCs w:val="23"/>
        </w:rPr>
      </w:pPr>
    </w:p>
    <w:p>
      <w:pPr>
        <w:pStyle w:val="Heading4"/>
        <w:spacing w:line="240" w:lineRule="auto"/>
        <w:ind w:left="137" w:right="0"/>
        <w:jc w:val="both"/>
        <w:rPr>
          <w:b w:val="0"/>
          <w:bCs w:val="0"/>
        </w:rPr>
      </w:pPr>
      <w:r>
        <w:rPr/>
        <w:t>三、公司基本情况</w:t>
      </w:r>
      <w:r>
        <w:rPr>
          <w:b w:val="0"/>
          <w:bCs w:val="0"/>
        </w:rPr>
      </w:r>
    </w:p>
    <w:p>
      <w:pPr>
        <w:pStyle w:val="Heading4"/>
        <w:spacing w:line="240" w:lineRule="auto" w:before="56"/>
        <w:ind w:left="137" w:right="0"/>
        <w:jc w:val="both"/>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公司概况</w:t>
      </w:r>
      <w:r>
        <w:rPr>
          <w:b w:val="0"/>
          <w:bCs w:val="0"/>
        </w:rPr>
      </w:r>
    </w:p>
    <w:p>
      <w:pPr>
        <w:pStyle w:val="BodyText"/>
        <w:tabs>
          <w:tab w:pos="1562" w:val="left" w:leader="none"/>
        </w:tabs>
        <w:spacing w:line="240" w:lineRule="auto" w:before="43"/>
        <w:ind w:left="617" w:right="2631"/>
        <w:jc w:val="left"/>
      </w:pPr>
      <w:r>
        <w:rPr/>
        <w:t>√适用</w:t>
        <w:tab/>
        <w:t>□不适用</w:t>
      </w:r>
    </w:p>
    <w:p>
      <w:pPr>
        <w:pStyle w:val="BodyText"/>
        <w:spacing w:line="240" w:lineRule="auto" w:before="73"/>
        <w:ind w:left="617" w:right="47"/>
        <w:jc w:val="left"/>
      </w:pPr>
      <w:r>
        <w:rPr/>
        <w:t>南威软件股份有限公司（以下简称“南威软件”或“公司”），于</w:t>
      </w:r>
      <w:r>
        <w:rPr>
          <w:spacing w:val="-3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月由吴志雄等</w:t>
      </w:r>
    </w:p>
    <w:p>
      <w:pPr>
        <w:pStyle w:val="BodyText"/>
        <w:spacing w:line="240" w:lineRule="auto" w:before="69"/>
        <w:ind w:left="137" w:right="0"/>
        <w:jc w:val="both"/>
      </w:pP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名自然人股东和天津市凯信金鹏股权投资基金合伙企业等</w:t>
      </w:r>
      <w:r>
        <w:rPr>
          <w:spacing w:val="-49"/>
        </w:rPr>
        <w:t> </w:t>
      </w:r>
      <w:r>
        <w:rPr>
          <w:rFonts w:ascii="宋体" w:hAnsi="宋体" w:cs="宋体" w:eastAsia="宋体" w:hint="default"/>
        </w:rPr>
        <w:t>4</w:t>
      </w:r>
      <w:r>
        <w:rPr>
          <w:rFonts w:ascii="宋体" w:hAnsi="宋体" w:cs="宋体" w:eastAsia="宋体" w:hint="default"/>
          <w:spacing w:val="-51"/>
        </w:rPr>
        <w:t> </w:t>
      </w:r>
      <w:r>
        <w:rPr>
          <w:spacing w:val="-4"/>
        </w:rPr>
        <w:t>名企业作为发起人，在福建南威软</w:t>
      </w:r>
    </w:p>
    <w:p>
      <w:pPr>
        <w:pStyle w:val="BodyText"/>
        <w:spacing w:line="240" w:lineRule="auto" w:before="69"/>
        <w:ind w:left="137" w:right="0"/>
        <w:jc w:val="both"/>
      </w:pPr>
      <w:r>
        <w:rPr/>
        <w:t>件工程发展有限公司基础上整体变更设立，股份有限公司设立时的股本总数 </w:t>
      </w:r>
      <w:r>
        <w:rPr>
          <w:rFonts w:ascii="Times New Roman" w:hAnsi="Times New Roman" w:cs="Times New Roman" w:eastAsia="Times New Roman" w:hint="default"/>
        </w:rPr>
        <w:t>7,500</w:t>
      </w:r>
      <w:r>
        <w:rPr>
          <w:rFonts w:ascii="Times New Roman" w:hAnsi="Times New Roman" w:cs="Times New Roman" w:eastAsia="Times New Roman" w:hint="default"/>
          <w:spacing w:val="4"/>
        </w:rPr>
        <w:t> </w:t>
      </w:r>
      <w:r>
        <w:rPr/>
        <w:t>万股（每股面</w:t>
      </w:r>
    </w:p>
    <w:p>
      <w:pPr>
        <w:pStyle w:val="BodyText"/>
        <w:spacing w:line="240" w:lineRule="auto" w:before="69"/>
        <w:ind w:left="137" w:right="0"/>
        <w:jc w:val="both"/>
      </w:pPr>
      <w:r>
        <w:rPr/>
        <w:t>值人民币</w:t>
      </w:r>
      <w:r>
        <w:rPr>
          <w:spacing w:val="-52"/>
        </w:rPr>
        <w:t> </w:t>
      </w:r>
      <w:r>
        <w:rPr>
          <w:rFonts w:ascii="宋体" w:hAnsi="宋体" w:cs="宋体" w:eastAsia="宋体" w:hint="default"/>
        </w:rPr>
        <w:t>1</w:t>
      </w:r>
      <w:r>
        <w:rPr>
          <w:rFonts w:ascii="宋体" w:hAnsi="宋体" w:cs="宋体" w:eastAsia="宋体" w:hint="default"/>
          <w:spacing w:val="-54"/>
        </w:rPr>
        <w:t> </w:t>
      </w:r>
      <w:r>
        <w:rPr/>
        <w:t>元），公司实际控制人为吴志雄。</w:t>
      </w:r>
    </w:p>
    <w:p>
      <w:pPr>
        <w:pStyle w:val="BodyText"/>
        <w:spacing w:line="240" w:lineRule="auto" w:before="85"/>
        <w:ind w:left="557" w:right="47"/>
        <w:jc w:val="left"/>
      </w:pPr>
      <w:r>
        <w:rPr>
          <w:rFonts w:ascii="Times New Roman" w:hAnsi="Times New Roman" w:cs="Times New Roman" w:eastAsia="Times New Roman" w:hint="default"/>
          <w:w w:val="100"/>
        </w:rPr>
        <w:t>2014</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spacing w:val="-3"/>
          <w:w w:val="100"/>
        </w:rPr>
        <w:t>日</w:t>
      </w:r>
      <w:r>
        <w:rPr>
          <w:w w:val="100"/>
        </w:rPr>
        <w:t>经</w:t>
      </w:r>
      <w:r>
        <w:rPr>
          <w:spacing w:val="-3"/>
          <w:w w:val="100"/>
        </w:rPr>
        <w:t>中国</w:t>
      </w:r>
      <w:r>
        <w:rPr>
          <w:w w:val="100"/>
        </w:rPr>
        <w:t>证券</w:t>
      </w:r>
      <w:r>
        <w:rPr>
          <w:spacing w:val="-3"/>
          <w:w w:val="100"/>
        </w:rPr>
        <w:t>监</w:t>
      </w:r>
      <w:r>
        <w:rPr>
          <w:w w:val="100"/>
        </w:rPr>
        <w:t>督</w:t>
      </w:r>
      <w:r>
        <w:rPr>
          <w:spacing w:val="-3"/>
          <w:w w:val="100"/>
        </w:rPr>
        <w:t>管</w:t>
      </w:r>
      <w:r>
        <w:rPr>
          <w:w w:val="100"/>
        </w:rPr>
        <w:t>理</w:t>
      </w:r>
      <w:r>
        <w:rPr>
          <w:spacing w:val="-3"/>
          <w:w w:val="100"/>
        </w:rPr>
        <w:t>委</w:t>
      </w:r>
      <w:r>
        <w:rPr>
          <w:w w:val="100"/>
        </w:rPr>
        <w:t>员</w:t>
      </w:r>
      <w:r>
        <w:rPr>
          <w:spacing w:val="-3"/>
          <w:w w:val="100"/>
        </w:rPr>
        <w:t>会</w:t>
      </w:r>
      <w:r>
        <w:rPr>
          <w:w w:val="100"/>
        </w:rPr>
        <w:t>证</w:t>
      </w:r>
      <w:r>
        <w:rPr>
          <w:spacing w:val="-3"/>
          <w:w w:val="100"/>
        </w:rPr>
        <w:t>监</w:t>
      </w:r>
      <w:r>
        <w:rPr>
          <w:w w:val="100"/>
        </w:rPr>
        <w:t>许可</w:t>
      </w:r>
      <w:r>
        <w:rPr>
          <w:rFonts w:ascii="宋体" w:hAnsi="宋体" w:cs="宋体" w:eastAsia="宋体" w:hint="default"/>
          <w:w w:val="100"/>
        </w:rPr>
        <w:t>[</w:t>
      </w:r>
      <w:r>
        <w:rPr>
          <w:rFonts w:ascii="宋体" w:hAnsi="宋体" w:cs="宋体" w:eastAsia="宋体" w:hint="default"/>
          <w:spacing w:val="-3"/>
          <w:w w:val="100"/>
        </w:rPr>
        <w:t>2</w:t>
      </w:r>
      <w:r>
        <w:rPr>
          <w:rFonts w:ascii="宋体" w:hAnsi="宋体" w:cs="宋体" w:eastAsia="宋体" w:hint="default"/>
          <w:w w:val="100"/>
        </w:rPr>
        <w:t>014</w:t>
      </w:r>
      <w:r>
        <w:rPr>
          <w:rFonts w:ascii="宋体" w:hAnsi="宋体" w:cs="宋体" w:eastAsia="宋体" w:hint="default"/>
          <w:spacing w:val="-3"/>
          <w:w w:val="100"/>
        </w:rPr>
        <w:t>]</w:t>
      </w:r>
      <w:r>
        <w:rPr>
          <w:rFonts w:ascii="宋体" w:hAnsi="宋体" w:cs="宋体" w:eastAsia="宋体" w:hint="default"/>
          <w:w w:val="100"/>
        </w:rPr>
        <w:t>13</w:t>
      </w:r>
      <w:r>
        <w:rPr>
          <w:rFonts w:ascii="宋体" w:hAnsi="宋体" w:cs="宋体" w:eastAsia="宋体" w:hint="default"/>
          <w:spacing w:val="-3"/>
          <w:w w:val="100"/>
        </w:rPr>
        <w:t>3</w:t>
      </w:r>
      <w:r>
        <w:rPr>
          <w:rFonts w:ascii="宋体" w:hAnsi="宋体" w:cs="宋体" w:eastAsia="宋体" w:hint="default"/>
          <w:w w:val="100"/>
        </w:rPr>
        <w:t>2</w:t>
      </w:r>
      <w:r>
        <w:rPr>
          <w:rFonts w:ascii="宋体" w:hAnsi="宋体" w:cs="宋体" w:eastAsia="宋体" w:hint="default"/>
          <w:spacing w:val="-53"/>
        </w:rPr>
        <w:t> </w:t>
      </w:r>
      <w:r>
        <w:rPr>
          <w:spacing w:val="-3"/>
          <w:w w:val="100"/>
        </w:rPr>
        <w:t>号</w:t>
      </w:r>
      <w:r>
        <w:rPr>
          <w:w w:val="100"/>
        </w:rPr>
        <w:t>文</w:t>
      </w:r>
      <w:r>
        <w:rPr>
          <w:spacing w:val="-3"/>
          <w:w w:val="100"/>
        </w:rPr>
        <w:t>核准</w:t>
      </w:r>
      <w:r>
        <w:rPr>
          <w:spacing w:val="-92"/>
          <w:w w:val="100"/>
        </w:rPr>
        <w:t>，</w:t>
      </w:r>
      <w:r>
        <w:rPr>
          <w:spacing w:val="-3"/>
          <w:w w:val="100"/>
        </w:rPr>
        <w:t>公</w:t>
      </w:r>
      <w:r>
        <w:rPr>
          <w:w w:val="100"/>
        </w:rPr>
        <w:t>司</w:t>
      </w:r>
      <w:r>
        <w:rPr>
          <w:spacing w:val="-3"/>
          <w:w w:val="100"/>
        </w:rPr>
        <w:t>公</w:t>
      </w:r>
      <w:r>
        <w:rPr>
          <w:w w:val="100"/>
        </w:rPr>
        <w:t>开</w:t>
      </w:r>
      <w:r>
        <w:rPr>
          <w:spacing w:val="-3"/>
          <w:w w:val="100"/>
        </w:rPr>
        <w:t>发</w:t>
      </w:r>
      <w:r>
        <w:rPr>
          <w:w w:val="100"/>
        </w:rPr>
        <w:t>行</w:t>
      </w:r>
    </w:p>
    <w:p>
      <w:pPr>
        <w:pStyle w:val="BodyText"/>
        <w:spacing w:line="240" w:lineRule="auto" w:before="69"/>
        <w:ind w:left="137" w:right="0"/>
        <w:jc w:val="both"/>
      </w:pPr>
      <w:r>
        <w:rPr>
          <w:spacing w:val="-4"/>
        </w:rPr>
        <w:t>人民币普通股（</w:t>
      </w:r>
      <w:r>
        <w:rPr>
          <w:rFonts w:ascii="宋体" w:hAnsi="宋体" w:cs="宋体" w:eastAsia="宋体" w:hint="default"/>
          <w:spacing w:val="-4"/>
        </w:rPr>
        <w:t>A</w:t>
      </w:r>
      <w:r>
        <w:rPr>
          <w:rFonts w:ascii="宋体" w:hAnsi="宋体" w:cs="宋体" w:eastAsia="宋体" w:hint="default"/>
          <w:spacing w:val="-45"/>
        </w:rPr>
        <w:t> </w:t>
      </w:r>
      <w:r>
        <w:rPr>
          <w:spacing w:val="-7"/>
        </w:rPr>
        <w:t>股）数量为</w:t>
      </w:r>
      <w:r>
        <w:rPr>
          <w:spacing w:val="-41"/>
        </w:rPr>
        <w:t> </w:t>
      </w:r>
      <w:r>
        <w:rPr>
          <w:rFonts w:ascii="Times New Roman" w:hAnsi="Times New Roman" w:cs="Times New Roman" w:eastAsia="Times New Roman" w:hint="default"/>
        </w:rPr>
        <w:t>2,500</w:t>
      </w:r>
      <w:r>
        <w:rPr>
          <w:rFonts w:ascii="Times New Roman" w:hAnsi="Times New Roman" w:cs="Times New Roman" w:eastAsia="Times New Roman" w:hint="default"/>
          <w:spacing w:val="11"/>
        </w:rPr>
        <w:t> </w:t>
      </w:r>
      <w:r>
        <w:rPr>
          <w:spacing w:val="-4"/>
        </w:rPr>
        <w:t>万股，增加注册资本人民币</w:t>
      </w:r>
      <w:r>
        <w:rPr>
          <w:spacing w:val="-42"/>
        </w:rPr>
        <w:t> </w:t>
      </w:r>
      <w:r>
        <w:rPr>
          <w:rFonts w:ascii="Times New Roman" w:hAnsi="Times New Roman" w:cs="Times New Roman" w:eastAsia="Times New Roman" w:hint="default"/>
        </w:rPr>
        <w:t>2,500.00</w:t>
      </w:r>
      <w:r>
        <w:rPr>
          <w:rFonts w:ascii="Times New Roman" w:hAnsi="Times New Roman" w:cs="Times New Roman" w:eastAsia="Times New Roman" w:hint="default"/>
          <w:spacing w:val="11"/>
        </w:rPr>
        <w:t> </w:t>
      </w:r>
      <w:r>
        <w:rPr>
          <w:spacing w:val="-4"/>
        </w:rPr>
        <w:t>万元，增加后的注册资本</w:t>
      </w:r>
    </w:p>
    <w:p>
      <w:pPr>
        <w:pStyle w:val="BodyText"/>
        <w:spacing w:line="240" w:lineRule="auto" w:before="70"/>
        <w:ind w:left="137" w:right="0"/>
        <w:jc w:val="both"/>
      </w:pPr>
      <w:r>
        <w:rPr/>
        <w:t>为人民币</w:t>
      </w:r>
      <w:r>
        <w:rPr>
          <w:spacing w:val="-54"/>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万元。</w:t>
      </w:r>
    </w:p>
    <w:p>
      <w:pPr>
        <w:pStyle w:val="BodyText"/>
        <w:spacing w:line="297" w:lineRule="auto" w:before="69"/>
        <w:ind w:left="137" w:right="47" w:firstLine="420"/>
        <w:jc w:val="left"/>
      </w:pPr>
      <w:r>
        <w:rPr/>
        <w:t>公司于</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日在上海证券交易所挂牌上市，</w:t>
      </w:r>
      <w:r>
        <w:rPr>
          <w:rFonts w:ascii="宋体" w:hAnsi="宋体" w:cs="宋体" w:eastAsia="宋体" w:hint="default"/>
        </w:rPr>
        <w:t>A</w:t>
      </w:r>
      <w:r>
        <w:rPr>
          <w:rFonts w:ascii="宋体" w:hAnsi="宋体" w:cs="宋体" w:eastAsia="宋体" w:hint="default"/>
          <w:spacing w:val="-44"/>
        </w:rPr>
        <w:t> </w:t>
      </w:r>
      <w:r>
        <w:rPr/>
        <w:t>股交易代码：</w:t>
      </w:r>
      <w:r>
        <w:rPr>
          <w:rFonts w:ascii="Times New Roman" w:hAnsi="Times New Roman" w:cs="Times New Roman" w:eastAsia="Times New Roman" w:hint="default"/>
        </w:rPr>
        <w:t>603636</w:t>
      </w:r>
      <w:r>
        <w:rPr/>
        <w:t>，股票简称：</w:t>
      </w:r>
      <w:r>
        <w:rPr>
          <w:w w:val="100"/>
        </w:rPr>
        <w:t> </w:t>
      </w:r>
      <w:r>
        <w:rPr/>
        <w:t>南威软件。</w:t>
      </w:r>
    </w:p>
    <w:p>
      <w:pPr>
        <w:pStyle w:val="BodyText"/>
        <w:spacing w:line="240" w:lineRule="auto" w:before="34"/>
        <w:ind w:left="557" w:right="47"/>
        <w:jc w:val="left"/>
      </w:pPr>
      <w:r>
        <w:rPr>
          <w:rFonts w:ascii="Times New Roman" w:hAnsi="Times New Roman" w:cs="Times New Roman" w:eastAsia="Times New Roman" w:hint="default"/>
        </w:rPr>
        <w:t>2016 </w:t>
      </w:r>
      <w:r>
        <w:rPr>
          <w:spacing w:val="-3"/>
        </w:rPr>
        <w:t>年，公司实施限制性股票激励计划，首次限制性股票激励计划向 </w:t>
      </w:r>
      <w:r>
        <w:rPr>
          <w:rFonts w:ascii="Times New Roman" w:hAnsi="Times New Roman" w:cs="Times New Roman" w:eastAsia="Times New Roman" w:hint="default"/>
        </w:rPr>
        <w:t>168</w:t>
      </w:r>
      <w:r>
        <w:rPr>
          <w:rFonts w:ascii="Times New Roman" w:hAnsi="Times New Roman" w:cs="Times New Roman" w:eastAsia="Times New Roman" w:hint="default"/>
          <w:spacing w:val="-15"/>
        </w:rPr>
        <w:t> </w:t>
      </w:r>
      <w:r>
        <w:rPr/>
        <w:t>名激励对象实际授</w:t>
      </w:r>
    </w:p>
    <w:p>
      <w:pPr>
        <w:pStyle w:val="BodyText"/>
        <w:spacing w:line="240" w:lineRule="auto" w:before="69"/>
        <w:ind w:left="137" w:right="0"/>
        <w:jc w:val="both"/>
      </w:pPr>
      <w:r>
        <w:rPr/>
        <w:t>予</w:t>
      </w:r>
      <w:r>
        <w:rPr>
          <w:spacing w:val="-46"/>
        </w:rPr>
        <w:t> </w:t>
      </w:r>
      <w:r>
        <w:rPr>
          <w:rFonts w:ascii="Times New Roman" w:hAnsi="Times New Roman" w:cs="Times New Roman" w:eastAsia="Times New Roman" w:hint="default"/>
        </w:rPr>
        <w:t>1,707,880</w:t>
      </w:r>
      <w:r>
        <w:rPr>
          <w:rFonts w:ascii="Times New Roman" w:hAnsi="Times New Roman" w:cs="Times New Roman" w:eastAsia="Times New Roman" w:hint="default"/>
          <w:spacing w:val="3"/>
        </w:rPr>
        <w:t> </w:t>
      </w:r>
      <w:r>
        <w:rPr/>
        <w:t>股限制性股票，授予价格为每股人民币</w:t>
      </w:r>
      <w:r>
        <w:rPr>
          <w:spacing w:val="-49"/>
        </w:rPr>
        <w:t> </w:t>
      </w:r>
      <w:r>
        <w:rPr>
          <w:rFonts w:ascii="Times New Roman" w:hAnsi="Times New Roman" w:cs="Times New Roman" w:eastAsia="Times New Roman" w:hint="default"/>
        </w:rPr>
        <w:t>36.10</w:t>
      </w:r>
      <w:r>
        <w:rPr>
          <w:rFonts w:ascii="Times New Roman" w:hAnsi="Times New Roman" w:cs="Times New Roman" w:eastAsia="Times New Roman" w:hint="default"/>
          <w:spacing w:val="6"/>
        </w:rPr>
        <w:t> </w:t>
      </w:r>
      <w:r>
        <w:rPr/>
        <w:t>元，授予日为</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日。限</w:t>
      </w:r>
    </w:p>
    <w:p>
      <w:pPr>
        <w:pStyle w:val="BodyText"/>
        <w:spacing w:line="240" w:lineRule="auto" w:before="69"/>
        <w:ind w:left="137" w:right="0"/>
        <w:jc w:val="both"/>
      </w:pPr>
      <w:r>
        <w:rPr/>
        <w:t>制性股票激励计划首次授予后，公司注册资本及股本均为</w:t>
      </w:r>
      <w:r>
        <w:rPr>
          <w:spacing w:val="-54"/>
        </w:rPr>
        <w:t> </w:t>
      </w:r>
      <w:r>
        <w:rPr>
          <w:rFonts w:ascii="Times New Roman" w:hAnsi="Times New Roman" w:cs="Times New Roman" w:eastAsia="Times New Roman" w:hint="default"/>
        </w:rPr>
        <w:t>101,707,880.00</w:t>
      </w:r>
      <w:r>
        <w:rPr>
          <w:rFonts w:ascii="Times New Roman" w:hAnsi="Times New Roman" w:cs="Times New Roman" w:eastAsia="Times New Roman" w:hint="default"/>
          <w:spacing w:val="-1"/>
        </w:rPr>
        <w:t> </w:t>
      </w:r>
      <w:r>
        <w:rPr>
          <w:spacing w:val="-3"/>
        </w:rPr>
        <w:t>元。</w:t>
      </w:r>
      <w:r>
        <w:rPr/>
      </w:r>
    </w:p>
    <w:p>
      <w:pPr>
        <w:pStyle w:val="BodyText"/>
        <w:spacing w:line="240" w:lineRule="auto" w:before="69"/>
        <w:ind w:left="557" w:right="47"/>
        <w:jc w:val="left"/>
      </w:pPr>
      <w:r>
        <w:rPr/>
        <w:t>根据公司</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日召开的</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年年度股东大会审议通过的《关于公司</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年度利</w:t>
      </w:r>
    </w:p>
    <w:p>
      <w:pPr>
        <w:pStyle w:val="BodyText"/>
        <w:spacing w:line="297" w:lineRule="auto" w:before="69"/>
        <w:ind w:left="137" w:right="208"/>
        <w:jc w:val="both"/>
      </w:pPr>
      <w:r>
        <w:rPr>
          <w:spacing w:val="-12"/>
          <w:w w:val="100"/>
        </w:rPr>
        <w:t>润分配及资本公积转增股本预案》，</w:t>
      </w:r>
      <w:r>
        <w:rPr>
          <w:rFonts w:ascii="Times New Roman" w:hAnsi="Times New Roman" w:cs="Times New Roman" w:eastAsia="Times New Roman" w:hint="default"/>
          <w:spacing w:val="-12"/>
          <w:w w:val="100"/>
        </w:rPr>
        <w:t>2017</w:t>
      </w:r>
      <w:r>
        <w:rPr>
          <w:rFonts w:ascii="Times New Roman" w:hAnsi="Times New Roman" w:cs="Times New Roman" w:eastAsia="Times New Roman" w:hint="default"/>
          <w:spacing w:val="-9"/>
          <w:w w:val="100"/>
        </w:rPr>
        <w:t> </w:t>
      </w:r>
      <w:r>
        <w:rPr>
          <w:w w:val="100"/>
        </w:rPr>
        <w:t>年</w:t>
      </w:r>
      <w:r>
        <w:rPr>
          <w:spacing w:val="-61"/>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6"/>
          <w:w w:val="100"/>
        </w:rPr>
        <w:t> </w:t>
      </w:r>
      <w:r>
        <w:rPr>
          <w:w w:val="100"/>
        </w:rPr>
        <w:t>月</w:t>
      </w:r>
      <w:r>
        <w:rPr>
          <w:spacing w:val="-61"/>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9"/>
          <w:w w:val="100"/>
        </w:rPr>
        <w:t> </w:t>
      </w:r>
      <w:r>
        <w:rPr>
          <w:spacing w:val="-23"/>
          <w:w w:val="100"/>
        </w:rPr>
        <w:t>日，公司以</w:t>
      </w:r>
      <w:r>
        <w:rPr>
          <w:spacing w:val="-59"/>
          <w:w w:val="100"/>
        </w:rPr>
        <w:t> </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spacing w:val="-9"/>
          <w:w w:val="100"/>
        </w:rPr>
        <w:t> </w:t>
      </w:r>
      <w:r>
        <w:rPr>
          <w:w w:val="100"/>
        </w:rPr>
        <w:t>年</w:t>
      </w:r>
      <w:r>
        <w:rPr>
          <w:spacing w:val="-59"/>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9"/>
          <w:w w:val="100"/>
        </w:rPr>
        <w:t> </w:t>
      </w:r>
      <w:r>
        <w:rPr>
          <w:w w:val="100"/>
        </w:rPr>
        <w:t>月</w:t>
      </w:r>
      <w:r>
        <w:rPr>
          <w:spacing w:val="-59"/>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9"/>
          <w:w w:val="100"/>
        </w:rPr>
        <w:t> </w:t>
      </w:r>
      <w:r>
        <w:rPr>
          <w:spacing w:val="-2"/>
          <w:w w:val="100"/>
        </w:rPr>
        <w:t>日总股本</w:t>
      </w:r>
      <w:r>
        <w:rPr>
          <w:spacing w:val="-58"/>
          <w:w w:val="100"/>
        </w:rPr>
        <w:t> </w:t>
      </w:r>
      <w:r>
        <w:rPr>
          <w:rFonts w:ascii="Times New Roman" w:hAnsi="Times New Roman" w:cs="Times New Roman" w:eastAsia="Times New Roman" w:hint="default"/>
          <w:spacing w:val="-1"/>
          <w:w w:val="100"/>
        </w:rPr>
        <w:t>101,707,880</w:t>
      </w:r>
      <w:r>
        <w:rPr>
          <w:rFonts w:ascii="Times New Roman" w:hAnsi="Times New Roman" w:cs="Times New Roman" w:eastAsia="Times New Roman" w:hint="default"/>
          <w:w w:val="100"/>
        </w:rPr>
        <w:t> </w:t>
      </w:r>
      <w:r>
        <w:rPr>
          <w:spacing w:val="8"/>
        </w:rPr>
        <w:t>股为基数，向全体股东以资本公积金每 </w:t>
      </w:r>
      <w:r>
        <w:rPr>
          <w:rFonts w:ascii="Times New Roman" w:hAnsi="Times New Roman" w:cs="Times New Roman" w:eastAsia="Times New Roman" w:hint="default"/>
        </w:rPr>
        <w:t>10 </w:t>
      </w:r>
      <w:r>
        <w:rPr>
          <w:spacing w:val="5"/>
        </w:rPr>
        <w:t>股转增 </w:t>
      </w:r>
      <w:r>
        <w:rPr>
          <w:rFonts w:ascii="Times New Roman" w:hAnsi="Times New Roman" w:cs="Times New Roman" w:eastAsia="Times New Roman" w:hint="default"/>
        </w:rPr>
        <w:t>30 </w:t>
      </w:r>
      <w:r>
        <w:rPr>
          <w:spacing w:val="8"/>
        </w:rPr>
        <w:t>股，转增后公司注册资本及股本均为</w:t>
      </w:r>
      <w:r>
        <w:rPr>
          <w:spacing w:val="-90"/>
        </w:rPr>
        <w:t> </w:t>
      </w:r>
      <w:r>
        <w:rPr>
          <w:spacing w:val="-90"/>
        </w:rPr>
      </w:r>
      <w:r>
        <w:rPr>
          <w:rFonts w:ascii="Times New Roman" w:hAnsi="Times New Roman" w:cs="Times New Roman" w:eastAsia="Times New Roman" w:hint="default"/>
        </w:rPr>
        <w:t>406,831,520.00 </w:t>
      </w:r>
      <w:r>
        <w:rPr/>
        <w:t>元。</w:t>
      </w:r>
    </w:p>
    <w:p>
      <w:pPr>
        <w:pStyle w:val="BodyText"/>
        <w:spacing w:line="240" w:lineRule="auto" w:before="14"/>
        <w:ind w:left="557" w:right="4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年，公司向符合激励条件的</w:t>
      </w:r>
      <w:r>
        <w:rPr>
          <w:spacing w:val="-40"/>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名激励对象授予</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年限制性股票激励计划预留部分的</w:t>
      </w:r>
    </w:p>
    <w:p>
      <w:pPr>
        <w:pStyle w:val="BodyText"/>
        <w:spacing w:line="240" w:lineRule="auto" w:before="69"/>
        <w:ind w:left="137" w:right="0"/>
        <w:jc w:val="both"/>
      </w:pPr>
      <w:r>
        <w:rPr/>
        <w:t>限制性股票</w:t>
      </w:r>
      <w:r>
        <w:rPr>
          <w:spacing w:val="-42"/>
        </w:rPr>
        <w:t> </w:t>
      </w:r>
      <w:r>
        <w:rPr>
          <w:rFonts w:ascii="Times New Roman" w:hAnsi="Times New Roman" w:cs="Times New Roman" w:eastAsia="Times New Roman" w:hint="default"/>
        </w:rPr>
        <w:t>525,000</w:t>
      </w:r>
      <w:r>
        <w:rPr>
          <w:rFonts w:ascii="Times New Roman" w:hAnsi="Times New Roman" w:cs="Times New Roman" w:eastAsia="Times New Roman" w:hint="default"/>
          <w:spacing w:val="8"/>
        </w:rPr>
        <w:t> </w:t>
      </w:r>
      <w:r>
        <w:rPr>
          <w:spacing w:val="-5"/>
        </w:rPr>
        <w:t>股，注册资本及股本均为，授予价格为</w:t>
      </w:r>
      <w:r>
        <w:rPr>
          <w:spacing w:val="-42"/>
        </w:rPr>
        <w:t> </w:t>
      </w:r>
      <w:r>
        <w:rPr>
          <w:rFonts w:ascii="Times New Roman" w:hAnsi="Times New Roman" w:cs="Times New Roman" w:eastAsia="Times New Roman" w:hint="default"/>
        </w:rPr>
        <w:t>7.14</w:t>
      </w:r>
      <w:r>
        <w:rPr>
          <w:rFonts w:ascii="Times New Roman" w:hAnsi="Times New Roman" w:cs="Times New Roman" w:eastAsia="Times New Roman" w:hint="default"/>
          <w:spacing w:val="11"/>
        </w:rPr>
        <w:t> </w:t>
      </w:r>
      <w:r>
        <w:rPr>
          <w:spacing w:val="-4"/>
        </w:rPr>
        <w:t>元</w:t>
      </w:r>
      <w:r>
        <w:rPr>
          <w:rFonts w:ascii="宋体" w:hAnsi="宋体" w:cs="宋体" w:eastAsia="宋体" w:hint="default"/>
          <w:spacing w:val="-4"/>
        </w:rPr>
        <w:t>/</w:t>
      </w:r>
      <w:r>
        <w:rPr>
          <w:spacing w:val="-4"/>
        </w:rPr>
        <w:t>股。本次预留部分的限制性股</w:t>
      </w:r>
    </w:p>
    <w:p>
      <w:pPr>
        <w:pStyle w:val="BodyText"/>
        <w:spacing w:line="240" w:lineRule="auto" w:before="69"/>
        <w:ind w:left="137" w:right="0"/>
        <w:jc w:val="both"/>
      </w:pPr>
      <w:r>
        <w:rPr/>
        <w:t>票授予后，公司注册资本及股本均为</w:t>
      </w:r>
      <w:r>
        <w:rPr>
          <w:spacing w:val="-54"/>
        </w:rPr>
        <w:t> </w:t>
      </w:r>
      <w:r>
        <w:rPr>
          <w:rFonts w:ascii="Times New Roman" w:hAnsi="Times New Roman" w:cs="Times New Roman" w:eastAsia="Times New Roman" w:hint="default"/>
        </w:rPr>
        <w:t>407,356,520.00</w:t>
      </w:r>
      <w:r>
        <w:rPr>
          <w:rFonts w:ascii="Times New Roman" w:hAnsi="Times New Roman" w:cs="Times New Roman" w:eastAsia="Times New Roman" w:hint="default"/>
          <w:spacing w:val="-1"/>
        </w:rPr>
        <w:t> </w:t>
      </w:r>
      <w:r>
        <w:rPr/>
        <w:t>元。</w:t>
      </w:r>
    </w:p>
    <w:p>
      <w:pPr>
        <w:pStyle w:val="BodyText"/>
        <w:spacing w:line="240" w:lineRule="auto" w:before="69"/>
        <w:ind w:left="557" w:right="4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30</w:t>
      </w:r>
      <w:r>
        <w:rPr>
          <w:rFonts w:ascii="Times New Roman" w:hAnsi="Times New Roman" w:cs="Times New Roman" w:eastAsia="Times New Roman" w:hint="default"/>
          <w:spacing w:val="11"/>
        </w:rPr>
        <w:t> </w:t>
      </w:r>
      <w:r>
        <w:rPr>
          <w:spacing w:val="-3"/>
        </w:rPr>
        <w:t>日，公司完成股权激励计划首次授予的部分限制性股票回购注销工作，董事</w:t>
      </w:r>
    </w:p>
    <w:p>
      <w:pPr>
        <w:pStyle w:val="BodyText"/>
        <w:spacing w:line="240" w:lineRule="auto" w:before="69"/>
        <w:ind w:left="137" w:right="0"/>
        <w:jc w:val="both"/>
      </w:pPr>
      <w:r>
        <w:rPr/>
        <w:t>会根据股东大会的授权对不符合解锁条件的</w:t>
      </w:r>
      <w:r>
        <w:rPr>
          <w:spacing w:val="-64"/>
        </w:rPr>
        <w:t> </w:t>
      </w:r>
      <w:r>
        <w:rPr>
          <w:rFonts w:ascii="宋体" w:hAnsi="宋体" w:cs="宋体" w:eastAsia="宋体" w:hint="default"/>
        </w:rPr>
        <w:t>1</w:t>
      </w:r>
      <w:r>
        <w:rPr>
          <w:rFonts w:ascii="Times New Roman" w:hAnsi="Times New Roman" w:cs="Times New Roman" w:eastAsia="Times New Roman" w:hint="default"/>
        </w:rPr>
        <w:t>0</w:t>
      </w:r>
      <w:r>
        <w:rPr>
          <w:rFonts w:ascii="Times New Roman" w:hAnsi="Times New Roman" w:cs="Times New Roman" w:eastAsia="Times New Roman" w:hint="default"/>
          <w:spacing w:val="-12"/>
        </w:rPr>
        <w:t> </w:t>
      </w:r>
      <w:r>
        <w:rPr/>
        <w:t>名激励对象合计持有的</w:t>
      </w:r>
      <w:r>
        <w:rPr>
          <w:spacing w:val="-64"/>
        </w:rPr>
        <w:t> </w:t>
      </w:r>
      <w:r>
        <w:rPr>
          <w:rFonts w:ascii="Times New Roman" w:hAnsi="Times New Roman" w:cs="Times New Roman" w:eastAsia="Times New Roman" w:hint="default"/>
        </w:rPr>
        <w:t>258,720</w:t>
      </w:r>
      <w:r>
        <w:rPr>
          <w:rFonts w:ascii="Times New Roman" w:hAnsi="Times New Roman" w:cs="Times New Roman" w:eastAsia="Times New Roman" w:hint="default"/>
          <w:spacing w:val="-14"/>
        </w:rPr>
        <w:t> </w:t>
      </w:r>
      <w:r>
        <w:rPr/>
        <w:t>股已获授但尚未解</w:t>
      </w:r>
    </w:p>
    <w:p>
      <w:pPr>
        <w:pStyle w:val="BodyText"/>
        <w:spacing w:line="304" w:lineRule="auto" w:before="69"/>
        <w:ind w:left="0" w:right="208"/>
        <w:jc w:val="right"/>
        <w:rPr>
          <w:rFonts w:ascii="Times New Roman" w:hAnsi="Times New Roman" w:cs="Times New Roman" w:eastAsia="Times New Roman" w:hint="default"/>
        </w:rPr>
      </w:pPr>
      <w:r>
        <w:rPr>
          <w:spacing w:val="-5"/>
          <w:w w:val="100"/>
        </w:rPr>
        <w:t>锁的限制性股票进行回购注销。本次回购注销完成后公司注册资本及股本均为</w:t>
      </w:r>
      <w:r>
        <w:rPr>
          <w:spacing w:val="-62"/>
          <w:w w:val="100"/>
        </w:rPr>
        <w:t> </w:t>
      </w:r>
      <w:r>
        <w:rPr>
          <w:rFonts w:ascii="Times New Roman" w:hAnsi="Times New Roman" w:cs="Times New Roman" w:eastAsia="Times New Roman" w:hint="default"/>
          <w:spacing w:val="-1"/>
          <w:w w:val="100"/>
        </w:rPr>
        <w:t>407,097,800.00</w:t>
      </w:r>
      <w:r>
        <w:rPr>
          <w:rFonts w:ascii="Times New Roman" w:hAnsi="Times New Roman" w:cs="Times New Roman" w:eastAsia="Times New Roman" w:hint="default"/>
          <w:spacing w:val="-12"/>
          <w:w w:val="100"/>
        </w:rPr>
        <w:t> </w:t>
      </w:r>
      <w:r>
        <w:rPr>
          <w:spacing w:val="-3"/>
          <w:w w:val="100"/>
        </w:rPr>
        <w:t>元。 </w:t>
      </w:r>
      <w:r>
        <w:rPr>
          <w:spacing w:val="8"/>
        </w:rPr>
        <w:t>经中国证券监督管理委员会《关于核准南威软件股份有限公司配股的批复》（证监许可</w:t>
      </w:r>
      <w:r>
        <w:rPr>
          <w:w w:val="100"/>
        </w:rPr>
        <w:t> </w:t>
      </w:r>
      <w:r>
        <w:rPr>
          <w:rFonts w:ascii="Times New Roman" w:hAnsi="Times New Roman" w:cs="Times New Roman" w:eastAsia="Times New Roman" w:hint="default"/>
          <w:spacing w:val="-1"/>
          <w:w w:val="100"/>
        </w:rPr>
        <w:t>[2017]2382</w:t>
      </w:r>
      <w:r>
        <w:rPr>
          <w:rFonts w:ascii="Times New Roman" w:hAnsi="Times New Roman" w:cs="Times New Roman" w:eastAsia="Times New Roman" w:hint="default"/>
          <w:spacing w:val="-2"/>
          <w:w w:val="100"/>
        </w:rPr>
        <w:t> </w:t>
      </w:r>
      <w:r>
        <w:rPr>
          <w:spacing w:val="-19"/>
          <w:w w:val="100"/>
        </w:rPr>
        <w:t>号）核准，公司向原股东配售股票，截止</w:t>
      </w:r>
      <w:r>
        <w:rPr>
          <w:spacing w:val="-56"/>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4"/>
          <w:w w:val="100"/>
        </w:rPr>
        <w:t> </w:t>
      </w:r>
      <w:r>
        <w:rPr>
          <w:w w:val="100"/>
        </w:rPr>
        <w:t>年</w:t>
      </w:r>
      <w:r>
        <w:rPr>
          <w:spacing w:val="-54"/>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4"/>
          <w:w w:val="100"/>
        </w:rPr>
        <w:t> </w:t>
      </w:r>
      <w:r>
        <w:rPr>
          <w:w w:val="100"/>
        </w:rPr>
        <w:t>月</w:t>
      </w:r>
      <w:r>
        <w:rPr>
          <w:spacing w:val="-54"/>
          <w:w w:val="100"/>
        </w:rPr>
        <w:t> </w:t>
      </w:r>
      <w:r>
        <w:rPr>
          <w:rFonts w:ascii="Times New Roman" w:hAnsi="Times New Roman" w:cs="Times New Roman" w:eastAsia="Times New Roman" w:hint="default"/>
          <w:spacing w:val="-2"/>
          <w:w w:val="100"/>
        </w:rPr>
        <w:t>21 </w:t>
      </w:r>
      <w:r>
        <w:rPr>
          <w:spacing w:val="-13"/>
          <w:w w:val="100"/>
        </w:rPr>
        <w:t>日止，公司实际配售</w:t>
      </w:r>
      <w:r>
        <w:rPr>
          <w:spacing w:val="-54"/>
          <w:w w:val="100"/>
        </w:rPr>
        <w:t> </w:t>
      </w:r>
      <w:r>
        <w:rPr>
          <w:rFonts w:ascii="Times New Roman" w:hAnsi="Times New Roman" w:cs="Times New Roman" w:eastAsia="Times New Roman" w:hint="default"/>
          <w:spacing w:val="-1"/>
          <w:w w:val="100"/>
        </w:rPr>
        <w:t>120,159,152</w:t>
      </w:r>
    </w:p>
    <w:p>
      <w:pPr>
        <w:pStyle w:val="BodyText"/>
        <w:spacing w:line="240" w:lineRule="auto" w:before="6"/>
        <w:ind w:left="137" w:right="0"/>
        <w:jc w:val="both"/>
      </w:pPr>
      <w:r>
        <w:rPr/>
        <w:t>股，配股后注册资本及股本均为</w:t>
      </w:r>
      <w:r>
        <w:rPr>
          <w:spacing w:val="-54"/>
        </w:rPr>
        <w:t> </w:t>
      </w:r>
      <w:r>
        <w:rPr>
          <w:rFonts w:ascii="Times New Roman" w:hAnsi="Times New Roman" w:cs="Times New Roman" w:eastAsia="Times New Roman" w:hint="default"/>
        </w:rPr>
        <w:t>527,256,952.00</w:t>
      </w:r>
      <w:r>
        <w:rPr>
          <w:rFonts w:ascii="Times New Roman" w:hAnsi="Times New Roman" w:cs="Times New Roman" w:eastAsia="Times New Roman" w:hint="default"/>
          <w:spacing w:val="-1"/>
        </w:rPr>
        <w:t> </w:t>
      </w:r>
      <w:r>
        <w:rPr>
          <w:spacing w:val="-3"/>
        </w:rPr>
        <w:t>元。</w:t>
      </w:r>
      <w:r>
        <w:rPr/>
      </w:r>
    </w:p>
    <w:p>
      <w:pPr>
        <w:pStyle w:val="BodyText"/>
        <w:spacing w:line="240" w:lineRule="auto" w:before="70"/>
        <w:ind w:left="557" w:right="47"/>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t>日，公司完成股权激励计划首次授予及预留部分限制性股票回购注销工作，</w:t>
      </w:r>
    </w:p>
    <w:p>
      <w:pPr>
        <w:pStyle w:val="BodyText"/>
        <w:spacing w:line="240" w:lineRule="auto" w:before="69"/>
        <w:ind w:left="137" w:right="0"/>
        <w:jc w:val="both"/>
      </w:pPr>
      <w:r>
        <w:rPr/>
        <w:t>董事会根据股东大会的授权对不符合解锁条件的</w:t>
      </w:r>
      <w:r>
        <w:rPr>
          <w:spacing w:val="-64"/>
        </w:rPr>
        <w:t> </w:t>
      </w:r>
      <w:r>
        <w:rPr>
          <w:rFonts w:ascii="Times New Roman" w:hAnsi="Times New Roman" w:cs="Times New Roman" w:eastAsia="Times New Roman" w:hint="default"/>
        </w:rPr>
        <w:t>28</w:t>
      </w:r>
      <w:r>
        <w:rPr>
          <w:rFonts w:ascii="Times New Roman" w:hAnsi="Times New Roman" w:cs="Times New Roman" w:eastAsia="Times New Roman" w:hint="default"/>
          <w:spacing w:val="-13"/>
        </w:rPr>
        <w:t> </w:t>
      </w:r>
      <w:r>
        <w:rPr/>
        <w:t>名激励对象合计持有的</w:t>
      </w:r>
      <w:r>
        <w:rPr>
          <w:spacing w:val="-64"/>
        </w:rPr>
        <w:t> </w:t>
      </w:r>
      <w:r>
        <w:rPr>
          <w:rFonts w:ascii="Times New Roman" w:hAnsi="Times New Roman" w:cs="Times New Roman" w:eastAsia="Times New Roman" w:hint="default"/>
        </w:rPr>
        <w:t>572,480</w:t>
      </w:r>
      <w:r>
        <w:rPr>
          <w:rFonts w:ascii="Times New Roman" w:hAnsi="Times New Roman" w:cs="Times New Roman" w:eastAsia="Times New Roman" w:hint="default"/>
          <w:spacing w:val="-13"/>
        </w:rPr>
        <w:t> </w:t>
      </w:r>
      <w:r>
        <w:rPr/>
        <w:t>股已获授但尚</w:t>
      </w:r>
    </w:p>
    <w:p>
      <w:pPr>
        <w:pStyle w:val="BodyText"/>
        <w:spacing w:line="240" w:lineRule="auto" w:before="69"/>
        <w:ind w:left="137" w:right="0"/>
        <w:jc w:val="both"/>
        <w:rPr>
          <w:rFonts w:ascii="Times New Roman" w:hAnsi="Times New Roman" w:cs="Times New Roman" w:eastAsia="Times New Roman" w:hint="default"/>
        </w:rPr>
      </w:pPr>
      <w:r>
        <w:rPr/>
        <w:t>未解锁的限制性股票进行回购注销。本次回购注销完成后公司注册资本及股本均为 </w:t>
      </w:r>
      <w:r>
        <w:rPr>
          <w:spacing w:val="2"/>
        </w:rPr>
        <w:t> </w:t>
      </w:r>
      <w:r>
        <w:rPr>
          <w:rFonts w:ascii="Times New Roman" w:hAnsi="Times New Roman" w:cs="Times New Roman" w:eastAsia="Times New Roman" w:hint="default"/>
        </w:rPr>
        <w:t>526,684,472</w:t>
      </w:r>
    </w:p>
    <w:p>
      <w:pPr>
        <w:pStyle w:val="BodyText"/>
        <w:spacing w:line="240" w:lineRule="auto" w:before="69"/>
        <w:ind w:left="137" w:right="0"/>
        <w:jc w:val="both"/>
      </w:pPr>
      <w:r>
        <w:rPr/>
        <w:t>元。</w:t>
      </w:r>
    </w:p>
    <w:p>
      <w:pPr>
        <w:pStyle w:val="BodyText"/>
        <w:spacing w:line="297" w:lineRule="auto" w:before="85"/>
        <w:ind w:left="137" w:right="47" w:firstLine="420"/>
        <w:jc w:val="left"/>
      </w:pPr>
      <w:r>
        <w:rPr>
          <w:spacing w:val="-2"/>
        </w:rPr>
        <w:t>公司营业执照记载的统一社会信用代码为：</w:t>
      </w:r>
      <w:r>
        <w:rPr>
          <w:rFonts w:ascii="Times New Roman" w:hAnsi="Times New Roman" w:cs="Times New Roman" w:eastAsia="Times New Roman" w:hint="default"/>
          <w:spacing w:val="-2"/>
        </w:rPr>
        <w:t>91350000743817927G</w:t>
      </w:r>
      <w:r>
        <w:rPr>
          <w:spacing w:val="-2"/>
        </w:rPr>
        <w:t>，注册地址：福建省泉州市</w:t>
      </w:r>
      <w:r>
        <w:rPr>
          <w:w w:val="100"/>
        </w:rPr>
        <w:t> </w:t>
      </w:r>
      <w:r>
        <w:rPr/>
        <w:t>丰泽区丰海路南威大厦</w:t>
      </w:r>
      <w:r>
        <w:rPr>
          <w:spacing w:val="-53"/>
        </w:rPr>
        <w:t> </w:t>
      </w:r>
      <w:r>
        <w:rPr>
          <w:rFonts w:ascii="宋体" w:hAnsi="宋体" w:cs="宋体" w:eastAsia="宋体" w:hint="default"/>
        </w:rPr>
        <w:t>2</w:t>
      </w:r>
      <w:r>
        <w:rPr>
          <w:rFonts w:ascii="宋体" w:hAnsi="宋体" w:cs="宋体" w:eastAsia="宋体" w:hint="default"/>
          <w:spacing w:val="-55"/>
        </w:rPr>
        <w:t> </w:t>
      </w:r>
      <w:r>
        <w:rPr/>
        <w:t>号楼，法定代表人：吴志雄。</w:t>
      </w:r>
    </w:p>
    <w:p>
      <w:pPr>
        <w:pStyle w:val="BodyText"/>
        <w:spacing w:line="314" w:lineRule="auto" w:before="34"/>
        <w:ind w:left="557" w:right="47"/>
        <w:jc w:val="left"/>
      </w:pPr>
      <w:r>
        <w:rPr/>
        <w:t>公司行业性质：计算机应用服务业。</w:t>
      </w:r>
      <w:r>
        <w:rPr>
          <w:w w:val="100"/>
        </w:rPr>
        <w:t> </w:t>
      </w:r>
      <w:r>
        <w:rPr>
          <w:spacing w:val="-2"/>
        </w:rPr>
        <w:t>公司经营范围：计算机软件开发服务；互联网技术开发与服务；网络安全产品开发与服务；</w:t>
      </w:r>
    </w:p>
    <w:p>
      <w:pPr>
        <w:pStyle w:val="BodyText"/>
        <w:spacing w:line="314" w:lineRule="auto" w:before="20"/>
        <w:ind w:left="137" w:right="47"/>
        <w:jc w:val="left"/>
      </w:pPr>
      <w:r>
        <w:rPr>
          <w:spacing w:val="-1"/>
        </w:rPr>
        <w:t>计算机信息系统集成服务；智能化系统集成服务；安防工程的设计与安装服务；技术咨询与运维</w:t>
      </w:r>
      <w:r>
        <w:rPr>
          <w:spacing w:val="-55"/>
        </w:rPr>
        <w:t> </w:t>
      </w:r>
      <w:r>
        <w:rPr>
          <w:spacing w:val="-55"/>
        </w:rPr>
      </w:r>
      <w:r>
        <w:rPr>
          <w:spacing w:val="-1"/>
        </w:rPr>
        <w:t>服务；经营本企业生产所需的机械设备、零配件、原辅材料及技术的进口业务；货物或技术进出</w:t>
      </w:r>
    </w:p>
    <w:p>
      <w:pPr>
        <w:spacing w:after="0" w:line="314" w:lineRule="auto"/>
        <w:jc w:val="left"/>
        <w:sectPr>
          <w:headerReference w:type="default" r:id="rId42"/>
          <w:footerReference w:type="default" r:id="rId43"/>
          <w:pgSz w:w="11910" w:h="16840"/>
          <w:pgMar w:header="857" w:footer="979" w:top="1120" w:bottom="1160" w:left="1140" w:right="1580"/>
          <w:pgNumType w:start="110"/>
        </w:sectPr>
      </w:pPr>
    </w:p>
    <w:p>
      <w:pPr>
        <w:spacing w:line="240" w:lineRule="auto" w:before="5"/>
        <w:rPr>
          <w:rFonts w:ascii="宋体" w:hAnsi="宋体" w:cs="宋体" w:eastAsia="宋体" w:hint="default"/>
          <w:sz w:val="24"/>
          <w:szCs w:val="24"/>
        </w:rPr>
      </w:pPr>
    </w:p>
    <w:p>
      <w:pPr>
        <w:pStyle w:val="BodyText"/>
        <w:spacing w:line="314" w:lineRule="auto" w:before="36"/>
        <w:ind w:left="137" w:right="209"/>
        <w:jc w:val="both"/>
      </w:pPr>
      <w:r>
        <w:rPr>
          <w:spacing w:val="-1"/>
        </w:rPr>
        <w:t>口（国家禁止或涉及行政审批的货物和技术进出口除外）；法律、法规及国务院决定未禁止且未</w:t>
      </w:r>
      <w:r>
        <w:rPr>
          <w:spacing w:val="-55"/>
        </w:rPr>
        <w:t> </w:t>
      </w:r>
      <w:r>
        <w:rPr>
          <w:spacing w:val="-55"/>
        </w:rPr>
      </w:r>
      <w:r>
        <w:rPr>
          <w:spacing w:val="-1"/>
        </w:rPr>
        <w:t>规定许可的项目自主选择；应经许可的，凭有效许可证件或批准证书经营。（依法须经批准的项</w:t>
      </w:r>
      <w:r>
        <w:rPr>
          <w:spacing w:val="-55"/>
        </w:rPr>
        <w:t> </w:t>
      </w:r>
      <w:r>
        <w:rPr>
          <w:spacing w:val="-55"/>
        </w:rPr>
      </w:r>
      <w:r>
        <w:rPr/>
        <w:t>目，经相关部门批准后方可开展经营活动）。</w:t>
      </w:r>
    </w:p>
    <w:p>
      <w:pPr>
        <w:pStyle w:val="BodyText"/>
        <w:spacing w:line="311" w:lineRule="exact"/>
        <w:ind w:left="557" w:right="2631"/>
        <w:jc w:val="left"/>
        <w:rPr>
          <w:sz w:val="24"/>
          <w:szCs w:val="24"/>
        </w:rPr>
      </w:pPr>
      <w:r>
        <w:rPr/>
        <w:t>财务报告批准报出日：</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w:t>
      </w:r>
      <w:r>
        <w:rPr>
          <w:sz w:val="24"/>
          <w:szCs w:val="24"/>
        </w:rPr>
        <w:t>。</w:t>
      </w:r>
    </w:p>
    <w:p>
      <w:pPr>
        <w:pStyle w:val="Heading4"/>
        <w:spacing w:line="240" w:lineRule="auto" w:before="52"/>
        <w:ind w:left="137" w:right="0"/>
        <w:jc w:val="both"/>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合并财务报表范围</w:t>
      </w:r>
      <w:r>
        <w:rPr>
          <w:b w:val="0"/>
          <w:bCs w:val="0"/>
        </w:rPr>
      </w:r>
    </w:p>
    <w:p>
      <w:pPr>
        <w:pStyle w:val="BodyText"/>
        <w:spacing w:line="240" w:lineRule="auto" w:before="40"/>
        <w:ind w:left="137" w:right="0"/>
        <w:jc w:val="both"/>
      </w:pPr>
      <w:r>
        <w:rPr/>
        <w:t>√适用  </w:t>
      </w:r>
      <w:r>
        <w:rPr>
          <w:spacing w:val="1"/>
        </w:rPr>
        <w:t> </w:t>
      </w:r>
      <w:r>
        <w:rPr/>
        <w:t>□不适用</w:t>
      </w:r>
    </w:p>
    <w:p>
      <w:pPr>
        <w:pStyle w:val="BodyText"/>
        <w:spacing w:line="314" w:lineRule="auto" w:before="75"/>
        <w:ind w:left="137" w:right="208" w:firstLine="480"/>
        <w:jc w:val="both"/>
      </w:pPr>
      <w:r>
        <w:rPr/>
        <w:t>截至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3"/>
        </w:rPr>
        <w:t>日止，本公司合并财务报表范围内子公司共</w:t>
      </w:r>
      <w:r>
        <w:rPr>
          <w:spacing w:val="-47"/>
        </w:rPr>
        <w:t> </w:t>
      </w:r>
      <w:r>
        <w:rPr>
          <w:rFonts w:ascii="Times New Roman" w:hAnsi="Times New Roman" w:cs="Times New Roman" w:eastAsia="Times New Roman" w:hint="default"/>
        </w:rPr>
        <w:t>62</w:t>
      </w:r>
      <w:r>
        <w:rPr>
          <w:rFonts w:ascii="Times New Roman" w:hAnsi="Times New Roman" w:cs="Times New Roman" w:eastAsia="Times New Roman" w:hint="default"/>
          <w:spacing w:val="5"/>
        </w:rPr>
        <w:t> </w:t>
      </w:r>
      <w:r>
        <w:rPr>
          <w:spacing w:val="-4"/>
        </w:rPr>
        <w:t>家，分别为北京南威科</w:t>
      </w:r>
      <w:r>
        <w:rPr>
          <w:w w:val="100"/>
        </w:rPr>
        <w:t> </w:t>
      </w:r>
      <w:r>
        <w:rPr>
          <w:spacing w:val="-1"/>
        </w:rPr>
        <w:t>技有限公司、宁德南威软件有限公司、厦门市南威软件科技有限公司、福建南威软件有限公司、</w:t>
      </w:r>
      <w:r>
        <w:rPr>
          <w:spacing w:val="-55"/>
        </w:rPr>
        <w:t> </w:t>
      </w:r>
      <w:r>
        <w:rPr>
          <w:spacing w:val="-55"/>
        </w:rPr>
      </w:r>
      <w:r>
        <w:rPr>
          <w:spacing w:val="-1"/>
        </w:rPr>
        <w:t>西安南威信息科技有限责任公司、成都南威软件有限公司、新疆南威软件有限公司、江西南威软</w:t>
      </w:r>
      <w:r>
        <w:rPr>
          <w:spacing w:val="-55"/>
        </w:rPr>
        <w:t> </w:t>
      </w:r>
      <w:r>
        <w:rPr>
          <w:spacing w:val="-55"/>
        </w:rPr>
      </w:r>
      <w:r>
        <w:rPr>
          <w:spacing w:val="-6"/>
        </w:rPr>
        <w:t>件有限公司、南平南威软件有限公司、上海南信信息科技有限公司、重庆南威信息技术有限公司、</w:t>
      </w:r>
      <w:r>
        <w:rPr>
          <w:spacing w:val="-54"/>
        </w:rPr>
        <w:t> </w:t>
      </w:r>
      <w:r>
        <w:rPr>
          <w:spacing w:val="-54"/>
        </w:rPr>
      </w:r>
      <w:r>
        <w:rPr>
          <w:spacing w:val="-1"/>
        </w:rPr>
        <w:t>北京万创聚力科技有限公司、平潭力信软件有限公司、网链科技集团有限公司、安徽国正信息科</w:t>
      </w:r>
      <w:r>
        <w:rPr>
          <w:spacing w:val="-56"/>
        </w:rPr>
        <w:t> </w:t>
      </w:r>
      <w:r>
        <w:rPr>
          <w:spacing w:val="-56"/>
        </w:rPr>
      </w:r>
      <w:r>
        <w:rPr>
          <w:spacing w:val="-1"/>
        </w:rPr>
        <w:t>技有限公司、浙江易政信息技术有限公司、安溪县南威信息科技有限公司、北京南威水科技术有</w:t>
      </w:r>
      <w:r>
        <w:rPr>
          <w:spacing w:val="-55"/>
        </w:rPr>
        <w:t> </w:t>
      </w:r>
      <w:r>
        <w:rPr>
          <w:spacing w:val="-55"/>
        </w:rPr>
      </w:r>
      <w:r>
        <w:rPr>
          <w:spacing w:val="-1"/>
        </w:rPr>
        <w:t>限公司、福建南慧大数据科技有限公司、福建南威资产管理有限公司、甘肃南威信息技术有限公</w:t>
      </w:r>
      <w:r>
        <w:rPr>
          <w:spacing w:val="-55"/>
        </w:rPr>
        <w:t> </w:t>
      </w:r>
      <w:r>
        <w:rPr>
          <w:spacing w:val="-55"/>
        </w:rPr>
      </w:r>
      <w:r>
        <w:rPr>
          <w:spacing w:val="-6"/>
        </w:rPr>
        <w:t>司、南威软件（海南）有限公司、上海宜喆智能科技有限公司、安徽睿谷微云智慧科技有限公司、</w:t>
      </w:r>
      <w:r>
        <w:rPr>
          <w:spacing w:val="-54"/>
        </w:rPr>
        <w:t> </w:t>
      </w:r>
      <w:r>
        <w:rPr>
          <w:spacing w:val="-54"/>
        </w:rPr>
      </w:r>
      <w:r>
        <w:rPr>
          <w:spacing w:val="-1"/>
        </w:rPr>
        <w:t>福建宜喆智能科技有限公司、南京迅奇信信息技术有限公司、宁波宁威信息科技有限公司、江苏</w:t>
      </w:r>
      <w:r>
        <w:rPr>
          <w:spacing w:val="-55"/>
        </w:rPr>
        <w:t> </w:t>
      </w:r>
      <w:r>
        <w:rPr>
          <w:spacing w:val="-55"/>
        </w:rPr>
      </w:r>
      <w:r>
        <w:rPr>
          <w:spacing w:val="-6"/>
        </w:rPr>
        <w:t>南威汇鼎信息技术有限公司、智慧城市（泉州丰泽）运营管理有限公司、福建威盾科技有限公司、</w:t>
      </w:r>
      <w:r>
        <w:rPr>
          <w:spacing w:val="-53"/>
        </w:rPr>
        <w:t> </w:t>
      </w:r>
      <w:r>
        <w:rPr>
          <w:spacing w:val="-53"/>
        </w:rPr>
      </w:r>
      <w:r>
        <w:rPr>
          <w:spacing w:val="-1"/>
        </w:rPr>
        <w:t>泉州威盾智能交通系统有限公司、广西弘政软件有限公司、福建腾匠科技有限公司、福建致远数</w:t>
      </w:r>
      <w:r>
        <w:rPr>
          <w:spacing w:val="-55"/>
        </w:rPr>
        <w:t> </w:t>
      </w:r>
      <w:r>
        <w:rPr>
          <w:spacing w:val="-55"/>
        </w:rPr>
      </w:r>
      <w:r>
        <w:rPr>
          <w:spacing w:val="-1"/>
        </w:rPr>
        <w:t>据科技有限责任公司、福建众帮科技有限公司、泉州双创聚力科技有限责任公司、前海昱虹南威</w:t>
      </w:r>
      <w:r>
        <w:rPr>
          <w:spacing w:val="-55"/>
        </w:rPr>
        <w:t> </w:t>
      </w:r>
      <w:r>
        <w:rPr>
          <w:spacing w:val="-55"/>
        </w:rPr>
      </w:r>
      <w:r>
        <w:rPr>
          <w:spacing w:val="-1"/>
        </w:rPr>
        <w:t>信息科技（深圳）有限公司、河南联政创威信息技术有限公司、宿州国正信息科技有限公司、福</w:t>
      </w:r>
      <w:r>
        <w:rPr>
          <w:spacing w:val="-55"/>
        </w:rPr>
        <w:t> </w:t>
      </w:r>
      <w:r>
        <w:rPr>
          <w:spacing w:val="-55"/>
        </w:rPr>
      </w:r>
      <w:r>
        <w:rPr>
          <w:spacing w:val="-1"/>
        </w:rPr>
        <w:t>建无涯商业运营管理有限公司、北京南威文旅科技有限公司、福建小电科技有限公司、福建轻停</w:t>
      </w:r>
      <w:r>
        <w:rPr>
          <w:spacing w:val="-55"/>
        </w:rPr>
        <w:t> </w:t>
      </w:r>
      <w:r>
        <w:rPr>
          <w:spacing w:val="-55"/>
        </w:rPr>
      </w:r>
      <w:r>
        <w:rPr>
          <w:spacing w:val="-6"/>
        </w:rPr>
        <w:t>科技有限公司、福建红点科技有限公司、福建南威通平台科技有限公司、福建毫波科技有限公司、</w:t>
      </w:r>
      <w:r>
        <w:rPr>
          <w:spacing w:val="-54"/>
        </w:rPr>
        <w:t> </w:t>
      </w:r>
      <w:r>
        <w:rPr>
          <w:spacing w:val="-54"/>
        </w:rPr>
      </w:r>
      <w:r>
        <w:rPr>
          <w:spacing w:val="-6"/>
        </w:rPr>
        <w:t>福建城视科技有限公司、吉林南威吉福信息技术有限公司、南威智慧城市（将乐）科技有限公司、</w:t>
      </w:r>
      <w:r>
        <w:rPr>
          <w:spacing w:val="-52"/>
        </w:rPr>
        <w:t> </w:t>
      </w:r>
      <w:r>
        <w:rPr>
          <w:spacing w:val="-52"/>
        </w:rPr>
      </w:r>
      <w:r>
        <w:rPr>
          <w:spacing w:val="-1"/>
        </w:rPr>
        <w:t>福建通证科技有限公司、福建省南安智慧城市科技发展有限公司、南威政通科技有限公司、河南</w:t>
      </w:r>
      <w:r>
        <w:rPr>
          <w:spacing w:val="-55"/>
        </w:rPr>
        <w:t> </w:t>
      </w:r>
      <w:r>
        <w:rPr>
          <w:spacing w:val="-55"/>
        </w:rPr>
      </w:r>
      <w:r>
        <w:rPr>
          <w:spacing w:val="-1"/>
        </w:rPr>
        <w:t>省南威信息技术有限公司、湖北省南楚信息技术有限公司、衡阳智慧城市科技发展有限公司、深</w:t>
      </w:r>
      <w:r>
        <w:rPr>
          <w:spacing w:val="-55"/>
        </w:rPr>
        <w:t> </w:t>
      </w:r>
      <w:r>
        <w:rPr>
          <w:spacing w:val="-55"/>
        </w:rPr>
      </w:r>
      <w:r>
        <w:rPr>
          <w:spacing w:val="-1"/>
        </w:rPr>
        <w:t>圳太极云软技术股份有限公司、天津太极云商技术有限公司、惠州微极云软科技有限公司、江苏</w:t>
      </w:r>
      <w:r>
        <w:rPr>
          <w:spacing w:val="-56"/>
        </w:rPr>
        <w:t> </w:t>
      </w:r>
      <w:r>
        <w:rPr>
          <w:spacing w:val="-56"/>
        </w:rPr>
      </w:r>
      <w:r>
        <w:rPr>
          <w:spacing w:val="-1"/>
        </w:rPr>
        <w:t>太极软件有限公司、开封市大数据城市研究院有限公司、黑龙江云软信息技术有限公司；本年度</w:t>
      </w:r>
    </w:p>
    <w:p>
      <w:pPr>
        <w:pStyle w:val="BodyText"/>
        <w:spacing w:line="299" w:lineRule="exact"/>
        <w:ind w:left="137" w:right="0"/>
        <w:jc w:val="both"/>
        <w:rPr>
          <w:sz w:val="24"/>
          <w:szCs w:val="24"/>
        </w:rPr>
      </w:pPr>
      <w:r>
        <w:rPr/>
        <w:t>合并范围变更情况详见附注“八、合并范围的变更”</w:t>
      </w:r>
      <w:r>
        <w:rPr>
          <w:sz w:val="24"/>
          <w:szCs w:val="24"/>
        </w:rPr>
        <w:t>。</w:t>
      </w:r>
    </w:p>
    <w:p>
      <w:pPr>
        <w:pStyle w:val="Heading4"/>
        <w:spacing w:line="240" w:lineRule="auto" w:before="64"/>
        <w:ind w:left="137" w:right="0"/>
        <w:jc w:val="both"/>
        <w:rPr>
          <w:b w:val="0"/>
          <w:bCs w:val="0"/>
        </w:rPr>
      </w:pPr>
      <w:r>
        <w:rPr/>
        <w:t>四、财务报表的编制基础</w:t>
      </w:r>
      <w:r>
        <w:rPr>
          <w:b w:val="0"/>
          <w:bCs w:val="0"/>
        </w:rPr>
      </w:r>
    </w:p>
    <w:p>
      <w:pPr>
        <w:pStyle w:val="BodyText"/>
        <w:tabs>
          <w:tab w:pos="562" w:val="left" w:leader="none"/>
        </w:tabs>
        <w:spacing w:line="338" w:lineRule="auto" w:before="57"/>
        <w:ind w:left="617" w:right="122" w:hanging="480"/>
        <w:jc w:val="left"/>
      </w:pPr>
      <w:r>
        <w:rPr>
          <w:rFonts w:ascii="Times New Roman" w:hAnsi="Times New Roman" w:cs="Times New Roman" w:eastAsia="Times New Roman" w:hint="default"/>
          <w:b/>
          <w:bCs/>
        </w:rPr>
        <w:t>1.</w:t>
        <w:tab/>
      </w:r>
      <w:r>
        <w:rPr>
          <w:rFonts w:ascii="宋体" w:hAnsi="宋体" w:cs="宋体" w:eastAsia="宋体" w:hint="default"/>
          <w:b/>
          <w:bCs/>
        </w:rPr>
        <w:t>编制基础</w:t>
      </w:r>
      <w:r>
        <w:rPr>
          <w:rFonts w:ascii="宋体" w:hAnsi="宋体" w:cs="宋体" w:eastAsia="宋体" w:hint="default"/>
          <w:b/>
          <w:bCs/>
          <w:w w:val="100"/>
        </w:rPr>
        <w:t> </w:t>
      </w:r>
      <w:r>
        <w:rPr/>
        <w:t>公司以持续经营为基础，根据实际发生的交易和事项，按照《企业会计准则——基本准则》</w:t>
      </w:r>
    </w:p>
    <w:p>
      <w:pPr>
        <w:pStyle w:val="BodyText"/>
        <w:spacing w:line="314" w:lineRule="auto"/>
        <w:ind w:left="137" w:right="209"/>
        <w:jc w:val="both"/>
      </w:pPr>
      <w:r>
        <w:rPr>
          <w:spacing w:val="-1"/>
        </w:rPr>
        <w:t>和其他各项具体会计准则、应用指南、准则解释及其他相关规定（以下合称企业会计准则）进行</w:t>
      </w:r>
      <w:r>
        <w:rPr>
          <w:spacing w:val="-55"/>
        </w:rPr>
        <w:t> </w:t>
      </w:r>
      <w:r>
        <w:rPr>
          <w:spacing w:val="-55"/>
        </w:rPr>
      </w:r>
      <w:r>
        <w:rPr>
          <w:spacing w:val="-1"/>
        </w:rPr>
        <w:t>确认和计量，在此基础上结合中国证券监督管理委员会《公开发行证券的公司信息披露编报规则</w:t>
      </w:r>
      <w:r>
        <w:rPr>
          <w:spacing w:val="-55"/>
        </w:rPr>
        <w:t> </w:t>
      </w:r>
      <w:r>
        <w:rPr>
          <w:spacing w:val="-55"/>
        </w:rPr>
      </w:r>
      <w:r>
        <w:rPr/>
        <w:t>第</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号——财务报告的一般规定》（</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年修订）的规定，编制财务报表。</w:t>
      </w:r>
    </w:p>
    <w:p>
      <w:pPr>
        <w:pStyle w:val="Heading4"/>
        <w:spacing w:line="271" w:lineRule="exact" w:before="0"/>
        <w:ind w:left="137" w:right="0"/>
        <w:jc w:val="both"/>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5"/>
        </w:rPr>
        <w:t> </w:t>
      </w:r>
      <w:r>
        <w:rPr/>
        <w:t>持续经营</w:t>
      </w:r>
      <w:r>
        <w:rPr>
          <w:b w:val="0"/>
          <w:bCs w:val="0"/>
        </w:rPr>
      </w:r>
    </w:p>
    <w:p>
      <w:pPr>
        <w:pStyle w:val="BodyText"/>
        <w:spacing w:line="240" w:lineRule="auto" w:before="40"/>
        <w:ind w:left="137" w:right="0"/>
        <w:jc w:val="both"/>
      </w:pPr>
      <w:r>
        <w:rPr/>
        <w:t>√适用  </w:t>
      </w:r>
      <w:r>
        <w:rPr>
          <w:spacing w:val="1"/>
        </w:rPr>
        <w:t> </w:t>
      </w:r>
      <w:r>
        <w:rPr/>
        <w:t>□不适用</w:t>
      </w:r>
    </w:p>
    <w:p>
      <w:pPr>
        <w:spacing w:line="278" w:lineRule="auto" w:before="40"/>
        <w:ind w:left="137" w:right="237" w:firstLine="480"/>
        <w:jc w:val="both"/>
        <w:rPr>
          <w:rFonts w:ascii="宋体" w:hAnsi="宋体" w:cs="宋体" w:eastAsia="宋体" w:hint="default"/>
          <w:sz w:val="21"/>
          <w:szCs w:val="21"/>
        </w:rPr>
      </w:pPr>
      <w:r>
        <w:rPr>
          <w:rFonts w:ascii="宋体" w:hAnsi="宋体" w:cs="宋体" w:eastAsia="宋体" w:hint="default"/>
          <w:sz w:val="21"/>
          <w:szCs w:val="21"/>
        </w:rPr>
        <w:t>公司自本报告期末起至少</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个月内具备持续经营能力，无影响持续经营能力的重大事项</w:t>
      </w:r>
      <w:r>
        <w:rPr>
          <w:rFonts w:ascii="宋体" w:hAnsi="宋体" w:cs="宋体" w:eastAsia="宋体" w:hint="default"/>
          <w:sz w:val="24"/>
          <w:szCs w:val="24"/>
        </w:rPr>
        <w:t>。</w:t>
      </w:r>
      <w:r>
        <w:rPr>
          <w:rFonts w:ascii="宋体" w:hAnsi="宋体" w:cs="宋体" w:eastAsia="宋体" w:hint="default"/>
          <w:sz w:val="24"/>
          <w:szCs w:val="24"/>
        </w:rPr>
        <w:t> </w:t>
      </w:r>
      <w:r>
        <w:rPr>
          <w:rFonts w:ascii="宋体" w:hAnsi="宋体" w:cs="宋体" w:eastAsia="宋体" w:hint="default"/>
          <w:b/>
          <w:bCs/>
          <w:sz w:val="21"/>
          <w:szCs w:val="21"/>
        </w:rPr>
        <w:t>五、重要会计政策及会计估计</w:t>
      </w:r>
      <w:r>
        <w:rPr>
          <w:rFonts w:ascii="宋体" w:hAnsi="宋体" w:cs="宋体" w:eastAsia="宋体" w:hint="default"/>
          <w:sz w:val="21"/>
          <w:szCs w:val="21"/>
        </w:rPr>
      </w:r>
    </w:p>
    <w:p>
      <w:pPr>
        <w:pStyle w:val="Heading3"/>
        <w:spacing w:line="240" w:lineRule="auto" w:before="65"/>
        <w:ind w:left="617" w:right="2631"/>
        <w:jc w:val="left"/>
      </w:pPr>
      <w:r>
        <w:rPr/>
        <w:t>具体会计政策和会计估计提示：</w:t>
      </w:r>
    </w:p>
    <w:p>
      <w:pPr>
        <w:spacing w:after="0" w:line="240" w:lineRule="auto"/>
        <w:jc w:val="left"/>
        <w:sectPr>
          <w:pgSz w:w="11910" w:h="16840"/>
          <w:pgMar w:header="857" w:footer="979" w:top="1120" w:bottom="1160" w:left="1140" w:right="1580"/>
        </w:sectPr>
      </w:pPr>
    </w:p>
    <w:p>
      <w:pPr>
        <w:spacing w:line="240" w:lineRule="auto" w:before="7"/>
        <w:rPr>
          <w:rFonts w:ascii="宋体" w:hAnsi="宋体" w:cs="宋体" w:eastAsia="宋体" w:hint="default"/>
          <w:sz w:val="18"/>
          <w:szCs w:val="18"/>
        </w:rPr>
      </w:pPr>
    </w:p>
    <w:p>
      <w:pPr>
        <w:pStyle w:val="BodyText"/>
        <w:tabs>
          <w:tab w:pos="979" w:val="left" w:leader="none"/>
        </w:tabs>
        <w:spacing w:line="240" w:lineRule="auto" w:before="36"/>
        <w:ind w:left="137" w:right="0"/>
        <w:jc w:val="left"/>
      </w:pPr>
      <w:r>
        <w:rPr/>
        <w:t>√适用</w:t>
        <w:tab/>
        <w:t>□不适用</w:t>
      </w:r>
    </w:p>
    <w:p>
      <w:pPr>
        <w:pStyle w:val="Heading3"/>
        <w:spacing w:line="240" w:lineRule="auto" w:before="38"/>
        <w:ind w:left="617" w:right="0"/>
        <w:jc w:val="left"/>
      </w:pPr>
      <w:r>
        <w:rPr/>
        <w:t>以下披露内容已涵盖本公司实际生产经营特点制定的具体会计政策及会计估计</w:t>
      </w:r>
    </w:p>
    <w:p>
      <w:pPr>
        <w:tabs>
          <w:tab w:pos="562" w:val="left" w:leader="none"/>
        </w:tabs>
        <w:spacing w:line="338" w:lineRule="auto" w:before="64"/>
        <w:ind w:left="617" w:right="142"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3"/>
          <w:sz w:val="21"/>
          <w:szCs w:val="21"/>
        </w:rPr>
        <w:t>公司编制的财务报表符合企业会计准则的要求，真实、完整地反映了公司的财务状况、经营</w:t>
      </w:r>
    </w:p>
    <w:p>
      <w:pPr>
        <w:pStyle w:val="BodyText"/>
        <w:spacing w:line="278" w:lineRule="exact"/>
        <w:ind w:left="137" w:right="0"/>
        <w:jc w:val="left"/>
        <w:rPr>
          <w:sz w:val="24"/>
          <w:szCs w:val="24"/>
        </w:rPr>
      </w:pPr>
      <w:r>
        <w:rPr/>
        <w:t>成果和现金流量等有关信息</w:t>
      </w:r>
      <w:r>
        <w:rPr>
          <w:sz w:val="24"/>
          <w:szCs w:val="24"/>
        </w:rPr>
        <w:t>。</w:t>
      </w:r>
    </w:p>
    <w:p>
      <w:pPr>
        <w:pStyle w:val="Heading4"/>
        <w:tabs>
          <w:tab w:pos="562" w:val="left" w:leader="none"/>
        </w:tabs>
        <w:spacing w:line="240" w:lineRule="auto" w:before="64"/>
        <w:ind w:left="137" w:right="0"/>
        <w:jc w:val="left"/>
        <w:rPr>
          <w:b w:val="0"/>
          <w:bCs w:val="0"/>
        </w:rPr>
      </w:pPr>
      <w:r>
        <w:rPr>
          <w:rFonts w:ascii="Times New Roman" w:hAnsi="Times New Roman" w:cs="Times New Roman" w:eastAsia="Times New Roman" w:hint="default"/>
        </w:rPr>
        <w:t>2.</w:t>
        <w:tab/>
      </w:r>
      <w:r>
        <w:rPr/>
        <w:t>会计期间</w:t>
      </w:r>
      <w:r>
        <w:rPr>
          <w:b w:val="0"/>
          <w:bCs w:val="0"/>
        </w:rPr>
      </w:r>
    </w:p>
    <w:p>
      <w:pPr>
        <w:pStyle w:val="BodyText"/>
        <w:spacing w:line="240" w:lineRule="auto" w:before="82"/>
        <w:ind w:left="617" w:right="0"/>
        <w:jc w:val="left"/>
      </w:pPr>
      <w:r>
        <w:rPr>
          <w:sz w:val="24"/>
          <w:szCs w:val="24"/>
        </w:rPr>
        <w:t>公</w:t>
      </w:r>
      <w:r>
        <w:rPr/>
        <w:t>司会计年度自公历每年</w:t>
      </w:r>
      <w:r>
        <w:rPr>
          <w:spacing w:val="-55"/>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日起至</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日止。</w:t>
      </w:r>
    </w:p>
    <w:p>
      <w:pPr>
        <w:pStyle w:val="Heading4"/>
        <w:tabs>
          <w:tab w:pos="562" w:val="left" w:leader="none"/>
        </w:tabs>
        <w:spacing w:line="240" w:lineRule="auto" w:before="52"/>
        <w:ind w:left="137" w:right="0"/>
        <w:jc w:val="left"/>
        <w:rPr>
          <w:b w:val="0"/>
          <w:bCs w:val="0"/>
        </w:rPr>
      </w:pPr>
      <w:r>
        <w:rPr>
          <w:rFonts w:ascii="Times New Roman" w:hAnsi="Times New Roman" w:cs="Times New Roman" w:eastAsia="Times New Roman" w:hint="default"/>
        </w:rPr>
        <w:t>3.</w:t>
        <w:tab/>
      </w:r>
      <w:r>
        <w:rPr/>
        <w:t>营业周期</w:t>
      </w:r>
      <w:r>
        <w:rPr>
          <w:b w:val="0"/>
          <w:bCs w:val="0"/>
        </w:rPr>
      </w:r>
    </w:p>
    <w:p>
      <w:pPr>
        <w:pStyle w:val="BodyText"/>
        <w:tabs>
          <w:tab w:pos="1082" w:val="left" w:leader="none"/>
        </w:tabs>
        <w:spacing w:line="240" w:lineRule="auto" w:before="43"/>
        <w:ind w:left="137" w:right="0"/>
        <w:jc w:val="left"/>
      </w:pPr>
      <w:r>
        <w:rPr/>
        <w:t>√适用</w:t>
        <w:tab/>
        <w:t>□不适用</w:t>
      </w:r>
    </w:p>
    <w:p>
      <w:pPr>
        <w:pStyle w:val="BodyText"/>
        <w:spacing w:line="240" w:lineRule="auto" w:before="73"/>
        <w:ind w:left="617" w:right="0"/>
        <w:jc w:val="left"/>
      </w:pPr>
      <w:r>
        <w:rPr/>
        <w:t>公司以</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个月作为一个营业周期。</w:t>
      </w:r>
    </w:p>
    <w:p>
      <w:pPr>
        <w:pStyle w:val="Heading4"/>
        <w:tabs>
          <w:tab w:pos="562" w:val="left" w:leader="none"/>
        </w:tabs>
        <w:spacing w:line="240" w:lineRule="auto" w:before="52"/>
        <w:ind w:left="137" w:right="0"/>
        <w:jc w:val="left"/>
        <w:rPr>
          <w:b w:val="0"/>
          <w:bCs w:val="0"/>
        </w:rPr>
      </w:pPr>
      <w:r>
        <w:rPr>
          <w:rFonts w:ascii="Times New Roman" w:hAnsi="Times New Roman" w:cs="Times New Roman" w:eastAsia="Times New Roman" w:hint="default"/>
        </w:rPr>
        <w:t>4.</w:t>
        <w:tab/>
      </w:r>
      <w:r>
        <w:rPr/>
        <w:t>记账本位币</w:t>
      </w:r>
      <w:r>
        <w:rPr>
          <w:b w:val="0"/>
          <w:bCs w:val="0"/>
        </w:rPr>
      </w:r>
    </w:p>
    <w:p>
      <w:pPr>
        <w:pStyle w:val="BodyText"/>
        <w:spacing w:line="240" w:lineRule="auto" w:before="119"/>
        <w:ind w:left="617" w:right="0"/>
        <w:jc w:val="left"/>
      </w:pPr>
      <w:r>
        <w:rPr/>
        <w:t>公司以人民币作为记账本位币。</w:t>
      </w:r>
    </w:p>
    <w:p>
      <w:pPr>
        <w:pStyle w:val="Heading4"/>
        <w:tabs>
          <w:tab w:pos="562" w:val="left" w:leader="none"/>
        </w:tabs>
        <w:spacing w:line="240" w:lineRule="auto" w:before="68"/>
        <w:ind w:left="137" w:right="0"/>
        <w:jc w:val="left"/>
        <w:rPr>
          <w:b w:val="0"/>
          <w:bCs w:val="0"/>
        </w:rPr>
      </w:pPr>
      <w:r>
        <w:rPr>
          <w:rFonts w:ascii="Times New Roman" w:hAnsi="Times New Roman" w:cs="Times New Roman" w:eastAsia="Times New Roman" w:hint="default"/>
        </w:rPr>
        <w:t>5.</w:t>
        <w:tab/>
      </w:r>
      <w:r>
        <w:rPr/>
        <w:t>同一控制下和非同一控制下企业合并的会计处理方法</w:t>
      </w:r>
      <w:r>
        <w:rPr>
          <w:b w:val="0"/>
          <w:bCs w:val="0"/>
        </w:rPr>
      </w:r>
    </w:p>
    <w:p>
      <w:pPr>
        <w:pStyle w:val="BodyText"/>
        <w:tabs>
          <w:tab w:pos="1082" w:val="left" w:leader="none"/>
        </w:tabs>
        <w:spacing w:line="240" w:lineRule="auto" w:before="40"/>
        <w:ind w:left="137" w:right="0"/>
        <w:jc w:val="left"/>
      </w:pPr>
      <w:r>
        <w:rPr/>
        <w:t>√适用</w:t>
        <w:tab/>
        <w:t>□不适用</w:t>
      </w:r>
    </w:p>
    <w:p>
      <w:pPr>
        <w:pStyle w:val="BodyText"/>
        <w:spacing w:line="307" w:lineRule="auto" w:before="40"/>
        <w:ind w:left="137" w:right="128" w:firstLine="480"/>
        <w:jc w:val="both"/>
      </w:pPr>
      <w:r>
        <w:rPr>
          <w:spacing w:val="-1"/>
          <w:sz w:val="24"/>
          <w:szCs w:val="24"/>
        </w:rPr>
        <w:t>（</w:t>
      </w:r>
      <w:r>
        <w:rPr>
          <w:rFonts w:ascii="Times New Roman" w:hAnsi="Times New Roman" w:cs="Times New Roman" w:eastAsia="Times New Roman" w:hint="default"/>
          <w:spacing w:val="-1"/>
        </w:rPr>
        <w:t>1</w:t>
      </w:r>
      <w:r>
        <w:rPr>
          <w:spacing w:val="-1"/>
        </w:rPr>
        <w:t>）同一控制下企业合并：本公司在企业合并中取得的资产和负债，按照合并日在被合并</w:t>
      </w:r>
      <w:r>
        <w:rPr>
          <w:w w:val="100"/>
        </w:rPr>
        <w:t> </w:t>
      </w:r>
      <w:r>
        <w:rPr>
          <w:spacing w:val="-1"/>
        </w:rPr>
        <w:t>方资产、负债（包括最终控制方收购被合并方而形成的商誉）在最终控制方合并财务报表中的账</w:t>
      </w:r>
      <w:r>
        <w:rPr>
          <w:spacing w:val="-55"/>
        </w:rPr>
        <w:t> </w:t>
      </w:r>
      <w:r>
        <w:rPr>
          <w:spacing w:val="-55"/>
        </w:rPr>
      </w:r>
      <w:r>
        <w:rPr>
          <w:spacing w:val="-6"/>
          <w:w w:val="100"/>
        </w:rPr>
        <w:t>面价值计量。在合并中取得的净资产账面价值与支付的合并对价账面价值（或发行股份面值总额）</w:t>
      </w:r>
      <w:r>
        <w:rPr>
          <w:w w:val="100"/>
        </w:rPr>
        <w:t> </w:t>
      </w:r>
      <w:r>
        <w:rPr/>
        <w:t>的差额，调整资本公积中的股本溢价，资本公积中的股本溢价不足冲减的，调整留存收益。</w:t>
      </w:r>
    </w:p>
    <w:p>
      <w:pPr>
        <w:pStyle w:val="BodyText"/>
        <w:spacing w:line="312" w:lineRule="auto" w:before="26"/>
        <w:ind w:left="137" w:right="129" w:firstLine="420"/>
        <w:jc w:val="both"/>
      </w:pPr>
      <w:r>
        <w:rPr>
          <w:spacing w:val="-4"/>
        </w:rPr>
        <w:t>（</w:t>
      </w:r>
      <w:r>
        <w:rPr>
          <w:rFonts w:ascii="Times New Roman" w:hAnsi="Times New Roman" w:cs="Times New Roman" w:eastAsia="Times New Roman" w:hint="default"/>
          <w:spacing w:val="-4"/>
        </w:rPr>
        <w:t>2</w:t>
      </w:r>
      <w:r>
        <w:rPr>
          <w:spacing w:val="-4"/>
        </w:rPr>
        <w:t>）非同一控制下企业合并：本公司在购买日对作为企业合并对价付出的资产、发生或承担</w:t>
      </w:r>
      <w:r>
        <w:rPr>
          <w:w w:val="100"/>
        </w:rPr>
        <w:t> </w:t>
      </w:r>
      <w:r>
        <w:rPr>
          <w:spacing w:val="-1"/>
        </w:rPr>
        <w:t>的负债按照公允价值计量，公允价值与其账面价值的差额，计入当期损益。本公司对合并成本大</w:t>
      </w:r>
      <w:r>
        <w:rPr>
          <w:spacing w:val="-55"/>
        </w:rPr>
        <w:t> </w:t>
      </w:r>
      <w:r>
        <w:rPr>
          <w:spacing w:val="-55"/>
        </w:rPr>
      </w:r>
      <w:r>
        <w:rPr>
          <w:spacing w:val="-1"/>
        </w:rPr>
        <w:t>于合并中取得的被购买方可辨认净资产公允价值份额的差额，确认为商誉；合并成本小于合并中</w:t>
      </w:r>
      <w:r>
        <w:rPr>
          <w:spacing w:val="-56"/>
        </w:rPr>
        <w:t> </w:t>
      </w:r>
      <w:r>
        <w:rPr>
          <w:spacing w:val="-56"/>
        </w:rPr>
      </w:r>
      <w:r>
        <w:rPr>
          <w:spacing w:val="-1"/>
        </w:rPr>
        <w:t>取得的被购买方可辨认净资产公允价值份额的差额，对合并中取得的资产、负债的公允价值、作</w:t>
      </w:r>
      <w:r>
        <w:rPr>
          <w:spacing w:val="-55"/>
        </w:rPr>
        <w:t> </w:t>
      </w:r>
      <w:r>
        <w:rPr>
          <w:spacing w:val="-55"/>
        </w:rPr>
      </w:r>
      <w:r>
        <w:rPr>
          <w:spacing w:val="-1"/>
        </w:rPr>
        <w:t>为合并对价的非现金资产或发行的权益性证券等的公允价值进行复核，复核结果表明所确定的各</w:t>
      </w:r>
      <w:r>
        <w:rPr>
          <w:spacing w:val="-55"/>
        </w:rPr>
        <w:t> </w:t>
      </w:r>
      <w:r>
        <w:rPr>
          <w:spacing w:val="-55"/>
        </w:rPr>
      </w:r>
      <w:r>
        <w:rPr>
          <w:spacing w:val="-1"/>
        </w:rPr>
        <w:t>项可辨认资产和负债的公允价值确定是恰当的，将企业合并成本低于取得的被购买方可辨认净资</w:t>
      </w:r>
      <w:r>
        <w:rPr>
          <w:spacing w:val="-55"/>
        </w:rPr>
        <w:t> </w:t>
      </w:r>
      <w:r>
        <w:rPr>
          <w:spacing w:val="-55"/>
        </w:rPr>
      </w:r>
      <w:r>
        <w:rPr/>
        <w:t>产公允价值份额之间的差额，计入合并当期的营业外收入。</w:t>
      </w:r>
    </w:p>
    <w:p>
      <w:pPr>
        <w:pStyle w:val="BodyText"/>
        <w:spacing w:line="312" w:lineRule="auto" w:before="22"/>
        <w:ind w:left="137" w:right="129" w:firstLine="420"/>
        <w:jc w:val="both"/>
      </w:pPr>
      <w:r>
        <w:rPr>
          <w:spacing w:val="-2"/>
        </w:rPr>
        <w:t>通过多次交易分步实现非同一控制下的企业合并：①在个别财务报表中，以购买日之前所持</w:t>
      </w:r>
      <w:r>
        <w:rPr>
          <w:w w:val="100"/>
        </w:rPr>
        <w:t> </w:t>
      </w:r>
      <w:r>
        <w:rPr>
          <w:spacing w:val="-1"/>
        </w:rPr>
        <w:t>被购买方的股权投资的账面价值与购买日新增投资成本之和，作为该项投资的初始投资成本。购</w:t>
      </w:r>
      <w:r>
        <w:rPr>
          <w:spacing w:val="-55"/>
        </w:rPr>
        <w:t> </w:t>
      </w:r>
      <w:r>
        <w:rPr>
          <w:spacing w:val="-55"/>
        </w:rPr>
      </w:r>
      <w:r>
        <w:rPr>
          <w:spacing w:val="-1"/>
        </w:rPr>
        <w:t>买日之前持有的股权投资因采用权益法核算而确认的其他综合收益，应当在处置该项投资时采用</w:t>
      </w:r>
      <w:r>
        <w:rPr>
          <w:spacing w:val="-55"/>
        </w:rPr>
        <w:t> </w:t>
      </w:r>
      <w:r>
        <w:rPr>
          <w:spacing w:val="-55"/>
        </w:rPr>
      </w:r>
      <w:r>
        <w:rPr>
          <w:spacing w:val="-1"/>
        </w:rPr>
        <w:t>与被投资单位直接处置相关资产或负债相同的基础进行会计处理；因被投资方除净损益、其他综</w:t>
      </w:r>
      <w:r>
        <w:rPr>
          <w:spacing w:val="-55"/>
        </w:rPr>
        <w:t> </w:t>
      </w:r>
      <w:r>
        <w:rPr>
          <w:spacing w:val="-55"/>
        </w:rPr>
      </w:r>
      <w:r>
        <w:rPr>
          <w:spacing w:val="-1"/>
        </w:rPr>
        <w:t>合收益和利润分配以外的其他所有者权益变动而确认的所有者权益，在处置该项投资时转入处置</w:t>
      </w:r>
      <w:r>
        <w:rPr>
          <w:spacing w:val="-55"/>
        </w:rPr>
        <w:t> </w:t>
      </w:r>
      <w:r>
        <w:rPr>
          <w:spacing w:val="-55"/>
        </w:rPr>
      </w:r>
      <w:r>
        <w:rPr>
          <w:spacing w:val="-5"/>
        </w:rPr>
        <w:t>期间的当期损益。购买日之前持有的股权投资按照《企业会计准则第 </w:t>
      </w:r>
      <w:r>
        <w:rPr>
          <w:rFonts w:ascii="Times New Roman" w:hAnsi="Times New Roman" w:cs="Times New Roman" w:eastAsia="Times New Roman" w:hint="default"/>
        </w:rPr>
        <w:t>22 </w:t>
      </w:r>
      <w:r>
        <w:rPr/>
        <w:t>号——金融工具确认和计</w:t>
      </w:r>
      <w:r>
        <w:rPr>
          <w:spacing w:val="-103"/>
        </w:rPr>
        <w:t> </w:t>
      </w:r>
      <w:r>
        <w:rPr>
          <w:spacing w:val="-103"/>
        </w:rPr>
      </w:r>
      <w:r>
        <w:rPr>
          <w:spacing w:val="-1"/>
        </w:rPr>
        <w:t>量》的有关规定进行会计处理的，原计入其他综合收益的累计公允价值变动在改按成本法核算时</w:t>
      </w:r>
      <w:r>
        <w:rPr>
          <w:spacing w:val="-55"/>
        </w:rPr>
        <w:t> </w:t>
      </w:r>
      <w:r>
        <w:rPr>
          <w:spacing w:val="-55"/>
        </w:rPr>
      </w:r>
      <w:r>
        <w:rPr>
          <w:spacing w:val="-1"/>
        </w:rPr>
        <w:t>转入当期损益。②在合并财务报表中，合并成本为购买日支付的对价与购买日之前已经持有的被</w:t>
      </w:r>
      <w:r>
        <w:rPr>
          <w:spacing w:val="-56"/>
        </w:rPr>
        <w:t> </w:t>
      </w:r>
      <w:r>
        <w:rPr>
          <w:spacing w:val="-56"/>
        </w:rPr>
      </w:r>
      <w:r>
        <w:rPr>
          <w:spacing w:val="-1"/>
        </w:rPr>
        <w:t>购买方的股权在购买日的公允价值之和；对于购买日之前已经持有的被购买方的股权，按照购买</w:t>
      </w:r>
      <w:r>
        <w:rPr>
          <w:spacing w:val="-55"/>
        </w:rPr>
        <w:t> </w:t>
      </w:r>
      <w:r>
        <w:rPr>
          <w:spacing w:val="-55"/>
        </w:rPr>
      </w:r>
      <w:r>
        <w:rPr>
          <w:spacing w:val="-1"/>
        </w:rPr>
        <w:t>日的公允价值进行重新计量，公允价值与其账面价值之间的差额计入当期收益；购买日之前已经</w:t>
      </w:r>
      <w:r>
        <w:rPr>
          <w:spacing w:val="-55"/>
        </w:rPr>
        <w:t> </w:t>
      </w:r>
      <w:r>
        <w:rPr>
          <w:spacing w:val="-55"/>
        </w:rPr>
      </w:r>
      <w:r>
        <w:rPr>
          <w:spacing w:val="-1"/>
        </w:rPr>
        <w:t>持有的被购买方的股权涉及其他综合收益、其他所有者权益变动应当转为购买日当期收益，由于</w:t>
      </w:r>
      <w:r>
        <w:rPr>
          <w:spacing w:val="-55"/>
        </w:rPr>
        <w:t> </w:t>
      </w:r>
      <w:r>
        <w:rPr>
          <w:spacing w:val="-55"/>
        </w:rPr>
      </w:r>
      <w:r>
        <w:rPr/>
        <w:t>被投资方重新计量设定受益计划净负债或净资产变动而产生的其他综合收益除外。</w:t>
      </w:r>
    </w:p>
    <w:p>
      <w:pPr>
        <w:pStyle w:val="BodyText"/>
        <w:spacing w:line="240" w:lineRule="auto" w:before="22"/>
        <w:ind w:left="557" w:right="0"/>
        <w:jc w:val="left"/>
      </w:pPr>
      <w:r>
        <w:rPr/>
        <w:t>为企业合并发生的审计、法律服务、评估咨询等中介费用以及其他直接相关费用，于发生时</w:t>
      </w:r>
    </w:p>
    <w:p>
      <w:pPr>
        <w:spacing w:after="0" w:line="240" w:lineRule="auto"/>
        <w:jc w:val="left"/>
        <w:sectPr>
          <w:pgSz w:w="11910" w:h="16840"/>
          <w:pgMar w:header="857" w:footer="979" w:top="1120" w:bottom="1160" w:left="1140" w:right="1660"/>
        </w:sectPr>
      </w:pPr>
    </w:p>
    <w:p>
      <w:pPr>
        <w:spacing w:line="240" w:lineRule="auto" w:before="6"/>
        <w:rPr>
          <w:rFonts w:ascii="宋体" w:hAnsi="宋体" w:cs="宋体" w:eastAsia="宋体" w:hint="default"/>
          <w:sz w:val="22"/>
          <w:szCs w:val="22"/>
        </w:rPr>
      </w:pPr>
    </w:p>
    <w:p>
      <w:pPr>
        <w:pStyle w:val="BodyText"/>
        <w:spacing w:line="240" w:lineRule="auto" w:before="26"/>
        <w:ind w:left="137" w:right="0"/>
        <w:jc w:val="both"/>
        <w:rPr>
          <w:sz w:val="24"/>
          <w:szCs w:val="24"/>
        </w:rPr>
      </w:pPr>
      <w:r>
        <w:rPr/>
        <w:t>计入当期损益；为企业合并而发行权益性证券的交易费用，冲减权益</w:t>
      </w:r>
      <w:r>
        <w:rPr>
          <w:sz w:val="24"/>
          <w:szCs w:val="24"/>
        </w:rPr>
        <w:t>。</w:t>
      </w:r>
    </w:p>
    <w:p>
      <w:pPr>
        <w:pStyle w:val="Heading4"/>
        <w:spacing w:line="240" w:lineRule="auto" w:before="64"/>
        <w:ind w:left="137" w:right="0"/>
        <w:jc w:val="both"/>
        <w:rPr>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5"/>
        </w:rPr>
        <w:t> </w:t>
      </w:r>
      <w:r>
        <w:rPr/>
        <w:t>合并财务报表的编制方法</w:t>
      </w:r>
      <w:r>
        <w:rPr>
          <w:b w:val="0"/>
          <w:bCs w:val="0"/>
        </w:rPr>
      </w:r>
    </w:p>
    <w:p>
      <w:pPr>
        <w:pStyle w:val="BodyText"/>
        <w:spacing w:line="240" w:lineRule="auto" w:before="40"/>
        <w:ind w:left="137" w:right="0"/>
        <w:jc w:val="both"/>
      </w:pPr>
      <w:r>
        <w:rPr/>
        <w:t>√适用  </w:t>
      </w:r>
      <w:r>
        <w:rPr>
          <w:spacing w:val="1"/>
        </w:rPr>
        <w:t> </w:t>
      </w:r>
      <w:r>
        <w:rPr/>
        <w:t>□不适用</w:t>
      </w:r>
    </w:p>
    <w:p>
      <w:pPr>
        <w:pStyle w:val="BodyText"/>
        <w:spacing w:line="297" w:lineRule="auto" w:before="75"/>
        <w:ind w:left="557" w:right="47" w:firstLine="60"/>
        <w:jc w:val="left"/>
      </w:pPr>
      <w:r>
        <w:rPr>
          <w:rFonts w:ascii="Times New Roman" w:hAnsi="Times New Roman" w:cs="Times New Roman" w:eastAsia="Times New Roman" w:hint="default"/>
        </w:rPr>
        <w:t>1</w:t>
      </w:r>
      <w:r>
        <w:rPr>
          <w:rFonts w:ascii="宋体" w:hAnsi="宋体" w:cs="宋体" w:eastAsia="宋体" w:hint="default"/>
        </w:rPr>
        <w:t>.</w:t>
      </w:r>
      <w:r>
        <w:rPr/>
        <w:t>合并报表编制范围</w:t>
      </w:r>
      <w:r>
        <w:rPr>
          <w:w w:val="100"/>
        </w:rPr>
        <w:t> </w:t>
      </w:r>
      <w:r>
        <w:rPr>
          <w:spacing w:val="-2"/>
        </w:rPr>
        <w:t>合并财务报表的合并范围以控制为基础予以确定，不仅包括根据表决权（或类似权利）本身</w:t>
      </w:r>
    </w:p>
    <w:p>
      <w:pPr>
        <w:pStyle w:val="BodyText"/>
        <w:spacing w:line="314" w:lineRule="auto" w:before="34"/>
        <w:ind w:left="137" w:right="208"/>
        <w:jc w:val="both"/>
      </w:pPr>
      <w:r>
        <w:rPr>
          <w:spacing w:val="-1"/>
        </w:rPr>
        <w:t>或者结合其他安排确定的子公司，也包括基于一项或多项合同安排决定的结构化主体。控制，是</w:t>
      </w:r>
      <w:r>
        <w:rPr>
          <w:spacing w:val="-55"/>
        </w:rPr>
        <w:t> </w:t>
      </w:r>
      <w:r>
        <w:rPr>
          <w:spacing w:val="-55"/>
        </w:rPr>
      </w:r>
      <w:r>
        <w:rPr>
          <w:spacing w:val="-4"/>
          <w:w w:val="100"/>
        </w:rPr>
        <w:t>指投资方拥有对被投资方的权力</w:t>
      </w:r>
      <w:r>
        <w:rPr>
          <w:rFonts w:ascii="宋体" w:hAnsi="宋体" w:cs="宋体" w:eastAsia="宋体" w:hint="default"/>
          <w:spacing w:val="-4"/>
          <w:w w:val="100"/>
        </w:rPr>
        <w:t>,</w:t>
      </w:r>
      <w:r>
        <w:rPr>
          <w:spacing w:val="-4"/>
          <w:w w:val="100"/>
        </w:rPr>
        <w:t>通过参与被投资方的相关活动而享有可变回报，并且有能力运用</w:t>
      </w:r>
      <w:r>
        <w:rPr>
          <w:spacing w:val="-85"/>
          <w:w w:val="100"/>
        </w:rPr>
        <w:t> </w:t>
      </w:r>
      <w:r>
        <w:rPr>
          <w:spacing w:val="-85"/>
          <w:w w:val="100"/>
        </w:rPr>
      </w:r>
      <w:r>
        <w:rPr/>
        <w:t>对被投资方的权力影响其回报金额。</w:t>
      </w:r>
    </w:p>
    <w:p>
      <w:pPr>
        <w:pStyle w:val="BodyText"/>
        <w:spacing w:line="307" w:lineRule="auto" w:before="20"/>
        <w:ind w:left="557" w:right="47"/>
        <w:jc w:val="left"/>
      </w:pPr>
      <w:r>
        <w:rPr>
          <w:rFonts w:ascii="Times New Roman" w:hAnsi="Times New Roman" w:cs="Times New Roman" w:eastAsia="Times New Roman" w:hint="default"/>
        </w:rPr>
        <w:t>2.</w:t>
      </w:r>
      <w:r>
        <w:rPr/>
        <w:t>合并程序</w:t>
      </w:r>
      <w:r>
        <w:rPr>
          <w:spacing w:val="-103"/>
        </w:rPr>
        <w:t> </w:t>
      </w:r>
      <w:r>
        <w:rPr>
          <w:spacing w:val="-103"/>
        </w:rPr>
      </w:r>
      <w:r>
        <w:rPr>
          <w:spacing w:val="-7"/>
          <w:w w:val="100"/>
        </w:rPr>
        <w:t>合并财务报表以公司和其子公司的财务报表为基础，根据其他有关资料，编制合并财务报表。</w:t>
      </w:r>
      <w:r>
        <w:rPr>
          <w:spacing w:val="-75"/>
          <w:w w:val="100"/>
        </w:rPr>
        <w:t> </w:t>
      </w:r>
      <w:r>
        <w:rPr>
          <w:spacing w:val="-75"/>
          <w:w w:val="100"/>
        </w:rPr>
      </w:r>
      <w:r>
        <w:rPr>
          <w:spacing w:val="-2"/>
        </w:rPr>
        <w:t>公司统一子公司所采用的会计政策及会计期间，使子公司采用的会计政策、会计期间与公司</w:t>
      </w:r>
    </w:p>
    <w:p>
      <w:pPr>
        <w:pStyle w:val="BodyText"/>
        <w:spacing w:line="314" w:lineRule="auto" w:before="26"/>
        <w:ind w:left="137" w:right="209"/>
        <w:jc w:val="both"/>
      </w:pPr>
      <w:r>
        <w:rPr>
          <w:spacing w:val="-1"/>
        </w:rPr>
        <w:t>保持一致。在编制合并会计报表时，遵循重要性原则，抵销母公司与子公司、子公司与子公司之</w:t>
      </w:r>
      <w:r>
        <w:rPr>
          <w:spacing w:val="-55"/>
        </w:rPr>
        <w:t> </w:t>
      </w:r>
      <w:r>
        <w:rPr>
          <w:spacing w:val="-55"/>
        </w:rPr>
      </w:r>
      <w:r>
        <w:rPr/>
        <w:t>间的内部往来、内部交易及权益性投资项目。</w:t>
      </w:r>
    </w:p>
    <w:p>
      <w:pPr>
        <w:pStyle w:val="BodyText"/>
        <w:spacing w:line="314" w:lineRule="auto" w:before="20"/>
        <w:ind w:left="137" w:right="209" w:firstLine="420"/>
        <w:jc w:val="both"/>
      </w:pPr>
      <w:r>
        <w:rPr>
          <w:spacing w:val="-2"/>
        </w:rPr>
        <w:t>子公司少数股东应占的权益和损益分别在合并资产负债表中所有者权益项目下和合并利润表</w:t>
      </w:r>
      <w:r>
        <w:rPr>
          <w:w w:val="100"/>
        </w:rPr>
        <w:t> </w:t>
      </w:r>
      <w:r>
        <w:rPr>
          <w:spacing w:val="-1"/>
        </w:rPr>
        <w:t>中净利润项目下单独列示。子公司少数股东分担的当期亏损超过了少数股东在该子公司期初所有</w:t>
      </w:r>
      <w:r>
        <w:rPr>
          <w:spacing w:val="-55"/>
        </w:rPr>
        <w:t> </w:t>
      </w:r>
      <w:r>
        <w:rPr>
          <w:spacing w:val="-55"/>
        </w:rPr>
      </w:r>
      <w:r>
        <w:rPr/>
        <w:t>者权益中所享有份额而形成的余额，冲减少数股东权益。</w:t>
      </w:r>
    </w:p>
    <w:p>
      <w:pPr>
        <w:pStyle w:val="BodyText"/>
        <w:spacing w:line="297" w:lineRule="auto" w:before="20"/>
        <w:ind w:left="557" w:right="47"/>
        <w:jc w:val="left"/>
      </w:pPr>
      <w:r>
        <w:rPr/>
        <w:t>（</w:t>
      </w:r>
      <w:r>
        <w:rPr>
          <w:rFonts w:ascii="Times New Roman" w:hAnsi="Times New Roman" w:cs="Times New Roman" w:eastAsia="Times New Roman" w:hint="default"/>
        </w:rPr>
        <w:t>1</w:t>
      </w:r>
      <w:r>
        <w:rPr/>
        <w:t>）增加子公司以及业务</w:t>
      </w:r>
      <w:r>
        <w:rPr>
          <w:w w:val="100"/>
        </w:rPr>
        <w:t> </w:t>
      </w:r>
      <w:r>
        <w:rPr>
          <w:spacing w:val="-2"/>
        </w:rPr>
        <w:t>在报告期内因同一控制下企业合并增加的子公司以及业务，编制合并资产负债表时，调整合</w:t>
      </w:r>
    </w:p>
    <w:p>
      <w:pPr>
        <w:pStyle w:val="BodyText"/>
        <w:spacing w:line="314" w:lineRule="auto" w:before="35"/>
        <w:ind w:left="137" w:right="209"/>
        <w:jc w:val="both"/>
      </w:pPr>
      <w:r>
        <w:rPr>
          <w:spacing w:val="-1"/>
        </w:rPr>
        <w:t>并资产负债表的期初数；编制利润表时，将该子公司以及业务合并当期期初至报告期末的收入、</w:t>
      </w:r>
      <w:r>
        <w:rPr>
          <w:spacing w:val="-55"/>
        </w:rPr>
        <w:t> </w:t>
      </w:r>
      <w:r>
        <w:rPr>
          <w:spacing w:val="-55"/>
        </w:rPr>
      </w:r>
      <w:r>
        <w:rPr>
          <w:spacing w:val="-1"/>
        </w:rPr>
        <w:t>费用、利润纳入合并利润表；合并现金流量表时，将该子公司以及业务合并当期期初至报告期末</w:t>
      </w:r>
      <w:r>
        <w:rPr>
          <w:spacing w:val="-55"/>
        </w:rPr>
        <w:t> </w:t>
      </w:r>
      <w:r>
        <w:rPr>
          <w:spacing w:val="-55"/>
        </w:rPr>
      </w:r>
      <w:r>
        <w:rPr>
          <w:spacing w:val="-1"/>
        </w:rPr>
        <w:t>的现金流量纳入合并现金流量表；同时应当对比较报表的相关项目进行调整，视同合并后的报告</w:t>
      </w:r>
      <w:r>
        <w:rPr>
          <w:spacing w:val="-55"/>
        </w:rPr>
        <w:t> </w:t>
      </w:r>
      <w:r>
        <w:rPr>
          <w:spacing w:val="-55"/>
        </w:rPr>
      </w:r>
      <w:r>
        <w:rPr/>
        <w:t>主体自最终控制方开始控制时点起一直存在。</w:t>
      </w:r>
    </w:p>
    <w:p>
      <w:pPr>
        <w:pStyle w:val="BodyText"/>
        <w:spacing w:line="314" w:lineRule="auto" w:before="20"/>
        <w:ind w:left="137" w:right="209" w:firstLine="420"/>
        <w:jc w:val="both"/>
      </w:pPr>
      <w:r>
        <w:rPr>
          <w:spacing w:val="-2"/>
        </w:rPr>
        <w:t>在报告期内因非同一控制下企业合并或其他方式增加的子公司以及业务，编制合并资产负债</w:t>
      </w:r>
      <w:r>
        <w:rPr>
          <w:w w:val="100"/>
        </w:rPr>
        <w:t> </w:t>
      </w:r>
      <w:r>
        <w:rPr>
          <w:spacing w:val="-1"/>
        </w:rPr>
        <w:t>表时，不调整合并资产负债表的期初数。编制利润表时，将该子公司以及业务购买日至报告期末</w:t>
      </w:r>
      <w:r>
        <w:rPr>
          <w:spacing w:val="-55"/>
        </w:rPr>
        <w:t> </w:t>
      </w:r>
      <w:r>
        <w:rPr>
          <w:spacing w:val="-55"/>
        </w:rPr>
      </w:r>
      <w:r>
        <w:rPr>
          <w:spacing w:val="-1"/>
        </w:rPr>
        <w:t>的收入、费用、利润纳入合并利润表。编制现金流表时，将该子公司购买日至报告期末的现金流</w:t>
      </w:r>
      <w:r>
        <w:rPr>
          <w:spacing w:val="-55"/>
        </w:rPr>
        <w:t> </w:t>
      </w:r>
      <w:r>
        <w:rPr>
          <w:spacing w:val="-55"/>
        </w:rPr>
      </w:r>
      <w:r>
        <w:rPr/>
        <w:t>量纳入合并现金流量表。</w:t>
      </w:r>
    </w:p>
    <w:p>
      <w:pPr>
        <w:pStyle w:val="BodyText"/>
        <w:spacing w:line="314" w:lineRule="auto" w:before="20"/>
        <w:ind w:left="137" w:right="209" w:firstLine="420"/>
        <w:jc w:val="both"/>
      </w:pPr>
      <w:r>
        <w:rPr>
          <w:spacing w:val="-2"/>
        </w:rPr>
        <w:t>公司以子公司的个别财务报表反映为在购买日公允价值基础上确定的可辨认资产、负债及或</w:t>
      </w:r>
      <w:r>
        <w:rPr>
          <w:w w:val="100"/>
        </w:rPr>
        <w:t> </w:t>
      </w:r>
      <w:r>
        <w:rPr>
          <w:spacing w:val="-1"/>
        </w:rPr>
        <w:t>有负债在本期资产负债表日的金额进行编制合并报表。对合并成本大于合并中取得的被购买方可</w:t>
      </w:r>
      <w:r>
        <w:rPr>
          <w:spacing w:val="-55"/>
        </w:rPr>
        <w:t> </w:t>
      </w:r>
      <w:r>
        <w:rPr>
          <w:spacing w:val="-55"/>
        </w:rPr>
      </w:r>
      <w:r>
        <w:rPr>
          <w:spacing w:val="-1"/>
        </w:rPr>
        <w:t>辨认净资产公允价值份额的差额，确认为商誉。合并成本小于合并中取得的被购买方可辨认净资</w:t>
      </w:r>
      <w:r>
        <w:rPr>
          <w:spacing w:val="-55"/>
        </w:rPr>
        <w:t> </w:t>
      </w:r>
      <w:r>
        <w:rPr>
          <w:spacing w:val="-55"/>
        </w:rPr>
      </w:r>
      <w:r>
        <w:rPr/>
        <w:t>产公允价值份额的差额，经复核后，计入当期损益。</w:t>
      </w:r>
    </w:p>
    <w:p>
      <w:pPr>
        <w:pStyle w:val="BodyText"/>
        <w:spacing w:line="314" w:lineRule="auto" w:before="20"/>
        <w:ind w:left="137" w:right="47" w:firstLine="420"/>
        <w:jc w:val="left"/>
      </w:pPr>
      <w:r>
        <w:rPr/>
        <w:t>通过多次交易分步实现非同一控制下企业合并的，在合并财务报表中，对于购买日之前持有</w:t>
      </w:r>
      <w:r>
        <w:rPr>
          <w:w w:val="100"/>
        </w:rPr>
        <w:t> </w:t>
      </w:r>
      <w:r>
        <w:rPr/>
        <w:t>的被购买方的股权，应当按照该股权在购买日的公允价值进行重新计量，公允价值与其账面价值</w:t>
      </w:r>
      <w:r>
        <w:rPr>
          <w:spacing w:val="-97"/>
        </w:rPr>
        <w:t> </w:t>
      </w:r>
      <w:r>
        <w:rPr>
          <w:spacing w:val="-97"/>
        </w:rPr>
      </w:r>
      <w:r>
        <w:rPr>
          <w:spacing w:val="-4"/>
          <w:w w:val="100"/>
        </w:rPr>
        <w:t>的差额计入当期投资收益；购买日之前持有的被购买方的股权涉及权益法核算下的其他综合收益、</w:t>
      </w:r>
      <w:r>
        <w:rPr>
          <w:spacing w:val="-85"/>
          <w:w w:val="100"/>
        </w:rPr>
        <w:t> </w:t>
      </w:r>
      <w:r>
        <w:rPr>
          <w:spacing w:val="-85"/>
          <w:w w:val="100"/>
        </w:rPr>
      </w:r>
      <w:r>
        <w:rPr/>
        <w:t>其他所有者权益变动的，应当转为购买日所属当期投资收益，由于被投资方重新计量设定受益计</w:t>
      </w:r>
      <w:r>
        <w:rPr>
          <w:spacing w:val="-97"/>
        </w:rPr>
        <w:t> </w:t>
      </w:r>
      <w:r>
        <w:rPr>
          <w:spacing w:val="-97"/>
        </w:rPr>
      </w:r>
      <w:r>
        <w:rPr/>
        <w:t>划净负债或净资产变动而产生的其他综合收益除外。</w:t>
      </w:r>
    </w:p>
    <w:p>
      <w:pPr>
        <w:pStyle w:val="BodyText"/>
        <w:spacing w:line="240" w:lineRule="auto" w:before="20"/>
        <w:ind w:left="557" w:right="2631"/>
        <w:jc w:val="left"/>
      </w:pPr>
      <w:r>
        <w:rPr/>
        <w:t>（</w:t>
      </w:r>
      <w:r>
        <w:rPr>
          <w:rFonts w:ascii="Times New Roman" w:hAnsi="Times New Roman" w:cs="Times New Roman" w:eastAsia="Times New Roman" w:hint="default"/>
        </w:rPr>
        <w:t>2</w:t>
      </w:r>
      <w:r>
        <w:rPr/>
        <w:t>）处置子公司以及业务</w:t>
      </w:r>
    </w:p>
    <w:p>
      <w:pPr>
        <w:pStyle w:val="BodyText"/>
        <w:spacing w:line="297" w:lineRule="auto" w:before="69"/>
        <w:ind w:left="557" w:right="47"/>
        <w:jc w:val="left"/>
      </w:pPr>
      <w:r>
        <w:rPr>
          <w:rFonts w:ascii="Times New Roman" w:hAnsi="Times New Roman" w:cs="Times New Roman" w:eastAsia="Times New Roman" w:hint="default"/>
        </w:rPr>
        <w:t>A</w:t>
      </w:r>
      <w:r>
        <w:rPr/>
        <w:t>．一般处理方法</w:t>
      </w:r>
      <w:r>
        <w:rPr>
          <w:w w:val="100"/>
        </w:rPr>
        <w:t> </w:t>
      </w:r>
      <w:r>
        <w:rPr>
          <w:spacing w:val="-7"/>
        </w:rPr>
        <w:t>在报告期内，本公司处置子公司以及业务，则该子公司以及业务期初至处置日的收入、费用、</w:t>
      </w:r>
    </w:p>
    <w:p>
      <w:pPr>
        <w:spacing w:after="0" w:line="297" w:lineRule="auto"/>
        <w:jc w:val="left"/>
        <w:sectPr>
          <w:pgSz w:w="11910" w:h="16840"/>
          <w:pgMar w:header="857" w:footer="979" w:top="1120" w:bottom="1160" w:left="1140" w:right="1580"/>
        </w:sectPr>
      </w:pPr>
    </w:p>
    <w:p>
      <w:pPr>
        <w:spacing w:line="240" w:lineRule="auto" w:before="5"/>
        <w:rPr>
          <w:rFonts w:ascii="宋体" w:hAnsi="宋体" w:cs="宋体" w:eastAsia="宋体" w:hint="default"/>
          <w:sz w:val="24"/>
          <w:szCs w:val="24"/>
        </w:rPr>
      </w:pPr>
    </w:p>
    <w:p>
      <w:pPr>
        <w:pStyle w:val="BodyText"/>
        <w:spacing w:line="314" w:lineRule="auto" w:before="36"/>
        <w:ind w:left="557" w:right="0" w:hanging="420"/>
        <w:jc w:val="left"/>
      </w:pPr>
      <w:r>
        <w:rPr/>
        <w:t>利润纳入合并利润表；该子公司以及业务期初至处置日的现金流量纳入合并现金流量表。</w:t>
      </w:r>
      <w:r>
        <w:rPr>
          <w:w w:val="100"/>
        </w:rPr>
        <w:t> </w:t>
      </w:r>
      <w:r>
        <w:rPr>
          <w:spacing w:val="-2"/>
        </w:rPr>
        <w:t>公司因处置部分股权投资等原因丧失了对原有子公司控制权的，在合并财务报表中，对于剩</w:t>
      </w:r>
    </w:p>
    <w:p>
      <w:pPr>
        <w:pStyle w:val="BodyText"/>
        <w:spacing w:line="314" w:lineRule="auto" w:before="20"/>
        <w:ind w:left="137" w:right="129"/>
        <w:jc w:val="both"/>
      </w:pPr>
      <w:r>
        <w:rPr>
          <w:spacing w:val="-1"/>
        </w:rPr>
        <w:t>余股权，按照其在丧失控制权日的公允价值进行重新计量。处置股权取得的对价和剩余股权公允</w:t>
      </w:r>
      <w:r>
        <w:rPr>
          <w:spacing w:val="-55"/>
        </w:rPr>
        <w:t> </w:t>
      </w:r>
      <w:r>
        <w:rPr>
          <w:spacing w:val="-55"/>
        </w:rPr>
      </w:r>
      <w:r>
        <w:rPr>
          <w:spacing w:val="-1"/>
        </w:rPr>
        <w:t>价值之和，减去按原持股比例计算应享有原有子公司自购买日或合并日开始持续计算的净资产的</w:t>
      </w:r>
      <w:r>
        <w:rPr>
          <w:spacing w:val="-55"/>
        </w:rPr>
        <w:t> </w:t>
      </w:r>
      <w:r>
        <w:rPr>
          <w:spacing w:val="-55"/>
        </w:rPr>
      </w:r>
      <w:r>
        <w:rPr>
          <w:spacing w:val="-1"/>
        </w:rPr>
        <w:t>份额之间的差额，计入丧失控制权当期的投资收益，同时冲减商誉。与原有子公司股权投资相关</w:t>
      </w:r>
      <w:r>
        <w:rPr>
          <w:spacing w:val="-55"/>
        </w:rPr>
        <w:t> </w:t>
      </w:r>
      <w:r>
        <w:rPr>
          <w:spacing w:val="-55"/>
        </w:rPr>
      </w:r>
      <w:r>
        <w:rPr>
          <w:spacing w:val="-1"/>
        </w:rPr>
        <w:t>的其他综合收益、其他所有者权益变动，在丧失控制权时转为当期投资收益，由于被投资方重新</w:t>
      </w:r>
      <w:r>
        <w:rPr>
          <w:spacing w:val="-55"/>
        </w:rPr>
        <w:t> </w:t>
      </w:r>
      <w:r>
        <w:rPr>
          <w:spacing w:val="-55"/>
        </w:rPr>
      </w:r>
      <w:r>
        <w:rPr/>
        <w:t>计量设定受益计划净负债或净资产变动而产生的其他综合收益除外。</w:t>
      </w:r>
    </w:p>
    <w:p>
      <w:pPr>
        <w:pStyle w:val="BodyText"/>
        <w:spacing w:line="297" w:lineRule="auto" w:before="20"/>
        <w:ind w:left="557" w:right="0"/>
        <w:jc w:val="left"/>
      </w:pPr>
      <w:r>
        <w:rPr>
          <w:rFonts w:ascii="Times New Roman" w:hAnsi="Times New Roman" w:cs="Times New Roman" w:eastAsia="Times New Roman" w:hint="default"/>
        </w:rPr>
        <w:t>B</w:t>
      </w:r>
      <w:r>
        <w:rPr/>
        <w:t>．分步处置股权至丧失控制权</w:t>
      </w:r>
      <w:r>
        <w:rPr>
          <w:w w:val="100"/>
        </w:rPr>
        <w:t> </w:t>
      </w:r>
      <w:r>
        <w:rPr>
          <w:spacing w:val="-2"/>
        </w:rPr>
        <w:t>企业通过多次交易分步处置对子公司股权投资直至丧失控制权的，如果处置对子公司股权投</w:t>
      </w:r>
    </w:p>
    <w:p>
      <w:pPr>
        <w:pStyle w:val="BodyText"/>
        <w:spacing w:line="314" w:lineRule="auto" w:before="35"/>
        <w:ind w:left="137" w:right="129"/>
        <w:jc w:val="both"/>
      </w:pPr>
      <w:r>
        <w:rPr>
          <w:spacing w:val="-1"/>
        </w:rPr>
        <w:t>资直至丧失控制权的各项交易属于一揽子交易的，应当将各项交易作为一项处置子公司并丧失控</w:t>
      </w:r>
      <w:r>
        <w:rPr>
          <w:spacing w:val="-55"/>
        </w:rPr>
        <w:t> </w:t>
      </w:r>
      <w:r>
        <w:rPr>
          <w:spacing w:val="-55"/>
        </w:rPr>
      </w:r>
      <w:r>
        <w:rPr>
          <w:spacing w:val="-1"/>
        </w:rPr>
        <w:t>制权的交易进行会计处理；但是，在丧失控制权之前每一次处置价款与处置投资对应的享有该子</w:t>
      </w:r>
      <w:r>
        <w:rPr>
          <w:spacing w:val="-55"/>
        </w:rPr>
        <w:t> </w:t>
      </w:r>
      <w:r>
        <w:rPr>
          <w:spacing w:val="-55"/>
        </w:rPr>
      </w:r>
      <w:r>
        <w:rPr>
          <w:spacing w:val="-1"/>
        </w:rPr>
        <w:t>公司净资产份额的差额，在合并财务报表中确认为其他综合收益，在丧失控制权时一并转入丧失</w:t>
      </w:r>
      <w:r>
        <w:rPr>
          <w:spacing w:val="-55"/>
        </w:rPr>
        <w:t> </w:t>
      </w:r>
      <w:r>
        <w:rPr>
          <w:spacing w:val="-55"/>
        </w:rPr>
      </w:r>
      <w:r>
        <w:rPr/>
        <w:t>控制权当期的损益。</w:t>
      </w:r>
    </w:p>
    <w:p>
      <w:pPr>
        <w:pStyle w:val="BodyText"/>
        <w:spacing w:line="314" w:lineRule="auto" w:before="20"/>
        <w:ind w:left="137" w:right="0" w:firstLine="420"/>
        <w:jc w:val="left"/>
      </w:pPr>
      <w:r>
        <w:rPr>
          <w:spacing w:val="-2"/>
        </w:rPr>
        <w:t>处置对子公司股权投资的各项交易的条款、条件以及经济影响符合下列一种或多种情况，通</w:t>
      </w:r>
      <w:r>
        <w:rPr>
          <w:w w:val="100"/>
        </w:rPr>
        <w:t> </w:t>
      </w:r>
      <w:r>
        <w:rPr/>
        <w:t>常表明应将多次交易事项作为一揽子交易进行会计处理：</w:t>
      </w:r>
    </w:p>
    <w:p>
      <w:pPr>
        <w:pStyle w:val="BodyText"/>
        <w:tabs>
          <w:tab w:pos="1397" w:val="left" w:leader="none"/>
        </w:tabs>
        <w:spacing w:line="240" w:lineRule="auto" w:before="20"/>
        <w:ind w:left="557" w:right="0"/>
        <w:jc w:val="left"/>
      </w:pPr>
      <w:r>
        <w:rPr>
          <w:spacing w:val="-1"/>
        </w:rPr>
        <w:t>（</w:t>
      </w:r>
      <w:r>
        <w:rPr>
          <w:rFonts w:ascii="Times New Roman" w:hAnsi="Times New Roman" w:cs="Times New Roman" w:eastAsia="Times New Roman" w:hint="default"/>
          <w:spacing w:val="-1"/>
        </w:rPr>
        <w:t>A</w:t>
      </w:r>
      <w:r>
        <w:rPr>
          <w:spacing w:val="-1"/>
        </w:rPr>
        <w:t>）</w:t>
        <w:tab/>
      </w:r>
      <w:r>
        <w:rPr>
          <w:spacing w:val="-2"/>
        </w:rPr>
        <w:t>这些交易是同时或者在考虑了彼此影响的情况下订立的；</w:t>
      </w:r>
    </w:p>
    <w:p>
      <w:pPr>
        <w:pStyle w:val="BodyText"/>
        <w:tabs>
          <w:tab w:pos="1397" w:val="left" w:leader="none"/>
        </w:tabs>
        <w:spacing w:line="240" w:lineRule="auto" w:before="69"/>
        <w:ind w:left="557" w:right="0"/>
        <w:jc w:val="left"/>
      </w:pPr>
      <w:r>
        <w:rPr>
          <w:spacing w:val="-1"/>
        </w:rPr>
        <w:t>（</w:t>
      </w:r>
      <w:r>
        <w:rPr>
          <w:rFonts w:ascii="Times New Roman" w:hAnsi="Times New Roman" w:cs="Times New Roman" w:eastAsia="Times New Roman" w:hint="default"/>
          <w:spacing w:val="-1"/>
        </w:rPr>
        <w:t>B</w:t>
      </w:r>
      <w:r>
        <w:rPr>
          <w:spacing w:val="-1"/>
        </w:rPr>
        <w:t>）</w:t>
        <w:tab/>
      </w:r>
      <w:r>
        <w:rPr>
          <w:spacing w:val="-2"/>
        </w:rPr>
        <w:t>这些交易整体才能达成一项完整的商业结果；</w:t>
      </w:r>
    </w:p>
    <w:p>
      <w:pPr>
        <w:pStyle w:val="BodyText"/>
        <w:tabs>
          <w:tab w:pos="1397" w:val="left" w:leader="none"/>
        </w:tabs>
        <w:spacing w:line="240" w:lineRule="auto" w:before="69"/>
        <w:ind w:left="557" w:right="0"/>
        <w:jc w:val="left"/>
      </w:pPr>
      <w:r>
        <w:rPr>
          <w:spacing w:val="-1"/>
        </w:rPr>
        <w:t>（</w:t>
      </w:r>
      <w:r>
        <w:rPr>
          <w:rFonts w:ascii="Times New Roman" w:hAnsi="Times New Roman" w:cs="Times New Roman" w:eastAsia="Times New Roman" w:hint="default"/>
          <w:spacing w:val="-1"/>
        </w:rPr>
        <w:t>C</w:t>
      </w:r>
      <w:r>
        <w:rPr>
          <w:spacing w:val="-1"/>
        </w:rPr>
        <w:t>）</w:t>
        <w:tab/>
      </w:r>
      <w:r>
        <w:rPr>
          <w:spacing w:val="-2"/>
        </w:rPr>
        <w:t>一项交易的发生取决于其他至少一项交易的发生；</w:t>
      </w:r>
    </w:p>
    <w:p>
      <w:pPr>
        <w:pStyle w:val="BodyText"/>
        <w:tabs>
          <w:tab w:pos="1397" w:val="left" w:leader="none"/>
        </w:tabs>
        <w:spacing w:line="240" w:lineRule="auto" w:before="69"/>
        <w:ind w:left="557" w:right="0"/>
        <w:jc w:val="left"/>
      </w:pPr>
      <w:r>
        <w:rPr>
          <w:spacing w:val="-1"/>
        </w:rPr>
        <w:t>（</w:t>
      </w:r>
      <w:r>
        <w:rPr>
          <w:rFonts w:ascii="Times New Roman" w:hAnsi="Times New Roman" w:cs="Times New Roman" w:eastAsia="Times New Roman" w:hint="default"/>
          <w:spacing w:val="-1"/>
        </w:rPr>
        <w:t>D</w:t>
      </w:r>
      <w:r>
        <w:rPr>
          <w:spacing w:val="-1"/>
        </w:rPr>
        <w:t>）</w:t>
        <w:tab/>
      </w:r>
      <w:r>
        <w:rPr>
          <w:spacing w:val="-2"/>
        </w:rPr>
        <w:t>一项交易单独考虑时是不经济的，但是和其他交易一并考虑时是经济的。</w:t>
      </w:r>
    </w:p>
    <w:p>
      <w:pPr>
        <w:pStyle w:val="BodyText"/>
        <w:spacing w:line="297" w:lineRule="auto" w:before="69"/>
        <w:ind w:left="557" w:right="0"/>
        <w:jc w:val="left"/>
      </w:pPr>
      <w:r>
        <w:rPr/>
        <w:t>（</w:t>
      </w:r>
      <w:r>
        <w:rPr>
          <w:rFonts w:ascii="Times New Roman" w:hAnsi="Times New Roman" w:cs="Times New Roman" w:eastAsia="Times New Roman" w:hint="default"/>
        </w:rPr>
        <w:t>3</w:t>
      </w:r>
      <w:r>
        <w:rPr/>
        <w:t>）购买子公司少数股权</w:t>
      </w:r>
      <w:r>
        <w:rPr>
          <w:w w:val="100"/>
        </w:rPr>
        <w:t> </w:t>
      </w:r>
      <w:r>
        <w:rPr>
          <w:spacing w:val="-2"/>
        </w:rPr>
        <w:t>本公司因购买子公司的少数股权新取得的长期股权投资与按照新增持股比例计算应享有子公</w:t>
      </w:r>
    </w:p>
    <w:p>
      <w:pPr>
        <w:pStyle w:val="BodyText"/>
        <w:spacing w:line="314" w:lineRule="auto" w:before="34"/>
        <w:ind w:left="137" w:right="129"/>
        <w:jc w:val="both"/>
      </w:pPr>
      <w:r>
        <w:rPr>
          <w:spacing w:val="-1"/>
        </w:rPr>
        <w:t>司自购买日（或合并日）开始持续计算的可辨认净资产份额之间的差额，调整合并资产负债表中</w:t>
      </w:r>
      <w:r>
        <w:rPr>
          <w:spacing w:val="-55"/>
        </w:rPr>
        <w:t> </w:t>
      </w:r>
      <w:r>
        <w:rPr>
          <w:spacing w:val="-55"/>
        </w:rPr>
      </w:r>
      <w:r>
        <w:rPr>
          <w:spacing w:val="-1"/>
        </w:rPr>
        <w:t>的资本公积中的资本溢价或股本溢价，资本公积中的资本溢价或股本溢价不足冲减的，调整留存</w:t>
      </w:r>
      <w:r>
        <w:rPr>
          <w:spacing w:val="-55"/>
        </w:rPr>
        <w:t> </w:t>
      </w:r>
      <w:r>
        <w:rPr>
          <w:spacing w:val="-55"/>
        </w:rPr>
      </w:r>
      <w:r>
        <w:rPr/>
        <w:t>收益。</w:t>
      </w:r>
    </w:p>
    <w:p>
      <w:pPr>
        <w:pStyle w:val="BodyText"/>
        <w:spacing w:line="297" w:lineRule="auto" w:before="20"/>
        <w:ind w:left="557" w:right="0"/>
        <w:jc w:val="left"/>
      </w:pPr>
      <w:r>
        <w:rPr/>
        <w:t>（</w:t>
      </w:r>
      <w:r>
        <w:rPr>
          <w:rFonts w:ascii="Times New Roman" w:hAnsi="Times New Roman" w:cs="Times New Roman" w:eastAsia="Times New Roman"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w:t>
      </w:r>
    </w:p>
    <w:p>
      <w:pPr>
        <w:pStyle w:val="BodyText"/>
        <w:spacing w:line="314" w:lineRule="auto" w:before="34"/>
        <w:ind w:left="137" w:right="129"/>
        <w:jc w:val="both"/>
      </w:pPr>
      <w:r>
        <w:rPr>
          <w:spacing w:val="-1"/>
        </w:rPr>
        <w:t>股权投资相对应享有子公司自购买日或合并日开始持续计算的净资产份额之间的差额，调整合并</w:t>
      </w:r>
      <w:r>
        <w:rPr>
          <w:spacing w:val="-55"/>
        </w:rPr>
        <w:t> </w:t>
      </w:r>
      <w:r>
        <w:rPr>
          <w:spacing w:val="-55"/>
        </w:rPr>
      </w:r>
      <w:r>
        <w:rPr/>
        <w:t>资产负债表中的资本公积中的股本溢价，资本公积中的股本溢价不足冲减的，调整留存收益。</w:t>
      </w:r>
    </w:p>
    <w:p>
      <w:pPr>
        <w:pStyle w:val="Heading4"/>
        <w:spacing w:line="240" w:lineRule="auto" w:before="3"/>
        <w:ind w:left="137" w:right="0"/>
        <w:jc w:val="both"/>
        <w:rPr>
          <w:b w:val="0"/>
          <w:bCs w:val="0"/>
        </w:rPr>
      </w:pPr>
      <w:r>
        <w:rPr>
          <w:rFonts w:ascii="Times New Roman" w:hAnsi="Times New Roman" w:cs="Times New Roman" w:eastAsia="Times New Roman" w:hint="default"/>
        </w:rPr>
        <w:t>7.    </w:t>
      </w:r>
      <w:r>
        <w:rPr>
          <w:rFonts w:ascii="Times New Roman" w:hAnsi="Times New Roman" w:cs="Times New Roman" w:eastAsia="Times New Roman" w:hint="default"/>
          <w:spacing w:val="3"/>
        </w:rPr>
        <w:t> </w:t>
      </w:r>
      <w:r>
        <w:rPr/>
        <w:t>合营安排分类及共同经营会计处理方法</w:t>
      </w:r>
      <w:r>
        <w:rPr>
          <w:b w:val="0"/>
          <w:bCs w:val="0"/>
        </w:rPr>
      </w:r>
    </w:p>
    <w:p>
      <w:pPr>
        <w:pStyle w:val="BodyText"/>
        <w:tabs>
          <w:tab w:pos="1082" w:val="left" w:leader="none"/>
        </w:tabs>
        <w:spacing w:line="240" w:lineRule="auto" w:before="40"/>
        <w:ind w:left="617" w:right="142" w:hanging="480"/>
        <w:jc w:val="left"/>
      </w:pPr>
      <w:r>
        <w:rPr/>
        <w:t>√适用</w:t>
        <w:tab/>
        <w:t>□不适用</w:t>
      </w:r>
      <w:r>
        <w:rPr>
          <w:w w:val="100"/>
        </w:rPr>
        <w:t> </w:t>
      </w:r>
      <w:r>
        <w:rPr>
          <w:spacing w:val="-3"/>
        </w:rPr>
        <w:t>合营安排是指一项由两个或两个以上的参与方共同控制的安排。合营安排分为共同经营和合</w:t>
      </w:r>
    </w:p>
    <w:p>
      <w:pPr>
        <w:pStyle w:val="BodyText"/>
        <w:spacing w:line="271" w:lineRule="exact"/>
        <w:ind w:left="137" w:right="0"/>
        <w:jc w:val="both"/>
      </w:pPr>
      <w:r>
        <w:rPr/>
        <w:t>营企业。</w:t>
      </w:r>
    </w:p>
    <w:p>
      <w:pPr>
        <w:pStyle w:val="BodyText"/>
        <w:spacing w:line="297" w:lineRule="auto" w:before="75"/>
        <w:ind w:left="137" w:right="0" w:firstLine="420"/>
        <w:jc w:val="left"/>
      </w:pPr>
      <w:r>
        <w:rPr>
          <w:rFonts w:ascii="Times New Roman" w:hAnsi="Times New Roman" w:cs="Times New Roman" w:eastAsia="Times New Roman" w:hint="default"/>
          <w:spacing w:val="-4"/>
        </w:rPr>
        <w:t>1</w:t>
      </w:r>
      <w:r>
        <w:rPr>
          <w:spacing w:val="-4"/>
        </w:rPr>
        <w:t>．共同经营是指本公司享有该安排相关资产且承担该安排相关负债的合营安排。本公司确认</w:t>
      </w:r>
      <w:r>
        <w:rPr>
          <w:w w:val="100"/>
        </w:rPr>
        <w:t> </w:t>
      </w:r>
      <w:r>
        <w:rPr/>
        <w:t>与共同经营中利益份额相关的下列项目，并按照相关企业会计准则的规定进行会计处理：</w:t>
      </w:r>
    </w:p>
    <w:p>
      <w:pPr>
        <w:pStyle w:val="BodyText"/>
        <w:spacing w:line="240" w:lineRule="auto" w:before="34"/>
        <w:ind w:left="557" w:right="0"/>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69"/>
        <w:ind w:left="557" w:right="0"/>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69"/>
        <w:ind w:left="557" w:right="0"/>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69"/>
        <w:ind w:left="557" w:right="0"/>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240" w:lineRule="auto" w:before="69"/>
        <w:ind w:left="557" w:right="0"/>
        <w:jc w:val="left"/>
      </w:pPr>
      <w:r>
        <w:rPr/>
        <w:t>（</w:t>
      </w:r>
      <w:r>
        <w:rPr>
          <w:rFonts w:ascii="Times New Roman" w:hAnsi="Times New Roman" w:cs="Times New Roman" w:eastAsia="Times New Roman" w:hint="default"/>
        </w:rPr>
        <w:t>5</w:t>
      </w:r>
      <w:r>
        <w:rPr/>
        <w:t>）确认单独所发生的费用，以及按其份额确认共同经营发生的费用</w:t>
      </w:r>
    </w:p>
    <w:p>
      <w:pPr>
        <w:spacing w:after="0" w:line="240" w:lineRule="auto"/>
        <w:jc w:val="left"/>
        <w:sectPr>
          <w:pgSz w:w="11910" w:h="16840"/>
          <w:pgMar w:header="857" w:footer="979" w:top="1120" w:bottom="1160" w:left="1140" w:right="1660"/>
        </w:sectPr>
      </w:pPr>
    </w:p>
    <w:p>
      <w:pPr>
        <w:spacing w:line="240" w:lineRule="auto" w:before="7"/>
        <w:rPr>
          <w:rFonts w:ascii="宋体" w:hAnsi="宋体" w:cs="宋体" w:eastAsia="宋体" w:hint="default"/>
          <w:sz w:val="18"/>
          <w:szCs w:val="18"/>
        </w:rPr>
      </w:pPr>
    </w:p>
    <w:p>
      <w:pPr>
        <w:pStyle w:val="BodyText"/>
        <w:spacing w:line="300" w:lineRule="exact" w:before="41"/>
        <w:ind w:left="137" w:right="0" w:firstLine="420"/>
        <w:jc w:val="left"/>
        <w:rPr>
          <w:sz w:val="24"/>
          <w:szCs w:val="24"/>
        </w:rPr>
      </w:pPr>
      <w:r>
        <w:rPr>
          <w:spacing w:val="-2"/>
        </w:rPr>
        <w:t>合营企业是指本公司仅对该安排的净资产享有权利的合营安排。本公司按照长期股权投资有</w:t>
      </w:r>
      <w:r>
        <w:rPr>
          <w:w w:val="100"/>
        </w:rPr>
        <w:t> </w:t>
      </w:r>
      <w:r>
        <w:rPr/>
        <w:t>关权益法核算的规定对合营企业的投资进行会计处理</w:t>
      </w:r>
      <w:r>
        <w:rPr>
          <w:sz w:val="24"/>
          <w:szCs w:val="24"/>
        </w:rPr>
        <w:t>。</w:t>
      </w:r>
    </w:p>
    <w:p>
      <w:pPr>
        <w:tabs>
          <w:tab w:pos="562" w:val="left" w:leader="none"/>
        </w:tabs>
        <w:spacing w:line="338" w:lineRule="auto" w:before="38"/>
        <w:ind w:left="617" w:right="142"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3"/>
          <w:sz w:val="21"/>
          <w:szCs w:val="21"/>
        </w:rPr>
        <w:t>公司在编制现金流量表时，将本公司库存现金以及可以随时用于支付的存款确认为现金。公</w:t>
      </w:r>
    </w:p>
    <w:p>
      <w:pPr>
        <w:pStyle w:val="BodyText"/>
        <w:spacing w:line="300" w:lineRule="auto"/>
        <w:ind w:left="137" w:right="129"/>
        <w:jc w:val="both"/>
        <w:rPr>
          <w:sz w:val="24"/>
          <w:szCs w:val="24"/>
        </w:rPr>
      </w:pPr>
      <w:r>
        <w:rPr>
          <w:spacing w:val="-1"/>
        </w:rPr>
        <w:t>司将持有的期限短（一般指从购买日起三个月内到期）、流动性强、易于转换为已知金额现金、</w:t>
      </w:r>
      <w:r>
        <w:rPr>
          <w:spacing w:val="-55"/>
        </w:rPr>
        <w:t> </w:t>
      </w:r>
      <w:r>
        <w:rPr>
          <w:spacing w:val="-55"/>
        </w:rPr>
      </w:r>
      <w:r>
        <w:rPr>
          <w:spacing w:val="-1"/>
        </w:rPr>
        <w:t>价值变动风险很小的投资，确定为现金等价物。受到限制的银行存款，不作为现金流量表中的现</w:t>
      </w:r>
      <w:r>
        <w:rPr>
          <w:spacing w:val="-55"/>
        </w:rPr>
        <w:t> </w:t>
      </w:r>
      <w:r>
        <w:rPr>
          <w:spacing w:val="-55"/>
        </w:rPr>
      </w:r>
      <w:r>
        <w:rPr/>
        <w:t>金及现金等价物</w:t>
      </w:r>
      <w:r>
        <w:rPr>
          <w:sz w:val="24"/>
          <w:szCs w:val="24"/>
        </w:rPr>
        <w:t>。</w:t>
      </w:r>
    </w:p>
    <w:p>
      <w:pPr>
        <w:pStyle w:val="Heading4"/>
        <w:spacing w:line="240" w:lineRule="auto" w:before="4"/>
        <w:ind w:left="137" w:right="0"/>
        <w:jc w:val="both"/>
        <w:rPr>
          <w:b w:val="0"/>
          <w:bCs w:val="0"/>
        </w:rPr>
      </w:pPr>
      <w:r>
        <w:rPr>
          <w:rFonts w:ascii="Times New Roman" w:hAnsi="Times New Roman" w:cs="Times New Roman" w:eastAsia="Times New Roman" w:hint="default"/>
        </w:rPr>
        <w:t>9.    </w:t>
      </w:r>
      <w:r>
        <w:rPr>
          <w:rFonts w:ascii="Times New Roman" w:hAnsi="Times New Roman" w:cs="Times New Roman" w:eastAsia="Times New Roman" w:hint="default"/>
          <w:spacing w:val="5"/>
        </w:rPr>
        <w:t> </w:t>
      </w:r>
      <w:r>
        <w:rPr/>
        <w:t>外币业务和外币报表折算</w:t>
      </w:r>
      <w:r>
        <w:rPr>
          <w:b w:val="0"/>
          <w:bCs w:val="0"/>
        </w:rPr>
      </w:r>
    </w:p>
    <w:p>
      <w:pPr>
        <w:pStyle w:val="BodyText"/>
        <w:spacing w:line="240" w:lineRule="auto" w:before="40"/>
        <w:ind w:left="137" w:right="0"/>
        <w:jc w:val="both"/>
      </w:pPr>
      <w:r>
        <w:rPr/>
        <w:t>√适用  </w:t>
      </w:r>
      <w:r>
        <w:rPr>
          <w:spacing w:val="1"/>
        </w:rPr>
        <w:t> </w:t>
      </w:r>
      <w:r>
        <w:rPr/>
        <w:t>□不适用</w:t>
      </w:r>
    </w:p>
    <w:p>
      <w:pPr>
        <w:pStyle w:val="BodyText"/>
        <w:tabs>
          <w:tab w:pos="977" w:val="left" w:leader="none"/>
        </w:tabs>
        <w:spacing w:line="297" w:lineRule="auto" w:before="75"/>
        <w:ind w:left="557" w:right="142" w:firstLine="60"/>
        <w:jc w:val="left"/>
      </w:pPr>
      <w:r>
        <w:rPr>
          <w:rFonts w:ascii="Times New Roman" w:hAnsi="Times New Roman" w:cs="Times New Roman" w:eastAsia="Times New Roman" w:hint="default"/>
        </w:rPr>
        <w:t>1.</w:t>
        <w:tab/>
      </w:r>
      <w:r>
        <w:rPr/>
        <w:t>外币业务</w:t>
      </w:r>
      <w:r>
        <w:rPr>
          <w:w w:val="100"/>
        </w:rPr>
        <w:t> </w:t>
      </w:r>
      <w:r>
        <w:rPr>
          <w:spacing w:val="-2"/>
        </w:rPr>
        <w:t>发生外币业务时，外币金额按交易发生日的即期汇率折算为人民币入账，期末按照下列方法</w:t>
      </w:r>
    </w:p>
    <w:p>
      <w:pPr>
        <w:pStyle w:val="BodyText"/>
        <w:spacing w:line="240" w:lineRule="auto" w:before="34"/>
        <w:ind w:left="137" w:right="0"/>
        <w:jc w:val="both"/>
      </w:pPr>
      <w:r>
        <w:rPr/>
        <w:t>对外币货币性项目和外币非货币性项目进行处理：</w:t>
      </w:r>
    </w:p>
    <w:p>
      <w:pPr>
        <w:pStyle w:val="BodyText"/>
        <w:spacing w:line="297" w:lineRule="auto" w:before="85"/>
        <w:ind w:left="137" w:right="0" w:firstLine="420"/>
        <w:jc w:val="left"/>
      </w:pPr>
      <w:r>
        <w:rPr>
          <w:spacing w:val="-4"/>
        </w:rPr>
        <w:t>（</w:t>
      </w:r>
      <w:r>
        <w:rPr>
          <w:rFonts w:ascii="Times New Roman" w:hAnsi="Times New Roman" w:cs="Times New Roman" w:eastAsia="Times New Roman" w:hint="default"/>
          <w:spacing w:val="-4"/>
        </w:rPr>
        <w:t>1</w:t>
      </w:r>
      <w:r>
        <w:rPr>
          <w:spacing w:val="-4"/>
        </w:rPr>
        <w:t>）外币货币性项目，采用资产负债表日即期汇率折算。因资产负债表日即期汇率与初始确</w:t>
      </w:r>
      <w:r>
        <w:rPr>
          <w:w w:val="100"/>
        </w:rPr>
        <w:t> </w:t>
      </w:r>
      <w:r>
        <w:rPr/>
        <w:t>认或者前一资产负债表日即期汇率不同而产生的汇兑差额，计入当期损益。</w:t>
      </w:r>
    </w:p>
    <w:p>
      <w:pPr>
        <w:pStyle w:val="BodyText"/>
        <w:spacing w:line="297" w:lineRule="auto" w:before="34"/>
        <w:ind w:left="137" w:right="0" w:firstLine="420"/>
        <w:jc w:val="left"/>
      </w:pPr>
      <w:r>
        <w:rPr>
          <w:spacing w:val="-4"/>
        </w:rPr>
        <w:t>（</w:t>
      </w:r>
      <w:r>
        <w:rPr>
          <w:rFonts w:ascii="Times New Roman" w:hAnsi="Times New Roman" w:cs="Times New Roman" w:eastAsia="Times New Roman" w:hint="default"/>
          <w:spacing w:val="-4"/>
        </w:rPr>
        <w:t>2</w:t>
      </w:r>
      <w:r>
        <w:rPr>
          <w:spacing w:val="-4"/>
        </w:rPr>
        <w:t>）以历史成本计量的外币非货币性项目，仍采用交易发生日的即期汇率折算，不改变其记</w:t>
      </w:r>
      <w:r>
        <w:rPr>
          <w:w w:val="100"/>
        </w:rPr>
        <w:t> </w:t>
      </w:r>
      <w:r>
        <w:rPr/>
        <w:t>账本位币金额。</w:t>
      </w:r>
    </w:p>
    <w:p>
      <w:pPr>
        <w:pStyle w:val="BodyText"/>
        <w:spacing w:line="297" w:lineRule="auto" w:before="34"/>
        <w:ind w:left="137" w:right="0" w:firstLine="420"/>
        <w:jc w:val="left"/>
      </w:pPr>
      <w:r>
        <w:rPr>
          <w:spacing w:val="-4"/>
        </w:rPr>
        <w:t>（</w:t>
      </w:r>
      <w:r>
        <w:rPr>
          <w:rFonts w:ascii="Times New Roman" w:hAnsi="Times New Roman" w:cs="Times New Roman" w:eastAsia="Times New Roman" w:hint="default"/>
          <w:spacing w:val="-4"/>
        </w:rPr>
        <w:t>3</w:t>
      </w:r>
      <w:r>
        <w:rPr>
          <w:spacing w:val="-4"/>
        </w:rPr>
        <w:t>）对以公允价值计量的外币非货币性项目，按公允价值确定日即期汇率折算，由此产生的</w:t>
      </w:r>
      <w:r>
        <w:rPr>
          <w:w w:val="100"/>
        </w:rPr>
        <w:t> </w:t>
      </w:r>
      <w:r>
        <w:rPr/>
        <w:t>汇兑损益计入当期损益或其他综合收益。</w:t>
      </w:r>
    </w:p>
    <w:p>
      <w:pPr>
        <w:pStyle w:val="BodyText"/>
        <w:spacing w:line="304" w:lineRule="auto" w:before="34"/>
        <w:ind w:left="137" w:right="129" w:firstLine="420"/>
        <w:jc w:val="both"/>
      </w:pPr>
      <w:r>
        <w:rPr>
          <w:spacing w:val="-4"/>
          <w:w w:val="100"/>
        </w:rPr>
        <w:t>（</w:t>
      </w:r>
      <w:r>
        <w:rPr>
          <w:rFonts w:ascii="Times New Roman" w:hAnsi="Times New Roman" w:cs="Times New Roman" w:eastAsia="Times New Roman" w:hint="default"/>
          <w:spacing w:val="-4"/>
          <w:w w:val="100"/>
        </w:rPr>
        <w:t>4</w:t>
      </w:r>
      <w:r>
        <w:rPr>
          <w:spacing w:val="-4"/>
          <w:w w:val="100"/>
        </w:rPr>
        <w:t>）外币汇兑损益除与购建或者生产符合资本化条件的资产有关的外币专门借款产生的汇兑</w:t>
      </w:r>
      <w:r>
        <w:rPr>
          <w:w w:val="100"/>
        </w:rPr>
        <w:t> </w:t>
      </w:r>
      <w:r>
        <w:rPr>
          <w:spacing w:val="-1"/>
        </w:rPr>
        <w:t>损益，在资产达到预定可使用或者可销售状态前计入符合资本化条件的资产的成本，其余均计入</w:t>
      </w:r>
      <w:r>
        <w:rPr>
          <w:spacing w:val="-55"/>
        </w:rPr>
        <w:t> </w:t>
      </w:r>
      <w:r>
        <w:rPr>
          <w:spacing w:val="-55"/>
        </w:rPr>
      </w:r>
      <w:r>
        <w:rPr/>
        <w:t>当期损益。</w:t>
      </w:r>
    </w:p>
    <w:p>
      <w:pPr>
        <w:pStyle w:val="BodyText"/>
        <w:tabs>
          <w:tab w:pos="977" w:val="left" w:leader="none"/>
        </w:tabs>
        <w:spacing w:line="240" w:lineRule="auto" w:before="28"/>
        <w:ind w:left="557" w:right="0"/>
        <w:jc w:val="left"/>
      </w:pPr>
      <w:r>
        <w:rPr>
          <w:rFonts w:ascii="Times New Roman" w:hAnsi="Times New Roman" w:cs="Times New Roman" w:eastAsia="Times New Roman" w:hint="default"/>
        </w:rPr>
        <w:t>2.</w:t>
        <w:tab/>
      </w:r>
      <w:r>
        <w:rPr/>
        <w:t>外币财务报表的折算</w:t>
      </w:r>
    </w:p>
    <w:p>
      <w:pPr>
        <w:pStyle w:val="BodyText"/>
        <w:spacing w:line="297" w:lineRule="auto" w:before="69"/>
        <w:ind w:left="137" w:right="0" w:firstLine="420"/>
        <w:jc w:val="left"/>
      </w:pPr>
      <w:r>
        <w:rPr>
          <w:spacing w:val="-4"/>
        </w:rPr>
        <w:t>（</w:t>
      </w:r>
      <w:r>
        <w:rPr>
          <w:rFonts w:ascii="Times New Roman" w:hAnsi="Times New Roman" w:cs="Times New Roman" w:eastAsia="Times New Roman" w:hint="default"/>
          <w:spacing w:val="-4"/>
        </w:rPr>
        <w:t>1</w:t>
      </w:r>
      <w:r>
        <w:rPr>
          <w:spacing w:val="-4"/>
        </w:rPr>
        <w:t>）资产负债表中的资产和负债项目，采用资产负债表日的即期汇率折算；所有者权益项目</w:t>
      </w:r>
      <w:r>
        <w:rPr>
          <w:w w:val="100"/>
        </w:rPr>
        <w:t> </w:t>
      </w:r>
      <w:r>
        <w:rPr/>
        <w:t>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w:t>
      </w:r>
    </w:p>
    <w:p>
      <w:pPr>
        <w:pStyle w:val="BodyText"/>
        <w:spacing w:line="240" w:lineRule="auto" w:before="13"/>
        <w:ind w:left="557" w:right="0"/>
        <w:jc w:val="left"/>
      </w:pPr>
      <w:r>
        <w:rPr/>
        <w:t>（</w:t>
      </w:r>
      <w:r>
        <w:rPr>
          <w:rFonts w:ascii="Times New Roman" w:hAnsi="Times New Roman" w:cs="Times New Roman" w:eastAsia="Times New Roman" w:hint="default"/>
        </w:rPr>
        <w:t>2</w:t>
      </w:r>
      <w:r>
        <w:rPr/>
        <w:t>）利润表中的收入和费用项目，采用交易发生日的即期汇率折算。</w:t>
      </w:r>
    </w:p>
    <w:p>
      <w:pPr>
        <w:pStyle w:val="BodyText"/>
        <w:spacing w:line="297" w:lineRule="auto" w:before="69"/>
        <w:ind w:left="137" w:right="0" w:firstLine="420"/>
        <w:jc w:val="left"/>
      </w:pPr>
      <w:r>
        <w:rPr>
          <w:spacing w:val="-4"/>
        </w:rPr>
        <w:t>（</w:t>
      </w:r>
      <w:r>
        <w:rPr>
          <w:rFonts w:ascii="Times New Roman" w:hAnsi="Times New Roman" w:cs="Times New Roman" w:eastAsia="Times New Roman" w:hint="default"/>
          <w:spacing w:val="-4"/>
        </w:rPr>
        <w:t>3</w:t>
      </w:r>
      <w:r>
        <w:rPr>
          <w:spacing w:val="-4"/>
        </w:rPr>
        <w:t>）按照上述折算产生的外币财务报表折算差额，计入其他综合收益。处置境外经营时，将</w:t>
      </w:r>
      <w:r>
        <w:rPr>
          <w:w w:val="100"/>
        </w:rPr>
        <w:t> </w:t>
      </w:r>
      <w:r>
        <w:rPr/>
        <w:t>与该境外经营相关的外币财务报表折算差额，自所有者权益项目转入处置当期损益。</w:t>
      </w:r>
    </w:p>
    <w:p>
      <w:pPr>
        <w:pStyle w:val="BodyText"/>
        <w:spacing w:line="297" w:lineRule="auto" w:before="34"/>
        <w:ind w:left="137" w:right="0" w:firstLine="420"/>
        <w:jc w:val="left"/>
      </w:pPr>
      <w:r>
        <w:rPr>
          <w:spacing w:val="-4"/>
        </w:rPr>
        <w:t>（</w:t>
      </w:r>
      <w:r>
        <w:rPr>
          <w:rFonts w:ascii="Times New Roman" w:hAnsi="Times New Roman" w:cs="Times New Roman" w:eastAsia="Times New Roman" w:hint="default"/>
          <w:spacing w:val="-4"/>
        </w:rPr>
        <w:t>4</w:t>
      </w:r>
      <w:r>
        <w:rPr>
          <w:spacing w:val="-4"/>
        </w:rPr>
        <w:t>）现金流量表采用现金流量发生日的即期汇率折算。汇率变动对现金的影响额作为调节项</w:t>
      </w:r>
      <w:r>
        <w:rPr>
          <w:w w:val="100"/>
        </w:rPr>
        <w:t> </w:t>
      </w:r>
      <w:r>
        <w:rPr/>
        <w:t>目，在现金流量表中单独列示。</w:t>
      </w:r>
    </w:p>
    <w:p>
      <w:pPr>
        <w:pStyle w:val="Heading4"/>
        <w:spacing w:line="240" w:lineRule="auto" w:before="18"/>
        <w:ind w:left="137" w:right="0"/>
        <w:jc w:val="both"/>
        <w:rPr>
          <w:b w:val="0"/>
          <w:bCs w:val="0"/>
        </w:rPr>
      </w:pPr>
      <w:r>
        <w:rPr>
          <w:rFonts w:ascii="Times New Roman" w:hAnsi="Times New Roman" w:cs="Times New Roman" w:eastAsia="Times New Roman" w:hint="default"/>
        </w:rPr>
        <w:t>10.  </w:t>
      </w:r>
      <w:r>
        <w:rPr>
          <w:rFonts w:ascii="Times New Roman" w:hAnsi="Times New Roman" w:cs="Times New Roman" w:eastAsia="Times New Roman" w:hint="default"/>
          <w:spacing w:val="6"/>
        </w:rPr>
        <w:t> </w:t>
      </w:r>
      <w:r>
        <w:rPr/>
        <w:t>金融工具</w:t>
      </w:r>
      <w:r>
        <w:rPr>
          <w:b w:val="0"/>
          <w:bCs w:val="0"/>
        </w:rPr>
      </w:r>
    </w:p>
    <w:p>
      <w:pPr>
        <w:pStyle w:val="BodyText"/>
        <w:spacing w:line="240" w:lineRule="auto" w:before="40"/>
        <w:ind w:left="137" w:right="0"/>
        <w:jc w:val="both"/>
      </w:pPr>
      <w:r>
        <w:rPr/>
        <w:t>√适用  </w:t>
      </w:r>
      <w:r>
        <w:rPr>
          <w:spacing w:val="1"/>
        </w:rPr>
        <w:t> </w:t>
      </w:r>
      <w:r>
        <w:rPr/>
        <w:t>□不适用</w:t>
      </w:r>
    </w:p>
    <w:p>
      <w:pPr>
        <w:pStyle w:val="BodyText"/>
        <w:spacing w:line="240" w:lineRule="auto" w:before="75"/>
        <w:ind w:left="617" w:right="0"/>
        <w:jc w:val="left"/>
      </w:pPr>
      <w:r>
        <w:rPr>
          <w:rFonts w:ascii="Times New Roman" w:hAnsi="Times New Roman" w:cs="Times New Roman" w:eastAsia="Times New Roman" w:hint="default"/>
          <w:sz w:val="24"/>
          <w:szCs w:val="24"/>
        </w:rPr>
        <w:t>1</w:t>
      </w:r>
      <w:r>
        <w:rPr/>
        <w:t>．金融工具分为下列五类</w:t>
      </w:r>
    </w:p>
    <w:p>
      <w:pPr>
        <w:pStyle w:val="BodyText"/>
        <w:spacing w:line="297" w:lineRule="auto" w:before="63"/>
        <w:ind w:left="137" w:right="0" w:firstLine="420"/>
        <w:jc w:val="left"/>
      </w:pPr>
      <w:r>
        <w:rPr>
          <w:spacing w:val="-4"/>
        </w:rPr>
        <w:t>（</w:t>
      </w:r>
      <w:r>
        <w:rPr>
          <w:rFonts w:ascii="Times New Roman" w:hAnsi="Times New Roman" w:cs="Times New Roman" w:eastAsia="Times New Roman" w:hint="default"/>
          <w:spacing w:val="-4"/>
        </w:rPr>
        <w:t>1</w:t>
      </w:r>
      <w:r>
        <w:rPr>
          <w:spacing w:val="-4"/>
        </w:rPr>
        <w:t>）以公允价值计量且其变动计入当期损益的金融资产或金融负债，包括交易性金融资产或</w:t>
      </w:r>
      <w:r>
        <w:rPr>
          <w:w w:val="100"/>
        </w:rPr>
        <w:t> </w:t>
      </w:r>
      <w:r>
        <w:rPr/>
        <w:t>金融负债和直接指定为以公允价值计量且其变动计入当期损益的金融资产或金融负债；</w:t>
      </w:r>
    </w:p>
    <w:p>
      <w:pPr>
        <w:pStyle w:val="BodyText"/>
        <w:spacing w:line="240" w:lineRule="auto" w:before="34"/>
        <w:ind w:left="557" w:right="0"/>
        <w:jc w:val="left"/>
      </w:pPr>
      <w:r>
        <w:rPr/>
        <w:t>（</w:t>
      </w:r>
      <w:r>
        <w:rPr>
          <w:rFonts w:ascii="Times New Roman" w:hAnsi="Times New Roman" w:cs="Times New Roman" w:eastAsia="Times New Roman" w:hint="default"/>
        </w:rPr>
        <w:t>2</w:t>
      </w:r>
      <w:r>
        <w:rPr/>
        <w:t>）持有至到期投资；</w:t>
      </w:r>
    </w:p>
    <w:p>
      <w:pPr>
        <w:pStyle w:val="BodyText"/>
        <w:spacing w:line="240" w:lineRule="auto" w:before="69"/>
        <w:ind w:left="557" w:right="0"/>
        <w:jc w:val="left"/>
      </w:pPr>
      <w:r>
        <w:rPr/>
        <w:t>（</w:t>
      </w:r>
      <w:r>
        <w:rPr>
          <w:rFonts w:ascii="Times New Roman" w:hAnsi="Times New Roman" w:cs="Times New Roman" w:eastAsia="Times New Roman" w:hint="default"/>
        </w:rPr>
        <w:t>3</w:t>
      </w:r>
      <w:r>
        <w:rPr/>
        <w:t>）贷款和应收款项；</w:t>
      </w:r>
    </w:p>
    <w:p>
      <w:pPr>
        <w:pStyle w:val="BodyText"/>
        <w:spacing w:line="240" w:lineRule="auto" w:before="69"/>
        <w:ind w:left="557" w:right="0"/>
        <w:jc w:val="left"/>
      </w:pPr>
      <w:r>
        <w:rPr/>
        <w:t>（</w:t>
      </w:r>
      <w:r>
        <w:rPr>
          <w:rFonts w:ascii="Times New Roman" w:hAnsi="Times New Roman" w:cs="Times New Roman" w:eastAsia="Times New Roman" w:hint="default"/>
        </w:rPr>
        <w:t>4</w:t>
      </w:r>
      <w:r>
        <w:rPr/>
        <w:t>）可供出售金融资产；</w:t>
      </w:r>
    </w:p>
    <w:p>
      <w:pPr>
        <w:pStyle w:val="BodyText"/>
        <w:spacing w:line="240" w:lineRule="auto" w:before="69"/>
        <w:ind w:left="557" w:right="0"/>
        <w:jc w:val="left"/>
      </w:pPr>
      <w:r>
        <w:rPr/>
        <w:t>（</w:t>
      </w:r>
      <w:r>
        <w:rPr>
          <w:rFonts w:ascii="Times New Roman" w:hAnsi="Times New Roman" w:cs="Times New Roman" w:eastAsia="Times New Roman" w:hint="default"/>
        </w:rPr>
        <w:t>5</w:t>
      </w:r>
      <w:r>
        <w:rPr/>
        <w:t>）其他金融负债。</w:t>
      </w:r>
    </w:p>
    <w:p>
      <w:pPr>
        <w:pStyle w:val="BodyText"/>
        <w:spacing w:line="240" w:lineRule="auto" w:before="69"/>
        <w:ind w:left="557" w:right="0"/>
        <w:jc w:val="left"/>
      </w:pPr>
      <w:r>
        <w:rPr>
          <w:rFonts w:ascii="Times New Roman" w:hAnsi="Times New Roman" w:cs="Times New Roman" w:eastAsia="Times New Roman" w:hint="default"/>
        </w:rPr>
        <w:t>2</w:t>
      </w:r>
      <w:r>
        <w:rPr/>
        <w:t>．确认依据和计量方法</w:t>
      </w:r>
    </w:p>
    <w:p>
      <w:pPr>
        <w:spacing w:after="0" w:line="240" w:lineRule="auto"/>
        <w:jc w:val="left"/>
        <w:sectPr>
          <w:pgSz w:w="11910" w:h="16840"/>
          <w:pgMar w:header="857" w:footer="979" w:top="1120" w:bottom="1160" w:left="1140" w:right="1660"/>
        </w:sectPr>
      </w:pPr>
    </w:p>
    <w:p>
      <w:pPr>
        <w:spacing w:line="240" w:lineRule="auto" w:before="5"/>
        <w:rPr>
          <w:rFonts w:ascii="宋体" w:hAnsi="宋体" w:cs="宋体" w:eastAsia="宋体" w:hint="default"/>
          <w:sz w:val="24"/>
          <w:szCs w:val="24"/>
        </w:rPr>
      </w:pPr>
    </w:p>
    <w:p>
      <w:pPr>
        <w:pStyle w:val="BodyText"/>
        <w:spacing w:line="314" w:lineRule="auto" w:before="36"/>
        <w:ind w:left="157" w:right="211" w:firstLine="420"/>
        <w:jc w:val="both"/>
      </w:pPr>
      <w:r>
        <w:rPr>
          <w:spacing w:val="-2"/>
        </w:rPr>
        <w:t>金融工具的确认依据：当公司成为金融工具合同的一方时，确认与之相关的金融资产或金融</w:t>
      </w:r>
      <w:r>
        <w:rPr>
          <w:w w:val="100"/>
        </w:rPr>
        <w:t> </w:t>
      </w:r>
      <w:r>
        <w:rPr/>
        <w:t>负债。</w:t>
      </w:r>
    </w:p>
    <w:p>
      <w:pPr>
        <w:pStyle w:val="BodyText"/>
        <w:spacing w:line="240" w:lineRule="auto" w:before="20"/>
        <w:ind w:left="577" w:right="0"/>
        <w:jc w:val="left"/>
      </w:pPr>
      <w:r>
        <w:rPr/>
        <w:t>金融工具的计量方法：</w:t>
      </w:r>
    </w:p>
    <w:p>
      <w:pPr>
        <w:pStyle w:val="BodyText"/>
        <w:spacing w:line="309" w:lineRule="auto" w:before="85"/>
        <w:ind w:left="157" w:right="208" w:firstLine="420"/>
        <w:jc w:val="both"/>
      </w:pPr>
      <w:r>
        <w:rPr>
          <w:spacing w:val="-4"/>
        </w:rPr>
        <w:t>（</w:t>
      </w:r>
      <w:r>
        <w:rPr>
          <w:rFonts w:ascii="Times New Roman" w:hAnsi="Times New Roman" w:cs="Times New Roman" w:eastAsia="Times New Roman" w:hint="default"/>
          <w:spacing w:val="-4"/>
        </w:rPr>
        <w:t>1</w:t>
      </w:r>
      <w:r>
        <w:rPr>
          <w:spacing w:val="-4"/>
        </w:rPr>
        <w:t>）以公允价值计量且其变动计入当期损益的金融资产或金融负债：按照取得时的公允价值</w:t>
      </w:r>
      <w:r>
        <w:rPr>
          <w:w w:val="100"/>
        </w:rPr>
        <w:t> </w:t>
      </w:r>
      <w:r>
        <w:rPr>
          <w:spacing w:val="-1"/>
        </w:rPr>
        <w:t>作为初始确认金额，相关的交易费用在发生时计入当期损益。支付的价款中包含已宣告发放的现</w:t>
      </w:r>
      <w:r>
        <w:rPr>
          <w:spacing w:val="-55"/>
        </w:rPr>
        <w:t> </w:t>
      </w:r>
      <w:r>
        <w:rPr>
          <w:spacing w:val="-55"/>
        </w:rPr>
      </w:r>
      <w:r>
        <w:rPr>
          <w:spacing w:val="-1"/>
        </w:rPr>
        <w:t>金股利或债券利息，单独确认为应收项目。持有期间取得的利息或现金股利，确认为投资收益。</w:t>
      </w:r>
      <w:r>
        <w:rPr>
          <w:spacing w:val="-55"/>
        </w:rPr>
        <w:t> </w:t>
      </w:r>
      <w:r>
        <w:rPr>
          <w:spacing w:val="-55"/>
        </w:rPr>
      </w:r>
      <w:r>
        <w:rPr>
          <w:spacing w:val="-1"/>
        </w:rPr>
        <w:t>资产负债表日，将其公允价值变动计入当期损益。处置时，其公允价值与初始入账金额之间的差</w:t>
      </w:r>
      <w:r>
        <w:rPr>
          <w:spacing w:val="-55"/>
        </w:rPr>
        <w:t> </w:t>
      </w:r>
      <w:r>
        <w:rPr>
          <w:spacing w:val="-55"/>
        </w:rPr>
      </w:r>
      <w:r>
        <w:rPr/>
        <w:t>额确认为投资收益，同时调整公允价值变动损益。</w:t>
      </w:r>
    </w:p>
    <w:p>
      <w:pPr>
        <w:pStyle w:val="BodyText"/>
        <w:spacing w:line="309" w:lineRule="auto" w:before="24"/>
        <w:ind w:left="157" w:right="209" w:firstLine="420"/>
        <w:jc w:val="both"/>
      </w:pPr>
      <w:r>
        <w:rPr>
          <w:spacing w:val="-4"/>
        </w:rPr>
        <w:t>（</w:t>
      </w:r>
      <w:r>
        <w:rPr>
          <w:rFonts w:ascii="Times New Roman" w:hAnsi="Times New Roman" w:cs="Times New Roman" w:eastAsia="Times New Roman" w:hint="default"/>
          <w:spacing w:val="-4"/>
        </w:rPr>
        <w:t>2</w:t>
      </w:r>
      <w:r>
        <w:rPr>
          <w:spacing w:val="-4"/>
        </w:rPr>
        <w:t>）持有至到期投资：按取得时的公允价值和相关交易费用之和作为初始确认金额。支付的</w:t>
      </w:r>
      <w:r>
        <w:rPr>
          <w:w w:val="100"/>
        </w:rPr>
        <w:t> </w:t>
      </w:r>
      <w:r>
        <w:rPr>
          <w:spacing w:val="-1"/>
        </w:rPr>
        <w:t>价款中包含已宣告发放债券利息的，单独确认为应收项目。持有期间按照实际利率法确认利息收</w:t>
      </w:r>
      <w:r>
        <w:rPr>
          <w:spacing w:val="-55"/>
        </w:rPr>
        <w:t> </w:t>
      </w:r>
      <w:r>
        <w:rPr>
          <w:spacing w:val="-55"/>
        </w:rPr>
      </w:r>
      <w:r>
        <w:rPr>
          <w:spacing w:val="-1"/>
        </w:rPr>
        <w:t>入，计入投资收益。实际利率与票面利率差别很小的，可按票面利率计算利息收入，计入投资收</w:t>
      </w:r>
      <w:r>
        <w:rPr>
          <w:spacing w:val="-55"/>
        </w:rPr>
        <w:t> </w:t>
      </w:r>
      <w:r>
        <w:rPr>
          <w:spacing w:val="-55"/>
        </w:rPr>
      </w:r>
      <w:r>
        <w:rPr/>
        <w:t>益。处置持有至到期投资时，将所取得价款与该投资账面价值之间的差额计入投资收益。</w:t>
      </w:r>
    </w:p>
    <w:p>
      <w:pPr>
        <w:pStyle w:val="BodyText"/>
        <w:spacing w:line="297" w:lineRule="auto" w:before="24"/>
        <w:ind w:left="157" w:right="209" w:firstLine="420"/>
        <w:jc w:val="both"/>
      </w:pPr>
      <w:r>
        <w:rPr>
          <w:spacing w:val="-4"/>
        </w:rPr>
        <w:t>（</w:t>
      </w:r>
      <w:r>
        <w:rPr>
          <w:rFonts w:ascii="Times New Roman" w:hAnsi="Times New Roman" w:cs="Times New Roman" w:eastAsia="Times New Roman" w:hint="default"/>
          <w:spacing w:val="-4"/>
        </w:rPr>
        <w:t>3</w:t>
      </w:r>
      <w:r>
        <w:rPr>
          <w:spacing w:val="-4"/>
        </w:rPr>
        <w:t>）应收款项：按从购货方应收的合同或协议价款作为初始入账金额。单项金额重大的应收</w:t>
      </w:r>
      <w:r>
        <w:rPr>
          <w:w w:val="100"/>
        </w:rPr>
        <w:t> </w:t>
      </w:r>
      <w:r>
        <w:rPr/>
        <w:t>款项持有期间采用实际利率法，按摊余成本进行后续计量。</w:t>
      </w:r>
    </w:p>
    <w:p>
      <w:pPr>
        <w:pStyle w:val="BodyText"/>
        <w:spacing w:line="309" w:lineRule="auto" w:before="34"/>
        <w:ind w:left="157" w:right="0" w:firstLine="420"/>
        <w:jc w:val="left"/>
      </w:pPr>
      <w:r>
        <w:rPr>
          <w:spacing w:val="-1"/>
        </w:rPr>
        <w:t>（</w:t>
      </w:r>
      <w:r>
        <w:rPr>
          <w:rFonts w:ascii="Times New Roman" w:hAnsi="Times New Roman" w:cs="Times New Roman" w:eastAsia="Times New Roman" w:hint="default"/>
          <w:spacing w:val="-1"/>
        </w:rPr>
        <w:t>4</w:t>
      </w:r>
      <w:r>
        <w:rPr>
          <w:spacing w:val="-1"/>
        </w:rPr>
        <w:t>）可供出售金融资产：按取得该金融资产的公允价值和相关费用之和作为初始确认金额。</w:t>
      </w:r>
      <w:r>
        <w:rPr>
          <w:w w:val="100"/>
        </w:rPr>
        <w:t> </w:t>
      </w:r>
      <w:r>
        <w:rPr/>
        <w:t>支付的价款中包含了已宣告发放的债券利息或现金股利的，单独确认为应收项目。持有期间取得</w:t>
      </w:r>
      <w:r>
        <w:rPr>
          <w:spacing w:val="-97"/>
        </w:rPr>
        <w:t> </w:t>
      </w:r>
      <w:r>
        <w:rPr>
          <w:spacing w:val="-97"/>
        </w:rPr>
      </w:r>
      <w:r>
        <w:rPr/>
        <w:t>的利息或现金股利，计入投资收益。期末，可供出售金融资产以公允价值计量，且公允价值变动</w:t>
      </w:r>
      <w:r>
        <w:rPr>
          <w:spacing w:val="-98"/>
        </w:rPr>
        <w:t> </w:t>
      </w:r>
      <w:r>
        <w:rPr>
          <w:spacing w:val="-98"/>
        </w:rPr>
      </w:r>
      <w:r>
        <w:rPr/>
        <w:t>计入其他综合收益。</w:t>
      </w:r>
    </w:p>
    <w:p>
      <w:pPr>
        <w:pStyle w:val="BodyText"/>
        <w:spacing w:line="314" w:lineRule="auto" w:before="24"/>
        <w:ind w:left="157" w:right="211" w:firstLine="420"/>
        <w:jc w:val="both"/>
      </w:pPr>
      <w:r>
        <w:rPr>
          <w:spacing w:val="-2"/>
        </w:rPr>
        <w:t>对于在活跃市场中没有报价且其公允价值不能可靠计量的权益工具投资，以及与该权益工具</w:t>
      </w:r>
      <w:r>
        <w:rPr>
          <w:w w:val="100"/>
        </w:rPr>
        <w:t> </w:t>
      </w:r>
      <w:r>
        <w:rPr/>
        <w:t>挂钩并须通过交付该权益工具结算的衍生金融资产，按成本计量。</w:t>
      </w:r>
    </w:p>
    <w:p>
      <w:pPr>
        <w:pStyle w:val="BodyText"/>
        <w:spacing w:line="314" w:lineRule="auto" w:before="20"/>
        <w:ind w:left="157" w:right="208" w:firstLine="420"/>
        <w:jc w:val="both"/>
      </w:pPr>
      <w:r>
        <w:rPr>
          <w:spacing w:val="-7"/>
          <w:w w:val="100"/>
        </w:rPr>
        <w:t>处置可供出售金融资产时，将取得的价款与该金融资产账面价值之间的差额，计入当期损益；</w:t>
      </w:r>
      <w:r>
        <w:rPr>
          <w:w w:val="100"/>
        </w:rPr>
        <w:t> </w:t>
      </w:r>
      <w:r>
        <w:rPr>
          <w:spacing w:val="-1"/>
        </w:rPr>
        <w:t>同时，将原直接计入其他综合收益的公允价值变动累计额对应处置部分的金额转出，计入当期损</w:t>
      </w:r>
      <w:r>
        <w:rPr>
          <w:spacing w:val="-55"/>
        </w:rPr>
        <w:t> </w:t>
      </w:r>
      <w:r>
        <w:rPr>
          <w:spacing w:val="-55"/>
        </w:rPr>
      </w:r>
      <w:r>
        <w:rPr/>
        <w:t>益。</w:t>
      </w:r>
    </w:p>
    <w:p>
      <w:pPr>
        <w:pStyle w:val="BodyText"/>
        <w:spacing w:line="297" w:lineRule="auto" w:before="20"/>
        <w:ind w:left="157" w:right="209" w:firstLine="420"/>
        <w:jc w:val="both"/>
      </w:pPr>
      <w:r>
        <w:rPr>
          <w:spacing w:val="-4"/>
        </w:rPr>
        <w:t>（</w:t>
      </w:r>
      <w:r>
        <w:rPr>
          <w:rFonts w:ascii="Times New Roman" w:hAnsi="Times New Roman" w:cs="Times New Roman" w:eastAsia="Times New Roman" w:hint="default"/>
          <w:spacing w:val="-4"/>
        </w:rPr>
        <w:t>5</w:t>
      </w:r>
      <w:r>
        <w:rPr>
          <w:spacing w:val="-4"/>
        </w:rPr>
        <w:t>）其他金融负债：按其公允价值和相关交易费用之和作为初始入账金额，除《企业会计准</w:t>
      </w:r>
      <w:r>
        <w:rPr>
          <w:w w:val="100"/>
        </w:rPr>
        <w:t> </w:t>
      </w:r>
      <w:r>
        <w:rPr/>
        <w:t>则第</w:t>
      </w:r>
      <w:r>
        <w:rPr>
          <w:spacing w:val="-30"/>
        </w:rPr>
        <w:t> </w:t>
      </w:r>
      <w:r>
        <w:rPr>
          <w:rFonts w:ascii="Times New Roman" w:hAnsi="Times New Roman" w:cs="Times New Roman" w:eastAsia="Times New Roman" w:hint="default"/>
        </w:rPr>
        <w:t>22</w:t>
      </w:r>
      <w:r>
        <w:rPr>
          <w:rFonts w:ascii="Times New Roman" w:hAnsi="Times New Roman" w:cs="Times New Roman" w:eastAsia="Times New Roman" w:hint="default"/>
          <w:spacing w:val="23"/>
        </w:rPr>
        <w:t> </w:t>
      </w:r>
      <w:r>
        <w:rPr>
          <w:spacing w:val="-4"/>
        </w:rPr>
        <w:t>号</w:t>
      </w:r>
      <w:r>
        <w:rPr>
          <w:rFonts w:ascii="Times New Roman" w:hAnsi="Times New Roman" w:cs="Times New Roman" w:eastAsia="Times New Roman" w:hint="default"/>
          <w:spacing w:val="-4"/>
        </w:rPr>
        <w:t>——</w:t>
      </w:r>
      <w:r>
        <w:rPr>
          <w:spacing w:val="-4"/>
        </w:rPr>
        <w:t>金融工具确认与计量》第三十三条规定的三种情况外，采用实际利率法，按摊余成</w:t>
      </w:r>
      <w:r>
        <w:rPr>
          <w:spacing w:val="-97"/>
        </w:rPr>
        <w:t> </w:t>
      </w:r>
      <w:r>
        <w:rPr>
          <w:spacing w:val="-97"/>
        </w:rPr>
      </w:r>
      <w:r>
        <w:rPr/>
        <w:t>本进行后续计量。</w:t>
      </w:r>
    </w:p>
    <w:p>
      <w:pPr>
        <w:pStyle w:val="BodyText"/>
        <w:spacing w:line="284" w:lineRule="exact" w:before="53"/>
        <w:ind w:left="577" w:right="3120"/>
        <w:jc w:val="left"/>
      </w:pPr>
      <w:r>
        <w:rPr>
          <w:rFonts w:ascii="Times New Roman" w:hAnsi="Times New Roman" w:cs="Times New Roman" w:eastAsia="Times New Roman" w:hint="default"/>
          <w:spacing w:val="-2"/>
        </w:rPr>
        <w:t>3</w:t>
      </w:r>
      <w:r>
        <w:rPr>
          <w:spacing w:val="-2"/>
        </w:rPr>
        <w:t>．金融资产转移的确认依据和计量方法</w:t>
      </w:r>
      <w:r>
        <w:rPr>
          <w:spacing w:val="-72"/>
        </w:rPr>
        <w:t> </w:t>
      </w:r>
      <w:r>
        <w:rPr>
          <w:spacing w:val="-72"/>
        </w:rPr>
      </w:r>
      <w:r>
        <w:rPr/>
        <w:t>金融资产转移的确认</w:t>
      </w:r>
    </w:p>
    <w:tbl>
      <w:tblPr>
        <w:tblW w:w="0" w:type="auto"/>
        <w:jc w:val="left"/>
        <w:tblInd w:w="101" w:type="dxa"/>
        <w:tblLayout w:type="fixed"/>
        <w:tblCellMar>
          <w:top w:w="0" w:type="dxa"/>
          <w:left w:w="0" w:type="dxa"/>
          <w:bottom w:w="0" w:type="dxa"/>
          <w:right w:w="0" w:type="dxa"/>
        </w:tblCellMar>
        <w:tblLook w:val="01E0"/>
      </w:tblPr>
      <w:tblGrid>
        <w:gridCol w:w="2694"/>
        <w:gridCol w:w="2402"/>
        <w:gridCol w:w="3719"/>
      </w:tblGrid>
      <w:tr>
        <w:trPr>
          <w:trHeight w:val="446" w:hRule="exact"/>
        </w:trPr>
        <w:tc>
          <w:tcPr>
            <w:tcW w:w="509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情形</w:t>
            </w:r>
          </w:p>
        </w:tc>
        <w:tc>
          <w:tcPr>
            <w:tcW w:w="37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确认结果</w:t>
            </w:r>
          </w:p>
        </w:tc>
      </w:tr>
      <w:tr>
        <w:trPr>
          <w:trHeight w:val="444" w:hRule="exact"/>
        </w:trPr>
        <w:tc>
          <w:tcPr>
            <w:tcW w:w="509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36" w:right="0"/>
              <w:jc w:val="left"/>
              <w:rPr>
                <w:rFonts w:ascii="宋体" w:hAnsi="宋体" w:cs="宋体" w:eastAsia="宋体" w:hint="default"/>
                <w:sz w:val="21"/>
                <w:szCs w:val="21"/>
              </w:rPr>
            </w:pPr>
            <w:r>
              <w:rPr>
                <w:rFonts w:ascii="宋体" w:hAnsi="宋体" w:cs="宋体" w:eastAsia="宋体" w:hint="default"/>
                <w:sz w:val="21"/>
                <w:szCs w:val="21"/>
              </w:rPr>
              <w:t>已转移金融资产所有权上几乎所有的风险和报酬</w:t>
            </w:r>
          </w:p>
        </w:tc>
        <w:tc>
          <w:tcPr>
            <w:tcW w:w="37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66"/>
              <w:jc w:val="center"/>
              <w:rPr>
                <w:rFonts w:ascii="Times New Roman" w:hAnsi="Times New Roman" w:cs="Times New Roman" w:eastAsia="Times New Roman" w:hint="default"/>
                <w:sz w:val="21"/>
                <w:szCs w:val="21"/>
              </w:rPr>
            </w:pPr>
            <w:r>
              <w:rPr>
                <w:rFonts w:ascii="宋体" w:hAnsi="宋体" w:cs="宋体" w:eastAsia="宋体" w:hint="default"/>
                <w:sz w:val="21"/>
                <w:szCs w:val="21"/>
              </w:rPr>
              <w:t>终止确认该金融资产</w:t>
            </w:r>
            <w:r>
              <w:rPr>
                <w:rFonts w:ascii="Times New Roman" w:hAnsi="Times New Roman" w:cs="Times New Roman" w:eastAsia="Times New Roman" w:hint="default"/>
                <w:sz w:val="21"/>
                <w:szCs w:val="21"/>
              </w:rPr>
              <w:t>(</w:t>
            </w:r>
            <w:r>
              <w:rPr>
                <w:rFonts w:ascii="宋体" w:hAnsi="宋体" w:cs="宋体" w:eastAsia="宋体" w:hint="default"/>
                <w:sz w:val="21"/>
                <w:szCs w:val="21"/>
              </w:rPr>
              <w:t>确认新资产</w:t>
            </w:r>
            <w:r>
              <w:rPr>
                <w:rFonts w:ascii="Times New Roman" w:hAnsi="Times New Roman" w:cs="Times New Roman" w:eastAsia="Times New Roman" w:hint="default"/>
                <w:sz w:val="21"/>
                <w:szCs w:val="21"/>
              </w:rPr>
              <w:t>/</w:t>
            </w:r>
            <w:r>
              <w:rPr>
                <w:rFonts w:ascii="宋体" w:hAnsi="宋体" w:cs="宋体" w:eastAsia="宋体" w:hint="default"/>
                <w:sz w:val="21"/>
                <w:szCs w:val="21"/>
              </w:rPr>
              <w:t>负债</w:t>
            </w:r>
            <w:r>
              <w:rPr>
                <w:rFonts w:ascii="Times New Roman" w:hAnsi="Times New Roman" w:cs="Times New Roman" w:eastAsia="Times New Roman" w:hint="default"/>
                <w:sz w:val="21"/>
                <w:szCs w:val="21"/>
              </w:rPr>
              <w:t>)</w:t>
            </w:r>
          </w:p>
        </w:tc>
      </w:tr>
      <w:tr>
        <w:trPr>
          <w:trHeight w:val="446" w:hRule="exact"/>
        </w:trPr>
        <w:tc>
          <w:tcPr>
            <w:tcW w:w="2694" w:type="dxa"/>
            <w:vMerge w:val="restart"/>
            <w:tcBorders>
              <w:top w:val="single" w:sz="8" w:space="0" w:color="000000"/>
              <w:left w:val="single" w:sz="8" w:space="0" w:color="000000"/>
              <w:right w:val="single" w:sz="8" w:space="0" w:color="000000"/>
            </w:tcBorders>
          </w:tcPr>
          <w:p>
            <w:pPr>
              <w:pStyle w:val="TableParagraph"/>
              <w:spacing w:line="237" w:lineRule="auto" w:before="57"/>
              <w:ind w:left="36" w:right="34"/>
              <w:jc w:val="both"/>
              <w:rPr>
                <w:rFonts w:ascii="宋体" w:hAnsi="宋体" w:cs="宋体" w:eastAsia="宋体" w:hint="default"/>
                <w:sz w:val="21"/>
                <w:szCs w:val="21"/>
              </w:rPr>
            </w:pPr>
            <w:r>
              <w:rPr>
                <w:rFonts w:ascii="宋体" w:hAnsi="宋体" w:cs="宋体" w:eastAsia="宋体" w:hint="default"/>
                <w:spacing w:val="3"/>
                <w:sz w:val="21"/>
                <w:szCs w:val="21"/>
              </w:rPr>
              <w:t>既没有转移也没有保留金融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资产所有权上几乎所有的风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险和报酬</w:t>
            </w:r>
          </w:p>
        </w:tc>
        <w:tc>
          <w:tcPr>
            <w:tcW w:w="2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31"/>
              <w:jc w:val="right"/>
              <w:rPr>
                <w:rFonts w:ascii="宋体" w:hAnsi="宋体" w:cs="宋体" w:eastAsia="宋体" w:hint="default"/>
                <w:sz w:val="21"/>
                <w:szCs w:val="21"/>
              </w:rPr>
            </w:pPr>
            <w:r>
              <w:rPr>
                <w:rFonts w:ascii="宋体" w:hAnsi="宋体" w:cs="宋体" w:eastAsia="宋体" w:hint="default"/>
                <w:spacing w:val="-2"/>
                <w:sz w:val="21"/>
                <w:szCs w:val="21"/>
              </w:rPr>
              <w:t>放弃了对该金融资产控制</w:t>
            </w:r>
          </w:p>
        </w:tc>
        <w:tc>
          <w:tcPr>
            <w:tcW w:w="3719" w:type="dxa"/>
            <w:tcBorders>
              <w:top w:val="single" w:sz="8" w:space="0" w:color="000000"/>
              <w:left w:val="single" w:sz="8" w:space="0" w:color="000000"/>
              <w:bottom w:val="single" w:sz="8" w:space="0" w:color="000000"/>
              <w:right w:val="single" w:sz="8" w:space="0" w:color="000000"/>
            </w:tcBorders>
          </w:tcPr>
          <w:p>
            <w:pPr/>
          </w:p>
        </w:tc>
      </w:tr>
      <w:tr>
        <w:trPr>
          <w:trHeight w:val="564" w:hRule="exact"/>
        </w:trPr>
        <w:tc>
          <w:tcPr>
            <w:tcW w:w="2694" w:type="dxa"/>
            <w:vMerge/>
            <w:tcBorders>
              <w:left w:val="single" w:sz="8" w:space="0" w:color="000000"/>
              <w:bottom w:val="single" w:sz="8" w:space="0" w:color="000000"/>
              <w:right w:val="single" w:sz="8" w:space="0" w:color="000000"/>
            </w:tcBorders>
          </w:tcPr>
          <w:p>
            <w:pPr/>
          </w:p>
        </w:tc>
        <w:tc>
          <w:tcPr>
            <w:tcW w:w="2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31"/>
              <w:jc w:val="right"/>
              <w:rPr>
                <w:rFonts w:ascii="宋体" w:hAnsi="宋体" w:cs="宋体" w:eastAsia="宋体" w:hint="default"/>
                <w:sz w:val="21"/>
                <w:szCs w:val="21"/>
              </w:rPr>
            </w:pPr>
            <w:r>
              <w:rPr>
                <w:rFonts w:ascii="宋体" w:hAnsi="宋体" w:cs="宋体" w:eastAsia="宋体" w:hint="default"/>
                <w:spacing w:val="-2"/>
                <w:sz w:val="21"/>
                <w:szCs w:val="21"/>
              </w:rPr>
              <w:t>未放弃对该金融资产控制</w:t>
            </w:r>
          </w:p>
        </w:tc>
        <w:tc>
          <w:tcPr>
            <w:tcW w:w="3719"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34" w:right="0"/>
              <w:jc w:val="left"/>
              <w:rPr>
                <w:rFonts w:ascii="宋体" w:hAnsi="宋体" w:cs="宋体" w:eastAsia="宋体" w:hint="default"/>
                <w:sz w:val="21"/>
                <w:szCs w:val="21"/>
              </w:rPr>
            </w:pPr>
            <w:r>
              <w:rPr>
                <w:rFonts w:ascii="宋体" w:hAnsi="宋体" w:cs="宋体" w:eastAsia="宋体" w:hint="default"/>
                <w:sz w:val="21"/>
                <w:szCs w:val="21"/>
              </w:rPr>
              <w:t>按照继续涉入所转移金融资产的程度确</w:t>
            </w:r>
          </w:p>
          <w:p>
            <w:pPr>
              <w:pStyle w:val="TableParagraph"/>
              <w:spacing w:line="274" w:lineRule="exact"/>
              <w:ind w:left="34" w:right="0"/>
              <w:jc w:val="left"/>
              <w:rPr>
                <w:rFonts w:ascii="宋体" w:hAnsi="宋体" w:cs="宋体" w:eastAsia="宋体" w:hint="default"/>
                <w:sz w:val="21"/>
                <w:szCs w:val="21"/>
              </w:rPr>
            </w:pPr>
            <w:r>
              <w:rPr>
                <w:rFonts w:ascii="宋体" w:hAnsi="宋体" w:cs="宋体" w:eastAsia="宋体" w:hint="default"/>
                <w:sz w:val="21"/>
                <w:szCs w:val="21"/>
              </w:rPr>
              <w:t>认有关资产和负债及任何保留权益</w:t>
            </w:r>
          </w:p>
        </w:tc>
      </w:tr>
      <w:tr>
        <w:trPr>
          <w:trHeight w:val="566" w:hRule="exact"/>
        </w:trPr>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36" w:right="0"/>
              <w:jc w:val="left"/>
              <w:rPr>
                <w:rFonts w:ascii="宋体" w:hAnsi="宋体" w:cs="宋体" w:eastAsia="宋体" w:hint="default"/>
                <w:sz w:val="21"/>
                <w:szCs w:val="21"/>
              </w:rPr>
            </w:pPr>
            <w:r>
              <w:rPr>
                <w:rFonts w:ascii="宋体" w:hAnsi="宋体" w:cs="宋体" w:eastAsia="宋体" w:hint="default"/>
                <w:spacing w:val="3"/>
                <w:sz w:val="21"/>
                <w:szCs w:val="21"/>
              </w:rPr>
              <w:t>保留了金融资产所有权上几</w:t>
            </w:r>
          </w:p>
          <w:p>
            <w:pPr>
              <w:pStyle w:val="TableParagraph"/>
              <w:spacing w:line="274" w:lineRule="exact"/>
              <w:ind w:left="36" w:right="0"/>
              <w:jc w:val="left"/>
              <w:rPr>
                <w:rFonts w:ascii="宋体" w:hAnsi="宋体" w:cs="宋体" w:eastAsia="宋体" w:hint="default"/>
                <w:sz w:val="21"/>
                <w:szCs w:val="21"/>
              </w:rPr>
            </w:pPr>
            <w:r>
              <w:rPr>
                <w:rFonts w:ascii="宋体" w:hAnsi="宋体" w:cs="宋体" w:eastAsia="宋体" w:hint="default"/>
                <w:sz w:val="21"/>
                <w:szCs w:val="21"/>
              </w:rPr>
              <w:t>乎所有的风险和报酬</w:t>
            </w:r>
          </w:p>
        </w:tc>
        <w:tc>
          <w:tcPr>
            <w:tcW w:w="612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36" w:right="0"/>
              <w:jc w:val="left"/>
              <w:rPr>
                <w:rFonts w:ascii="宋体" w:hAnsi="宋体" w:cs="宋体" w:eastAsia="宋体" w:hint="default"/>
                <w:sz w:val="21"/>
                <w:szCs w:val="21"/>
              </w:rPr>
            </w:pPr>
            <w:r>
              <w:rPr>
                <w:rFonts w:ascii="宋体" w:hAnsi="宋体" w:cs="宋体" w:eastAsia="宋体" w:hint="default"/>
                <w:sz w:val="21"/>
                <w:szCs w:val="21"/>
              </w:rPr>
              <w:t>继续确认该金融资产</w:t>
            </w:r>
            <w:r>
              <w:rPr>
                <w:rFonts w:ascii="Times New Roman" w:hAnsi="Times New Roman" w:cs="Times New Roman" w:eastAsia="Times New Roman" w:hint="default"/>
                <w:sz w:val="21"/>
                <w:szCs w:val="21"/>
              </w:rPr>
              <w:t>,</w:t>
            </w:r>
            <w:r>
              <w:rPr>
                <w:rFonts w:ascii="宋体" w:hAnsi="宋体" w:cs="宋体" w:eastAsia="宋体" w:hint="default"/>
                <w:sz w:val="21"/>
                <w:szCs w:val="21"/>
              </w:rPr>
              <w:t>并将收益确认为负债</w:t>
            </w:r>
          </w:p>
        </w:tc>
      </w:tr>
    </w:tbl>
    <w:p>
      <w:pPr>
        <w:pStyle w:val="BodyText"/>
        <w:spacing w:line="245" w:lineRule="exact"/>
        <w:ind w:left="577" w:right="0"/>
        <w:jc w:val="left"/>
      </w:pPr>
      <w:r>
        <w:rPr/>
        <w:t>公司将金融资产转移区分为金融资产整体转移和部分转移。</w:t>
      </w:r>
    </w:p>
    <w:p>
      <w:pPr>
        <w:pStyle w:val="BodyText"/>
        <w:spacing w:line="304" w:lineRule="auto" w:before="73"/>
        <w:ind w:left="157" w:right="209" w:firstLine="420"/>
        <w:jc w:val="both"/>
      </w:pPr>
      <w:r>
        <w:rPr>
          <w:spacing w:val="-4"/>
        </w:rPr>
        <w:t>（</w:t>
      </w:r>
      <w:r>
        <w:rPr>
          <w:rFonts w:ascii="Times New Roman" w:hAnsi="Times New Roman" w:cs="Times New Roman" w:eastAsia="Times New Roman" w:hint="default"/>
          <w:spacing w:val="-4"/>
        </w:rPr>
        <w:t>1</w:t>
      </w:r>
      <w:r>
        <w:rPr>
          <w:spacing w:val="-4"/>
        </w:rPr>
        <w:t>）金融资产整体转移满足终止确认条件的，将下列两项金额的差额计入当期损益：所转移</w:t>
      </w:r>
      <w:r>
        <w:rPr>
          <w:w w:val="100"/>
        </w:rPr>
        <w:t> </w:t>
      </w:r>
      <w:r>
        <w:rPr>
          <w:spacing w:val="-1"/>
        </w:rPr>
        <w:t>金融资产的账面价值；因转移而收到的对价，与原直接计入所有者权益的公允价值变动累计额之</w:t>
      </w:r>
      <w:r>
        <w:rPr>
          <w:spacing w:val="-55"/>
        </w:rPr>
        <w:t> </w:t>
      </w:r>
      <w:r>
        <w:rPr>
          <w:spacing w:val="-55"/>
        </w:rPr>
      </w:r>
      <w:r>
        <w:rPr/>
        <w:t>和。</w:t>
      </w:r>
    </w:p>
    <w:p>
      <w:pPr>
        <w:spacing w:after="0" w:line="304" w:lineRule="auto"/>
        <w:jc w:val="both"/>
        <w:sectPr>
          <w:pgSz w:w="11910" w:h="16840"/>
          <w:pgMar w:header="857" w:footer="979" w:top="1120" w:bottom="1160" w:left="1120" w:right="1580"/>
        </w:sectPr>
      </w:pPr>
    </w:p>
    <w:p>
      <w:pPr>
        <w:spacing w:line="240" w:lineRule="auto" w:before="5"/>
        <w:rPr>
          <w:rFonts w:ascii="宋体" w:hAnsi="宋体" w:cs="宋体" w:eastAsia="宋体" w:hint="default"/>
          <w:sz w:val="24"/>
          <w:szCs w:val="24"/>
        </w:rPr>
      </w:pPr>
    </w:p>
    <w:p>
      <w:pPr>
        <w:pStyle w:val="BodyText"/>
        <w:spacing w:line="309" w:lineRule="auto" w:before="36"/>
        <w:ind w:left="137" w:right="209" w:firstLine="420"/>
        <w:jc w:val="both"/>
      </w:pPr>
      <w:r>
        <w:rPr>
          <w:spacing w:val="-4"/>
        </w:rPr>
        <w:t>（</w:t>
      </w:r>
      <w:r>
        <w:rPr>
          <w:rFonts w:ascii="Times New Roman" w:hAnsi="Times New Roman" w:cs="Times New Roman" w:eastAsia="Times New Roman" w:hint="default"/>
          <w:spacing w:val="-4"/>
        </w:rPr>
        <w:t>2</w:t>
      </w:r>
      <w:r>
        <w:rPr>
          <w:spacing w:val="-4"/>
        </w:rPr>
        <w:t>）金融资产部分转移满足终止确认条件的，将所转移金融资产整体的账面价值，在终止确</w:t>
      </w:r>
      <w:r>
        <w:rPr>
          <w:w w:val="100"/>
        </w:rPr>
        <w:t> </w:t>
      </w:r>
      <w:r>
        <w:rPr>
          <w:spacing w:val="-1"/>
        </w:rPr>
        <w:t>认部分和未终止确认部分之间，按照各自的相对公允价值进行分摊，并将下列两项金额的差额计</w:t>
      </w:r>
      <w:r>
        <w:rPr>
          <w:spacing w:val="-55"/>
        </w:rPr>
        <w:t> </w:t>
      </w:r>
      <w:r>
        <w:rPr>
          <w:spacing w:val="-55"/>
        </w:rPr>
      </w:r>
      <w:r>
        <w:rPr>
          <w:spacing w:val="-1"/>
        </w:rPr>
        <w:t>入当期损益：终止确认部分的账面价值；终止确认部分的对价，与原直接计入所有者权益的公允</w:t>
      </w:r>
      <w:r>
        <w:rPr>
          <w:spacing w:val="-55"/>
        </w:rPr>
        <w:t> </w:t>
      </w:r>
      <w:r>
        <w:rPr>
          <w:spacing w:val="-55"/>
        </w:rPr>
      </w:r>
      <w:r>
        <w:rPr/>
        <w:t>价值变动累计额中对应终止确认部分的金额之和。</w:t>
      </w:r>
    </w:p>
    <w:p>
      <w:pPr>
        <w:pStyle w:val="BodyText"/>
        <w:spacing w:line="314" w:lineRule="auto" w:before="24"/>
        <w:ind w:left="137" w:right="211" w:firstLine="420"/>
        <w:jc w:val="both"/>
      </w:pPr>
      <w:r>
        <w:rPr>
          <w:spacing w:val="-2"/>
        </w:rPr>
        <w:t>金融资产转移不满足终止确认条件的，继续确认所转移的金融资产整体，并将收到的对价确</w:t>
      </w:r>
      <w:r>
        <w:rPr>
          <w:w w:val="100"/>
        </w:rPr>
        <w:t> </w:t>
      </w:r>
      <w:r>
        <w:rPr/>
        <w:t>认为一项金融负债。</w:t>
      </w:r>
    </w:p>
    <w:p>
      <w:pPr>
        <w:pStyle w:val="BodyText"/>
        <w:spacing w:line="304" w:lineRule="auto" w:before="20"/>
        <w:ind w:left="557" w:right="47"/>
        <w:jc w:val="left"/>
      </w:pPr>
      <w:r>
        <w:rPr>
          <w:rFonts w:ascii="Times New Roman" w:hAnsi="Times New Roman" w:cs="Times New Roman" w:eastAsia="Times New Roman" w:hint="default"/>
        </w:rPr>
        <w:t>4</w:t>
      </w:r>
      <w:r>
        <w:rPr/>
        <w:t>．金融负债的终止确认条件</w:t>
      </w:r>
      <w:r>
        <w:rPr>
          <w:w w:val="100"/>
        </w:rPr>
        <w:t> </w:t>
      </w:r>
      <w:r>
        <w:rPr/>
        <w:t>金融负债的现时义务全部或部分已经解除的，才能终止确认该金融负债或其一部分。</w:t>
      </w:r>
      <w:r>
        <w:rPr>
          <w:w w:val="100"/>
        </w:rPr>
        <w:t> </w:t>
      </w:r>
      <w:r>
        <w:rPr>
          <w:spacing w:val="-2"/>
        </w:rPr>
        <w:t>公司将用于偿付金融负债的资产转入某个机构或设立信托，偿付债务的现时义务仍存在的，</w:t>
      </w:r>
    </w:p>
    <w:p>
      <w:pPr>
        <w:pStyle w:val="BodyText"/>
        <w:spacing w:line="314" w:lineRule="auto" w:before="29"/>
        <w:ind w:left="557" w:right="47" w:hanging="420"/>
        <w:jc w:val="left"/>
      </w:pPr>
      <w:r>
        <w:rPr/>
        <w:t>不终止确认该金融负债，也不能终止确认转出的资产。</w:t>
      </w:r>
      <w:r>
        <w:rPr>
          <w:w w:val="100"/>
        </w:rPr>
        <w:t> </w:t>
      </w:r>
      <w:r>
        <w:rPr/>
        <w:t>公司与债权人之间签订协议</w:t>
      </w:r>
      <w:r>
        <w:rPr>
          <w:rFonts w:ascii="Times New Roman" w:hAnsi="Times New Roman" w:cs="Times New Roman" w:eastAsia="Times New Roman" w:hint="default"/>
        </w:rPr>
        <w:t>(</w:t>
      </w:r>
      <w:r>
        <w:rPr/>
        <w:t>不涉及债务重组所指情形</w:t>
      </w:r>
      <w:r>
        <w:rPr>
          <w:rFonts w:ascii="Times New Roman" w:hAnsi="Times New Roman" w:cs="Times New Roman" w:eastAsia="Times New Roman" w:hint="default"/>
        </w:rPr>
        <w:t>)</w:t>
      </w:r>
      <w:r>
        <w:rPr/>
        <w:t>，以承担新金融负债方式替换现存金</w:t>
      </w:r>
    </w:p>
    <w:p>
      <w:pPr>
        <w:pStyle w:val="BodyText"/>
        <w:spacing w:line="314" w:lineRule="auto"/>
        <w:ind w:left="137" w:right="209"/>
        <w:jc w:val="both"/>
      </w:pPr>
      <w:r>
        <w:rPr>
          <w:spacing w:val="-1"/>
        </w:rPr>
        <w:t>融负债，且新金融负债与现存金融负债的合同条款实质上不同的，终止确认现存金融负债，并同</w:t>
      </w:r>
      <w:r>
        <w:rPr>
          <w:spacing w:val="-55"/>
        </w:rPr>
        <w:t> </w:t>
      </w:r>
      <w:r>
        <w:rPr>
          <w:spacing w:val="-55"/>
        </w:rPr>
      </w:r>
      <w:r>
        <w:rPr>
          <w:spacing w:val="-1"/>
        </w:rPr>
        <w:t>时确认新金融负债。公司对现存金融负债全部或部分的合同条款作出实质性修改的，终止确认现</w:t>
      </w:r>
      <w:r>
        <w:rPr>
          <w:spacing w:val="-55"/>
        </w:rPr>
        <w:t> </w:t>
      </w:r>
      <w:r>
        <w:rPr>
          <w:spacing w:val="-55"/>
        </w:rPr>
      </w:r>
      <w:r>
        <w:rPr/>
        <w:t>存金融负债或其一部分，同时将修改条款后的金融负债确认为一项新金融负债。</w:t>
      </w:r>
    </w:p>
    <w:p>
      <w:pPr>
        <w:pStyle w:val="BodyText"/>
        <w:spacing w:line="297" w:lineRule="auto" w:before="20"/>
        <w:ind w:left="557" w:right="47"/>
        <w:jc w:val="left"/>
      </w:pPr>
      <w:r>
        <w:rPr>
          <w:rFonts w:ascii="Times New Roman" w:hAnsi="Times New Roman" w:cs="Times New Roman" w:eastAsia="Times New Roman" w:hint="default"/>
        </w:rPr>
        <w:t>5</w:t>
      </w:r>
      <w:r>
        <w:rPr/>
        <w:t>．金融资产和金融负债的公允价值确定方法</w:t>
      </w:r>
      <w:r>
        <w:rPr>
          <w:w w:val="100"/>
        </w:rPr>
        <w:t> </w:t>
      </w:r>
      <w:r>
        <w:rPr>
          <w:spacing w:val="-2"/>
        </w:rPr>
        <w:t>存在活跃市场的金融工具，公司以活跃市场中的报价确定其公允价值。不存在活跃市场的金</w:t>
      </w:r>
    </w:p>
    <w:p>
      <w:pPr>
        <w:pStyle w:val="BodyText"/>
        <w:spacing w:line="314" w:lineRule="auto" w:before="34"/>
        <w:ind w:left="137" w:right="209"/>
        <w:jc w:val="both"/>
      </w:pPr>
      <w:r>
        <w:rPr>
          <w:spacing w:val="-1"/>
        </w:rPr>
        <w:t>融工具，公司采用估值技术确定其公允价值。在估值时，本公司采用在当前情况下适用并且有足</w:t>
      </w:r>
      <w:r>
        <w:rPr>
          <w:spacing w:val="-55"/>
        </w:rPr>
        <w:t> </w:t>
      </w:r>
      <w:r>
        <w:rPr>
          <w:spacing w:val="-55"/>
        </w:rPr>
      </w:r>
      <w:r>
        <w:rPr>
          <w:spacing w:val="-1"/>
        </w:rPr>
        <w:t>够可利用数据和其他信息支持的估值技术，选择与市场参与者在相关资产或负债的交易中所考虑</w:t>
      </w:r>
      <w:r>
        <w:rPr>
          <w:spacing w:val="-55"/>
        </w:rPr>
        <w:t> </w:t>
      </w:r>
      <w:r>
        <w:rPr>
          <w:spacing w:val="-55"/>
        </w:rPr>
      </w:r>
      <w:r>
        <w:rPr>
          <w:spacing w:val="-1"/>
        </w:rPr>
        <w:t>的资产或负债特征相一致的输入值，并优先使用相关可观察输入值。只有在相关可观察输入值无</w:t>
      </w:r>
      <w:r>
        <w:rPr>
          <w:spacing w:val="-55"/>
        </w:rPr>
        <w:t> </w:t>
      </w:r>
      <w:r>
        <w:rPr>
          <w:spacing w:val="-55"/>
        </w:rPr>
      </w:r>
      <w:r>
        <w:rPr/>
        <w:t>法取得或取得不切实可行的情况下，才使用不可观察输入值。</w:t>
      </w:r>
    </w:p>
    <w:p>
      <w:pPr>
        <w:pStyle w:val="BodyText"/>
        <w:spacing w:line="304" w:lineRule="auto" w:before="20"/>
        <w:ind w:left="557" w:right="47"/>
        <w:jc w:val="left"/>
      </w:pPr>
      <w:r>
        <w:rPr>
          <w:rFonts w:ascii="Times New Roman" w:hAnsi="Times New Roman" w:cs="Times New Roman" w:eastAsia="Times New Roman" w:hint="default"/>
        </w:rPr>
        <w:t>6</w:t>
      </w:r>
      <w:r>
        <w:rPr/>
        <w:t>．金融资产（不含应收款项）减值测试方法及会计处理方法</w:t>
      </w:r>
      <w:r>
        <w:rPr>
          <w:w w:val="100"/>
        </w:rPr>
        <w:t> </w:t>
      </w:r>
      <w:r>
        <w:rPr/>
        <w:t>以公允价值计量且其变动计入当期损益的金融资产不需要进行减值测试。</w:t>
      </w:r>
      <w:r>
        <w:rPr>
          <w:w w:val="100"/>
        </w:rPr>
        <w:t> </w:t>
      </w:r>
      <w:r>
        <w:rPr>
          <w:spacing w:val="-2"/>
        </w:rPr>
        <w:t>公司于资产负债表日对持有至到期投资的账面价值进行检查，有客观证据表明其发生了减值</w:t>
      </w:r>
    </w:p>
    <w:p>
      <w:pPr>
        <w:pStyle w:val="BodyText"/>
        <w:spacing w:line="314" w:lineRule="auto" w:before="28"/>
        <w:ind w:left="137" w:right="105"/>
        <w:jc w:val="both"/>
      </w:pPr>
      <w:r>
        <w:rPr/>
        <w:t>的，根据其账面价值与预计未来现金流量现值之间差额计提减值准备；计提后如有客观证据表明</w:t>
      </w:r>
      <w:r>
        <w:rPr>
          <w:spacing w:val="-97"/>
        </w:rPr>
        <w:t> </w:t>
      </w:r>
      <w:r>
        <w:rPr>
          <w:spacing w:val="-97"/>
        </w:rPr>
      </w:r>
      <w:r>
        <w:rPr/>
        <w:t>其价值已恢复且客观上与确认该损失后发生的事项有关，原确认的减值损失予以转回，计入当期</w:t>
      </w:r>
      <w:r>
        <w:rPr>
          <w:spacing w:val="-97"/>
        </w:rPr>
        <w:t> </w:t>
      </w:r>
      <w:r>
        <w:rPr>
          <w:spacing w:val="-97"/>
        </w:rPr>
      </w:r>
      <w:r>
        <w:rPr>
          <w:spacing w:val="-4"/>
          <w:w w:val="100"/>
        </w:rPr>
        <w:t>损益，但该转回后的账面价值不超过假定不计提减值准备情况下该金融资产在转回日的摊余成本。</w:t>
      </w:r>
    </w:p>
    <w:p>
      <w:pPr>
        <w:pStyle w:val="BodyText"/>
        <w:spacing w:line="314" w:lineRule="auto" w:before="20"/>
        <w:ind w:left="137" w:right="209" w:firstLine="420"/>
        <w:jc w:val="both"/>
      </w:pPr>
      <w:r>
        <w:rPr>
          <w:spacing w:val="-2"/>
        </w:rPr>
        <w:t>于资产负债表日，如果可供出售金融资产的公允价值发生严重下降，或在综合考虑各种相关</w:t>
      </w:r>
      <w:r>
        <w:rPr>
          <w:w w:val="100"/>
        </w:rPr>
        <w:t> </w:t>
      </w:r>
      <w:r>
        <w:rPr>
          <w:spacing w:val="-1"/>
        </w:rPr>
        <w:t>因素后，预期这种下降趋势属于非暂时性的，认定该可供出售金融资产已发生减值，并确认减值</w:t>
      </w:r>
      <w:r>
        <w:rPr>
          <w:spacing w:val="-55"/>
        </w:rPr>
        <w:t> </w:t>
      </w:r>
      <w:r>
        <w:rPr>
          <w:spacing w:val="-55"/>
        </w:rPr>
      </w:r>
      <w:r>
        <w:rPr>
          <w:spacing w:val="-1"/>
        </w:rPr>
        <w:t>损失。在确认减值损失时，将原直接计入其他综合收益的因公允价值下降形成的累计损失一并转</w:t>
      </w:r>
      <w:r>
        <w:rPr>
          <w:spacing w:val="-55"/>
        </w:rPr>
        <w:t> </w:t>
      </w:r>
      <w:r>
        <w:rPr>
          <w:spacing w:val="-55"/>
        </w:rPr>
      </w:r>
      <w:r>
        <w:rPr>
          <w:spacing w:val="-1"/>
        </w:rPr>
        <w:t>出，计入当期损益。该转出的累计损失，为可供出售金融资产的初始取得成本扣除已收回本金和</w:t>
      </w:r>
      <w:r>
        <w:rPr>
          <w:spacing w:val="-55"/>
        </w:rPr>
        <w:t> </w:t>
      </w:r>
      <w:r>
        <w:rPr>
          <w:spacing w:val="-55"/>
        </w:rPr>
      </w:r>
      <w:r>
        <w:rPr>
          <w:spacing w:val="-1"/>
        </w:rPr>
        <w:t>已摊销金额、当前公允价值和原已计入损益的减值损失后的余额。对于已确认减值损失的可供出</w:t>
      </w:r>
      <w:r>
        <w:rPr>
          <w:spacing w:val="-55"/>
        </w:rPr>
        <w:t> </w:t>
      </w:r>
      <w:r>
        <w:rPr>
          <w:spacing w:val="-55"/>
        </w:rPr>
      </w:r>
      <w:r>
        <w:rPr>
          <w:spacing w:val="-1"/>
        </w:rPr>
        <w:t>售债务工具，在随后的会计期间公允价值已上升且客观上与确认原减值损失确认后发生的事项有</w:t>
      </w:r>
      <w:r>
        <w:rPr>
          <w:spacing w:val="-55"/>
        </w:rPr>
        <w:t> </w:t>
      </w:r>
      <w:r>
        <w:rPr>
          <w:spacing w:val="-55"/>
        </w:rPr>
      </w:r>
      <w:r>
        <w:rPr>
          <w:spacing w:val="-1"/>
        </w:rPr>
        <w:t>关的，原确认的减值损失予以转回，计入当期损益。可供出售权益工具投资发生的减值损失，不</w:t>
      </w:r>
      <w:r>
        <w:rPr>
          <w:spacing w:val="-55"/>
        </w:rPr>
        <w:t> </w:t>
      </w:r>
      <w:r>
        <w:rPr>
          <w:spacing w:val="-55"/>
        </w:rPr>
      </w:r>
      <w:r>
        <w:rPr>
          <w:spacing w:val="-1"/>
        </w:rPr>
        <w:t>通过损益转回。同时，在活跃市场中没有报价且其公允价值不能可靠计量的权益工具投资或与该</w:t>
      </w:r>
      <w:r>
        <w:rPr>
          <w:spacing w:val="-55"/>
        </w:rPr>
        <w:t> </w:t>
      </w:r>
      <w:r>
        <w:rPr>
          <w:spacing w:val="-55"/>
        </w:rPr>
      </w:r>
      <w:r>
        <w:rPr/>
        <w:t>权益工具挂钩并须通过交付该权益工具结算的衍生金融资产发生的减值损失，不予转回。</w:t>
      </w:r>
    </w:p>
    <w:p>
      <w:pPr>
        <w:pStyle w:val="BodyText"/>
        <w:spacing w:line="297" w:lineRule="auto" w:before="20"/>
        <w:ind w:left="137" w:right="209" w:firstLine="420"/>
        <w:jc w:val="both"/>
      </w:pPr>
      <w:r>
        <w:rPr>
          <w:spacing w:val="-1"/>
        </w:rPr>
        <w:t>权益工具投资的公允价值下跌</w:t>
      </w:r>
      <w:r>
        <w:rPr>
          <w:rFonts w:ascii="Times New Roman" w:hAnsi="Times New Roman" w:cs="Times New Roman" w:eastAsia="Times New Roman" w:hint="default"/>
          <w:spacing w:val="-1"/>
        </w:rPr>
        <w:t>“</w:t>
      </w:r>
      <w:r>
        <w:rPr>
          <w:spacing w:val="-1"/>
        </w:rPr>
        <w:t>严重</w:t>
      </w:r>
      <w:r>
        <w:rPr>
          <w:rFonts w:ascii="Times New Roman" w:hAnsi="Times New Roman" w:cs="Times New Roman" w:eastAsia="Times New Roman" w:hint="default"/>
          <w:spacing w:val="-1"/>
        </w:rPr>
        <w:t>”</w:t>
      </w:r>
      <w:r>
        <w:rPr>
          <w:spacing w:val="-1"/>
        </w:rPr>
        <w:t>的标准为：权益工具投资于资产负债表日的公允价值低</w:t>
      </w:r>
      <w:r>
        <w:rPr>
          <w:w w:val="100"/>
        </w:rPr>
        <w:t> </w:t>
      </w:r>
      <w:r>
        <w:rPr/>
        <w:t>于期初始投资成本累计超过</w:t>
      </w:r>
      <w:r>
        <w:rPr>
          <w:spacing w:val="-56"/>
        </w:rPr>
        <w:t> </w:t>
      </w:r>
      <w:r>
        <w:rPr>
          <w:rFonts w:ascii="Times New Roman" w:hAnsi="Times New Roman" w:cs="Times New Roman" w:eastAsia="Times New Roman" w:hint="default"/>
        </w:rPr>
        <w:t>50%</w:t>
      </w:r>
      <w:r>
        <w:rPr/>
        <w:t>（含</w:t>
      </w:r>
      <w:r>
        <w:rPr>
          <w:spacing w:val="-56"/>
        </w:rPr>
        <w:t> </w:t>
      </w:r>
      <w:r>
        <w:rPr>
          <w:rFonts w:ascii="Times New Roman" w:hAnsi="Times New Roman" w:cs="Times New Roman" w:eastAsia="Times New Roman" w:hint="default"/>
        </w:rPr>
        <w:t>50%</w:t>
      </w:r>
      <w:r>
        <w:rPr/>
        <w:t>）。公允价值下跌</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的标准为：公允价值低于</w:t>
      </w:r>
      <w:r>
        <w:rPr>
          <w:w w:val="100"/>
        </w:rPr>
        <w:t> </w:t>
      </w:r>
      <w:r>
        <w:rPr/>
        <w:t>其成本持续时间超过</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w:t>
      </w:r>
    </w:p>
    <w:p>
      <w:pPr>
        <w:spacing w:after="0" w:line="297" w:lineRule="auto"/>
        <w:jc w:val="both"/>
        <w:sectPr>
          <w:pgSz w:w="11910" w:h="16840"/>
          <w:pgMar w:header="857" w:footer="979" w:top="1120" w:bottom="1160" w:left="1140" w:right="1580"/>
        </w:sectPr>
      </w:pPr>
    </w:p>
    <w:p>
      <w:pPr>
        <w:spacing w:line="240" w:lineRule="auto" w:before="5"/>
        <w:rPr>
          <w:rFonts w:ascii="宋体" w:hAnsi="宋体" w:cs="宋体" w:eastAsia="宋体" w:hint="default"/>
          <w:sz w:val="24"/>
          <w:szCs w:val="24"/>
        </w:rPr>
      </w:pPr>
    </w:p>
    <w:p>
      <w:pPr>
        <w:pStyle w:val="BodyText"/>
        <w:spacing w:line="314" w:lineRule="auto" w:before="36"/>
        <w:ind w:left="217" w:right="129" w:firstLine="420"/>
        <w:jc w:val="both"/>
      </w:pPr>
      <w:r>
        <w:rPr>
          <w:spacing w:val="-1"/>
        </w:rPr>
        <w:t>在活跃市场中没有报价且其公允价值不能可靠计量的可供出售权益工具投资，或与该权益工</w:t>
      </w:r>
      <w:r>
        <w:rPr>
          <w:w w:val="100"/>
        </w:rPr>
        <w:t> </w:t>
      </w:r>
      <w:r>
        <w:rPr>
          <w:spacing w:val="-1"/>
        </w:rPr>
        <w:t>具挂钩并须通过交付该权益工具结算的衍生金融资产发生减值时，本公司将该权益工具投资或衍</w:t>
      </w:r>
      <w:r>
        <w:rPr>
          <w:spacing w:val="-55"/>
        </w:rPr>
        <w:t> </w:t>
      </w:r>
      <w:r>
        <w:rPr>
          <w:spacing w:val="-55"/>
        </w:rPr>
      </w:r>
      <w:r>
        <w:rPr>
          <w:spacing w:val="-1"/>
        </w:rPr>
        <w:t>生金融资产的账面价值，与按照类似金融资产当时市场收益率对未来现金流量折现确定的现值之</w:t>
      </w:r>
      <w:r>
        <w:rPr>
          <w:spacing w:val="-55"/>
        </w:rPr>
        <w:t> </w:t>
      </w:r>
      <w:r>
        <w:rPr>
          <w:spacing w:val="-55"/>
        </w:rPr>
      </w:r>
      <w:r>
        <w:rPr/>
        <w:t>间的差额，确认为减值损失，计入当期损益。</w:t>
      </w:r>
    </w:p>
    <w:p>
      <w:pPr>
        <w:pStyle w:val="Heading4"/>
        <w:spacing w:line="240" w:lineRule="auto" w:before="3"/>
        <w:ind w:left="217" w:right="2631"/>
        <w:jc w:val="left"/>
        <w:rPr>
          <w:b w:val="0"/>
          <w:bCs w:val="0"/>
        </w:rPr>
      </w:pPr>
      <w:r>
        <w:rPr>
          <w:rFonts w:ascii="Times New Roman" w:hAnsi="Times New Roman" w:cs="Times New Roman" w:eastAsia="Times New Roman" w:hint="default"/>
        </w:rPr>
        <w:t>11.  </w:t>
      </w:r>
      <w:r>
        <w:rPr>
          <w:rFonts w:ascii="Times New Roman" w:hAnsi="Times New Roman" w:cs="Times New Roman" w:eastAsia="Times New Roman" w:hint="default"/>
          <w:spacing w:val="6"/>
        </w:rPr>
        <w:t> </w:t>
      </w:r>
      <w:r>
        <w:rPr/>
        <w:t>应收款项</w:t>
      </w:r>
      <w:r>
        <w:rPr>
          <w:b w:val="0"/>
          <w:bCs w:val="0"/>
        </w:rPr>
      </w:r>
    </w:p>
    <w:p>
      <w:pPr>
        <w:pStyle w:val="Heading4"/>
        <w:spacing w:line="240" w:lineRule="auto" w:before="40"/>
        <w:ind w:left="217" w:right="2631"/>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2"/>
        </w:rPr>
        <w:t> </w:t>
      </w:r>
      <w:r>
        <w:rPr/>
        <w:t>单项金额重大并单独计提坏账准备的应收款项</w:t>
      </w:r>
      <w:r>
        <w:rPr>
          <w:b w:val="0"/>
          <w:bCs w:val="0"/>
        </w:rPr>
      </w:r>
    </w:p>
    <w:p>
      <w:pPr>
        <w:pStyle w:val="BodyText"/>
        <w:spacing w:line="240" w:lineRule="auto" w:before="43"/>
        <w:ind w:left="217" w:right="2631"/>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470"/>
        <w:gridCol w:w="4355"/>
      </w:tblGrid>
      <w:tr>
        <w:trPr>
          <w:trHeight w:val="828"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单项金额重大的应收款项指单项金额超过期</w:t>
            </w:r>
            <w:r>
              <w:rPr>
                <w:rFonts w:ascii="宋体" w:hAnsi="宋体" w:cs="宋体" w:eastAsia="宋体" w:hint="default"/>
                <w:sz w:val="21"/>
                <w:szCs w:val="21"/>
              </w:rPr>
            </w:r>
          </w:p>
          <w:p>
            <w:pPr>
              <w:pStyle w:val="TableParagraph"/>
              <w:spacing w:line="274" w:lineRule="exact" w:before="24"/>
              <w:ind w:left="100" w:right="98"/>
              <w:jc w:val="left"/>
              <w:rPr>
                <w:rFonts w:ascii="宋体" w:hAnsi="宋体" w:cs="宋体" w:eastAsia="宋体" w:hint="default"/>
                <w:sz w:val="21"/>
                <w:szCs w:val="21"/>
              </w:rPr>
            </w:pPr>
            <w:r>
              <w:rPr>
                <w:rFonts w:ascii="宋体" w:hAnsi="宋体" w:cs="宋体" w:eastAsia="宋体" w:hint="default"/>
                <w:sz w:val="21"/>
                <w:szCs w:val="21"/>
              </w:rPr>
              <w:t>末应收款项余额的</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且单项金额超过</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元人民币。</w:t>
            </w:r>
          </w:p>
        </w:tc>
      </w:tr>
      <w:tr>
        <w:trPr>
          <w:trHeight w:val="1645"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单独进行减值测试，有客观证据表明其发生了</w:t>
            </w:r>
          </w:p>
          <w:p>
            <w:pPr>
              <w:pStyle w:val="TableParagraph"/>
              <w:spacing w:line="237" w:lineRule="auto" w:before="2"/>
              <w:ind w:left="100" w:right="92"/>
              <w:jc w:val="both"/>
              <w:rPr>
                <w:rFonts w:ascii="宋体" w:hAnsi="宋体" w:cs="宋体" w:eastAsia="宋体" w:hint="default"/>
                <w:sz w:val="21"/>
                <w:szCs w:val="21"/>
              </w:rPr>
            </w:pPr>
            <w:r>
              <w:rPr>
                <w:rFonts w:ascii="宋体" w:hAnsi="宋体" w:cs="宋体" w:eastAsia="宋体" w:hint="default"/>
                <w:spacing w:val="-5"/>
                <w:sz w:val="21"/>
                <w:szCs w:val="21"/>
              </w:rPr>
              <w:t>减值的，应当根据其未来现金流量现值低于其</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5"/>
                <w:sz w:val="21"/>
                <w:szCs w:val="21"/>
              </w:rPr>
              <w:t>账面价值的差额确认减值损失，个别认定计提</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5"/>
                <w:sz w:val="21"/>
                <w:szCs w:val="21"/>
              </w:rPr>
              <w:t>坏账准备，经减值测试后不存在减值的，应当</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6"/>
                <w:sz w:val="21"/>
                <w:szCs w:val="21"/>
              </w:rPr>
              <w:t>包括在具有类似风险组合特征的应收款项中</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计提坏账准备。</w:t>
            </w:r>
          </w:p>
        </w:tc>
      </w:tr>
    </w:tbl>
    <w:p>
      <w:pPr>
        <w:spacing w:line="240" w:lineRule="auto" w:before="1"/>
        <w:rPr>
          <w:rFonts w:ascii="宋体" w:hAnsi="宋体" w:cs="宋体" w:eastAsia="宋体" w:hint="default"/>
          <w:sz w:val="23"/>
          <w:szCs w:val="23"/>
        </w:rPr>
      </w:pPr>
    </w:p>
    <w:p>
      <w:pPr>
        <w:pStyle w:val="Heading4"/>
        <w:spacing w:line="240" w:lineRule="auto"/>
        <w:ind w:left="217" w:right="2631"/>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3"/>
        </w:rPr>
        <w:t> </w:t>
      </w:r>
      <w:r>
        <w:rPr/>
        <w:t>按信用风险特征组合计提坏账准备的应收款项</w:t>
      </w:r>
      <w:r>
        <w:rPr>
          <w:b w:val="0"/>
          <w:bCs w:val="0"/>
        </w:rPr>
      </w:r>
    </w:p>
    <w:p>
      <w:pPr>
        <w:pStyle w:val="BodyText"/>
        <w:tabs>
          <w:tab w:pos="1059" w:val="left" w:leader="none"/>
        </w:tabs>
        <w:spacing w:line="240" w:lineRule="auto" w:before="40"/>
        <w:ind w:left="217" w:right="2631"/>
        <w:jc w:val="left"/>
      </w:pPr>
      <w:r>
        <w:rPr/>
        <w:t>√适用</w:t>
        <w:tab/>
        <w:t>□不适用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57"/>
        <w:gridCol w:w="2412"/>
        <w:gridCol w:w="3555"/>
      </w:tblGrid>
      <w:tr>
        <w:trPr>
          <w:trHeight w:val="370"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63"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99"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370"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账龄状态</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732"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关联方组合</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并表子公司</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100"/>
              <w:jc w:val="left"/>
              <w:rPr>
                <w:rFonts w:ascii="宋体" w:hAnsi="宋体" w:cs="宋体" w:eastAsia="宋体" w:hint="default"/>
                <w:sz w:val="21"/>
                <w:szCs w:val="21"/>
              </w:rPr>
            </w:pPr>
            <w:r>
              <w:rPr>
                <w:rFonts w:ascii="宋体" w:hAnsi="宋体" w:cs="宋体" w:eastAsia="宋体" w:hint="default"/>
                <w:spacing w:val="10"/>
                <w:sz w:val="21"/>
                <w:szCs w:val="21"/>
              </w:rPr>
              <w:t>公司对并表子公司的应收款项不计</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提坏账准备</w:t>
            </w:r>
          </w:p>
        </w:tc>
      </w:tr>
    </w:tbl>
    <w:p>
      <w:pPr>
        <w:spacing w:line="240" w:lineRule="auto" w:before="4"/>
        <w:rPr>
          <w:rFonts w:ascii="宋体" w:hAnsi="宋体" w:cs="宋体" w:eastAsia="宋体" w:hint="default"/>
          <w:sz w:val="18"/>
          <w:szCs w:val="18"/>
        </w:rPr>
      </w:pPr>
    </w:p>
    <w:p>
      <w:pPr>
        <w:pStyle w:val="BodyText"/>
        <w:spacing w:line="274" w:lineRule="exact" w:before="36"/>
        <w:ind w:left="697" w:right="2631"/>
        <w:jc w:val="left"/>
      </w:pPr>
      <w:r>
        <w:rPr/>
        <w:t>组合中，采用账龄分析法计提坏账准备的</w:t>
      </w:r>
    </w:p>
    <w:p>
      <w:pPr>
        <w:pStyle w:val="BodyText"/>
        <w:tabs>
          <w:tab w:pos="1059" w:val="left" w:leader="none"/>
        </w:tabs>
        <w:spacing w:line="274" w:lineRule="exact"/>
        <w:ind w:left="217" w:right="2631"/>
        <w:jc w:val="left"/>
      </w:pPr>
      <w:r>
        <w:rPr/>
        <w:t>√适用</w:t>
        <w:tab/>
        <w:t>□不适用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61"/>
        <w:gridCol w:w="2996"/>
        <w:gridCol w:w="3029"/>
      </w:tblGrid>
      <w:tr>
        <w:trPr>
          <w:trHeight w:val="370"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72" w:right="0"/>
              <w:jc w:val="left"/>
              <w:rPr>
                <w:rFonts w:ascii="宋体" w:hAnsi="宋体" w:cs="宋体" w:eastAsia="宋体" w:hint="default"/>
                <w:sz w:val="24"/>
                <w:szCs w:val="24"/>
              </w:rPr>
            </w:pPr>
            <w:r>
              <w:rPr>
                <w:rFonts w:ascii="宋体" w:hAnsi="宋体" w:cs="宋体" w:eastAsia="宋体" w:hint="default"/>
                <w:sz w:val="21"/>
                <w:szCs w:val="21"/>
              </w:rPr>
              <w:t>应收账款计提比例</w:t>
            </w:r>
            <w:r>
              <w:rPr>
                <w:rFonts w:ascii="宋体" w:hAnsi="宋体" w:cs="宋体" w:eastAsia="宋体" w:hint="default"/>
                <w:sz w:val="24"/>
                <w:szCs w:val="24"/>
              </w:rPr>
              <w:t>(%)</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84" w:right="0"/>
              <w:jc w:val="left"/>
              <w:rPr>
                <w:rFonts w:ascii="宋体" w:hAnsi="宋体" w:cs="宋体" w:eastAsia="宋体" w:hint="default"/>
                <w:sz w:val="24"/>
                <w:szCs w:val="24"/>
              </w:rPr>
            </w:pPr>
            <w:r>
              <w:rPr>
                <w:rFonts w:ascii="宋体" w:hAnsi="宋体" w:cs="宋体" w:eastAsia="宋体" w:hint="default"/>
                <w:sz w:val="21"/>
                <w:szCs w:val="21"/>
              </w:rPr>
              <w:t>其他应收款计提比例</w:t>
            </w:r>
            <w:r>
              <w:rPr>
                <w:rFonts w:ascii="宋体" w:hAnsi="宋体" w:cs="宋体" w:eastAsia="宋体" w:hint="default"/>
                <w:sz w:val="24"/>
                <w:szCs w:val="24"/>
              </w:rPr>
              <w:t>(%)</w:t>
            </w:r>
          </w:p>
        </w:tc>
      </w:tr>
      <w:tr>
        <w:trPr>
          <w:trHeight w:val="37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w w:val="100"/>
                <w:sz w:val="21"/>
              </w:rPr>
              <w:t>3</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w w:val="100"/>
                <w:sz w:val="21"/>
              </w:rPr>
              <w:t>3</w:t>
            </w:r>
          </w:p>
        </w:tc>
      </w:tr>
      <w:tr>
        <w:trPr>
          <w:trHeight w:val="370"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10</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10</w:t>
            </w:r>
          </w:p>
        </w:tc>
      </w:tr>
      <w:tr>
        <w:trPr>
          <w:trHeight w:val="370"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20</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20</w:t>
            </w:r>
          </w:p>
        </w:tc>
      </w:tr>
      <w:tr>
        <w:trPr>
          <w:trHeight w:val="370"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50</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50</w:t>
            </w:r>
          </w:p>
        </w:tc>
      </w:tr>
      <w:tr>
        <w:trPr>
          <w:trHeight w:val="370"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80</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80</w:t>
            </w:r>
          </w:p>
        </w:tc>
      </w:tr>
      <w:tr>
        <w:trPr>
          <w:trHeight w:val="37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100</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5"/>
        <w:rPr>
          <w:rFonts w:ascii="宋体" w:hAnsi="宋体" w:cs="宋体" w:eastAsia="宋体" w:hint="default"/>
          <w:sz w:val="15"/>
          <w:szCs w:val="15"/>
        </w:rPr>
      </w:pPr>
    </w:p>
    <w:p>
      <w:pPr>
        <w:pStyle w:val="BodyText"/>
        <w:spacing w:line="273" w:lineRule="exact" w:before="36"/>
        <w:ind w:left="637" w:right="2631"/>
        <w:jc w:val="left"/>
      </w:pPr>
      <w:r>
        <w:rPr/>
        <w:t>组合中，采用余额百分比法计提坏账准备的</w:t>
      </w:r>
    </w:p>
    <w:p>
      <w:pPr>
        <w:pStyle w:val="BodyText"/>
        <w:tabs>
          <w:tab w:pos="1059" w:val="left" w:leader="none"/>
        </w:tabs>
        <w:spacing w:line="240" w:lineRule="auto"/>
        <w:ind w:left="637" w:right="4974" w:hanging="420"/>
        <w:jc w:val="left"/>
      </w:pPr>
      <w:r>
        <w:rPr/>
        <w:t>□适用</w:t>
        <w:tab/>
        <w:t>√不适用</w:t>
      </w:r>
      <w:r>
        <w:rPr>
          <w:w w:val="100"/>
        </w:rPr>
        <w:t> </w:t>
      </w:r>
      <w:r>
        <w:rPr>
          <w:spacing w:val="-2"/>
        </w:rPr>
        <w:t>组合中，采用其他方法计提坏账准备的</w:t>
      </w:r>
    </w:p>
    <w:p>
      <w:pPr>
        <w:pStyle w:val="BodyText"/>
        <w:tabs>
          <w:tab w:pos="1539" w:val="left" w:leader="none"/>
        </w:tabs>
        <w:spacing w:line="271" w:lineRule="exact"/>
        <w:ind w:left="697" w:right="2631"/>
        <w:jc w:val="left"/>
      </w:pPr>
      <w:r>
        <w:rPr/>
        <w:t>□适用</w:t>
        <w:tab/>
        <w:t>√不适用</w:t>
      </w:r>
    </w:p>
    <w:p>
      <w:pPr>
        <w:pStyle w:val="Heading4"/>
        <w:spacing w:line="240" w:lineRule="auto" w:before="58"/>
        <w:ind w:left="217" w:right="2631"/>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0"/>
        </w:rPr>
        <w:t> </w:t>
      </w:r>
      <w:r>
        <w:rPr/>
        <w:t>单项金额不重大但单独计提坏账准备的应收款项</w:t>
      </w:r>
      <w:r>
        <w:rPr>
          <w:b w:val="0"/>
          <w:bCs w:val="0"/>
        </w:rPr>
      </w:r>
    </w:p>
    <w:p>
      <w:pPr>
        <w:pStyle w:val="BodyText"/>
        <w:tabs>
          <w:tab w:pos="1059" w:val="left" w:leader="none"/>
        </w:tabs>
        <w:spacing w:line="240" w:lineRule="auto" w:before="40"/>
        <w:ind w:left="217" w:right="2631"/>
        <w:jc w:val="left"/>
      </w:pPr>
      <w:r>
        <w:rPr/>
        <w:t>√适用</w:t>
        <w:tab/>
        <w:t>□不适用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232"/>
        <w:gridCol w:w="4592"/>
      </w:tblGrid>
      <w:tr>
        <w:trPr>
          <w:trHeight w:val="730"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104"/>
              <w:jc w:val="left"/>
              <w:rPr>
                <w:rFonts w:ascii="宋体" w:hAnsi="宋体" w:cs="宋体" w:eastAsia="宋体" w:hint="default"/>
                <w:sz w:val="21"/>
                <w:szCs w:val="21"/>
              </w:rPr>
            </w:pPr>
            <w:r>
              <w:rPr>
                <w:rFonts w:ascii="宋体" w:hAnsi="宋体" w:cs="宋体" w:eastAsia="宋体" w:hint="default"/>
                <w:spacing w:val="5"/>
                <w:sz w:val="21"/>
                <w:szCs w:val="21"/>
              </w:rPr>
              <w:t>应收款项的未来现金流量现值与以账龄为信用</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6"/>
                <w:sz w:val="21"/>
                <w:szCs w:val="21"/>
              </w:rPr>
              <w:t>风险特征的应收款项组合的未来现金流量现值</w:t>
            </w:r>
          </w:p>
        </w:tc>
      </w:tr>
    </w:tbl>
    <w:p>
      <w:pPr>
        <w:spacing w:after="0" w:line="314" w:lineRule="auto"/>
        <w:jc w:val="left"/>
        <w:rPr>
          <w:rFonts w:ascii="宋体" w:hAnsi="宋体" w:cs="宋体" w:eastAsia="宋体" w:hint="default"/>
          <w:sz w:val="21"/>
          <w:szCs w:val="21"/>
        </w:rPr>
        <w:sectPr>
          <w:pgSz w:w="11910" w:h="16840"/>
          <w:pgMar w:header="857" w:footer="979" w:top="1120" w:bottom="1160" w:left="1060" w:right="1660"/>
        </w:sectPr>
      </w:pP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4232"/>
        <w:gridCol w:w="4592"/>
      </w:tblGrid>
      <w:tr>
        <w:trPr>
          <w:trHeight w:val="370" w:hRule="exact"/>
        </w:trPr>
        <w:tc>
          <w:tcPr>
            <w:tcW w:w="4232" w:type="dxa"/>
            <w:tcBorders>
              <w:top w:val="single" w:sz="4" w:space="0" w:color="000000"/>
              <w:left w:val="single" w:sz="4" w:space="0" w:color="000000"/>
              <w:bottom w:val="single" w:sz="4" w:space="0" w:color="000000"/>
              <w:right w:val="single" w:sz="4" w:space="0" w:color="000000"/>
            </w:tcBorders>
          </w:tcPr>
          <w:p>
            <w:pP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0" w:right="0"/>
              <w:jc w:val="left"/>
              <w:rPr>
                <w:rFonts w:ascii="宋体" w:hAnsi="宋体" w:cs="宋体" w:eastAsia="宋体" w:hint="default"/>
                <w:sz w:val="21"/>
                <w:szCs w:val="21"/>
              </w:rPr>
            </w:pPr>
            <w:r>
              <w:rPr>
                <w:rFonts w:ascii="宋体" w:hAnsi="宋体" w:cs="宋体" w:eastAsia="宋体" w:hint="default"/>
                <w:sz w:val="21"/>
                <w:szCs w:val="21"/>
              </w:rPr>
              <w:t>存在显著差异。</w:t>
            </w:r>
          </w:p>
        </w:tc>
      </w:tr>
      <w:tr>
        <w:trPr>
          <w:trHeight w:val="732"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99"/>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于其账面价值的差额计提坏账准备。</w:t>
            </w:r>
          </w:p>
        </w:tc>
      </w:tr>
    </w:tbl>
    <w:p>
      <w:pPr>
        <w:spacing w:line="240" w:lineRule="auto" w:before="11"/>
        <w:rPr>
          <w:rFonts w:ascii="宋体" w:hAnsi="宋体" w:cs="宋体" w:eastAsia="宋体" w:hint="default"/>
          <w:sz w:val="22"/>
          <w:szCs w:val="22"/>
        </w:rPr>
      </w:pPr>
    </w:p>
    <w:p>
      <w:pPr>
        <w:pStyle w:val="Heading4"/>
        <w:spacing w:line="240" w:lineRule="auto"/>
        <w:ind w:left="217" w:right="2631"/>
        <w:jc w:val="left"/>
        <w:rPr>
          <w:b w:val="0"/>
          <w:bCs w:val="0"/>
        </w:rPr>
      </w:pPr>
      <w:r>
        <w:rPr>
          <w:rFonts w:ascii="Times New Roman" w:hAnsi="Times New Roman" w:cs="Times New Roman" w:eastAsia="Times New Roman" w:hint="default"/>
        </w:rPr>
        <w:t>12.  </w:t>
      </w:r>
      <w:r>
        <w:rPr>
          <w:rFonts w:ascii="Times New Roman" w:hAnsi="Times New Roman" w:cs="Times New Roman" w:eastAsia="Times New Roman" w:hint="default"/>
          <w:spacing w:val="5"/>
        </w:rPr>
        <w:t> </w:t>
      </w:r>
      <w:r>
        <w:rPr/>
        <w:t>存货</w:t>
      </w:r>
      <w:r>
        <w:rPr>
          <w:b w:val="0"/>
          <w:bCs w:val="0"/>
        </w:rPr>
      </w:r>
    </w:p>
    <w:p>
      <w:pPr>
        <w:pStyle w:val="BodyText"/>
        <w:tabs>
          <w:tab w:pos="1642" w:val="left" w:leader="none"/>
        </w:tabs>
        <w:spacing w:line="240" w:lineRule="auto" w:before="43"/>
        <w:ind w:left="697" w:right="2631"/>
        <w:jc w:val="left"/>
      </w:pPr>
      <w:r>
        <w:rPr/>
        <w:t>√适用</w:t>
        <w:tab/>
        <w:t>□不适用</w:t>
      </w:r>
    </w:p>
    <w:p>
      <w:pPr>
        <w:pStyle w:val="BodyText"/>
        <w:spacing w:line="297" w:lineRule="auto" w:before="73"/>
        <w:ind w:left="637" w:right="47" w:firstLine="60"/>
        <w:jc w:val="left"/>
      </w:pPr>
      <w:r>
        <w:rPr>
          <w:rFonts w:ascii="Times New Roman" w:hAnsi="Times New Roman" w:cs="Times New Roman" w:eastAsia="Times New Roman" w:hint="default"/>
        </w:rPr>
        <w:t>1</w:t>
      </w:r>
      <w:r>
        <w:rPr/>
        <w:t>．存货的分类</w:t>
      </w:r>
      <w:r>
        <w:rPr>
          <w:w w:val="100"/>
        </w:rPr>
        <w:t> </w:t>
      </w:r>
      <w:r>
        <w:rPr>
          <w:spacing w:val="-2"/>
        </w:rPr>
        <w:t>公司存货是指在生产经营过程中持有以备销售，或者仍然处在生产过程，或者在生产或提供</w:t>
      </w:r>
    </w:p>
    <w:p>
      <w:pPr>
        <w:pStyle w:val="BodyText"/>
        <w:spacing w:line="314" w:lineRule="auto" w:before="34"/>
        <w:ind w:left="217" w:right="47"/>
        <w:jc w:val="left"/>
      </w:pPr>
      <w:r>
        <w:rPr>
          <w:spacing w:val="-6"/>
        </w:rPr>
        <w:t>劳务过程中将消耗的材料或物资等，包括各类原材料、包装物、低值易耗品、在产品、产成品（库</w:t>
      </w:r>
      <w:r>
        <w:rPr>
          <w:spacing w:val="-51"/>
        </w:rPr>
        <w:t> </w:t>
      </w:r>
      <w:r>
        <w:rPr>
          <w:spacing w:val="-51"/>
        </w:rPr>
      </w:r>
      <w:r>
        <w:rPr/>
        <w:t>存商品）等。</w:t>
      </w:r>
    </w:p>
    <w:p>
      <w:pPr>
        <w:pStyle w:val="BodyText"/>
        <w:spacing w:line="297" w:lineRule="auto" w:before="20"/>
        <w:ind w:left="637" w:right="47"/>
        <w:jc w:val="left"/>
      </w:pPr>
      <w:r>
        <w:rPr>
          <w:rFonts w:ascii="Times New Roman" w:hAnsi="Times New Roman" w:cs="Times New Roman" w:eastAsia="Times New Roman" w:hint="default"/>
        </w:rPr>
        <w:t>2</w:t>
      </w:r>
      <w:r>
        <w:rPr/>
        <w:t>．存货取得和发出的计价方法</w:t>
      </w:r>
      <w:r>
        <w:rPr>
          <w:w w:val="100"/>
        </w:rPr>
        <w:t> </w:t>
      </w:r>
      <w:r>
        <w:rPr>
          <w:spacing w:val="-2"/>
        </w:rPr>
        <w:t>存货按照成本进行初始计量。存货成本包括采购成本、加工成本和其他成本。应计入存货成</w:t>
      </w:r>
    </w:p>
    <w:p>
      <w:pPr>
        <w:pStyle w:val="BodyText"/>
        <w:spacing w:line="297" w:lineRule="auto" w:before="34"/>
        <w:ind w:left="217" w:right="47"/>
        <w:jc w:val="left"/>
      </w:pPr>
      <w:r>
        <w:rPr>
          <w:spacing w:val="-4"/>
        </w:rPr>
        <w:t>本的借款费用，按照《企业会计准则第 </w:t>
      </w:r>
      <w:r>
        <w:rPr>
          <w:rFonts w:ascii="Times New Roman" w:hAnsi="Times New Roman" w:cs="Times New Roman" w:eastAsia="Times New Roman" w:hint="default"/>
        </w:rPr>
        <w:t>17 </w:t>
      </w:r>
      <w:r>
        <w:rPr>
          <w:spacing w:val="-4"/>
        </w:rPr>
        <w:t>号</w:t>
      </w:r>
      <w:r>
        <w:rPr>
          <w:rFonts w:ascii="Times New Roman" w:hAnsi="Times New Roman" w:cs="Times New Roman" w:eastAsia="Times New Roman" w:hint="default"/>
          <w:spacing w:val="-4"/>
        </w:rPr>
        <w:t>——</w:t>
      </w:r>
      <w:r>
        <w:rPr>
          <w:spacing w:val="-4"/>
        </w:rPr>
        <w:t>借款费用》处理。投资者投入存货的成本，应当</w:t>
      </w:r>
      <w:r>
        <w:rPr>
          <w:spacing w:val="-95"/>
        </w:rPr>
        <w:t> </w:t>
      </w:r>
      <w:r>
        <w:rPr>
          <w:spacing w:val="-95"/>
        </w:rPr>
      </w:r>
      <w:r>
        <w:rPr/>
        <w:t>按照投资合同或协议约定的价值确定，但合同或协议约定价值不公允的除外。</w:t>
      </w:r>
    </w:p>
    <w:p>
      <w:pPr>
        <w:pStyle w:val="BodyText"/>
        <w:spacing w:line="240" w:lineRule="auto" w:before="34"/>
        <w:ind w:left="637" w:right="47"/>
        <w:jc w:val="left"/>
      </w:pPr>
      <w:r>
        <w:rPr/>
        <w:t>发出存货的计价方法：零售采用先进先出法，其余采用个别认定法核算。</w:t>
      </w:r>
    </w:p>
    <w:p>
      <w:pPr>
        <w:pStyle w:val="BodyText"/>
        <w:spacing w:line="302" w:lineRule="auto" w:before="85"/>
        <w:ind w:left="637" w:right="5242"/>
        <w:jc w:val="left"/>
      </w:pPr>
      <w:r>
        <w:rPr>
          <w:rFonts w:ascii="Times New Roman" w:hAnsi="Times New Roman" w:cs="Times New Roman" w:eastAsia="Times New Roman" w:hint="default"/>
        </w:rPr>
        <w:t>3</w:t>
      </w:r>
      <w:r>
        <w:rPr/>
        <w:t>．存货的盘存制度</w:t>
      </w:r>
      <w:r>
        <w:rPr>
          <w:w w:val="100"/>
        </w:rPr>
        <w:t> </w:t>
      </w:r>
      <w:r>
        <w:rPr/>
        <w:t>采用永续盘存制。</w:t>
      </w:r>
      <w:r>
        <w:rPr>
          <w:w w:val="100"/>
        </w:rPr>
        <w:t> </w:t>
      </w:r>
      <w:r>
        <w:rPr>
          <w:rFonts w:ascii="Times New Roman" w:hAnsi="Times New Roman" w:cs="Times New Roman" w:eastAsia="Times New Roman" w:hint="default"/>
          <w:spacing w:val="-2"/>
        </w:rPr>
        <w:t>4</w:t>
      </w:r>
      <w:r>
        <w:rPr>
          <w:spacing w:val="-2"/>
        </w:rPr>
        <w:t>．低值易耗品及包装物的摊销方法</w:t>
      </w:r>
      <w:r>
        <w:rPr>
          <w:spacing w:val="-76"/>
        </w:rPr>
        <w:t> </w:t>
      </w:r>
      <w:r>
        <w:rPr>
          <w:spacing w:val="-76"/>
        </w:rPr>
      </w:r>
      <w:r>
        <w:rPr/>
        <w:t>采用</w:t>
      </w:r>
      <w:r>
        <w:rPr>
          <w:rFonts w:ascii="Times New Roman" w:hAnsi="Times New Roman" w:cs="Times New Roman" w:eastAsia="Times New Roman" w:hint="default"/>
        </w:rPr>
        <w:t>“</w:t>
      </w:r>
      <w:r>
        <w:rPr/>
        <w:t>一次摊销法</w:t>
      </w:r>
      <w:r>
        <w:rPr>
          <w:rFonts w:ascii="Times New Roman" w:hAnsi="Times New Roman" w:cs="Times New Roman" w:eastAsia="Times New Roman" w:hint="default"/>
        </w:rPr>
        <w:t>”</w:t>
      </w:r>
      <w:r>
        <w:rPr/>
        <w:t>核算。</w:t>
      </w:r>
    </w:p>
    <w:p>
      <w:pPr>
        <w:pStyle w:val="BodyText"/>
        <w:spacing w:line="297" w:lineRule="auto" w:before="9"/>
        <w:ind w:left="637" w:right="47"/>
        <w:jc w:val="left"/>
      </w:pPr>
      <w:r>
        <w:rPr>
          <w:rFonts w:ascii="Times New Roman" w:hAnsi="Times New Roman" w:cs="Times New Roman" w:eastAsia="Times New Roman" w:hint="default"/>
        </w:rPr>
        <w:t>5</w:t>
      </w:r>
      <w:r>
        <w:rPr/>
        <w:t>．存货可变现净值的确定依据及存货跌价准备计提方法</w:t>
      </w:r>
      <w:r>
        <w:rPr>
          <w:w w:val="100"/>
        </w:rPr>
        <w:t> </w:t>
      </w:r>
      <w:r>
        <w:rPr>
          <w:spacing w:val="-2"/>
        </w:rPr>
        <w:t>期末存货按成本与可变现净值孰低计价，存货期末可变现净值低于账面成本的，按差额计提</w:t>
      </w:r>
    </w:p>
    <w:p>
      <w:pPr>
        <w:pStyle w:val="BodyText"/>
        <w:spacing w:line="314" w:lineRule="auto" w:before="34"/>
        <w:ind w:left="217" w:right="47"/>
        <w:jc w:val="left"/>
      </w:pPr>
      <w:r>
        <w:rPr>
          <w:spacing w:val="-1"/>
        </w:rPr>
        <w:t>存货跌价准备。可变现净值，是指在日常活动中，存货的估计售价减去至完工时估计将要发生的</w:t>
      </w:r>
      <w:r>
        <w:rPr>
          <w:spacing w:val="-55"/>
        </w:rPr>
        <w:t> </w:t>
      </w:r>
      <w:r>
        <w:rPr>
          <w:spacing w:val="-55"/>
        </w:rPr>
      </w:r>
      <w:r>
        <w:rPr/>
        <w:t>成本、估计的销售费用以及相关税费后的金额。</w:t>
      </w:r>
    </w:p>
    <w:p>
      <w:pPr>
        <w:pStyle w:val="BodyText"/>
        <w:spacing w:line="304" w:lineRule="auto" w:before="20"/>
        <w:ind w:left="217" w:right="129" w:firstLine="420"/>
        <w:jc w:val="both"/>
      </w:pPr>
      <w:r>
        <w:rPr>
          <w:spacing w:val="-4"/>
        </w:rPr>
        <w:t>（</w:t>
      </w:r>
      <w:r>
        <w:rPr>
          <w:rFonts w:ascii="Times New Roman" w:hAnsi="Times New Roman" w:cs="Times New Roman" w:eastAsia="Times New Roman" w:hint="default"/>
          <w:spacing w:val="-4"/>
        </w:rPr>
        <w:t>1</w:t>
      </w:r>
      <w:r>
        <w:rPr>
          <w:spacing w:val="-4"/>
        </w:rPr>
        <w:t>）存货可变现净值的确定依据：为生产而持有的材料等，用其生产的产成品的可变现净值</w:t>
      </w:r>
      <w:r>
        <w:rPr>
          <w:w w:val="100"/>
        </w:rPr>
        <w:t> </w:t>
      </w:r>
      <w:r>
        <w:rPr>
          <w:spacing w:val="-1"/>
        </w:rPr>
        <w:t>高于成本的，该材料仍然按照成本计量；材料价格的下降表明产成品的可变现净值低于成本的，</w:t>
      </w:r>
      <w:r>
        <w:rPr>
          <w:spacing w:val="-55"/>
        </w:rPr>
        <w:t> </w:t>
      </w:r>
      <w:r>
        <w:rPr>
          <w:spacing w:val="-55"/>
        </w:rPr>
      </w:r>
      <w:r>
        <w:rPr/>
        <w:t>该材料按照可变现净值计量。</w:t>
      </w:r>
    </w:p>
    <w:p>
      <w:pPr>
        <w:pStyle w:val="BodyText"/>
        <w:spacing w:line="314" w:lineRule="auto" w:before="28"/>
        <w:ind w:left="217" w:right="129" w:firstLine="420"/>
        <w:jc w:val="both"/>
      </w:pPr>
      <w:r>
        <w:rPr>
          <w:spacing w:val="-2"/>
        </w:rPr>
        <w:t>为执行销售合同或者劳务合同而持有的存货，其可变现净值以合同价格为基础计算。企业持</w:t>
      </w:r>
      <w:r>
        <w:rPr>
          <w:w w:val="100"/>
        </w:rPr>
        <w:t> </w:t>
      </w:r>
      <w:r>
        <w:rPr>
          <w:spacing w:val="-1"/>
        </w:rPr>
        <w:t>有存货的数量多于销售合同订购数量的，超出部分的存货的可变现净值以一般销售价格为基础计</w:t>
      </w:r>
      <w:r>
        <w:rPr>
          <w:spacing w:val="-55"/>
        </w:rPr>
        <w:t> </w:t>
      </w:r>
      <w:r>
        <w:rPr>
          <w:spacing w:val="-55"/>
        </w:rPr>
      </w:r>
      <w:r>
        <w:rPr/>
        <w:t>算。</w:t>
      </w:r>
    </w:p>
    <w:p>
      <w:pPr>
        <w:pStyle w:val="BodyText"/>
        <w:spacing w:line="297" w:lineRule="auto" w:before="20"/>
        <w:ind w:left="217" w:right="128" w:firstLine="420"/>
        <w:jc w:val="both"/>
      </w:pPr>
      <w:r>
        <w:rPr>
          <w:spacing w:val="-4"/>
        </w:rPr>
        <w:t>（</w:t>
      </w:r>
      <w:r>
        <w:rPr>
          <w:rFonts w:ascii="Times New Roman" w:hAnsi="Times New Roman" w:cs="Times New Roman" w:eastAsia="Times New Roman" w:hint="default"/>
          <w:spacing w:val="-4"/>
        </w:rPr>
        <w:t>2</w:t>
      </w:r>
      <w:r>
        <w:rPr>
          <w:spacing w:val="-4"/>
        </w:rPr>
        <w:t>）存货跌价准备的计提方法：按单个存货项目的成本与可变现净值孰低法计提存货跌价准</w:t>
      </w:r>
      <w:r>
        <w:rPr>
          <w:w w:val="100"/>
        </w:rPr>
        <w:t> </w:t>
      </w:r>
      <w:r>
        <w:rPr/>
        <w:t>备；但对于数量繁多、单价较低的存货，则按存货类别计提存货跌价准备。</w:t>
      </w:r>
    </w:p>
    <w:p>
      <w:pPr>
        <w:pStyle w:val="Heading4"/>
        <w:spacing w:line="240" w:lineRule="auto" w:before="18"/>
        <w:ind w:left="217" w:right="2631"/>
        <w:jc w:val="left"/>
        <w:rPr>
          <w:b w:val="0"/>
          <w:bCs w:val="0"/>
        </w:rPr>
      </w:pPr>
      <w:r>
        <w:rPr>
          <w:rFonts w:ascii="Times New Roman" w:hAnsi="Times New Roman" w:cs="Times New Roman" w:eastAsia="Times New Roman" w:hint="default"/>
        </w:rPr>
        <w:t>13.  </w:t>
      </w:r>
      <w:r>
        <w:rPr>
          <w:rFonts w:ascii="Times New Roman" w:hAnsi="Times New Roman" w:cs="Times New Roman" w:eastAsia="Times New Roman" w:hint="default"/>
          <w:spacing w:val="5"/>
        </w:rPr>
        <w:t> </w:t>
      </w:r>
      <w:r>
        <w:rPr/>
        <w:t>持有待售资产</w:t>
      </w:r>
      <w:r>
        <w:rPr>
          <w:b w:val="0"/>
          <w:bCs w:val="0"/>
        </w:rPr>
      </w:r>
    </w:p>
    <w:p>
      <w:pPr>
        <w:pStyle w:val="BodyText"/>
        <w:tabs>
          <w:tab w:pos="1069" w:val="left" w:leader="none"/>
        </w:tabs>
        <w:spacing w:line="288" w:lineRule="auto" w:before="43"/>
        <w:ind w:left="697" w:right="6069" w:hanging="48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2"/>
        </w:rPr>
        <w:t>1</w:t>
      </w:r>
      <w:r>
        <w:rPr>
          <w:spacing w:val="-2"/>
        </w:rPr>
        <w:t>．划分为持有待售的依据</w:t>
      </w:r>
    </w:p>
    <w:p>
      <w:pPr>
        <w:pStyle w:val="BodyText"/>
        <w:spacing w:line="240" w:lineRule="auto" w:before="22"/>
        <w:ind w:left="637" w:right="47"/>
        <w:jc w:val="left"/>
      </w:pPr>
      <w:r>
        <w:rPr/>
        <w:t>本公司将同时满足下列条件的组成部分（或非流动资产）确认为持有待售类别：</w:t>
      </w:r>
    </w:p>
    <w:p>
      <w:pPr>
        <w:pStyle w:val="BodyText"/>
        <w:spacing w:line="240" w:lineRule="auto" w:before="85"/>
        <w:ind w:left="637" w:right="47"/>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297" w:lineRule="auto" w:before="69"/>
        <w:ind w:left="217" w:right="129" w:firstLine="420"/>
        <w:jc w:val="both"/>
      </w:pPr>
      <w:r>
        <w:rPr>
          <w:spacing w:val="-4"/>
        </w:rPr>
        <w:t>（</w:t>
      </w:r>
      <w:r>
        <w:rPr>
          <w:rFonts w:ascii="Times New Roman" w:hAnsi="Times New Roman" w:cs="Times New Roman" w:eastAsia="Times New Roman" w:hint="default"/>
          <w:spacing w:val="-4"/>
        </w:rPr>
        <w:t>2</w:t>
      </w:r>
      <w:r>
        <w:rPr>
          <w:spacing w:val="-4"/>
        </w:rPr>
        <w:t>）出售极可能发生，即企业已经就一项出售计划作出决议且获得确定的购买承诺，预计出</w:t>
      </w:r>
      <w:r>
        <w:rPr>
          <w:w w:val="100"/>
        </w:rPr>
        <w:t> </w:t>
      </w:r>
      <w:r>
        <w:rPr>
          <w:spacing w:val="-1"/>
        </w:rPr>
        <w:t>售将在一年内完成。有关规定要求企业相关权力机构或者监管部门批准后方可出售的，应当已经</w:t>
      </w:r>
    </w:p>
    <w:p>
      <w:pPr>
        <w:spacing w:after="0" w:line="297" w:lineRule="auto"/>
        <w:jc w:val="both"/>
        <w:sectPr>
          <w:pgSz w:w="11910" w:h="16840"/>
          <w:pgMar w:header="857" w:footer="979" w:top="1120" w:bottom="1160" w:left="1060" w:right="1660"/>
        </w:sectPr>
      </w:pPr>
    </w:p>
    <w:p>
      <w:pPr>
        <w:spacing w:line="240" w:lineRule="auto" w:before="5"/>
        <w:rPr>
          <w:rFonts w:ascii="宋体" w:hAnsi="宋体" w:cs="宋体" w:eastAsia="宋体" w:hint="default"/>
          <w:sz w:val="24"/>
          <w:szCs w:val="24"/>
        </w:rPr>
      </w:pPr>
    </w:p>
    <w:p>
      <w:pPr>
        <w:pStyle w:val="BodyText"/>
        <w:spacing w:line="240" w:lineRule="auto" w:before="36"/>
        <w:ind w:left="137" w:right="0"/>
        <w:jc w:val="both"/>
      </w:pPr>
      <w:r>
        <w:rPr/>
        <w:t>获得批准。</w:t>
      </w:r>
    </w:p>
    <w:p>
      <w:pPr>
        <w:pStyle w:val="BodyText"/>
        <w:spacing w:line="314" w:lineRule="auto" w:before="85"/>
        <w:ind w:left="137" w:right="47" w:firstLine="420"/>
        <w:jc w:val="left"/>
      </w:pPr>
      <w:r>
        <w:rPr>
          <w:spacing w:val="-2"/>
        </w:rPr>
        <w:t>确定的购买承诺，是指企业与其他方签订的具有法律约束力的购买协议，该协议包含交易价</w:t>
      </w:r>
      <w:r>
        <w:rPr>
          <w:w w:val="100"/>
        </w:rPr>
        <w:t> </w:t>
      </w:r>
      <w:r>
        <w:rPr/>
        <w:t>格、时间和足够严厉的违约惩罚等重要条款，使协议出现重大调整或者撤销的可能性极小。</w:t>
      </w:r>
    </w:p>
    <w:p>
      <w:pPr>
        <w:pStyle w:val="BodyText"/>
        <w:spacing w:line="297" w:lineRule="auto" w:before="20"/>
        <w:ind w:left="557" w:right="47"/>
        <w:jc w:val="left"/>
      </w:pPr>
      <w:r>
        <w:rPr>
          <w:rFonts w:ascii="Times New Roman" w:hAnsi="Times New Roman" w:cs="Times New Roman" w:eastAsia="Times New Roman" w:hint="default"/>
        </w:rPr>
        <w:t>2</w:t>
      </w:r>
      <w:r>
        <w:rPr/>
        <w:t>．持有待售的会计处理方法</w:t>
      </w:r>
      <w:r>
        <w:rPr>
          <w:w w:val="100"/>
        </w:rPr>
        <w:t> </w:t>
      </w:r>
      <w:r>
        <w:rPr>
          <w:spacing w:val="-2"/>
        </w:rPr>
        <w:t>公司初始计量或在资产负债表日重新计量持有待售的非流动资产或处置组时，其账面价值高</w:t>
      </w:r>
    </w:p>
    <w:p>
      <w:pPr>
        <w:pStyle w:val="BodyText"/>
        <w:spacing w:line="314" w:lineRule="auto" w:before="34"/>
        <w:ind w:left="137" w:right="209"/>
        <w:jc w:val="both"/>
      </w:pPr>
      <w:r>
        <w:rPr>
          <w:spacing w:val="-1"/>
        </w:rPr>
        <w:t>于公允价值减去出售费用后的净额的，将账面价值减记至公允价值减去出售费用后的净额，减记</w:t>
      </w:r>
      <w:r>
        <w:rPr>
          <w:spacing w:val="-55"/>
        </w:rPr>
        <w:t> </w:t>
      </w:r>
      <w:r>
        <w:rPr>
          <w:spacing w:val="-55"/>
        </w:rPr>
      </w:r>
      <w:r>
        <w:rPr>
          <w:spacing w:val="-1"/>
        </w:rPr>
        <w:t>的金额确认为资产减值损失，计入当期损益，同时计提持有待售资产减值准备。后续资产负债表</w:t>
      </w:r>
      <w:r>
        <w:rPr>
          <w:spacing w:val="-55"/>
        </w:rPr>
        <w:t> </w:t>
      </w:r>
      <w:r>
        <w:rPr>
          <w:spacing w:val="-55"/>
        </w:rPr>
      </w:r>
      <w:r>
        <w:rPr>
          <w:spacing w:val="-1"/>
        </w:rPr>
        <w:t>日持有待售的非流动资产公允价值减去出售费用后的净额增加的，以前减记的金额予以恢复，并</w:t>
      </w:r>
      <w:r>
        <w:rPr>
          <w:spacing w:val="-55"/>
        </w:rPr>
        <w:t> </w:t>
      </w:r>
      <w:r>
        <w:rPr>
          <w:spacing w:val="-55"/>
        </w:rPr>
      </w:r>
      <w:r>
        <w:rPr>
          <w:spacing w:val="-1"/>
        </w:rPr>
        <w:t>在划分为持有待售类别后确认的资产减值损失金额内转回，转回金额计入当期损益。划分为持有</w:t>
      </w:r>
      <w:r>
        <w:rPr>
          <w:spacing w:val="-55"/>
        </w:rPr>
        <w:t> </w:t>
      </w:r>
      <w:r>
        <w:rPr>
          <w:spacing w:val="-55"/>
        </w:rPr>
      </w:r>
      <w:r>
        <w:rPr/>
        <w:t>待售类别前确认的资产减值损失不得转回。</w:t>
      </w:r>
    </w:p>
    <w:p>
      <w:pPr>
        <w:pStyle w:val="BodyText"/>
        <w:spacing w:line="314" w:lineRule="auto" w:before="20"/>
        <w:ind w:left="137" w:right="209" w:firstLine="420"/>
        <w:jc w:val="both"/>
      </w:pPr>
      <w:r>
        <w:rPr>
          <w:spacing w:val="-2"/>
        </w:rPr>
        <w:t>对于持有待售的处置组确认的资产减值损失金额，先抵减处置组中商誉的账面价值，再根据</w:t>
      </w:r>
      <w:r>
        <w:rPr>
          <w:w w:val="100"/>
        </w:rPr>
        <w:t> </w:t>
      </w:r>
      <w:r>
        <w:rPr>
          <w:spacing w:val="-1"/>
        </w:rPr>
        <w:t>处置组中各项非流动资产账面价值所占比重，按比例抵减其账面价值。持有待售的处置组确认的</w:t>
      </w:r>
      <w:r>
        <w:rPr>
          <w:spacing w:val="-55"/>
        </w:rPr>
        <w:t> </w:t>
      </w:r>
      <w:r>
        <w:rPr>
          <w:spacing w:val="-55"/>
        </w:rPr>
      </w:r>
      <w:r>
        <w:rPr>
          <w:spacing w:val="-1"/>
        </w:rPr>
        <w:t>资产减值损失后续转回金额，根据处置组中除商誉外各项非流动资产账面价值所占比重，按比例</w:t>
      </w:r>
      <w:r>
        <w:rPr>
          <w:spacing w:val="-55"/>
        </w:rPr>
        <w:t> </w:t>
      </w:r>
      <w:r>
        <w:rPr>
          <w:spacing w:val="-55"/>
        </w:rPr>
      </w:r>
      <w:r>
        <w:rPr/>
        <w:t>增加其账面价值。</w:t>
      </w:r>
    </w:p>
    <w:p>
      <w:pPr>
        <w:pStyle w:val="BodyText"/>
        <w:spacing w:line="314" w:lineRule="auto" w:before="20"/>
        <w:ind w:left="137" w:right="47" w:firstLine="420"/>
        <w:jc w:val="left"/>
      </w:pPr>
      <w:r>
        <w:rPr>
          <w:spacing w:val="-2"/>
        </w:rPr>
        <w:t>持有待售的非流动资产或处置组中的非流动资产不计提折旧或摊销，持有待售的处置组中负</w:t>
      </w:r>
      <w:r>
        <w:rPr>
          <w:w w:val="100"/>
        </w:rPr>
        <w:t> </w:t>
      </w:r>
      <w:r>
        <w:rPr/>
        <w:t>债的利息和其他费用继续予以确认。</w:t>
      </w:r>
    </w:p>
    <w:p>
      <w:pPr>
        <w:pStyle w:val="BodyText"/>
        <w:spacing w:line="314" w:lineRule="auto" w:before="20"/>
        <w:ind w:left="557" w:right="47"/>
        <w:jc w:val="left"/>
      </w:pPr>
      <w:r>
        <w:rPr>
          <w:spacing w:val="-2"/>
        </w:rPr>
        <w:t>公司终止确认持有待售的非流动资产或处置组时，将尚未确认的利得或损失计入当期损益。</w:t>
      </w:r>
      <w:r>
        <w:rPr>
          <w:spacing w:val="-28"/>
        </w:rPr>
        <w:t> </w:t>
      </w:r>
      <w:r>
        <w:rPr>
          <w:spacing w:val="-28"/>
        </w:rPr>
      </w:r>
      <w:r>
        <w:rPr>
          <w:spacing w:val="-2"/>
        </w:rPr>
        <w:t>非流动资产或处置组因不再满足持有待售类别的划分条件而不再继续划分为持有待售类别或</w:t>
      </w:r>
    </w:p>
    <w:p>
      <w:pPr>
        <w:pStyle w:val="BodyText"/>
        <w:spacing w:line="240" w:lineRule="auto" w:before="20"/>
        <w:ind w:left="137" w:right="0"/>
        <w:jc w:val="both"/>
      </w:pPr>
      <w:r>
        <w:rPr/>
        <w:t>非流动资产从持有待售的处置组中移除时，按照以下两者孰低计量：</w:t>
      </w:r>
    </w:p>
    <w:p>
      <w:pPr>
        <w:pStyle w:val="BodyText"/>
        <w:spacing w:line="297" w:lineRule="auto" w:before="85"/>
        <w:ind w:left="137" w:right="47" w:firstLine="420"/>
        <w:jc w:val="left"/>
      </w:pPr>
      <w:r>
        <w:rPr>
          <w:spacing w:val="-4"/>
        </w:rPr>
        <w:t>（</w:t>
      </w:r>
      <w:r>
        <w:rPr>
          <w:rFonts w:ascii="Times New Roman" w:hAnsi="Times New Roman" w:cs="Times New Roman" w:eastAsia="Times New Roman" w:hint="default"/>
          <w:spacing w:val="-4"/>
        </w:rPr>
        <w:t>1</w:t>
      </w:r>
      <w:r>
        <w:rPr>
          <w:spacing w:val="-4"/>
        </w:rPr>
        <w:t>）划分为持有待售类别前的账面价值，按照假定不划分为持有待售类别情况下本应确认的</w:t>
      </w:r>
      <w:r>
        <w:rPr>
          <w:w w:val="100"/>
        </w:rPr>
        <w:t> </w:t>
      </w:r>
      <w:r>
        <w:rPr/>
        <w:t>折旧、摊销或减值等进行调整后的金额；</w:t>
      </w:r>
    </w:p>
    <w:p>
      <w:pPr>
        <w:pStyle w:val="BodyText"/>
        <w:spacing w:line="240" w:lineRule="auto" w:before="34"/>
        <w:ind w:left="557" w:right="2631"/>
        <w:jc w:val="left"/>
      </w:pPr>
      <w:r>
        <w:rPr/>
        <w:t>（</w:t>
      </w:r>
      <w:r>
        <w:rPr>
          <w:rFonts w:ascii="Times New Roman" w:hAnsi="Times New Roman" w:cs="Times New Roman" w:eastAsia="Times New Roman" w:hint="default"/>
        </w:rPr>
        <w:t>2</w:t>
      </w:r>
      <w:r>
        <w:rPr/>
        <w:t>）可收回金额。</w:t>
      </w:r>
    </w:p>
    <w:p>
      <w:pPr>
        <w:pStyle w:val="Heading4"/>
        <w:spacing w:line="240" w:lineRule="auto" w:before="52"/>
        <w:ind w:left="137" w:right="0"/>
        <w:jc w:val="both"/>
        <w:rPr>
          <w:b w:val="0"/>
          <w:bCs w:val="0"/>
        </w:rPr>
      </w:pPr>
      <w:r>
        <w:rPr>
          <w:rFonts w:ascii="Times New Roman" w:hAnsi="Times New Roman" w:cs="Times New Roman" w:eastAsia="Times New Roman" w:hint="default"/>
        </w:rPr>
        <w:t>14.  </w:t>
      </w:r>
      <w:r>
        <w:rPr>
          <w:rFonts w:ascii="Times New Roman" w:hAnsi="Times New Roman" w:cs="Times New Roman" w:eastAsia="Times New Roman" w:hint="default"/>
          <w:spacing w:val="6"/>
        </w:rPr>
        <w:t> </w:t>
      </w:r>
      <w:r>
        <w:rPr/>
        <w:t>长期股权投资</w:t>
      </w:r>
      <w:r>
        <w:rPr>
          <w:b w:val="0"/>
          <w:bCs w:val="0"/>
        </w:rPr>
      </w:r>
    </w:p>
    <w:p>
      <w:pPr>
        <w:pStyle w:val="BodyText"/>
        <w:tabs>
          <w:tab w:pos="1562" w:val="left" w:leader="none"/>
        </w:tabs>
        <w:spacing w:line="240" w:lineRule="auto" w:before="40"/>
        <w:ind w:left="617" w:right="2631"/>
        <w:jc w:val="left"/>
      </w:pPr>
      <w:r>
        <w:rPr/>
        <w:t>√适用</w:t>
        <w:tab/>
        <w:t>□不适用</w:t>
      </w:r>
    </w:p>
    <w:p>
      <w:pPr>
        <w:pStyle w:val="BodyText"/>
        <w:spacing w:line="297" w:lineRule="auto" w:before="75"/>
        <w:ind w:left="557" w:right="47" w:firstLine="60"/>
        <w:jc w:val="left"/>
      </w:pPr>
      <w:r>
        <w:rPr>
          <w:rFonts w:ascii="Times New Roman" w:hAnsi="Times New Roman" w:cs="Times New Roman" w:eastAsia="Times New Roman" w:hint="default"/>
        </w:rPr>
        <w:t>1</w:t>
      </w:r>
      <w:r>
        <w:rPr/>
        <w:t>．确定对被投资单位具有共同控制、重大影响的依据</w:t>
      </w:r>
      <w:r>
        <w:rPr>
          <w:w w:val="100"/>
        </w:rPr>
        <w:t> </w:t>
      </w:r>
      <w:r>
        <w:rPr>
          <w:spacing w:val="-2"/>
        </w:rPr>
        <w:t>共同控制是指按照相关约定对某项安排所共有的控制，并且该安排的相关活动必须经过分享</w:t>
      </w:r>
    </w:p>
    <w:p>
      <w:pPr>
        <w:pStyle w:val="BodyText"/>
        <w:spacing w:line="314" w:lineRule="auto" w:before="34"/>
        <w:ind w:left="137" w:right="209"/>
        <w:jc w:val="both"/>
      </w:pPr>
      <w:r>
        <w:rPr>
          <w:spacing w:val="-1"/>
        </w:rPr>
        <w:t>控制权的参与方一致同意后才能决策。在判断是否存在共同控制时，首先判断所有参与方或参与</w:t>
      </w:r>
      <w:r>
        <w:rPr>
          <w:spacing w:val="-55"/>
        </w:rPr>
        <w:t> </w:t>
      </w:r>
      <w:r>
        <w:rPr>
          <w:spacing w:val="-55"/>
        </w:rPr>
      </w:r>
      <w:r>
        <w:rPr>
          <w:spacing w:val="-1"/>
        </w:rPr>
        <w:t>方组合是否集体控制该安排，如果所有参与方或一组参与方必须一致行动才能决定某项安排的相</w:t>
      </w:r>
      <w:r>
        <w:rPr>
          <w:spacing w:val="-55"/>
        </w:rPr>
        <w:t> </w:t>
      </w:r>
      <w:r>
        <w:rPr>
          <w:spacing w:val="-55"/>
        </w:rPr>
      </w:r>
      <w:r>
        <w:rPr>
          <w:spacing w:val="-1"/>
        </w:rPr>
        <w:t>关活动，则认为所有参与方或一组参与方集体控制该安排。其次再判断该安排相关活动的决策是</w:t>
      </w:r>
      <w:r>
        <w:rPr>
          <w:spacing w:val="-55"/>
        </w:rPr>
        <w:t> </w:t>
      </w:r>
      <w:r>
        <w:rPr>
          <w:spacing w:val="-55"/>
        </w:rPr>
      </w:r>
      <w:r>
        <w:rPr>
          <w:spacing w:val="-1"/>
        </w:rPr>
        <w:t>否必须经过这些集体控制该安排的参与方一致同意，当且仅当相关活动的决策要求集体控制该安</w:t>
      </w:r>
      <w:r>
        <w:rPr>
          <w:spacing w:val="-55"/>
        </w:rPr>
        <w:t> </w:t>
      </w:r>
      <w:r>
        <w:rPr>
          <w:spacing w:val="-55"/>
        </w:rPr>
      </w:r>
      <w:r>
        <w:rPr>
          <w:spacing w:val="-1"/>
        </w:rPr>
        <w:t>排的参与方一致同意时，才形成共同控制。如果存在两个或两个以上的参与方组合能够集体控制</w:t>
      </w:r>
      <w:r>
        <w:rPr>
          <w:spacing w:val="-55"/>
        </w:rPr>
        <w:t> </w:t>
      </w:r>
      <w:r>
        <w:rPr>
          <w:spacing w:val="-55"/>
        </w:rPr>
      </w:r>
      <w:r>
        <w:rPr/>
        <w:t>某项安排的，不构成共同控制。判断是否存在共同控制时，不考虑享有的保护性权利。</w:t>
      </w:r>
    </w:p>
    <w:p>
      <w:pPr>
        <w:pStyle w:val="BodyText"/>
        <w:spacing w:line="314" w:lineRule="auto" w:before="20"/>
        <w:ind w:left="137" w:right="47" w:firstLine="420"/>
        <w:jc w:val="left"/>
      </w:pPr>
      <w:r>
        <w:rPr/>
        <w:t>重大影响是指投资方对被投资单位的财务和经营政策有参与决策的权力，但并不能够控制或</w:t>
      </w:r>
      <w:r>
        <w:rPr>
          <w:w w:val="100"/>
        </w:rPr>
        <w:t> </w:t>
      </w:r>
      <w:r>
        <w:rPr/>
        <w:t>者与其他方一起共同控制这些政策的制定。在确定能否对被投资单位施加重大影响时，考虑投资</w:t>
      </w:r>
      <w:r>
        <w:rPr>
          <w:spacing w:val="-97"/>
        </w:rPr>
        <w:t> </w:t>
      </w:r>
      <w:r>
        <w:rPr>
          <w:spacing w:val="-97"/>
        </w:rPr>
      </w:r>
      <w:r>
        <w:rPr/>
        <w:t>方直接或间接持有被投资单位的表决权股份以及投资方及其他方持有的当期可执行潜在表决权在</w:t>
      </w:r>
      <w:r>
        <w:rPr>
          <w:spacing w:val="-97"/>
        </w:rPr>
        <w:t> </w:t>
      </w:r>
      <w:r>
        <w:rPr>
          <w:spacing w:val="-97"/>
        </w:rPr>
      </w:r>
      <w:r>
        <w:rPr>
          <w:spacing w:val="-4"/>
          <w:w w:val="100"/>
        </w:rPr>
        <w:t>假定转换为对被投资方单位的股权后产生的影响，包括被投资单位发行的当期可转换的认股权证、</w:t>
      </w:r>
      <w:r>
        <w:rPr>
          <w:spacing w:val="-86"/>
          <w:w w:val="100"/>
        </w:rPr>
        <w:t> </w:t>
      </w:r>
      <w:r>
        <w:rPr>
          <w:spacing w:val="-86"/>
          <w:w w:val="100"/>
        </w:rPr>
      </w:r>
      <w:r>
        <w:rPr/>
        <w:t>股份期权及可转换公司债券等的影响。对外投资符合下列情况时，一般确定为对投资单位具有重</w:t>
      </w:r>
      <w:r>
        <w:rPr>
          <w:spacing w:val="-97"/>
        </w:rPr>
        <w:t> </w:t>
      </w:r>
      <w:r>
        <w:rPr>
          <w:spacing w:val="-97"/>
        </w:rPr>
      </w:r>
      <w:r>
        <w:rPr/>
        <w:t>大影响：①在被投资单位的董事会或类似权力机构中派有代表；②参与被投资单位财务和经营政</w:t>
      </w:r>
    </w:p>
    <w:p>
      <w:pPr>
        <w:spacing w:after="0" w:line="314" w:lineRule="auto"/>
        <w:jc w:val="left"/>
        <w:sectPr>
          <w:pgSz w:w="11910" w:h="16840"/>
          <w:pgMar w:header="857" w:footer="979" w:top="1120" w:bottom="1160" w:left="1140" w:right="1580"/>
        </w:sectPr>
      </w:pPr>
    </w:p>
    <w:p>
      <w:pPr>
        <w:spacing w:line="240" w:lineRule="auto" w:before="5"/>
        <w:rPr>
          <w:rFonts w:ascii="宋体" w:hAnsi="宋体" w:cs="宋体" w:eastAsia="宋体" w:hint="default"/>
          <w:sz w:val="24"/>
          <w:szCs w:val="24"/>
        </w:rPr>
      </w:pPr>
    </w:p>
    <w:p>
      <w:pPr>
        <w:pStyle w:val="BodyText"/>
        <w:spacing w:line="304" w:lineRule="auto" w:before="36"/>
        <w:ind w:left="137" w:right="308"/>
        <w:jc w:val="both"/>
      </w:pPr>
      <w:r>
        <w:rPr>
          <w:spacing w:val="-1"/>
        </w:rPr>
        <w:t>策的制定过程；③与被投资单位之间发生重要交易；④向被投资单位派出管理人员；⑤向被投资</w:t>
      </w:r>
      <w:r>
        <w:rPr>
          <w:spacing w:val="-55"/>
        </w:rPr>
        <w:t> </w:t>
      </w:r>
      <w:r>
        <w:rPr>
          <w:spacing w:val="-55"/>
        </w:rPr>
      </w:r>
      <w:r>
        <w:rPr>
          <w:spacing w:val="-3"/>
        </w:rPr>
        <w:t>单位提供关键技术资料。直接或通过子公司间接拥有被投资企业</w:t>
      </w:r>
      <w:r>
        <w:rPr>
          <w:spacing w:val="-31"/>
        </w:rPr>
        <w:t> </w:t>
      </w:r>
      <w:r>
        <w:rPr>
          <w:rFonts w:ascii="Times New Roman" w:hAnsi="Times New Roman" w:cs="Times New Roman" w:eastAsia="Times New Roman" w:hint="default"/>
        </w:rPr>
        <w:t>20%</w:t>
      </w:r>
      <w:r>
        <w:rPr/>
        <w:t>以上但低于</w:t>
      </w:r>
      <w:r>
        <w:rPr>
          <w:spacing w:val="-31"/>
        </w:rPr>
        <w:t> </w:t>
      </w:r>
      <w:r>
        <w:rPr>
          <w:rFonts w:ascii="Times New Roman" w:hAnsi="Times New Roman" w:cs="Times New Roman" w:eastAsia="Times New Roman" w:hint="default"/>
        </w:rPr>
        <w:t>50%</w:t>
      </w:r>
      <w:r>
        <w:rPr/>
        <w:t>的表决权股</w:t>
      </w:r>
      <w:r>
        <w:rPr>
          <w:spacing w:val="-96"/>
        </w:rPr>
        <w:t> </w:t>
      </w:r>
      <w:r>
        <w:rPr>
          <w:spacing w:val="-96"/>
        </w:rPr>
      </w:r>
      <w:r>
        <w:rPr/>
        <w:t>份时，一般认为对被投资单位具有重大影响。</w:t>
      </w:r>
    </w:p>
    <w:p>
      <w:pPr>
        <w:pStyle w:val="BodyText"/>
        <w:spacing w:line="240" w:lineRule="auto" w:before="28"/>
        <w:ind w:left="557" w:right="0"/>
        <w:jc w:val="left"/>
      </w:pPr>
      <w:r>
        <w:rPr>
          <w:rFonts w:ascii="Times New Roman" w:hAnsi="Times New Roman" w:cs="Times New Roman" w:eastAsia="Times New Roman" w:hint="default"/>
        </w:rPr>
        <w:t>2</w:t>
      </w:r>
      <w:r>
        <w:rPr/>
        <w:t>．初始投资成本确定</w:t>
      </w:r>
    </w:p>
    <w:p>
      <w:pPr>
        <w:pStyle w:val="BodyText"/>
        <w:spacing w:line="240" w:lineRule="auto" w:before="69"/>
        <w:ind w:left="557" w:right="0"/>
        <w:jc w:val="left"/>
      </w:pPr>
      <w:r>
        <w:rPr/>
        <w:t>（</w:t>
      </w:r>
      <w:r>
        <w:rPr>
          <w:rFonts w:ascii="Times New Roman" w:hAnsi="Times New Roman" w:cs="Times New Roman" w:eastAsia="Times New Roman" w:hint="default"/>
        </w:rPr>
        <w:t>1</w:t>
      </w:r>
      <w:r>
        <w:rPr/>
        <w:t>）企业合并形成的长期股权投资</w:t>
      </w:r>
    </w:p>
    <w:p>
      <w:pPr>
        <w:pStyle w:val="BodyText"/>
        <w:spacing w:line="312" w:lineRule="auto" w:before="69"/>
        <w:ind w:left="137" w:right="0" w:firstLine="420"/>
        <w:jc w:val="left"/>
      </w:pPr>
      <w:r>
        <w:rPr>
          <w:rFonts w:ascii="Times New Roman" w:hAnsi="Times New Roman" w:cs="Times New Roman" w:eastAsia="Times New Roman" w:hint="default"/>
        </w:rPr>
        <w:t>A</w:t>
      </w:r>
      <w:r>
        <w:rPr/>
        <w:t>、同一控制下的企业合并</w:t>
      </w:r>
      <w:r>
        <w:rPr>
          <w:rFonts w:ascii="Times New Roman" w:hAnsi="Times New Roman" w:cs="Times New Roman" w:eastAsia="Times New Roman" w:hint="default"/>
        </w:rPr>
        <w:t>,</w:t>
      </w:r>
      <w:r>
        <w:rPr/>
        <w:t>以支付现金、转让非现金资产或承担债务方式以及以发行权益性</w:t>
      </w:r>
      <w:r>
        <w:rPr>
          <w:w w:val="100"/>
        </w:rPr>
        <w:t> </w:t>
      </w:r>
      <w:r>
        <w:rPr/>
        <w:t>证券作为合并对价的，在合并日按照取得被合并方所有者权益在最终控制方合并财务报表中的账</w:t>
      </w:r>
      <w:r>
        <w:rPr>
          <w:spacing w:val="-97"/>
        </w:rPr>
        <w:t> </w:t>
      </w:r>
      <w:r>
        <w:rPr>
          <w:spacing w:val="-97"/>
        </w:rPr>
      </w:r>
      <w:r>
        <w:rPr/>
        <w:t>面价值的份额作为长期股权投资的初始投资成本。因追加投资等原因能够对同一控制下的被投资</w:t>
      </w:r>
      <w:r>
        <w:rPr>
          <w:spacing w:val="-97"/>
        </w:rPr>
        <w:t> </w:t>
      </w:r>
      <w:r>
        <w:rPr>
          <w:spacing w:val="-97"/>
        </w:rPr>
      </w:r>
      <w:r>
        <w:rPr/>
        <w:t>单位实施控制的，在合并日根据合并后应享有被合并方净资产在最终控制方合并财务报表中的账</w:t>
      </w:r>
      <w:r>
        <w:rPr>
          <w:spacing w:val="-97"/>
        </w:rPr>
        <w:t> </w:t>
      </w:r>
      <w:r>
        <w:rPr>
          <w:spacing w:val="-97"/>
        </w:rPr>
      </w:r>
      <w:r>
        <w:rPr/>
        <w:t>面价值的份额，确定长期股权投资的初始投资成本。合并日长期股权投资的初始投资成本，与达</w:t>
      </w:r>
      <w:r>
        <w:rPr>
          <w:spacing w:val="-97"/>
        </w:rPr>
        <w:t> </w:t>
      </w:r>
      <w:r>
        <w:rPr>
          <w:spacing w:val="-97"/>
        </w:rPr>
      </w:r>
      <w:r>
        <w:rPr>
          <w:spacing w:val="-2"/>
        </w:rPr>
        <w:t>到合并前的长期股权投资账面价值加上合并日进一步取得股份新支付对价的账面价值之和的差额，</w:t>
      </w:r>
      <w:r>
        <w:rPr>
          <w:spacing w:val="-13"/>
        </w:rPr>
        <w:t> </w:t>
      </w:r>
      <w:r>
        <w:rPr>
          <w:spacing w:val="-13"/>
        </w:rPr>
      </w:r>
      <w:r>
        <w:rPr/>
        <w:t>调整股本溢价，股本溢价不足冲减的，冲减留存收益。</w:t>
      </w:r>
    </w:p>
    <w:p>
      <w:pPr>
        <w:pStyle w:val="BodyText"/>
        <w:spacing w:line="309" w:lineRule="auto" w:before="22"/>
        <w:ind w:left="137" w:right="309" w:firstLine="420"/>
        <w:jc w:val="both"/>
      </w:pPr>
      <w:r>
        <w:rPr>
          <w:rFonts w:ascii="Times New Roman" w:hAnsi="Times New Roman" w:cs="Times New Roman" w:eastAsia="Times New Roman" w:hint="default"/>
          <w:spacing w:val="-4"/>
        </w:rPr>
        <w:t>B</w:t>
      </w:r>
      <w:r>
        <w:rPr>
          <w:spacing w:val="-4"/>
        </w:rPr>
        <w:t>、非同一控制下的企业合并</w:t>
      </w:r>
      <w:r>
        <w:rPr>
          <w:rFonts w:ascii="Times New Roman" w:hAnsi="Times New Roman" w:cs="Times New Roman" w:eastAsia="Times New Roman" w:hint="default"/>
          <w:spacing w:val="-4"/>
        </w:rPr>
        <w:t>,</w:t>
      </w:r>
      <w:r>
        <w:rPr>
          <w:spacing w:val="-4"/>
        </w:rPr>
        <w:t>在购买日按照《企业会计准则第 </w:t>
      </w:r>
      <w:r>
        <w:rPr>
          <w:rFonts w:ascii="Times New Roman" w:hAnsi="Times New Roman" w:cs="Times New Roman" w:eastAsia="Times New Roman" w:hint="default"/>
        </w:rPr>
        <w:t>20</w:t>
      </w:r>
      <w:r>
        <w:rPr>
          <w:rFonts w:ascii="Times New Roman" w:hAnsi="Times New Roman" w:cs="Times New Roman" w:eastAsia="Times New Roman" w:hint="default"/>
          <w:spacing w:val="13"/>
        </w:rPr>
        <w:t> </w:t>
      </w:r>
      <w:r>
        <w:rPr>
          <w:spacing w:val="-4"/>
        </w:rPr>
        <w:t>号</w:t>
      </w:r>
      <w:r>
        <w:rPr>
          <w:rFonts w:ascii="Times New Roman" w:hAnsi="Times New Roman" w:cs="Times New Roman" w:eastAsia="Times New Roman" w:hint="default"/>
          <w:spacing w:val="-4"/>
        </w:rPr>
        <w:t>——</w:t>
      </w:r>
      <w:r>
        <w:rPr>
          <w:spacing w:val="-4"/>
        </w:rPr>
        <w:t>企业合并》的相关规</w:t>
      </w:r>
      <w:r>
        <w:rPr>
          <w:w w:val="100"/>
        </w:rPr>
        <w:t> </w:t>
      </w:r>
      <w:r>
        <w:rPr>
          <w:spacing w:val="-1"/>
        </w:rPr>
        <w:t>定确定的合并成本作为长期股权投资的初始投资成本。因追加投资等原因能够对非同一控制下的</w:t>
      </w:r>
      <w:r>
        <w:rPr>
          <w:spacing w:val="-55"/>
        </w:rPr>
        <w:t> </w:t>
      </w:r>
      <w:r>
        <w:rPr>
          <w:spacing w:val="-55"/>
        </w:rPr>
      </w:r>
      <w:r>
        <w:rPr>
          <w:spacing w:val="-1"/>
        </w:rPr>
        <w:t>被投资单位实施控制的，按照原持有的股权投资账面价值加上新增投资成本之和，作为改按成本</w:t>
      </w:r>
      <w:r>
        <w:rPr>
          <w:spacing w:val="-55"/>
        </w:rPr>
        <w:t> </w:t>
      </w:r>
      <w:r>
        <w:rPr>
          <w:spacing w:val="-55"/>
        </w:rPr>
      </w:r>
      <w:r>
        <w:rPr/>
        <w:t>法核算的初始投资成本。</w:t>
      </w:r>
    </w:p>
    <w:p>
      <w:pPr>
        <w:pStyle w:val="BodyText"/>
        <w:spacing w:line="297" w:lineRule="auto" w:before="24"/>
        <w:ind w:left="137" w:right="0" w:firstLine="420"/>
        <w:jc w:val="left"/>
      </w:pPr>
      <w:r>
        <w:rPr>
          <w:spacing w:val="-4"/>
        </w:rPr>
        <w:t>（</w:t>
      </w:r>
      <w:r>
        <w:rPr>
          <w:rFonts w:ascii="Times New Roman" w:hAnsi="Times New Roman" w:cs="Times New Roman" w:eastAsia="Times New Roman" w:hint="default"/>
          <w:spacing w:val="-4"/>
        </w:rPr>
        <w:t>2</w:t>
      </w:r>
      <w:r>
        <w:rPr>
          <w:spacing w:val="-4"/>
        </w:rPr>
        <w:t>）除企业合并形成的长期股权投资以外，其他方式取得的长期股权投资，按照下列规定确</w:t>
      </w:r>
      <w:r>
        <w:rPr>
          <w:w w:val="100"/>
        </w:rPr>
        <w:t> </w:t>
      </w:r>
      <w:r>
        <w:rPr/>
        <w:t>定期初始投资成本：</w:t>
      </w:r>
    </w:p>
    <w:p>
      <w:pPr>
        <w:pStyle w:val="BodyText"/>
        <w:spacing w:line="297" w:lineRule="auto" w:before="35"/>
        <w:ind w:left="137" w:right="0" w:firstLine="420"/>
        <w:jc w:val="left"/>
      </w:pPr>
      <w:r>
        <w:rPr>
          <w:rFonts w:ascii="Times New Roman" w:hAnsi="Times New Roman" w:cs="Times New Roman" w:eastAsia="Times New Roman" w:hint="default"/>
        </w:rPr>
        <w:t>A</w:t>
      </w:r>
      <w:r>
        <w:rPr/>
        <w:t>．以支付现金方式取得的长期股权投资，以实际支付的购买价款作为初始投资成本。初始</w:t>
      </w:r>
      <w:r>
        <w:rPr>
          <w:w w:val="100"/>
        </w:rPr>
        <w:t> </w:t>
      </w:r>
      <w:r>
        <w:rPr/>
        <w:t>投资成本包括与取得长期股权投资直接相关的费用、税金及其他必要支出。</w:t>
      </w:r>
    </w:p>
    <w:p>
      <w:pPr>
        <w:pStyle w:val="BodyText"/>
        <w:spacing w:line="297" w:lineRule="auto" w:before="34"/>
        <w:ind w:left="137" w:right="0" w:firstLine="420"/>
        <w:jc w:val="left"/>
      </w:pPr>
      <w:r>
        <w:rPr>
          <w:rFonts w:ascii="Times New Roman" w:hAnsi="Times New Roman" w:cs="Times New Roman" w:eastAsia="Times New Roman" w:hint="default"/>
        </w:rPr>
        <w:t>B</w:t>
      </w:r>
      <w:r>
        <w:rPr/>
        <w:t>．以发行权益性证券方式取得的长期股权投资，以发行权益性证券的公允价值作为初始投</w:t>
      </w:r>
      <w:r>
        <w:rPr>
          <w:w w:val="100"/>
        </w:rPr>
        <w:t> </w:t>
      </w:r>
      <w:r>
        <w:rPr/>
        <w:t>资成本。</w:t>
      </w:r>
    </w:p>
    <w:p>
      <w:pPr>
        <w:pStyle w:val="BodyText"/>
        <w:spacing w:line="240" w:lineRule="auto" w:before="34"/>
        <w:ind w:left="557" w:right="0"/>
        <w:jc w:val="left"/>
        <w:rPr>
          <w:rFonts w:ascii="Times New Roman" w:hAnsi="Times New Roman" w:cs="Times New Roman" w:eastAsia="Times New Roman" w:hint="default"/>
        </w:rPr>
      </w:pPr>
      <w:r>
        <w:rPr>
          <w:rFonts w:ascii="Times New Roman" w:hAnsi="Times New Roman" w:cs="Times New Roman" w:eastAsia="Times New Roman" w:hint="default"/>
        </w:rPr>
        <w:t>C</w:t>
      </w:r>
      <w:r>
        <w:rPr/>
        <w:t>．通过非货币性资产交换取得的长期股权投资，期初始投资成本按照《企业会计准则第</w:t>
      </w:r>
      <w:r>
        <w:rPr>
          <w:spacing w:val="83"/>
        </w:rPr>
        <w:t> </w:t>
      </w:r>
      <w:r>
        <w:rPr>
          <w:rFonts w:ascii="Times New Roman" w:hAnsi="Times New Roman" w:cs="Times New Roman" w:eastAsia="Times New Roman" w:hint="default"/>
        </w:rPr>
        <w:t>7</w:t>
      </w:r>
    </w:p>
    <w:p>
      <w:pPr>
        <w:pStyle w:val="BodyText"/>
        <w:spacing w:line="240" w:lineRule="auto" w:before="69"/>
        <w:ind w:left="137" w:right="0"/>
        <w:jc w:val="both"/>
      </w:pPr>
      <w:r>
        <w:rPr/>
        <w:t>号</w:t>
      </w:r>
      <w:r>
        <w:rPr>
          <w:rFonts w:ascii="Times New Roman" w:hAnsi="Times New Roman" w:cs="Times New Roman" w:eastAsia="Times New Roman" w:hint="default"/>
        </w:rPr>
        <w:t>——</w:t>
      </w:r>
      <w:r>
        <w:rPr/>
        <w:t>非货币性资产交换》确定。</w:t>
      </w:r>
    </w:p>
    <w:p>
      <w:pPr>
        <w:pStyle w:val="BodyText"/>
        <w:spacing w:line="297" w:lineRule="auto" w:before="69"/>
        <w:ind w:left="137" w:right="0" w:firstLine="420"/>
        <w:jc w:val="left"/>
      </w:pPr>
      <w:r>
        <w:rPr>
          <w:rFonts w:ascii="Times New Roman" w:hAnsi="Times New Roman" w:cs="Times New Roman" w:eastAsia="Times New Roman" w:hint="default"/>
          <w:spacing w:val="-3"/>
        </w:rPr>
        <w:t>D</w:t>
      </w:r>
      <w:r>
        <w:rPr>
          <w:spacing w:val="-3"/>
        </w:rPr>
        <w:t>．通过债务重组取得的长期股权投资，期初始投资成本按照《企业会计准则第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债</w:t>
      </w:r>
      <w:r>
        <w:rPr>
          <w:w w:val="100"/>
        </w:rPr>
        <w:t> </w:t>
      </w:r>
      <w:r>
        <w:rPr/>
        <w:t>务重组》确定。</w:t>
      </w:r>
    </w:p>
    <w:p>
      <w:pPr>
        <w:pStyle w:val="BodyText"/>
        <w:spacing w:line="240" w:lineRule="auto" w:before="34"/>
        <w:ind w:left="557" w:right="0"/>
        <w:jc w:val="left"/>
      </w:pPr>
      <w:r>
        <w:rPr>
          <w:rFonts w:ascii="Times New Roman" w:hAnsi="Times New Roman" w:cs="Times New Roman" w:eastAsia="Times New Roman" w:hint="default"/>
        </w:rPr>
        <w:t>3</w:t>
      </w:r>
      <w:r>
        <w:rPr/>
        <w:t>．后续计量和损益确认方法</w:t>
      </w:r>
    </w:p>
    <w:p>
      <w:pPr>
        <w:pStyle w:val="BodyText"/>
        <w:spacing w:line="297" w:lineRule="auto" w:before="70"/>
        <w:ind w:left="557" w:right="0"/>
        <w:jc w:val="left"/>
      </w:pPr>
      <w:r>
        <w:rPr/>
        <w:t>（</w:t>
      </w:r>
      <w:r>
        <w:rPr>
          <w:rFonts w:ascii="Times New Roman" w:hAnsi="Times New Roman" w:cs="Times New Roman" w:eastAsia="Times New Roman" w:hint="default"/>
        </w:rPr>
        <w:t>1</w:t>
      </w:r>
      <w:r>
        <w:rPr/>
        <w:t>）成本法核算</w:t>
      </w:r>
      <w:r>
        <w:rPr>
          <w:w w:val="100"/>
        </w:rPr>
        <w:t> </w:t>
      </w:r>
      <w:r>
        <w:rPr>
          <w:spacing w:val="-2"/>
        </w:rPr>
        <w:t>本公司能够对被投资单位实施控制的长期股权投资，采用成本法核算。采用成本法核算时，</w:t>
      </w:r>
    </w:p>
    <w:p>
      <w:pPr>
        <w:pStyle w:val="BodyText"/>
        <w:spacing w:line="314" w:lineRule="auto" w:before="34"/>
        <w:ind w:left="137" w:right="309"/>
        <w:jc w:val="both"/>
      </w:pPr>
      <w:r>
        <w:rPr>
          <w:spacing w:val="-1"/>
        </w:rPr>
        <w:t>追加或收回投资调整长期股权投资的成本。采用成本法核算的长期股权投资，除取得投资时实际</w:t>
      </w:r>
      <w:r>
        <w:rPr>
          <w:spacing w:val="-55"/>
        </w:rPr>
        <w:t> </w:t>
      </w:r>
      <w:r>
        <w:rPr>
          <w:spacing w:val="-55"/>
        </w:rPr>
      </w:r>
      <w:r>
        <w:rPr>
          <w:spacing w:val="-1"/>
        </w:rPr>
        <w:t>支付的价款或对价中包含的已宣告但尚未发放的现金股利或利润外，公司按照享有被投资单位宣</w:t>
      </w:r>
      <w:r>
        <w:rPr>
          <w:spacing w:val="-55"/>
        </w:rPr>
        <w:t> </w:t>
      </w:r>
      <w:r>
        <w:rPr>
          <w:spacing w:val="-55"/>
        </w:rPr>
      </w:r>
      <w:r>
        <w:rPr>
          <w:spacing w:val="-1"/>
        </w:rPr>
        <w:t>告发放的现金股利或利润确认投资收益，不再划分是否属于投资前和投资后被投资单位实现的净</w:t>
      </w:r>
      <w:r>
        <w:rPr>
          <w:spacing w:val="-55"/>
        </w:rPr>
        <w:t> </w:t>
      </w:r>
      <w:r>
        <w:rPr>
          <w:spacing w:val="-55"/>
        </w:rPr>
      </w:r>
      <w:r>
        <w:rPr/>
        <w:t>利润。</w:t>
      </w:r>
    </w:p>
    <w:p>
      <w:pPr>
        <w:pStyle w:val="BodyText"/>
        <w:spacing w:line="297" w:lineRule="auto" w:before="20"/>
        <w:ind w:left="557" w:right="0"/>
        <w:jc w:val="left"/>
      </w:pPr>
      <w:r>
        <w:rPr/>
        <w:t>（</w:t>
      </w:r>
      <w:r>
        <w:rPr>
          <w:rFonts w:ascii="Times New Roman" w:hAnsi="Times New Roman" w:cs="Times New Roman" w:eastAsia="Times New Roman" w:hint="default"/>
        </w:rPr>
        <w:t>2</w:t>
      </w:r>
      <w:r>
        <w:rPr/>
        <w:t>）权益法核算</w:t>
      </w:r>
      <w:r>
        <w:rPr>
          <w:w w:val="100"/>
        </w:rPr>
        <w:t> </w:t>
      </w:r>
      <w:r>
        <w:rPr>
          <w:spacing w:val="-7"/>
        </w:rPr>
        <w:t>本公司对被投资单位共同控制或重大影响的长期股权投资，除“对联营企业的权益性投资”，</w:t>
      </w:r>
    </w:p>
    <w:p>
      <w:pPr>
        <w:pStyle w:val="BodyText"/>
        <w:spacing w:line="304" w:lineRule="auto" w:before="34"/>
        <w:ind w:left="137" w:right="308"/>
        <w:jc w:val="both"/>
      </w:pPr>
      <w:r>
        <w:rPr>
          <w:spacing w:val="-1"/>
        </w:rPr>
        <w:t>其中一部分通过风险投资机构、共同基金、信托公司或包括投连险基金在内的类似主体间接持有</w:t>
      </w:r>
      <w:r>
        <w:rPr>
          <w:spacing w:val="-55"/>
        </w:rPr>
        <w:t> </w:t>
      </w:r>
      <w:r>
        <w:rPr>
          <w:spacing w:val="-55"/>
        </w:rPr>
      </w:r>
      <w:r>
        <w:rPr>
          <w:spacing w:val="-4"/>
        </w:rPr>
        <w:t>的，无论以上主体是否对这部分投资具有重大影响，公司按照《企业会计准则第</w:t>
      </w:r>
      <w:r>
        <w:rPr>
          <w:spacing w:val="-37"/>
        </w:rPr>
        <w:t> </w:t>
      </w:r>
      <w:r>
        <w:rPr>
          <w:rFonts w:ascii="Times New Roman" w:hAnsi="Times New Roman" w:cs="Times New Roman" w:eastAsia="Times New Roman" w:hint="default"/>
        </w:rPr>
        <w:t>22</w:t>
      </w:r>
      <w:r>
        <w:rPr>
          <w:rFonts w:ascii="Times New Roman" w:hAnsi="Times New Roman" w:cs="Times New Roman" w:eastAsia="Times New Roman" w:hint="default"/>
          <w:spacing w:val="16"/>
        </w:rPr>
        <w:t> </w:t>
      </w:r>
      <w:r>
        <w:rPr/>
        <w:t>号</w:t>
      </w:r>
      <w:r>
        <w:rPr>
          <w:rFonts w:ascii="Times New Roman" w:hAnsi="Times New Roman" w:cs="Times New Roman" w:eastAsia="Times New Roman" w:hint="default"/>
        </w:rPr>
        <w:t>——</w:t>
      </w:r>
      <w:r>
        <w:rPr/>
        <w:t>金融工</w:t>
      </w:r>
      <w:r>
        <w:rPr>
          <w:spacing w:val="-99"/>
        </w:rPr>
        <w:t> </w:t>
      </w:r>
      <w:r>
        <w:rPr>
          <w:spacing w:val="-99"/>
        </w:rPr>
      </w:r>
      <w:r>
        <w:rPr>
          <w:spacing w:val="-1"/>
        </w:rPr>
        <w:t>具确认和计量》的有关规定，对间接持有的该部分投资选择以公允价值计量且其变动计入损益。</w:t>
      </w:r>
    </w:p>
    <w:p>
      <w:pPr>
        <w:spacing w:after="0" w:line="304" w:lineRule="auto"/>
        <w:jc w:val="both"/>
        <w:sectPr>
          <w:pgSz w:w="11910" w:h="16840"/>
          <w:pgMar w:header="857" w:footer="979" w:top="1120" w:bottom="1160" w:left="1140" w:right="1480"/>
        </w:sectPr>
      </w:pPr>
    </w:p>
    <w:p>
      <w:pPr>
        <w:spacing w:line="240" w:lineRule="auto" w:before="5"/>
        <w:rPr>
          <w:rFonts w:ascii="宋体" w:hAnsi="宋体" w:cs="宋体" w:eastAsia="宋体" w:hint="default"/>
          <w:sz w:val="24"/>
          <w:szCs w:val="24"/>
        </w:rPr>
      </w:pPr>
    </w:p>
    <w:p>
      <w:pPr>
        <w:pStyle w:val="BodyText"/>
        <w:spacing w:line="314" w:lineRule="auto" w:before="36"/>
        <w:ind w:left="137" w:right="208"/>
        <w:jc w:val="both"/>
      </w:pPr>
      <w:r>
        <w:rPr>
          <w:spacing w:val="-6"/>
          <w:w w:val="100"/>
        </w:rPr>
        <w:t>除上述情形外，本公司对被投资单位具有共同控制或重大影响的长期股权投资，采用权益法核算。</w:t>
      </w:r>
      <w:r>
        <w:rPr>
          <w:spacing w:val="-104"/>
          <w:w w:val="100"/>
        </w:rPr>
        <w:t> </w:t>
      </w:r>
      <w:r>
        <w:rPr>
          <w:spacing w:val="-104"/>
          <w:w w:val="100"/>
        </w:rPr>
      </w:r>
      <w:r>
        <w:rPr>
          <w:spacing w:val="-1"/>
        </w:rPr>
        <w:t>采用权益法核算时，公司取得长期股权投资后，按照应享有或应分担的被投资单位实现的净损益</w:t>
      </w:r>
      <w:r>
        <w:rPr>
          <w:spacing w:val="-55"/>
        </w:rPr>
        <w:t> </w:t>
      </w:r>
      <w:r>
        <w:rPr>
          <w:spacing w:val="-55"/>
        </w:rPr>
      </w:r>
      <w:r>
        <w:rPr>
          <w:spacing w:val="-6"/>
          <w:w w:val="100"/>
        </w:rPr>
        <w:t>和其他综合收益的份额，分别确认投资收益和其他综合收益，同时调整长期股权投资的账面价值；</w:t>
      </w:r>
      <w:r>
        <w:rPr>
          <w:spacing w:val="-104"/>
          <w:w w:val="100"/>
        </w:rPr>
        <w:t> </w:t>
      </w:r>
      <w:r>
        <w:rPr>
          <w:spacing w:val="-104"/>
          <w:w w:val="100"/>
        </w:rPr>
      </w:r>
      <w:r>
        <w:rPr>
          <w:spacing w:val="-1"/>
        </w:rPr>
        <w:t>公司按照被投资单位宣告分派的利润或现金股利计算应享有的部分，相应减少长期股权投资的账</w:t>
      </w:r>
      <w:r>
        <w:rPr>
          <w:spacing w:val="-55"/>
        </w:rPr>
        <w:t> </w:t>
      </w:r>
      <w:r>
        <w:rPr>
          <w:spacing w:val="-55"/>
        </w:rPr>
      </w:r>
      <w:r>
        <w:rPr>
          <w:spacing w:val="-1"/>
        </w:rPr>
        <w:t>面价值；公司对于被投资单位除净损益、其他综合收益和利润分配以外所有者权益的其他变动，</w:t>
      </w:r>
      <w:r>
        <w:rPr>
          <w:spacing w:val="-55"/>
        </w:rPr>
        <w:t> </w:t>
      </w:r>
      <w:r>
        <w:rPr>
          <w:spacing w:val="-55"/>
        </w:rPr>
      </w:r>
      <w:r>
        <w:rPr/>
        <w:t>调整长期股权投资的账面价值并计入所有者权益。</w:t>
      </w:r>
    </w:p>
    <w:p>
      <w:pPr>
        <w:pStyle w:val="BodyText"/>
        <w:spacing w:line="314" w:lineRule="auto" w:before="20"/>
        <w:ind w:left="137" w:right="209" w:firstLine="420"/>
        <w:jc w:val="both"/>
      </w:pPr>
      <w:r>
        <w:rPr>
          <w:spacing w:val="-2"/>
        </w:rPr>
        <w:t>公司确认被投资单位发生的净亏损，以长期股权投资的账面价值以及其他实质上构成对被投</w:t>
      </w:r>
      <w:r>
        <w:rPr>
          <w:w w:val="100"/>
        </w:rPr>
        <w:t> </w:t>
      </w:r>
      <w:r>
        <w:rPr>
          <w:spacing w:val="-1"/>
        </w:rPr>
        <w:t>资单位净投资的长期权益减记至零为限，公司负有承担额外损失义务的除外。被投资单位以后实</w:t>
      </w:r>
      <w:r>
        <w:rPr>
          <w:spacing w:val="-55"/>
        </w:rPr>
        <w:t> </w:t>
      </w:r>
      <w:r>
        <w:rPr>
          <w:spacing w:val="-55"/>
        </w:rPr>
      </w:r>
      <w:r>
        <w:rPr/>
        <w:t>现净利润的，公司在其收益分享额弥补未确认的亏损分担额后，恢复确认收益分享额。</w:t>
      </w:r>
    </w:p>
    <w:p>
      <w:pPr>
        <w:pStyle w:val="BodyText"/>
        <w:spacing w:line="312" w:lineRule="auto" w:before="20"/>
        <w:ind w:left="137" w:right="47" w:firstLine="420"/>
        <w:jc w:val="left"/>
      </w:pPr>
      <w:r>
        <w:rPr/>
        <w:t>公司在确认应享有被投资单位净损益的份额时，以取得投资时被投资单位可辨认净资产的公</w:t>
      </w:r>
      <w:r>
        <w:rPr>
          <w:w w:val="100"/>
        </w:rPr>
        <w:t> </w:t>
      </w:r>
      <w:r>
        <w:rPr/>
        <w:t>允价值为基础，对被投资单位的净利润进行调整，并且将公司与联营企业及合营企业之间发生的</w:t>
      </w:r>
      <w:r>
        <w:rPr>
          <w:spacing w:val="-97"/>
        </w:rPr>
        <w:t> </w:t>
      </w:r>
      <w:r>
        <w:rPr>
          <w:spacing w:val="-97"/>
        </w:rPr>
      </w:r>
      <w:r>
        <w:rPr>
          <w:spacing w:val="-4"/>
          <w:w w:val="100"/>
        </w:rPr>
        <w:t>未实现内部交易损益按照持股比例计算归属于公司的部分并予以抵销，在此基础上确认投资损益。</w:t>
      </w:r>
      <w:r>
        <w:rPr>
          <w:spacing w:val="-86"/>
          <w:w w:val="100"/>
        </w:rPr>
        <w:t> </w:t>
      </w:r>
      <w:r>
        <w:rPr>
          <w:spacing w:val="-86"/>
          <w:w w:val="100"/>
        </w:rPr>
      </w:r>
      <w:r>
        <w:rPr/>
        <w:t>公司与被投资单位发生的未实现内部交易损失，按照《企业会计准则第</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资产减值》等规</w:t>
      </w:r>
      <w:r>
        <w:rPr>
          <w:w w:val="100"/>
        </w:rPr>
        <w:t> </w:t>
      </w:r>
      <w:r>
        <w:rPr>
          <w:spacing w:val="-6"/>
          <w:w w:val="100"/>
        </w:rPr>
        <w:t>定属于资产减值损失的，全额确认。如果被投资单位采用的会计政策及会计期间与公司不一致的，</w:t>
      </w:r>
      <w:r>
        <w:rPr>
          <w:spacing w:val="-104"/>
          <w:w w:val="100"/>
        </w:rPr>
        <w:t> </w:t>
      </w:r>
      <w:r>
        <w:rPr>
          <w:spacing w:val="-104"/>
          <w:w w:val="100"/>
        </w:rPr>
      </w:r>
      <w:r>
        <w:rPr/>
        <w:t>按照公司的会计政策及会计期间对被投资单位的财务报表进行调整，并据以确认投资损益和其他</w:t>
      </w:r>
      <w:r>
        <w:rPr>
          <w:spacing w:val="-97"/>
        </w:rPr>
        <w:t> </w:t>
      </w:r>
      <w:r>
        <w:rPr>
          <w:spacing w:val="-97"/>
        </w:rPr>
      </w:r>
      <w:r>
        <w:rPr/>
        <w:t>综合收益等。</w:t>
      </w:r>
    </w:p>
    <w:p>
      <w:pPr>
        <w:pStyle w:val="BodyText"/>
        <w:spacing w:line="314" w:lineRule="auto" w:before="22"/>
        <w:ind w:left="137" w:right="211" w:firstLine="420"/>
        <w:jc w:val="both"/>
      </w:pPr>
      <w:r>
        <w:rPr>
          <w:spacing w:val="-2"/>
        </w:rPr>
        <w:t>对于首次执行日之前已经持有的对联营企业和合营企业的长期股权投资，如存在与该投资相</w:t>
      </w:r>
      <w:r>
        <w:rPr>
          <w:w w:val="100"/>
        </w:rPr>
        <w:t> </w:t>
      </w:r>
      <w:r>
        <w:rPr/>
        <w:t>关的股权投资借方差额，按原剩余期限直线法摊销，摊销金额计入当期损益。</w:t>
      </w:r>
    </w:p>
    <w:p>
      <w:pPr>
        <w:pStyle w:val="BodyText"/>
        <w:spacing w:line="297" w:lineRule="auto" w:before="20"/>
        <w:ind w:left="557" w:right="47"/>
        <w:jc w:val="left"/>
      </w:pPr>
      <w:r>
        <w:rPr/>
        <w:t>（</w:t>
      </w:r>
      <w:r>
        <w:rPr>
          <w:rFonts w:ascii="Times New Roman" w:hAnsi="Times New Roman" w:cs="Times New Roman" w:eastAsia="Times New Roman" w:hint="default"/>
        </w:rPr>
        <w:t>3</w:t>
      </w:r>
      <w:r>
        <w:rPr/>
        <w:t>）处置长期股权投资</w:t>
      </w:r>
      <w:r>
        <w:rPr>
          <w:w w:val="100"/>
        </w:rPr>
        <w:t> </w:t>
      </w:r>
      <w:r>
        <w:rPr>
          <w:spacing w:val="-2"/>
        </w:rPr>
        <w:t>公司因处置部分股权投资等原因丧失了对被投资单位的共同控制或重大影响的，处置后的剩</w:t>
      </w:r>
    </w:p>
    <w:p>
      <w:pPr>
        <w:pStyle w:val="BodyText"/>
        <w:spacing w:line="309" w:lineRule="auto" w:before="34"/>
        <w:ind w:left="137" w:right="209"/>
        <w:jc w:val="both"/>
      </w:pPr>
      <w:r>
        <w:rPr>
          <w:spacing w:val="-4"/>
        </w:rPr>
        <w:t>余股权改按《企业会计准则第 </w:t>
      </w:r>
      <w:r>
        <w:rPr>
          <w:rFonts w:ascii="Times New Roman" w:hAnsi="Times New Roman" w:cs="Times New Roman" w:eastAsia="Times New Roman" w:hint="default"/>
        </w:rPr>
        <w:t>22 </w:t>
      </w:r>
      <w:r>
        <w:rPr>
          <w:spacing w:val="-4"/>
        </w:rPr>
        <w:t>号</w:t>
      </w:r>
      <w:r>
        <w:rPr>
          <w:rFonts w:ascii="Times New Roman" w:hAnsi="Times New Roman" w:cs="Times New Roman" w:eastAsia="Times New Roman" w:hint="default"/>
          <w:spacing w:val="-4"/>
        </w:rPr>
        <w:t>——</w:t>
      </w:r>
      <w:r>
        <w:rPr>
          <w:spacing w:val="-4"/>
        </w:rPr>
        <w:t>金融工具确认和计量》核算，在丧失共同控制或重大影响</w:t>
      </w:r>
      <w:r>
        <w:rPr>
          <w:spacing w:val="-90"/>
        </w:rPr>
        <w:t> </w:t>
      </w:r>
      <w:r>
        <w:rPr>
          <w:spacing w:val="-90"/>
        </w:rPr>
      </w:r>
      <w:r>
        <w:rPr>
          <w:spacing w:val="-1"/>
        </w:rPr>
        <w:t>之日的公允价值与账面价值之间的差额计入当期损益。原股权投资因采用权益法核算而确认的其</w:t>
      </w:r>
      <w:r>
        <w:rPr>
          <w:spacing w:val="-55"/>
        </w:rPr>
        <w:t> </w:t>
      </w:r>
      <w:r>
        <w:rPr>
          <w:spacing w:val="-55"/>
        </w:rPr>
      </w:r>
      <w:r>
        <w:rPr>
          <w:spacing w:val="-1"/>
        </w:rPr>
        <w:t>他综合收益，在终止采用权益法核算时采用与被投资单位直接处置相关资产或负债相同的基础进</w:t>
      </w:r>
      <w:r>
        <w:rPr>
          <w:spacing w:val="-55"/>
        </w:rPr>
        <w:t> </w:t>
      </w:r>
      <w:r>
        <w:rPr>
          <w:spacing w:val="-55"/>
        </w:rPr>
      </w:r>
      <w:r>
        <w:rPr/>
        <w:t>行会计处理；原股权投资相关的其他所有者权益变动转入当期损益。</w:t>
      </w:r>
    </w:p>
    <w:p>
      <w:pPr>
        <w:pStyle w:val="BodyText"/>
        <w:spacing w:line="312" w:lineRule="auto" w:before="24"/>
        <w:ind w:left="137" w:right="208" w:firstLine="420"/>
        <w:jc w:val="both"/>
      </w:pPr>
      <w:r>
        <w:rPr>
          <w:spacing w:val="-2"/>
        </w:rPr>
        <w:t>公司因处置部分股权投资等原因丧失了对被投资单位的控制的，在编制个别财务报表时，处</w:t>
      </w:r>
      <w:r>
        <w:rPr>
          <w:w w:val="100"/>
        </w:rPr>
        <w:t> </w:t>
      </w:r>
      <w:r>
        <w:rPr>
          <w:spacing w:val="-1"/>
        </w:rPr>
        <w:t>置后的剩余股权能够对被投资单位实施共同控制或施加重大影响的，改按权益法核算，并对该剩</w:t>
      </w:r>
      <w:r>
        <w:rPr>
          <w:spacing w:val="-55"/>
        </w:rPr>
        <w:t> </w:t>
      </w:r>
      <w:r>
        <w:rPr>
          <w:spacing w:val="-55"/>
        </w:rPr>
      </w:r>
      <w:r>
        <w:rPr>
          <w:spacing w:val="-1"/>
        </w:rPr>
        <w:t>余股权视同自取得时即采用权益法核算进行调整；处置后的剩余股权不能对被投资单位实施共同</w:t>
      </w:r>
      <w:r>
        <w:rPr>
          <w:spacing w:val="-55"/>
        </w:rPr>
        <w:t> </w:t>
      </w:r>
      <w:r>
        <w:rPr>
          <w:spacing w:val="-55"/>
        </w:rPr>
      </w:r>
      <w:r>
        <w:rPr>
          <w:spacing w:val="-5"/>
        </w:rPr>
        <w:t>控制或施加重大影响的，改按《企业会计准则第 </w:t>
      </w:r>
      <w:r>
        <w:rPr>
          <w:rFonts w:ascii="Times New Roman" w:hAnsi="Times New Roman" w:cs="Times New Roman" w:eastAsia="Times New Roman" w:hint="default"/>
        </w:rPr>
        <w:t>22 </w:t>
      </w:r>
      <w:r>
        <w:rPr>
          <w:spacing w:val="-3"/>
        </w:rPr>
        <w:t>号</w:t>
      </w:r>
      <w:r>
        <w:rPr>
          <w:rFonts w:ascii="Times New Roman" w:hAnsi="Times New Roman" w:cs="Times New Roman" w:eastAsia="Times New Roman" w:hint="default"/>
          <w:spacing w:val="-3"/>
        </w:rPr>
        <w:t>——</w:t>
      </w:r>
      <w:r>
        <w:rPr>
          <w:spacing w:val="-3"/>
        </w:rPr>
        <w:t>金融工具确认和计量》的有关规定进行</w:t>
      </w:r>
      <w:r>
        <w:rPr>
          <w:spacing w:val="-89"/>
        </w:rPr>
        <w:t> </w:t>
      </w:r>
      <w:r>
        <w:rPr>
          <w:spacing w:val="-89"/>
        </w:rPr>
      </w:r>
      <w:r>
        <w:rPr>
          <w:spacing w:val="-1"/>
        </w:rPr>
        <w:t>会计处理，其在丧失控制之日的公允价值与账面价值间的差额计入当期损益。在编制合并财务报</w:t>
      </w:r>
      <w:r>
        <w:rPr>
          <w:spacing w:val="-55"/>
        </w:rPr>
        <w:t> </w:t>
      </w:r>
      <w:r>
        <w:rPr>
          <w:spacing w:val="-55"/>
        </w:rPr>
      </w:r>
      <w:r>
        <w:rPr/>
        <w:t>表时，按照《企业会计准则第</w:t>
      </w:r>
      <w:r>
        <w:rPr>
          <w:spacing w:val="-56"/>
        </w:rPr>
        <w:t> </w:t>
      </w:r>
      <w:r>
        <w:rPr>
          <w:rFonts w:ascii="Times New Roman" w:hAnsi="Times New Roman" w:cs="Times New Roman" w:eastAsia="Times New Roman" w:hint="default"/>
        </w:rPr>
        <w:t>33</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合并财务报表》的有关规定进行会计处理。</w:t>
      </w:r>
    </w:p>
    <w:p>
      <w:pPr>
        <w:pStyle w:val="BodyText"/>
        <w:spacing w:line="309" w:lineRule="auto"/>
        <w:ind w:left="137" w:right="209" w:firstLine="420"/>
        <w:jc w:val="both"/>
      </w:pPr>
      <w:r>
        <w:rPr>
          <w:spacing w:val="-2"/>
        </w:rPr>
        <w:t>公司将对联营企业或合营企业的权益性投资全部或部分分类为持有待售资产的，按照《企业</w:t>
      </w:r>
      <w:r>
        <w:rPr>
          <w:w w:val="100"/>
        </w:rPr>
        <w:t> </w:t>
      </w:r>
      <w:r>
        <w:rPr>
          <w:spacing w:val="-2"/>
          <w:w w:val="100"/>
        </w:rPr>
        <w:t>会计准则第</w:t>
      </w:r>
      <w:r>
        <w:rPr>
          <w:spacing w:val="-49"/>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4"/>
          <w:w w:val="100"/>
        </w:rPr>
        <w:t> </w:t>
      </w:r>
      <w:r>
        <w:rPr>
          <w:spacing w:val="-7"/>
          <w:w w:val="100"/>
        </w:rPr>
        <w:t>号</w:t>
      </w:r>
      <w:r>
        <w:rPr>
          <w:rFonts w:ascii="Times New Roman" w:hAnsi="Times New Roman" w:cs="Times New Roman" w:eastAsia="Times New Roman" w:hint="default"/>
          <w:spacing w:val="-7"/>
          <w:w w:val="100"/>
        </w:rPr>
        <w:t>——</w:t>
      </w:r>
      <w:r>
        <w:rPr>
          <w:spacing w:val="-7"/>
          <w:w w:val="100"/>
        </w:rPr>
        <w:t>固定资产》的有关规定处理，对于未划分为持有待售资产的剩余权益性投资，</w:t>
      </w:r>
      <w:r>
        <w:rPr>
          <w:w w:val="100"/>
        </w:rPr>
        <w:t> </w:t>
      </w:r>
      <w:r>
        <w:rPr>
          <w:spacing w:val="-1"/>
        </w:rPr>
        <w:t>采用权益法进行会计处理。已划分为持有待售的对联营企业或合营企业的权益性投资，不再符合</w:t>
      </w:r>
      <w:r>
        <w:rPr>
          <w:spacing w:val="-55"/>
        </w:rPr>
        <w:t> </w:t>
      </w:r>
      <w:r>
        <w:rPr>
          <w:spacing w:val="-55"/>
        </w:rPr>
      </w:r>
      <w:r>
        <w:rPr>
          <w:spacing w:val="-1"/>
        </w:rPr>
        <w:t>持有待售资产分类条件的，从被分类为持有待售资产之日起采用权益法进行追溯调整。分类为持</w:t>
      </w:r>
      <w:r>
        <w:rPr>
          <w:spacing w:val="-55"/>
        </w:rPr>
        <w:t> </w:t>
      </w:r>
      <w:r>
        <w:rPr>
          <w:spacing w:val="-55"/>
        </w:rPr>
      </w:r>
      <w:r>
        <w:rPr/>
        <w:t>有待售期间的财务报表作相应调整。</w:t>
      </w:r>
    </w:p>
    <w:p>
      <w:pPr>
        <w:pStyle w:val="BodyText"/>
        <w:spacing w:line="314" w:lineRule="auto" w:before="24"/>
        <w:ind w:left="137" w:right="209" w:firstLine="420"/>
        <w:jc w:val="both"/>
      </w:pPr>
      <w:r>
        <w:rPr>
          <w:spacing w:val="-2"/>
        </w:rPr>
        <w:t>公司处置长期股权投资，其账面价值与实际取得价款之间的差额，计入当期损益。采用权益</w:t>
      </w:r>
      <w:r>
        <w:rPr>
          <w:w w:val="100"/>
        </w:rPr>
        <w:t> </w:t>
      </w:r>
      <w:r>
        <w:rPr>
          <w:spacing w:val="-1"/>
        </w:rPr>
        <w:t>法核算的长期股权投资，在处置该项投资时，采用与被投资单位直接处置相关资产或负债相同的</w:t>
      </w:r>
      <w:r>
        <w:rPr>
          <w:spacing w:val="-55"/>
        </w:rPr>
        <w:t> </w:t>
      </w:r>
      <w:r>
        <w:rPr>
          <w:spacing w:val="-55"/>
        </w:rPr>
      </w:r>
      <w:r>
        <w:rPr>
          <w:spacing w:val="-1"/>
        </w:rPr>
        <w:t>基础，按相应比例对原计入其他综合收益的部分进行会计处理。因被投资单位除净损益、其他综</w:t>
      </w:r>
    </w:p>
    <w:p>
      <w:pPr>
        <w:spacing w:after="0" w:line="314" w:lineRule="auto"/>
        <w:jc w:val="both"/>
        <w:sectPr>
          <w:pgSz w:w="11910" w:h="16840"/>
          <w:pgMar w:header="857" w:footer="979" w:top="1120" w:bottom="1160" w:left="1140" w:right="1580"/>
        </w:sectPr>
      </w:pPr>
    </w:p>
    <w:p>
      <w:pPr>
        <w:spacing w:line="240" w:lineRule="auto" w:before="5"/>
        <w:rPr>
          <w:rFonts w:ascii="宋体" w:hAnsi="宋体" w:cs="宋体" w:eastAsia="宋体" w:hint="default"/>
          <w:sz w:val="24"/>
          <w:szCs w:val="24"/>
        </w:rPr>
      </w:pPr>
    </w:p>
    <w:p>
      <w:pPr>
        <w:pStyle w:val="BodyText"/>
        <w:spacing w:line="314" w:lineRule="auto" w:before="36"/>
        <w:ind w:left="217" w:right="209"/>
        <w:jc w:val="both"/>
      </w:pPr>
      <w:r>
        <w:rPr>
          <w:spacing w:val="-1"/>
        </w:rPr>
        <w:t>合收益和利润分配以外的其他所有者权益变动而计入所有者权益的，处置该项投资时将原计入所</w:t>
      </w:r>
      <w:r>
        <w:rPr>
          <w:spacing w:val="-55"/>
        </w:rPr>
        <w:t> </w:t>
      </w:r>
      <w:r>
        <w:rPr>
          <w:spacing w:val="-55"/>
        </w:rPr>
      </w:r>
      <w:r>
        <w:rPr>
          <w:spacing w:val="-1"/>
        </w:rPr>
        <w:t>有者权益的部分按相应比例转入当期损益，由于被投资方重新计量设定受益计划净负债或净资产</w:t>
      </w:r>
      <w:r>
        <w:rPr>
          <w:spacing w:val="-55"/>
        </w:rPr>
        <w:t> </w:t>
      </w:r>
      <w:r>
        <w:rPr>
          <w:spacing w:val="-55"/>
        </w:rPr>
      </w:r>
      <w:r>
        <w:rPr/>
        <w:t>变动而产生的其他综合收益除外。</w:t>
      </w:r>
    </w:p>
    <w:p>
      <w:pPr>
        <w:pStyle w:val="Heading4"/>
        <w:spacing w:line="240" w:lineRule="auto" w:before="3"/>
        <w:ind w:left="217" w:right="0"/>
        <w:jc w:val="both"/>
        <w:rPr>
          <w:b w:val="0"/>
          <w:bCs w:val="0"/>
        </w:rPr>
      </w:pPr>
      <w:r>
        <w:rPr>
          <w:rFonts w:ascii="Times New Roman" w:hAnsi="Times New Roman" w:cs="Times New Roman" w:eastAsia="Times New Roman" w:hint="default"/>
        </w:rPr>
        <w:t>15.  </w:t>
      </w:r>
      <w:r>
        <w:rPr>
          <w:rFonts w:ascii="Times New Roman" w:hAnsi="Times New Roman" w:cs="Times New Roman" w:eastAsia="Times New Roman" w:hint="default"/>
          <w:spacing w:val="6"/>
        </w:rPr>
        <w:t> </w:t>
      </w:r>
      <w:r>
        <w:rPr/>
        <w:t>投资性房地产</w:t>
      </w:r>
      <w:r>
        <w:rPr>
          <w:b w:val="0"/>
          <w:bCs w:val="0"/>
        </w:rPr>
      </w:r>
    </w:p>
    <w:p>
      <w:pPr>
        <w:pStyle w:val="Heading4"/>
        <w:spacing w:line="240" w:lineRule="auto" w:before="40"/>
        <w:ind w:left="217" w:right="0"/>
        <w:jc w:val="both"/>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9"/>
        </w:rPr>
        <w:t> </w:t>
      </w:r>
      <w:r>
        <w:rPr/>
        <w:t>如果采用成本计量模式的：</w:t>
      </w:r>
      <w:r>
        <w:rPr>
          <w:b w:val="0"/>
          <w:bCs w:val="0"/>
        </w:rPr>
      </w:r>
    </w:p>
    <w:p>
      <w:pPr>
        <w:spacing w:before="45"/>
        <w:ind w:left="217" w:right="0" w:firstLine="0"/>
        <w:jc w:val="both"/>
        <w:rPr>
          <w:rFonts w:ascii="宋体" w:hAnsi="宋体" w:cs="宋体" w:eastAsia="宋体" w:hint="default"/>
          <w:sz w:val="20"/>
          <w:szCs w:val="20"/>
        </w:rPr>
      </w:pPr>
      <w:r>
        <w:rPr>
          <w:rFonts w:ascii="宋体" w:hAnsi="宋体" w:cs="宋体" w:eastAsia="宋体" w:hint="default"/>
          <w:sz w:val="20"/>
          <w:szCs w:val="20"/>
        </w:rPr>
        <w:t>折旧或摊销方法</w:t>
      </w:r>
    </w:p>
    <w:p>
      <w:pPr>
        <w:pStyle w:val="BodyText"/>
        <w:spacing w:line="314" w:lineRule="auto" w:before="72"/>
        <w:ind w:left="217" w:right="209" w:firstLine="420"/>
        <w:jc w:val="both"/>
      </w:pPr>
      <w:r>
        <w:rPr>
          <w:spacing w:val="-2"/>
        </w:rPr>
        <w:t>投资性房地产是指为赚取租金或资本增值，或两者兼有而持有的房地产。主要包括已出租的</w:t>
      </w:r>
      <w:r>
        <w:rPr>
          <w:w w:val="100"/>
        </w:rPr>
        <w:t> </w:t>
      </w:r>
      <w:r>
        <w:rPr>
          <w:spacing w:val="-1"/>
        </w:rPr>
        <w:t>土地使用权、持有并准备增值后转让的土地使用权以及已出租的建筑物。当公司能够取得与投资</w:t>
      </w:r>
      <w:r>
        <w:rPr>
          <w:spacing w:val="-55"/>
        </w:rPr>
        <w:t> </w:t>
      </w:r>
      <w:r>
        <w:rPr>
          <w:spacing w:val="-55"/>
        </w:rPr>
      </w:r>
      <w:r>
        <w:rPr>
          <w:spacing w:val="-1"/>
        </w:rPr>
        <w:t>性房地产相关的租金收入或增值收益以及投资性房地产的成本能够可靠计量时，公司按购置或建</w:t>
      </w:r>
      <w:r>
        <w:rPr>
          <w:spacing w:val="-55"/>
        </w:rPr>
        <w:t> </w:t>
      </w:r>
      <w:r>
        <w:rPr>
          <w:spacing w:val="-55"/>
        </w:rPr>
      </w:r>
      <w:r>
        <w:rPr/>
        <w:t>造的实际支出对其进行初始计量。</w:t>
      </w:r>
    </w:p>
    <w:p>
      <w:pPr>
        <w:pStyle w:val="BodyText"/>
        <w:spacing w:line="314" w:lineRule="auto" w:before="20"/>
        <w:ind w:left="217" w:right="209" w:firstLine="420"/>
        <w:jc w:val="both"/>
      </w:pPr>
      <w:r>
        <w:rPr>
          <w:spacing w:val="-2"/>
        </w:rPr>
        <w:t>公司在资产负债表日采用成本模式对投资性房地产进行后续计量。在成本模式下，公司按照</w:t>
      </w:r>
      <w:r>
        <w:rPr>
          <w:w w:val="100"/>
        </w:rPr>
        <w:t> </w:t>
      </w:r>
      <w:r>
        <w:rPr>
          <w:spacing w:val="-1"/>
        </w:rPr>
        <w:t>本会计政策之第（十六）项固定资产及折旧和第（十九）项无形资产的规定，对投资性房地产进</w:t>
      </w:r>
      <w:r>
        <w:rPr>
          <w:spacing w:val="-55"/>
        </w:rPr>
        <w:t> </w:t>
      </w:r>
      <w:r>
        <w:rPr>
          <w:spacing w:val="-55"/>
        </w:rPr>
      </w:r>
      <w:r>
        <w:rPr>
          <w:spacing w:val="-1"/>
        </w:rPr>
        <w:t>行计量，计提折旧或摊销。当投资性房地产被处置，或者永久退出使用且预计不能从其处置中取</w:t>
      </w:r>
      <w:r>
        <w:rPr>
          <w:spacing w:val="-55"/>
        </w:rPr>
        <w:t> </w:t>
      </w:r>
      <w:r>
        <w:rPr>
          <w:spacing w:val="-55"/>
        </w:rPr>
      </w:r>
      <w:r>
        <w:rPr>
          <w:spacing w:val="-1"/>
        </w:rPr>
        <w:t>得经济利益时，应当终止确认该项投资性房地产。公司出售、转让、报废投资性房地产或者发生</w:t>
      </w:r>
      <w:r>
        <w:rPr>
          <w:spacing w:val="-55"/>
        </w:rPr>
        <w:t> </w:t>
      </w:r>
      <w:r>
        <w:rPr>
          <w:spacing w:val="-55"/>
        </w:rPr>
      </w:r>
      <w:r>
        <w:rPr/>
        <w:t>投资性房地产毁损，应当将处置收入扣除其账面价值和相关税费后的金额计入当期损益。</w:t>
      </w:r>
    </w:p>
    <w:p>
      <w:pPr>
        <w:pStyle w:val="Heading4"/>
        <w:spacing w:line="240" w:lineRule="auto" w:before="3"/>
        <w:ind w:left="217" w:right="0"/>
        <w:jc w:val="both"/>
        <w:rPr>
          <w:b w:val="0"/>
          <w:bCs w:val="0"/>
        </w:rPr>
      </w:pPr>
      <w:r>
        <w:rPr>
          <w:rFonts w:ascii="Times New Roman" w:hAnsi="Times New Roman" w:cs="Times New Roman" w:eastAsia="Times New Roman" w:hint="default"/>
        </w:rPr>
        <w:t>16.  </w:t>
      </w:r>
      <w:r>
        <w:rPr>
          <w:rFonts w:ascii="Times New Roman" w:hAnsi="Times New Roman" w:cs="Times New Roman" w:eastAsia="Times New Roman" w:hint="default"/>
          <w:spacing w:val="6"/>
        </w:rPr>
        <w:t> </w:t>
      </w:r>
      <w:r>
        <w:rPr/>
        <w:t>固定资产</w:t>
      </w:r>
      <w:r>
        <w:rPr>
          <w:b w:val="0"/>
          <w:bCs w:val="0"/>
        </w:rPr>
      </w:r>
    </w:p>
    <w:p>
      <w:pPr>
        <w:pStyle w:val="Heading4"/>
        <w:spacing w:line="240" w:lineRule="auto" w:before="43"/>
        <w:ind w:left="217" w:right="0"/>
        <w:jc w:val="both"/>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3"/>
        </w:rPr>
        <w:t> </w:t>
      </w:r>
      <w:r>
        <w:rPr/>
        <w:t>确认条件</w:t>
      </w:r>
      <w:r>
        <w:rPr>
          <w:b w:val="0"/>
          <w:bCs w:val="0"/>
        </w:rPr>
      </w:r>
    </w:p>
    <w:p>
      <w:pPr>
        <w:pStyle w:val="BodyText"/>
        <w:tabs>
          <w:tab w:pos="1059" w:val="left" w:leader="none"/>
        </w:tabs>
        <w:spacing w:line="304" w:lineRule="auto" w:before="40"/>
        <w:ind w:left="697" w:right="211" w:hanging="480"/>
        <w:jc w:val="left"/>
      </w:pPr>
      <w:r>
        <w:rPr/>
        <w:t>√适用</w:t>
        <w:tab/>
        <w:t>□不适用</w:t>
      </w:r>
      <w:r>
        <w:rPr>
          <w:w w:val="100"/>
        </w:rPr>
        <w:t> </w:t>
      </w:r>
      <w:r>
        <w:rPr>
          <w:spacing w:val="-3"/>
        </w:rPr>
        <w:t>固定资产系使用寿命超过一个会计年度，为生产商品、提供劳务、出租或经营管理所持有的</w:t>
      </w:r>
    </w:p>
    <w:p>
      <w:pPr>
        <w:pStyle w:val="BodyText"/>
        <w:spacing w:line="240" w:lineRule="auto" w:before="29"/>
        <w:ind w:left="217" w:right="0"/>
        <w:jc w:val="both"/>
      </w:pPr>
      <w:r>
        <w:rPr/>
        <w:t>有形资产。</w:t>
      </w:r>
    </w:p>
    <w:p>
      <w:pPr>
        <w:pStyle w:val="Heading4"/>
        <w:spacing w:line="240" w:lineRule="auto" w:before="68"/>
        <w:ind w:left="217" w:right="0"/>
        <w:jc w:val="both"/>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3"/>
        </w:rPr>
        <w:t> </w:t>
      </w:r>
      <w:r>
        <w:rPr/>
        <w:t>折旧方法</w:t>
      </w:r>
      <w:r>
        <w:rPr>
          <w:b w:val="0"/>
          <w:bCs w:val="0"/>
        </w:rPr>
      </w:r>
    </w:p>
    <w:p>
      <w:pPr>
        <w:pStyle w:val="BodyText"/>
        <w:spacing w:line="273" w:lineRule="exact" w:before="43"/>
        <w:ind w:left="637" w:right="99"/>
        <w:jc w:val="left"/>
      </w:pPr>
      <w:r>
        <w:rPr/>
        <w:t>本公司固定资产折旧采用年限平均法，折旧年限、残值率、年折旧率如下：</w:t>
      </w:r>
    </w:p>
    <w:p>
      <w:pPr>
        <w:pStyle w:val="BodyText"/>
        <w:spacing w:line="273" w:lineRule="exact"/>
        <w:ind w:left="217" w:right="0"/>
        <w:jc w:val="both"/>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22"/>
        <w:gridCol w:w="2235"/>
        <w:gridCol w:w="2232"/>
        <w:gridCol w:w="2235"/>
      </w:tblGrid>
      <w:tr>
        <w:trPr>
          <w:trHeight w:val="37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74"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91"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37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z w:val="21"/>
              </w:rPr>
              <w:t>5%</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2.375%</w:t>
            </w:r>
          </w:p>
        </w:tc>
      </w:tr>
      <w:tr>
        <w:trPr>
          <w:trHeight w:val="37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固定资产改良</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z w:val="21"/>
              </w:rPr>
              <w:t>5%</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19.000%</w:t>
            </w:r>
          </w:p>
        </w:tc>
      </w:tr>
      <w:tr>
        <w:trPr>
          <w:trHeight w:val="37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21"/>
                <w:szCs w:val="21"/>
              </w:rPr>
            </w:pPr>
            <w:r>
              <w:rPr>
                <w:rFonts w:ascii="Times New Roman"/>
                <w:sz w:val="21"/>
              </w:rPr>
              <w:t>5%</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11.880%</w:t>
            </w:r>
          </w:p>
        </w:tc>
      </w:tr>
      <w:tr>
        <w:trPr>
          <w:trHeight w:val="37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软件开发设备</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z w:val="21"/>
              </w:rPr>
              <w:t>5%</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19.000%</w:t>
            </w:r>
          </w:p>
        </w:tc>
      </w:tr>
      <w:tr>
        <w:trPr>
          <w:trHeight w:val="37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z w:val="21"/>
              </w:rPr>
              <w:t>5%</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19.000%</w:t>
            </w:r>
          </w:p>
        </w:tc>
      </w:tr>
    </w:tbl>
    <w:p>
      <w:pPr>
        <w:pStyle w:val="BodyText"/>
        <w:spacing w:line="240" w:lineRule="auto" w:before="42"/>
        <w:ind w:left="217" w:right="99"/>
        <w:jc w:val="left"/>
      </w:pPr>
      <w:r>
        <w:rPr/>
        <w:t>公司于每年年度终了，对固定资产的使用寿命、预计净残值和折旧方法进行复核。</w:t>
      </w:r>
    </w:p>
    <w:p>
      <w:pPr>
        <w:pStyle w:val="Heading4"/>
        <w:spacing w:line="240" w:lineRule="auto" w:before="68"/>
        <w:ind w:left="217" w:right="99"/>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0"/>
        </w:rPr>
        <w:t> </w:t>
      </w:r>
      <w:r>
        <w:rPr/>
        <w:t>融资租入固定资产的认定依据、计价和折旧方法</w:t>
      </w:r>
      <w:r>
        <w:rPr>
          <w:b w:val="0"/>
          <w:bCs w:val="0"/>
        </w:rPr>
      </w:r>
    </w:p>
    <w:p>
      <w:pPr>
        <w:pStyle w:val="BodyText"/>
        <w:tabs>
          <w:tab w:pos="1162" w:val="left" w:leader="none"/>
        </w:tabs>
        <w:spacing w:line="304" w:lineRule="auto" w:before="43"/>
        <w:ind w:left="697" w:right="2050" w:hanging="480"/>
        <w:jc w:val="left"/>
      </w:pPr>
      <w:r>
        <w:rPr/>
        <w:t>√适用</w:t>
        <w:tab/>
        <w:t>□不适用</w:t>
      </w:r>
      <w:r>
        <w:rPr>
          <w:w w:val="100"/>
        </w:rPr>
        <w:t> </w:t>
      </w:r>
      <w:r>
        <w:rPr>
          <w:spacing w:val="-2"/>
        </w:rPr>
        <w:t>公司租赁资产符合下列一项或数项标准的，认定为融资租赁固定资产：</w:t>
      </w:r>
    </w:p>
    <w:p>
      <w:pPr>
        <w:pStyle w:val="BodyText"/>
        <w:spacing w:line="240" w:lineRule="auto" w:before="28"/>
        <w:ind w:left="637" w:right="99"/>
        <w:jc w:val="left"/>
      </w:pPr>
      <w:r>
        <w:rPr/>
        <w:t>（</w:t>
      </w:r>
      <w:r>
        <w:rPr>
          <w:rFonts w:ascii="Times New Roman" w:hAnsi="Times New Roman" w:cs="Times New Roman" w:eastAsia="Times New Roman" w:hint="default"/>
        </w:rPr>
        <w:t>1</w:t>
      </w:r>
      <w:r>
        <w:rPr/>
        <w:t>）在租赁期届满时，租赁资产的所有权转移给承租人；</w:t>
      </w:r>
    </w:p>
    <w:p>
      <w:pPr>
        <w:pStyle w:val="BodyText"/>
        <w:spacing w:line="297" w:lineRule="auto" w:before="69"/>
        <w:ind w:left="217" w:right="99" w:firstLine="420"/>
        <w:jc w:val="left"/>
      </w:pPr>
      <w:r>
        <w:rPr>
          <w:spacing w:val="-4"/>
        </w:rPr>
        <w:t>（</w:t>
      </w:r>
      <w:r>
        <w:rPr>
          <w:rFonts w:ascii="Times New Roman" w:hAnsi="Times New Roman" w:cs="Times New Roman" w:eastAsia="Times New Roman" w:hint="default"/>
          <w:spacing w:val="-4"/>
        </w:rPr>
        <w:t>2</w:t>
      </w:r>
      <w:r>
        <w:rPr>
          <w:spacing w:val="-4"/>
        </w:rPr>
        <w:t>）承租人有购买租赁资产的选择权，所订立的购买价款预计将远低于行使选择权时租赁资</w:t>
      </w:r>
      <w:r>
        <w:rPr>
          <w:w w:val="100"/>
        </w:rPr>
        <w:t> </w:t>
      </w:r>
      <w:r>
        <w:rPr/>
        <w:t>产的公允价值，因而在租赁开始日就可以合理确定承租人将会行使这种选择权；</w:t>
      </w:r>
    </w:p>
    <w:p>
      <w:pPr>
        <w:pStyle w:val="BodyText"/>
        <w:spacing w:line="240" w:lineRule="auto" w:before="34"/>
        <w:ind w:left="637" w:right="99"/>
        <w:jc w:val="left"/>
      </w:pPr>
      <w:r>
        <w:rPr>
          <w:spacing w:val="-2"/>
        </w:rPr>
        <w:t>（</w:t>
      </w:r>
      <w:r>
        <w:rPr>
          <w:rFonts w:ascii="Times New Roman" w:hAnsi="Times New Roman" w:cs="Times New Roman" w:eastAsia="Times New Roman" w:hint="default"/>
          <w:spacing w:val="-2"/>
        </w:rPr>
        <w:t>3</w:t>
      </w:r>
      <w:r>
        <w:rPr>
          <w:spacing w:val="-2"/>
        </w:rPr>
        <w:t>）即使资产的所有权不转移，但租赁期占租赁资产使用寿命的</w:t>
      </w:r>
      <w:r>
        <w:rPr>
          <w:spacing w:val="10"/>
        </w:rPr>
        <w:t> </w:t>
      </w:r>
      <w:r>
        <w:rPr>
          <w:rFonts w:ascii="Times New Roman" w:hAnsi="Times New Roman" w:cs="Times New Roman" w:eastAsia="Times New Roman" w:hint="default"/>
          <w:spacing w:val="-2"/>
        </w:rPr>
        <w:t>75%</w:t>
      </w:r>
      <w:r>
        <w:rPr>
          <w:spacing w:val="-2"/>
        </w:rPr>
        <w:t>以上；</w:t>
      </w:r>
    </w:p>
    <w:p>
      <w:pPr>
        <w:pStyle w:val="BodyText"/>
        <w:spacing w:line="297" w:lineRule="auto" w:before="69"/>
        <w:ind w:left="217" w:right="96" w:firstLine="420"/>
        <w:jc w:val="left"/>
      </w:pPr>
      <w:r>
        <w:rPr>
          <w:spacing w:val="-6"/>
          <w:w w:val="100"/>
        </w:rPr>
        <w:t>（</w:t>
      </w:r>
      <w:r>
        <w:rPr>
          <w:rFonts w:ascii="Times New Roman" w:hAnsi="Times New Roman" w:cs="Times New Roman" w:eastAsia="Times New Roman" w:hint="default"/>
          <w:spacing w:val="-6"/>
          <w:w w:val="100"/>
        </w:rPr>
        <w:t>4</w:t>
      </w:r>
      <w:r>
        <w:rPr>
          <w:spacing w:val="-6"/>
          <w:w w:val="100"/>
        </w:rPr>
        <w:t>）承租人在租赁开始日的最低租赁付款额现值，几乎相当于租赁开始日租赁资产公允价值；</w:t>
      </w:r>
      <w:r>
        <w:rPr>
          <w:w w:val="100"/>
        </w:rPr>
        <w:t> </w:t>
      </w:r>
      <w:r>
        <w:rPr/>
        <w:t>出租人在租赁开始日的最低租赁收款额现值，几乎相当于租赁开始日租赁资产公允价值；</w:t>
      </w:r>
    </w:p>
    <w:p>
      <w:pPr>
        <w:spacing w:after="0" w:line="297" w:lineRule="auto"/>
        <w:jc w:val="left"/>
        <w:sectPr>
          <w:pgSz w:w="11910" w:h="16840"/>
          <w:pgMar w:header="857" w:footer="979" w:top="1120" w:bottom="1160" w:left="1060" w:right="1580"/>
        </w:sectPr>
      </w:pPr>
    </w:p>
    <w:p>
      <w:pPr>
        <w:spacing w:line="240" w:lineRule="auto" w:before="5"/>
        <w:rPr>
          <w:rFonts w:ascii="宋体" w:hAnsi="宋体" w:cs="宋体" w:eastAsia="宋体" w:hint="default"/>
          <w:sz w:val="24"/>
          <w:szCs w:val="24"/>
        </w:rPr>
      </w:pPr>
    </w:p>
    <w:p>
      <w:pPr>
        <w:pStyle w:val="BodyText"/>
        <w:spacing w:line="297" w:lineRule="auto" w:before="36"/>
        <w:ind w:left="557" w:right="47"/>
        <w:jc w:val="left"/>
      </w:pPr>
      <w:r>
        <w:rPr/>
        <w:t>（</w:t>
      </w:r>
      <w:r>
        <w:rPr>
          <w:rFonts w:ascii="Times New Roman" w:hAnsi="Times New Roman" w:cs="Times New Roman" w:eastAsia="Times New Roman" w:hint="default"/>
        </w:rPr>
        <w:t>5</w:t>
      </w:r>
      <w:r>
        <w:rPr/>
        <w:t>）租赁资产性质特殊，如果不作较大改造，只有承租人才能使用。</w:t>
      </w:r>
      <w:r>
        <w:rPr>
          <w:w w:val="100"/>
        </w:rPr>
        <w:t> </w:t>
      </w:r>
      <w:r>
        <w:rPr>
          <w:spacing w:val="-2"/>
        </w:rPr>
        <w:t>在租赁开始日，公司将租赁开始日租赁资产公允价值与最低租赁付款额现值两者中较低者作</w:t>
      </w:r>
    </w:p>
    <w:p>
      <w:pPr>
        <w:pStyle w:val="BodyText"/>
        <w:spacing w:line="314" w:lineRule="auto" w:before="34"/>
        <w:ind w:left="137" w:right="209"/>
        <w:jc w:val="both"/>
      </w:pPr>
      <w:r>
        <w:rPr>
          <w:spacing w:val="-1"/>
        </w:rPr>
        <w:t>为租入资产的入账价值，将最低租赁付款额作为长期应付款的入账价值，其差额作为未确认融资</w:t>
      </w:r>
      <w:r>
        <w:rPr>
          <w:spacing w:val="-55"/>
        </w:rPr>
        <w:t> </w:t>
      </w:r>
      <w:r>
        <w:rPr>
          <w:spacing w:val="-55"/>
        </w:rPr>
      </w:r>
      <w:r>
        <w:rPr/>
        <w:t>费用，融资租入固定资产的折旧政策与自有固定资产一致。</w:t>
      </w:r>
    </w:p>
    <w:p>
      <w:pPr>
        <w:pStyle w:val="Heading4"/>
        <w:spacing w:line="240" w:lineRule="auto" w:before="3"/>
        <w:ind w:left="137" w:right="0"/>
        <w:jc w:val="both"/>
        <w:rPr>
          <w:b w:val="0"/>
          <w:bCs w:val="0"/>
        </w:rPr>
      </w:pPr>
      <w:r>
        <w:rPr>
          <w:rFonts w:ascii="Times New Roman" w:hAnsi="Times New Roman" w:cs="Times New Roman" w:eastAsia="Times New Roman" w:hint="default"/>
        </w:rPr>
        <w:t>17.  </w:t>
      </w:r>
      <w:r>
        <w:rPr>
          <w:rFonts w:ascii="Times New Roman" w:hAnsi="Times New Roman" w:cs="Times New Roman" w:eastAsia="Times New Roman" w:hint="default"/>
          <w:spacing w:val="6"/>
        </w:rPr>
        <w:t> </w:t>
      </w:r>
      <w:r>
        <w:rPr/>
        <w:t>在建工程</w:t>
      </w:r>
      <w:r>
        <w:rPr>
          <w:b w:val="0"/>
          <w:bCs w:val="0"/>
        </w:rPr>
      </w:r>
    </w:p>
    <w:p>
      <w:pPr>
        <w:pStyle w:val="BodyText"/>
        <w:tabs>
          <w:tab w:pos="1082" w:val="left" w:leader="none"/>
        </w:tabs>
        <w:spacing w:line="307" w:lineRule="auto" w:before="40"/>
        <w:ind w:left="617" w:right="244" w:hanging="480"/>
        <w:jc w:val="left"/>
      </w:pPr>
      <w:r>
        <w:rPr/>
        <w:t>√适用</w:t>
        <w:tab/>
        <w:t>□不适用</w:t>
      </w:r>
      <w:r>
        <w:rPr>
          <w:w w:val="100"/>
        </w:rPr>
        <w:t> </w:t>
      </w:r>
      <w:r>
        <w:rPr>
          <w:spacing w:val="-3"/>
        </w:rPr>
        <w:t>公司的在建工程以实际成本计价。实际成本由建造该项资产达到预定可使用状态前所发生的</w:t>
      </w:r>
    </w:p>
    <w:p>
      <w:pPr>
        <w:pStyle w:val="BodyText"/>
        <w:spacing w:line="309" w:lineRule="auto" w:before="26"/>
        <w:ind w:left="137" w:right="209"/>
        <w:jc w:val="both"/>
      </w:pPr>
      <w:r>
        <w:rPr>
          <w:spacing w:val="-1"/>
        </w:rPr>
        <w:t>必要支出构成。其中为工程建设项目而发生的借款利息支出和外币折算差额按照《企业会计准则</w:t>
      </w:r>
      <w:r>
        <w:rPr>
          <w:spacing w:val="-55"/>
        </w:rPr>
        <w:t> </w:t>
      </w:r>
      <w:r>
        <w:rPr>
          <w:spacing w:val="-55"/>
        </w:rPr>
      </w:r>
      <w:r>
        <w:rPr/>
        <w:t>第 </w:t>
      </w:r>
      <w:r>
        <w:rPr>
          <w:rFonts w:ascii="Times New Roman" w:hAnsi="Times New Roman" w:cs="Times New Roman" w:eastAsia="Times New Roman" w:hint="default"/>
        </w:rPr>
        <w:t>17 </w:t>
      </w:r>
      <w:r>
        <w:rPr>
          <w:spacing w:val="-4"/>
        </w:rPr>
        <w:t>号</w:t>
      </w:r>
      <w:r>
        <w:rPr>
          <w:rFonts w:ascii="Times New Roman" w:hAnsi="Times New Roman" w:cs="Times New Roman" w:eastAsia="Times New Roman" w:hint="default"/>
          <w:spacing w:val="-4"/>
        </w:rPr>
        <w:t>——</w:t>
      </w:r>
      <w:r>
        <w:rPr>
          <w:spacing w:val="-4"/>
        </w:rPr>
        <w:t>借款费用》的有关规定资本化或计入当期损益。在建工程在达到预定可使用状态之日</w:t>
      </w:r>
      <w:r>
        <w:rPr>
          <w:spacing w:val="-99"/>
        </w:rPr>
        <w:t> </w:t>
      </w:r>
      <w:r>
        <w:rPr>
          <w:spacing w:val="-99"/>
        </w:rPr>
      </w:r>
      <w:r>
        <w:rPr>
          <w:spacing w:val="-1"/>
        </w:rPr>
        <w:t>起不论工程是否办理竣工决算均转入固定资产，按照估计价值确定其成本，并计提折旧；对于未</w:t>
      </w:r>
      <w:r>
        <w:rPr>
          <w:spacing w:val="-55"/>
        </w:rPr>
        <w:t> </w:t>
      </w:r>
      <w:r>
        <w:rPr>
          <w:spacing w:val="-55"/>
        </w:rPr>
      </w:r>
      <w:r>
        <w:rPr>
          <w:spacing w:val="-1"/>
        </w:rPr>
        <w:t>办理竣工决算手续的，待办理完毕后再按实际成本调整原来的暂估价值，但不调整原已计提的折</w:t>
      </w:r>
      <w:r>
        <w:rPr>
          <w:spacing w:val="-55"/>
        </w:rPr>
        <w:t> </w:t>
      </w:r>
      <w:r>
        <w:rPr>
          <w:spacing w:val="-55"/>
        </w:rPr>
      </w:r>
      <w:r>
        <w:rPr/>
        <w:t>旧额。</w:t>
      </w:r>
    </w:p>
    <w:p>
      <w:pPr>
        <w:pStyle w:val="Heading4"/>
        <w:spacing w:line="240" w:lineRule="auto" w:before="7"/>
        <w:ind w:left="137" w:right="0"/>
        <w:jc w:val="both"/>
        <w:rPr>
          <w:b w:val="0"/>
          <w:bCs w:val="0"/>
        </w:rPr>
      </w:pPr>
      <w:r>
        <w:rPr>
          <w:rFonts w:ascii="Times New Roman" w:hAnsi="Times New Roman" w:cs="Times New Roman" w:eastAsia="Times New Roman" w:hint="default"/>
        </w:rPr>
        <w:t>18.  </w:t>
      </w:r>
      <w:r>
        <w:rPr>
          <w:rFonts w:ascii="Times New Roman" w:hAnsi="Times New Roman" w:cs="Times New Roman" w:eastAsia="Times New Roman" w:hint="default"/>
          <w:spacing w:val="6"/>
        </w:rPr>
        <w:t> </w:t>
      </w:r>
      <w:r>
        <w:rPr/>
        <w:t>借款费用</w:t>
      </w:r>
      <w:r>
        <w:rPr>
          <w:b w:val="0"/>
          <w:bCs w:val="0"/>
        </w:rPr>
      </w:r>
    </w:p>
    <w:p>
      <w:pPr>
        <w:pStyle w:val="BodyText"/>
        <w:tabs>
          <w:tab w:pos="1562" w:val="left" w:leader="none"/>
        </w:tabs>
        <w:spacing w:line="240" w:lineRule="auto" w:before="40"/>
        <w:ind w:left="617" w:right="2631"/>
        <w:jc w:val="left"/>
      </w:pPr>
      <w:r>
        <w:rPr>
          <w:spacing w:val="-1"/>
        </w:rPr>
        <w:t>√适用</w:t>
        <w:tab/>
        <w:t>□不适用</w:t>
      </w:r>
    </w:p>
    <w:p>
      <w:pPr>
        <w:pStyle w:val="BodyText"/>
        <w:spacing w:line="297" w:lineRule="auto" w:before="75"/>
        <w:ind w:left="557" w:right="47" w:firstLine="60"/>
        <w:jc w:val="left"/>
      </w:pPr>
      <w:r>
        <w:rPr>
          <w:rFonts w:ascii="Times New Roman" w:hAnsi="Times New Roman" w:cs="Times New Roman" w:eastAsia="Times New Roman" w:hint="default"/>
        </w:rPr>
        <w:t>1</w:t>
      </w:r>
      <w:r>
        <w:rPr/>
        <w:t>．借款费用资本化的确认原则</w:t>
      </w:r>
      <w:r>
        <w:rPr>
          <w:w w:val="100"/>
        </w:rPr>
        <w:t> </w:t>
      </w:r>
      <w:r>
        <w:rPr>
          <w:spacing w:val="-2"/>
        </w:rPr>
        <w:t>借款费用包括因借款发生的利息、折价或溢价的摊销和辅助费用，以及因外币借款而发生的</w:t>
      </w:r>
    </w:p>
    <w:p>
      <w:pPr>
        <w:pStyle w:val="BodyText"/>
        <w:spacing w:line="314" w:lineRule="auto" w:before="34"/>
        <w:ind w:left="137" w:right="209"/>
        <w:jc w:val="both"/>
      </w:pPr>
      <w:r>
        <w:rPr>
          <w:spacing w:val="-1"/>
        </w:rPr>
        <w:t>汇兑差额。公司发生的借款费用，可直接归属于符合资本化条件的资产的购建或者生产的，应予</w:t>
      </w:r>
      <w:r>
        <w:rPr>
          <w:spacing w:val="-55"/>
        </w:rPr>
        <w:t> </w:t>
      </w:r>
      <w:r>
        <w:rPr>
          <w:spacing w:val="-55"/>
        </w:rPr>
      </w:r>
      <w:r>
        <w:rPr>
          <w:spacing w:val="-1"/>
        </w:rPr>
        <w:t>以资本化，计入相关资产成本；其他借款费用，在发生时根据其发生额确认为费用，计入当期损</w:t>
      </w:r>
      <w:r>
        <w:rPr>
          <w:spacing w:val="-55"/>
        </w:rPr>
        <w:t> </w:t>
      </w:r>
      <w:r>
        <w:rPr>
          <w:spacing w:val="-55"/>
        </w:rPr>
      </w:r>
      <w:r>
        <w:rPr/>
        <w:t>益。</w:t>
      </w:r>
    </w:p>
    <w:p>
      <w:pPr>
        <w:pStyle w:val="BodyText"/>
        <w:spacing w:line="314" w:lineRule="auto" w:before="20"/>
        <w:ind w:left="137" w:right="47" w:firstLine="420"/>
        <w:jc w:val="left"/>
      </w:pPr>
      <w:r>
        <w:rPr>
          <w:spacing w:val="-2"/>
        </w:rPr>
        <w:t>符合资本化条件的资产，包括需要经过相当长时间的购建或者生产活动才能达到预定可使用</w:t>
      </w:r>
      <w:r>
        <w:rPr>
          <w:w w:val="100"/>
        </w:rPr>
        <w:t> </w:t>
      </w:r>
      <w:r>
        <w:rPr/>
        <w:t>或者可销售状态的固定资产、投资性房地产和存货等资产。</w:t>
      </w:r>
    </w:p>
    <w:p>
      <w:pPr>
        <w:pStyle w:val="BodyText"/>
        <w:spacing w:line="240" w:lineRule="auto" w:before="20"/>
        <w:ind w:left="557" w:right="2631"/>
        <w:jc w:val="left"/>
      </w:pPr>
      <w:r>
        <w:rPr/>
        <w:t>借款费用同时满足下列条件，开始资本化：</w:t>
      </w:r>
    </w:p>
    <w:p>
      <w:pPr>
        <w:pStyle w:val="BodyText"/>
        <w:spacing w:line="297" w:lineRule="auto" w:before="85"/>
        <w:ind w:left="137" w:right="47" w:firstLine="420"/>
        <w:jc w:val="left"/>
      </w:pPr>
      <w:r>
        <w:rPr>
          <w:spacing w:val="-7"/>
          <w:w w:val="100"/>
        </w:rPr>
        <w:t>（</w:t>
      </w:r>
      <w:r>
        <w:rPr>
          <w:rFonts w:ascii="Times New Roman" w:hAnsi="Times New Roman" w:cs="Times New Roman" w:eastAsia="Times New Roman" w:hint="default"/>
          <w:spacing w:val="-7"/>
          <w:w w:val="100"/>
        </w:rPr>
        <w:t>1</w:t>
      </w:r>
      <w:r>
        <w:rPr>
          <w:spacing w:val="-7"/>
          <w:w w:val="100"/>
        </w:rPr>
        <w:t>）资产支出已经发生，资产支出包括为购建或者生产符合资本化条件的资产而以支付现金、</w:t>
      </w:r>
      <w:r>
        <w:rPr>
          <w:w w:val="100"/>
        </w:rPr>
        <w:t> </w:t>
      </w:r>
      <w:r>
        <w:rPr/>
        <w:t>转移非现金资产或者承担带息债务形式发生的支出；</w:t>
      </w:r>
    </w:p>
    <w:p>
      <w:pPr>
        <w:pStyle w:val="BodyText"/>
        <w:spacing w:line="240" w:lineRule="auto" w:before="34"/>
        <w:ind w:left="557" w:right="2631"/>
        <w:jc w:val="left"/>
      </w:pPr>
      <w:r>
        <w:rPr/>
        <w:t>（</w:t>
      </w:r>
      <w:r>
        <w:rPr>
          <w:rFonts w:ascii="Times New Roman" w:hAnsi="Times New Roman" w:cs="Times New Roman" w:eastAsia="Times New Roman" w:hint="default"/>
        </w:rPr>
        <w:t>2</w:t>
      </w:r>
      <w:r>
        <w:rPr/>
        <w:t>）借款费用已发生；</w:t>
      </w:r>
    </w:p>
    <w:p>
      <w:pPr>
        <w:pStyle w:val="BodyText"/>
        <w:spacing w:line="297" w:lineRule="auto" w:before="69"/>
        <w:ind w:left="557" w:right="47"/>
        <w:jc w:val="left"/>
      </w:pPr>
      <w:r>
        <w:rPr/>
        <w:t>（</w:t>
      </w:r>
      <w:r>
        <w:rPr>
          <w:rFonts w:ascii="Times New Roman" w:hAnsi="Times New Roman" w:cs="Times New Roman" w:eastAsia="Times New Roman" w:hint="default"/>
        </w:rPr>
        <w:t>3</w:t>
      </w:r>
      <w:r>
        <w:rPr/>
        <w:t>）为使资产达到预计可使用或者可销售状态所必要的购建或者生产活动已经开始。</w:t>
      </w:r>
      <w:r>
        <w:rPr>
          <w:w w:val="100"/>
        </w:rPr>
        <w:t> </w:t>
      </w:r>
      <w:r>
        <w:rPr>
          <w:rFonts w:ascii="Times New Roman" w:hAnsi="Times New Roman" w:cs="Times New Roman" w:eastAsia="Times New Roman" w:hint="default"/>
        </w:rPr>
        <w:t>2</w:t>
      </w:r>
      <w:r>
        <w:rPr/>
        <w:t>．借款费用资本化的期间</w:t>
      </w:r>
      <w:r>
        <w:rPr>
          <w:w w:val="100"/>
        </w:rPr>
        <w:t> </w:t>
      </w:r>
      <w:r>
        <w:rPr>
          <w:spacing w:val="-2"/>
        </w:rPr>
        <w:t>为购建或者生产符合资本化条件的资产发生的借款费用，满足上述资本化条件的，在该资产</w:t>
      </w:r>
    </w:p>
    <w:p>
      <w:pPr>
        <w:pStyle w:val="BodyText"/>
        <w:spacing w:line="312" w:lineRule="auto" w:before="35"/>
        <w:ind w:left="137" w:right="208"/>
        <w:jc w:val="both"/>
      </w:pPr>
      <w:r>
        <w:rPr>
          <w:spacing w:val="-1"/>
        </w:rPr>
        <w:t>达到预定可使用或者可销售状态前所发生的，计入该资产的成本，若符合资本化条件的资产的购</w:t>
      </w:r>
      <w:r>
        <w:rPr>
          <w:spacing w:val="-55"/>
        </w:rPr>
        <w:t> </w:t>
      </w:r>
      <w:r>
        <w:rPr>
          <w:spacing w:val="-55"/>
        </w:rPr>
      </w:r>
      <w:r>
        <w:rPr/>
        <w:t>建或者生产活动发生非正常中断，并且中断时间连续超过</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个月，则暂停借款费用的资本化，将</w:t>
      </w:r>
      <w:r>
        <w:rPr>
          <w:w w:val="100"/>
        </w:rPr>
        <w:t> </w:t>
      </w:r>
      <w:r>
        <w:rPr>
          <w:spacing w:val="-1"/>
        </w:rPr>
        <w:t>其确认为当期费用，直至资产的购建或者生产活动重新开始。如果中断是所购建或者生产的符合</w:t>
      </w:r>
      <w:r>
        <w:rPr>
          <w:spacing w:val="-55"/>
        </w:rPr>
        <w:t> </w:t>
      </w:r>
      <w:r>
        <w:rPr>
          <w:spacing w:val="-55"/>
        </w:rPr>
      </w:r>
      <w:r>
        <w:rPr>
          <w:spacing w:val="-1"/>
        </w:rPr>
        <w:t>资本化条件的资产达到预定可使用或可销售状态必要的程序，借款费用继续资本化。当所购建或</w:t>
      </w:r>
      <w:r>
        <w:rPr>
          <w:spacing w:val="-55"/>
        </w:rPr>
        <w:t> </w:t>
      </w:r>
      <w:r>
        <w:rPr>
          <w:spacing w:val="-55"/>
        </w:rPr>
      </w:r>
      <w:r>
        <w:rPr>
          <w:spacing w:val="-1"/>
        </w:rPr>
        <w:t>生产的资产达到预定可使用或者可销售状态时，停止其借款费用的资本化。在达到预定可使用或</w:t>
      </w:r>
      <w:r>
        <w:rPr>
          <w:spacing w:val="-55"/>
        </w:rPr>
        <w:t> </w:t>
      </w:r>
      <w:r>
        <w:rPr>
          <w:spacing w:val="-55"/>
        </w:rPr>
      </w:r>
      <w:r>
        <w:rPr/>
        <w:t>者可销售状态后所发生的借款费用，于发生当期直接计入财务费用。</w:t>
      </w:r>
    </w:p>
    <w:p>
      <w:pPr>
        <w:pStyle w:val="BodyText"/>
        <w:spacing w:line="297" w:lineRule="auto" w:before="22"/>
        <w:ind w:left="557" w:right="47"/>
        <w:jc w:val="left"/>
      </w:pPr>
      <w:r>
        <w:rPr>
          <w:rFonts w:ascii="Times New Roman" w:hAnsi="Times New Roman" w:cs="Times New Roman" w:eastAsia="Times New Roman" w:hint="default"/>
        </w:rPr>
        <w:t>3</w:t>
      </w:r>
      <w:r>
        <w:rPr/>
        <w:t>．借款费用资本化金额的计算方法</w:t>
      </w:r>
      <w:r>
        <w:rPr>
          <w:w w:val="100"/>
        </w:rPr>
        <w:t> </w:t>
      </w:r>
      <w:r>
        <w:rPr>
          <w:spacing w:val="-2"/>
        </w:rPr>
        <w:t>在资本化期间内，每一会计期间的利息（包括折价或溢价的摊销）资本化金额，按照下列规</w:t>
      </w:r>
    </w:p>
    <w:p>
      <w:pPr>
        <w:pStyle w:val="BodyText"/>
        <w:spacing w:line="240" w:lineRule="auto" w:before="34"/>
        <w:ind w:left="137" w:right="0"/>
        <w:jc w:val="both"/>
      </w:pPr>
      <w:r>
        <w:rPr/>
        <w:t>定确定：</w:t>
      </w:r>
    </w:p>
    <w:p>
      <w:pPr>
        <w:pStyle w:val="BodyText"/>
        <w:spacing w:line="240" w:lineRule="auto" w:before="85"/>
        <w:ind w:left="557" w:right="47"/>
        <w:jc w:val="left"/>
      </w:pPr>
      <w:r>
        <w:rPr>
          <w:spacing w:val="-4"/>
        </w:rPr>
        <w:t>（</w:t>
      </w:r>
      <w:r>
        <w:rPr>
          <w:rFonts w:ascii="Times New Roman" w:hAnsi="Times New Roman" w:cs="Times New Roman" w:eastAsia="Times New Roman" w:hint="default"/>
          <w:spacing w:val="-4"/>
        </w:rPr>
        <w:t>1</w:t>
      </w:r>
      <w:r>
        <w:rPr>
          <w:spacing w:val="-4"/>
        </w:rPr>
        <w:t>）为购建或者生产符合资本化条件的资产而借入专门借款的，以专门借款当期实际发生的</w:t>
      </w:r>
    </w:p>
    <w:p>
      <w:pPr>
        <w:spacing w:after="0" w:line="240" w:lineRule="auto"/>
        <w:jc w:val="left"/>
        <w:sectPr>
          <w:pgSz w:w="11910" w:h="16840"/>
          <w:pgMar w:header="857" w:footer="979" w:top="1120" w:bottom="1160" w:left="1140" w:right="1580"/>
        </w:sectPr>
      </w:pPr>
    </w:p>
    <w:p>
      <w:pPr>
        <w:spacing w:line="240" w:lineRule="auto" w:before="5"/>
        <w:rPr>
          <w:rFonts w:ascii="宋体" w:hAnsi="宋体" w:cs="宋体" w:eastAsia="宋体" w:hint="default"/>
          <w:sz w:val="24"/>
          <w:szCs w:val="24"/>
        </w:rPr>
      </w:pPr>
    </w:p>
    <w:p>
      <w:pPr>
        <w:pStyle w:val="BodyText"/>
        <w:spacing w:line="314" w:lineRule="auto" w:before="36"/>
        <w:ind w:left="137" w:right="129"/>
        <w:jc w:val="both"/>
      </w:pPr>
      <w:r>
        <w:rPr>
          <w:spacing w:val="-1"/>
        </w:rPr>
        <w:t>利息费用，减去将尚未动用的借款资金存入银行取得的利息收入或进行暂时性投资取得的投资收</w:t>
      </w:r>
      <w:r>
        <w:rPr>
          <w:spacing w:val="-55"/>
        </w:rPr>
        <w:t> </w:t>
      </w:r>
      <w:r>
        <w:rPr>
          <w:spacing w:val="-55"/>
        </w:rPr>
      </w:r>
      <w:r>
        <w:rPr/>
        <w:t>益后的金额确定。</w:t>
      </w:r>
    </w:p>
    <w:p>
      <w:pPr>
        <w:pStyle w:val="BodyText"/>
        <w:spacing w:line="309" w:lineRule="auto" w:before="20"/>
        <w:ind w:left="137" w:right="128" w:firstLine="420"/>
        <w:jc w:val="both"/>
      </w:pPr>
      <w:r>
        <w:rPr>
          <w:spacing w:val="-4"/>
        </w:rPr>
        <w:t>（</w:t>
      </w:r>
      <w:r>
        <w:rPr>
          <w:rFonts w:ascii="Times New Roman" w:hAnsi="Times New Roman" w:cs="Times New Roman" w:eastAsia="Times New Roman" w:hint="default"/>
          <w:spacing w:val="-4"/>
        </w:rPr>
        <w:t>2</w:t>
      </w:r>
      <w:r>
        <w:rPr>
          <w:spacing w:val="-4"/>
        </w:rPr>
        <w:t>）为购建或者生产符合资本化条件的资产而占用了一般借款的，根据累计资产支出超过专</w:t>
      </w:r>
      <w:r>
        <w:rPr>
          <w:w w:val="100"/>
        </w:rPr>
        <w:t> </w:t>
      </w:r>
      <w:r>
        <w:rPr>
          <w:spacing w:val="-1"/>
        </w:rPr>
        <w:t>门借款部分的资产支出加权平均数乘以所占用一般借款的资本化率，计算确定一般借款应予资本</w:t>
      </w:r>
      <w:r>
        <w:rPr>
          <w:spacing w:val="-55"/>
        </w:rPr>
        <w:t> </w:t>
      </w:r>
      <w:r>
        <w:rPr>
          <w:spacing w:val="-55"/>
        </w:rPr>
      </w:r>
      <w:r>
        <w:rPr>
          <w:spacing w:val="-1"/>
        </w:rPr>
        <w:t>化的利息金额。资本化率根据一般借款加权平均利率计算确定。利息资本化金额，不超过当期相</w:t>
      </w:r>
      <w:r>
        <w:rPr>
          <w:spacing w:val="-55"/>
        </w:rPr>
        <w:t> </w:t>
      </w:r>
      <w:r>
        <w:rPr>
          <w:spacing w:val="-55"/>
        </w:rPr>
      </w:r>
      <w:r>
        <w:rPr/>
        <w:t>关借款实际发生的利息金额。</w:t>
      </w:r>
    </w:p>
    <w:p>
      <w:pPr>
        <w:pStyle w:val="Heading4"/>
        <w:spacing w:line="240" w:lineRule="auto" w:before="7"/>
        <w:ind w:left="137" w:right="0"/>
        <w:jc w:val="both"/>
        <w:rPr>
          <w:b w:val="0"/>
          <w:bCs w:val="0"/>
        </w:rPr>
      </w:pPr>
      <w:r>
        <w:rPr>
          <w:rFonts w:ascii="Times New Roman" w:hAnsi="Times New Roman" w:cs="Times New Roman" w:eastAsia="Times New Roman" w:hint="default"/>
        </w:rPr>
        <w:t>19.  </w:t>
      </w:r>
      <w:r>
        <w:rPr>
          <w:rFonts w:ascii="Times New Roman" w:hAnsi="Times New Roman" w:cs="Times New Roman" w:eastAsia="Times New Roman" w:hint="default"/>
          <w:spacing w:val="6"/>
        </w:rPr>
        <w:t> </w:t>
      </w:r>
      <w:r>
        <w:rPr/>
        <w:t>生物资产</w:t>
      </w:r>
      <w:r>
        <w:rPr>
          <w:b w:val="0"/>
          <w:bCs w:val="0"/>
        </w:rPr>
      </w:r>
    </w:p>
    <w:p>
      <w:pPr>
        <w:pStyle w:val="BodyText"/>
        <w:tabs>
          <w:tab w:pos="1562" w:val="left" w:leader="none"/>
        </w:tabs>
        <w:spacing w:line="240" w:lineRule="auto" w:before="40"/>
        <w:ind w:left="617" w:right="0"/>
        <w:jc w:val="left"/>
      </w:pPr>
      <w:r>
        <w:rPr/>
        <w:t>□适用</w:t>
        <w:tab/>
        <w:t>√不适用</w:t>
      </w:r>
    </w:p>
    <w:p>
      <w:pPr>
        <w:pStyle w:val="Heading4"/>
        <w:spacing w:line="240" w:lineRule="auto" w:before="58"/>
        <w:ind w:left="137" w:right="0"/>
        <w:jc w:val="both"/>
        <w:rPr>
          <w:b w:val="0"/>
          <w:bCs w:val="0"/>
        </w:rPr>
      </w:pPr>
      <w:r>
        <w:rPr>
          <w:rFonts w:ascii="Times New Roman" w:hAnsi="Times New Roman" w:cs="Times New Roman" w:eastAsia="Times New Roman" w:hint="default"/>
        </w:rPr>
        <w:t>20.  </w:t>
      </w:r>
      <w:r>
        <w:rPr>
          <w:rFonts w:ascii="Times New Roman" w:hAnsi="Times New Roman" w:cs="Times New Roman" w:eastAsia="Times New Roman" w:hint="default"/>
          <w:spacing w:val="6"/>
        </w:rPr>
        <w:t> </w:t>
      </w:r>
      <w:r>
        <w:rPr/>
        <w:t>油气资产</w:t>
      </w:r>
      <w:r>
        <w:rPr>
          <w:b w:val="0"/>
          <w:bCs w:val="0"/>
        </w:rPr>
      </w:r>
    </w:p>
    <w:p>
      <w:pPr>
        <w:pStyle w:val="BodyText"/>
        <w:tabs>
          <w:tab w:pos="1562" w:val="left" w:leader="none"/>
        </w:tabs>
        <w:spacing w:line="240" w:lineRule="auto" w:before="40"/>
        <w:ind w:left="617" w:right="0"/>
        <w:jc w:val="left"/>
      </w:pPr>
      <w:r>
        <w:rPr/>
        <w:t>□适用</w:t>
        <w:tab/>
        <w:t>√不适用</w:t>
      </w:r>
    </w:p>
    <w:p>
      <w:pPr>
        <w:pStyle w:val="Heading4"/>
        <w:spacing w:line="240" w:lineRule="auto" w:before="59"/>
        <w:ind w:left="137" w:right="0"/>
        <w:jc w:val="both"/>
        <w:rPr>
          <w:b w:val="0"/>
          <w:bCs w:val="0"/>
        </w:rPr>
      </w:pPr>
      <w:r>
        <w:rPr>
          <w:rFonts w:ascii="Times New Roman" w:hAnsi="Times New Roman" w:cs="Times New Roman" w:eastAsia="Times New Roman" w:hint="default"/>
        </w:rPr>
        <w:t>21.  </w:t>
      </w:r>
      <w:r>
        <w:rPr>
          <w:rFonts w:ascii="Times New Roman" w:hAnsi="Times New Roman" w:cs="Times New Roman" w:eastAsia="Times New Roman" w:hint="default"/>
          <w:spacing w:val="6"/>
        </w:rPr>
        <w:t> </w:t>
      </w:r>
      <w:r>
        <w:rPr/>
        <w:t>无形资产</w:t>
      </w:r>
      <w:r>
        <w:rPr>
          <w:b w:val="0"/>
          <w:bCs w:val="0"/>
        </w:rPr>
      </w:r>
    </w:p>
    <w:p>
      <w:pPr>
        <w:pStyle w:val="Heading4"/>
        <w:spacing w:line="240" w:lineRule="auto" w:before="40"/>
        <w:ind w:left="137" w:right="0"/>
        <w:jc w:val="both"/>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3"/>
        </w:rPr>
        <w:t> </w:t>
      </w:r>
      <w:r>
        <w:rPr/>
        <w:t>计价方法、使用寿命、减值测试</w:t>
      </w:r>
      <w:r>
        <w:rPr>
          <w:b w:val="0"/>
          <w:bCs w:val="0"/>
        </w:rPr>
      </w:r>
    </w:p>
    <w:p>
      <w:pPr>
        <w:pStyle w:val="BodyText"/>
        <w:tabs>
          <w:tab w:pos="1459" w:val="left" w:leader="none"/>
        </w:tabs>
        <w:spacing w:line="240" w:lineRule="auto" w:before="43"/>
        <w:ind w:left="617" w:right="0"/>
        <w:jc w:val="left"/>
      </w:pPr>
      <w:r>
        <w:rPr/>
        <w:t>√适用</w:t>
        <w:tab/>
        <w:t>□不适用</w:t>
      </w:r>
    </w:p>
    <w:p>
      <w:pPr>
        <w:pStyle w:val="BodyText"/>
        <w:spacing w:line="297" w:lineRule="auto" w:before="73"/>
        <w:ind w:left="557" w:right="0" w:firstLine="60"/>
        <w:jc w:val="left"/>
      </w:pPr>
      <w:r>
        <w:rPr>
          <w:rFonts w:ascii="Times New Roman" w:hAnsi="Times New Roman" w:cs="Times New Roman" w:eastAsia="Times New Roman" w:hint="default"/>
        </w:rPr>
        <w:t>1</w:t>
      </w:r>
      <w:r>
        <w:rPr/>
        <w:t>．无形资产的计价方法、使用寿命、减值测试</w:t>
      </w:r>
      <w:r>
        <w:rPr>
          <w:w w:val="100"/>
        </w:rPr>
        <w:t> </w:t>
      </w:r>
      <w:r>
        <w:rPr>
          <w:spacing w:val="-2"/>
        </w:rPr>
        <w:t>无形资产按成本进行初始计量。外购的无形资产，其成本包括购买价款、相关税费以及直接</w:t>
      </w:r>
    </w:p>
    <w:p>
      <w:pPr>
        <w:pStyle w:val="BodyText"/>
        <w:spacing w:line="314" w:lineRule="auto" w:before="34"/>
        <w:ind w:left="557" w:right="0" w:hanging="420"/>
        <w:jc w:val="left"/>
      </w:pPr>
      <w:r>
        <w:rPr/>
        <w:t>归属于使该项资产达到预定用途所发生的其他支出。</w:t>
      </w:r>
      <w:r>
        <w:rPr>
          <w:w w:val="100"/>
        </w:rPr>
        <w:t> </w:t>
      </w:r>
      <w:r>
        <w:rPr>
          <w:spacing w:val="-2"/>
        </w:rPr>
        <w:t>购买无形资产的价款超过正常信用条件延期支付，实际上具有融资性质的，无形资产的成本</w:t>
      </w:r>
    </w:p>
    <w:p>
      <w:pPr>
        <w:pStyle w:val="BodyText"/>
        <w:spacing w:line="314" w:lineRule="auto" w:before="20"/>
        <w:ind w:left="137" w:right="129"/>
        <w:jc w:val="both"/>
      </w:pPr>
      <w:r>
        <w:rPr>
          <w:spacing w:val="-1"/>
        </w:rPr>
        <w:t>以购买价款的现值为基础确定。实际支付的价款与购买价款的现值之间的差额，除按照《企业会</w:t>
      </w:r>
      <w:r>
        <w:rPr>
          <w:spacing w:val="-55"/>
        </w:rPr>
        <w:t> </w:t>
      </w:r>
      <w:r>
        <w:rPr>
          <w:spacing w:val="-55"/>
        </w:rPr>
      </w:r>
      <w:r>
        <w:rPr/>
        <w:t>计准则第</w:t>
      </w:r>
      <w:r>
        <w:rPr>
          <w:spacing w:val="-56"/>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借款费用》应予资本化的以外，在信用期间内计入当期损益。</w:t>
      </w:r>
    </w:p>
    <w:p>
      <w:pPr>
        <w:pStyle w:val="BodyText"/>
        <w:spacing w:line="314" w:lineRule="auto"/>
        <w:ind w:left="137" w:right="128" w:firstLine="420"/>
        <w:jc w:val="both"/>
      </w:pPr>
      <w:r>
        <w:rPr>
          <w:spacing w:val="-2"/>
        </w:rPr>
        <w:t>投资者投入的无形资产的成本，按照投资合同或协议约定的价值确定，在投资合同或协议约</w:t>
      </w:r>
      <w:r>
        <w:rPr>
          <w:w w:val="100"/>
        </w:rPr>
        <w:t> </w:t>
      </w:r>
      <w:r>
        <w:rPr>
          <w:spacing w:val="-6"/>
          <w:w w:val="100"/>
        </w:rPr>
        <w:t>定价值不公允的情况下，应按无形资产的公允价值入账。通过非货币性资产交换取得的无形资产，</w:t>
      </w:r>
      <w:r>
        <w:rPr>
          <w:spacing w:val="-104"/>
          <w:w w:val="100"/>
        </w:rPr>
        <w:t> </w:t>
      </w:r>
      <w:r>
        <w:rPr>
          <w:spacing w:val="-104"/>
          <w:w w:val="100"/>
        </w:rPr>
      </w:r>
      <w:r>
        <w:rPr/>
        <w:t>期初始投资成本按照《企业会计准则第</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非货币性资产交换》确定。通过债务重组取得的</w:t>
      </w:r>
    </w:p>
    <w:p>
      <w:pPr>
        <w:pStyle w:val="BodyText"/>
        <w:spacing w:line="304" w:lineRule="auto"/>
        <w:ind w:left="137" w:right="129"/>
        <w:jc w:val="both"/>
      </w:pPr>
      <w:r>
        <w:rPr>
          <w:spacing w:val="-4"/>
        </w:rPr>
        <w:t>无形资产，期初始投资成本按照《企业会计准则第 </w:t>
      </w:r>
      <w:r>
        <w:rPr>
          <w:rFonts w:ascii="Times New Roman" w:hAnsi="Times New Roman" w:cs="Times New Roman" w:eastAsia="Times New Roman" w:hint="default"/>
        </w:rPr>
        <w:t>12 </w:t>
      </w:r>
      <w:r>
        <w:rPr>
          <w:spacing w:val="-4"/>
        </w:rPr>
        <w:t>号</w:t>
      </w:r>
      <w:r>
        <w:rPr>
          <w:rFonts w:ascii="Times New Roman" w:hAnsi="Times New Roman" w:cs="Times New Roman" w:eastAsia="Times New Roman" w:hint="default"/>
          <w:spacing w:val="-4"/>
        </w:rPr>
        <w:t>——</w:t>
      </w:r>
      <w:r>
        <w:rPr>
          <w:spacing w:val="-4"/>
        </w:rPr>
        <w:t>债务重组》确定。以同一控制下的企</w:t>
      </w:r>
      <w:r>
        <w:rPr>
          <w:spacing w:val="-91"/>
        </w:rPr>
        <w:t> </w:t>
      </w:r>
      <w:r>
        <w:rPr>
          <w:spacing w:val="-91"/>
        </w:rPr>
      </w:r>
      <w:r>
        <w:rPr>
          <w:spacing w:val="-1"/>
        </w:rPr>
        <w:t>业合并方式取得的无形资产按被合并方的账面价值确定其入账价值；以非同一控制下的企业合并</w:t>
      </w:r>
      <w:r>
        <w:rPr>
          <w:spacing w:val="-55"/>
        </w:rPr>
        <w:t> </w:t>
      </w:r>
      <w:r>
        <w:rPr>
          <w:spacing w:val="-55"/>
        </w:rPr>
      </w:r>
      <w:r>
        <w:rPr/>
        <w:t>方式取得的无形资产按公允价值确定其入账价值。</w:t>
      </w:r>
    </w:p>
    <w:p>
      <w:pPr>
        <w:pStyle w:val="BodyText"/>
        <w:spacing w:line="314" w:lineRule="auto" w:before="28"/>
        <w:ind w:left="137" w:right="129" w:firstLine="420"/>
        <w:jc w:val="both"/>
      </w:pPr>
      <w:r>
        <w:rPr>
          <w:spacing w:val="-2"/>
        </w:rPr>
        <w:t>公司于取得无形资产时分析判断其使用寿命。使用寿命有限的无形资产自无形资产可供使用</w:t>
      </w:r>
      <w:r>
        <w:rPr>
          <w:w w:val="100"/>
        </w:rPr>
        <w:t> </w:t>
      </w:r>
      <w:r>
        <w:rPr>
          <w:spacing w:val="-1"/>
        </w:rPr>
        <w:t>时起，至不再作为无形资产确认时止，采用直线法分期平均摊销，计入损益。对于使用寿命不确</w:t>
      </w:r>
      <w:r>
        <w:rPr>
          <w:spacing w:val="-55"/>
        </w:rPr>
        <w:t> </w:t>
      </w:r>
      <w:r>
        <w:rPr>
          <w:spacing w:val="-55"/>
        </w:rPr>
      </w:r>
      <w:r>
        <w:rPr/>
        <w:t>定的无形资产不进行摊销。</w:t>
      </w:r>
    </w:p>
    <w:p>
      <w:pPr>
        <w:pStyle w:val="BodyText"/>
        <w:spacing w:line="314" w:lineRule="auto" w:before="20"/>
        <w:ind w:left="137" w:right="129" w:firstLine="420"/>
        <w:jc w:val="both"/>
      </w:pPr>
      <w:r>
        <w:rPr>
          <w:spacing w:val="-2"/>
        </w:rPr>
        <w:t>公司于每年年度终了，对使用寿命有限的无形资产的使用寿命及摊销方法进行复核。如果无</w:t>
      </w:r>
      <w:r>
        <w:rPr>
          <w:w w:val="100"/>
        </w:rPr>
        <w:t> </w:t>
      </w:r>
      <w:r>
        <w:rPr>
          <w:spacing w:val="-1"/>
        </w:rPr>
        <w:t>形资产的使用寿命及摊销方法与以前估计不同的，改变摊销期限和摊销方法，并按会计估计变更</w:t>
      </w:r>
      <w:r>
        <w:rPr>
          <w:spacing w:val="-55"/>
        </w:rPr>
        <w:t> </w:t>
      </w:r>
      <w:r>
        <w:rPr>
          <w:spacing w:val="-55"/>
        </w:rPr>
      </w:r>
      <w:r>
        <w:rPr>
          <w:spacing w:val="-1"/>
        </w:rPr>
        <w:t>处理。公司在每个会计期间对使用寿命不确定的无形资产的使用寿命进行复核。如果有证据表明</w:t>
      </w:r>
      <w:r>
        <w:rPr>
          <w:spacing w:val="-55"/>
        </w:rPr>
        <w:t> </w:t>
      </w:r>
      <w:r>
        <w:rPr>
          <w:spacing w:val="-55"/>
        </w:rPr>
      </w:r>
      <w:r>
        <w:rPr/>
        <w:t>无形资产的使用寿命是有限的，估计其使用寿命，并按上述规定处理。</w:t>
      </w:r>
    </w:p>
    <w:p>
      <w:pPr>
        <w:pStyle w:val="BodyText"/>
        <w:spacing w:line="240" w:lineRule="auto" w:before="20"/>
        <w:ind w:left="557" w:right="0"/>
        <w:jc w:val="left"/>
      </w:pPr>
      <w:r>
        <w:rPr/>
        <w:t>无形资产的减值测试方法和减值准备计提方法详见附注三、（二十）“长期资产减值”。</w:t>
      </w:r>
    </w:p>
    <w:p>
      <w:pPr>
        <w:pStyle w:val="Heading4"/>
        <w:spacing w:line="240" w:lineRule="auto" w:before="68"/>
        <w:ind w:left="137" w:right="0"/>
        <w:jc w:val="both"/>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2"/>
        </w:rPr>
        <w:t> </w:t>
      </w:r>
      <w:r>
        <w:rPr/>
        <w:t>内部研究开发支出会计政策</w:t>
      </w:r>
      <w:r>
        <w:rPr>
          <w:b w:val="0"/>
          <w:bCs w:val="0"/>
        </w:rPr>
      </w:r>
    </w:p>
    <w:p>
      <w:pPr>
        <w:pStyle w:val="BodyText"/>
        <w:tabs>
          <w:tab w:pos="979" w:val="left" w:leader="none"/>
        </w:tabs>
        <w:spacing w:line="304" w:lineRule="auto" w:before="43"/>
        <w:ind w:left="617" w:right="142" w:hanging="480"/>
        <w:jc w:val="left"/>
      </w:pPr>
      <w:r>
        <w:rPr/>
        <w:t>√适用</w:t>
        <w:tab/>
        <w:t>□不适用</w:t>
      </w:r>
      <w:r>
        <w:rPr>
          <w:w w:val="100"/>
        </w:rPr>
        <w:t> </w:t>
      </w:r>
      <w:r>
        <w:rPr>
          <w:spacing w:val="-3"/>
        </w:rPr>
        <w:t>研究开发项目研究阶段支出与开发阶段支出的划分标准：研究阶段支出指为获取并理解新的</w:t>
      </w:r>
    </w:p>
    <w:p>
      <w:pPr>
        <w:pStyle w:val="BodyText"/>
        <w:spacing w:line="314" w:lineRule="auto" w:before="28"/>
        <w:ind w:left="137" w:right="129"/>
        <w:jc w:val="both"/>
      </w:pPr>
      <w:r>
        <w:rPr>
          <w:spacing w:val="-1"/>
        </w:rPr>
        <w:t>科学或技术知识而进行的独创性的有计划调查所发生的支出；开发阶段支出是指在进行商业性产</w:t>
      </w:r>
      <w:r>
        <w:rPr>
          <w:spacing w:val="-55"/>
        </w:rPr>
        <w:t> </w:t>
      </w:r>
      <w:r>
        <w:rPr>
          <w:spacing w:val="-55"/>
        </w:rPr>
      </w:r>
      <w:r>
        <w:rPr>
          <w:spacing w:val="-1"/>
        </w:rPr>
        <w:t>和或使用前，将研究成果或其他知识应用于某项计划或设计，以生产出新的或具有实质性改进的</w:t>
      </w:r>
      <w:r>
        <w:rPr>
          <w:spacing w:val="-55"/>
        </w:rPr>
        <w:t> </w:t>
      </w:r>
      <w:r>
        <w:rPr>
          <w:spacing w:val="-55"/>
        </w:rPr>
      </w:r>
      <w:r>
        <w:rPr/>
        <w:t>材料、装置、产品等所发生的支出。</w:t>
      </w:r>
    </w:p>
    <w:p>
      <w:pPr>
        <w:spacing w:after="0" w:line="314" w:lineRule="auto"/>
        <w:jc w:val="both"/>
        <w:sectPr>
          <w:pgSz w:w="11910" w:h="16840"/>
          <w:pgMar w:header="857" w:footer="979" w:top="1120" w:bottom="1160" w:left="1140" w:right="1660"/>
        </w:sectPr>
      </w:pPr>
    </w:p>
    <w:p>
      <w:pPr>
        <w:spacing w:line="240" w:lineRule="auto" w:before="5"/>
        <w:rPr>
          <w:rFonts w:ascii="宋体" w:hAnsi="宋体" w:cs="宋体" w:eastAsia="宋体" w:hint="default"/>
          <w:sz w:val="24"/>
          <w:szCs w:val="24"/>
        </w:rPr>
      </w:pPr>
    </w:p>
    <w:p>
      <w:pPr>
        <w:pStyle w:val="BodyText"/>
        <w:spacing w:line="314" w:lineRule="auto" w:before="36"/>
        <w:ind w:left="137" w:right="129" w:firstLine="420"/>
        <w:jc w:val="both"/>
      </w:pPr>
      <w:r>
        <w:rPr>
          <w:spacing w:val="-2"/>
        </w:rPr>
        <w:t>公司的研发项目均需经过立项，研发项目的立项基础是根据市场的需求与技术研发的需求，</w:t>
      </w:r>
      <w:r>
        <w:rPr>
          <w:w w:val="100"/>
        </w:rPr>
        <w:t> </w:t>
      </w:r>
      <w:r>
        <w:rPr>
          <w:spacing w:val="-1"/>
        </w:rPr>
        <w:t>完成技术调研、论证项目技术的可行性与先进性、与公司主营产品的相关性（可形成公司的技术</w:t>
      </w:r>
      <w:r>
        <w:rPr>
          <w:spacing w:val="-55"/>
        </w:rPr>
        <w:t> </w:t>
      </w:r>
      <w:r>
        <w:rPr>
          <w:spacing w:val="-55"/>
        </w:rPr>
      </w:r>
      <w:r>
        <w:rPr>
          <w:spacing w:val="-1"/>
        </w:rPr>
        <w:t>开发平台或形成产品），并形成项目申请书，申请书应对研发产品的市场需求分析、国内外同类</w:t>
      </w:r>
      <w:r>
        <w:rPr>
          <w:spacing w:val="-55"/>
        </w:rPr>
        <w:t> </w:t>
      </w:r>
      <w:r>
        <w:rPr>
          <w:spacing w:val="-55"/>
        </w:rPr>
      </w:r>
      <w:r>
        <w:rPr>
          <w:spacing w:val="-1"/>
        </w:rPr>
        <w:t>研究情况、技术可行性、研究开发方案和技术路线、研究开发内容及主要创新点、能达到的技术</w:t>
      </w:r>
      <w:r>
        <w:rPr>
          <w:spacing w:val="-55"/>
        </w:rPr>
        <w:t> </w:t>
      </w:r>
      <w:r>
        <w:rPr>
          <w:spacing w:val="-55"/>
        </w:rPr>
      </w:r>
      <w:r>
        <w:rPr>
          <w:spacing w:val="-1"/>
        </w:rPr>
        <w:t>和效益指标、研发团队及投入计划、研发设备需求、经费预算、产业化前景、经济社会效益分析</w:t>
      </w:r>
      <w:r>
        <w:rPr>
          <w:spacing w:val="-55"/>
        </w:rPr>
        <w:t> </w:t>
      </w:r>
      <w:r>
        <w:rPr>
          <w:spacing w:val="-55"/>
        </w:rPr>
      </w:r>
      <w:r>
        <w:rPr/>
        <w:t>等做出说明。</w:t>
      </w:r>
    </w:p>
    <w:p>
      <w:pPr>
        <w:pStyle w:val="BodyText"/>
        <w:spacing w:line="314" w:lineRule="auto" w:before="20"/>
        <w:ind w:left="137" w:right="129" w:firstLine="420"/>
        <w:jc w:val="both"/>
      </w:pPr>
      <w:r>
        <w:rPr>
          <w:spacing w:val="-2"/>
        </w:rPr>
        <w:t>公司通过召开立项评审会议来判断该研发项目是否符合立项条件，评审主要是对设立项目的</w:t>
      </w:r>
      <w:r>
        <w:rPr>
          <w:w w:val="100"/>
        </w:rPr>
        <w:t> </w:t>
      </w:r>
      <w:r>
        <w:rPr>
          <w:spacing w:val="-1"/>
        </w:rPr>
        <w:t>必要性、可行性及其定位、目标、任务、投入、组织管理、预算等进行评价，来判断该研发项目</w:t>
      </w:r>
      <w:r>
        <w:rPr>
          <w:spacing w:val="-55"/>
        </w:rPr>
        <w:t> </w:t>
      </w:r>
      <w:r>
        <w:rPr>
          <w:spacing w:val="-55"/>
        </w:rPr>
      </w:r>
      <w:r>
        <w:rPr>
          <w:spacing w:val="-1"/>
        </w:rPr>
        <w:t>是否可以通过立项评审，并形成《立项评审报告》、《立项评审会会议纪要》，评审通过后报技</w:t>
      </w:r>
      <w:r>
        <w:rPr>
          <w:spacing w:val="-55"/>
        </w:rPr>
        <w:t> </w:t>
      </w:r>
      <w:r>
        <w:rPr>
          <w:spacing w:val="-55"/>
        </w:rPr>
      </w:r>
      <w:r>
        <w:rPr/>
        <w:t>术中心负责人批准项目立项后形成《立项决议》。公司研发项目经立项后进入开发阶段。</w:t>
      </w:r>
    </w:p>
    <w:p>
      <w:pPr>
        <w:pStyle w:val="BodyText"/>
        <w:spacing w:line="314" w:lineRule="auto" w:before="20"/>
        <w:ind w:left="137" w:right="131" w:firstLine="420"/>
        <w:jc w:val="both"/>
      </w:pPr>
      <w:r>
        <w:rPr>
          <w:spacing w:val="-2"/>
        </w:rPr>
        <w:t>公司内部自行开发的无形资产，在研究开发项目研究阶段的支出，于发生时计入当期损益。</w:t>
      </w:r>
      <w:r>
        <w:rPr>
          <w:w w:val="100"/>
        </w:rPr>
        <w:t> </w:t>
      </w:r>
      <w:r>
        <w:rPr/>
        <w:t>开发项目开发阶段的支出，只有同时满足下列条件的，才能确认为无形资产：</w:t>
      </w:r>
    </w:p>
    <w:p>
      <w:pPr>
        <w:pStyle w:val="BodyText"/>
        <w:spacing w:line="240" w:lineRule="auto" w:before="20"/>
        <w:ind w:left="557"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）完成该无形资产以使其能够使用或出售在技术上具有可行性</w:t>
      </w:r>
      <w:r>
        <w:rPr>
          <w:rFonts w:ascii="Times New Roman" w:hAnsi="Times New Roman" w:cs="Times New Roman" w:eastAsia="Times New Roman" w:hint="default"/>
        </w:rPr>
        <w:t>;</w:t>
      </w:r>
    </w:p>
    <w:p>
      <w:pPr>
        <w:pStyle w:val="BodyText"/>
        <w:spacing w:line="240" w:lineRule="auto" w:before="69"/>
        <w:ind w:left="557"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）具有完成该无形资产并使用或出售的意图</w:t>
      </w:r>
      <w:r>
        <w:rPr>
          <w:rFonts w:ascii="Times New Roman" w:hAnsi="Times New Roman" w:cs="Times New Roman" w:eastAsia="Times New Roman" w:hint="default"/>
        </w:rPr>
        <w:t>;</w:t>
      </w:r>
    </w:p>
    <w:p>
      <w:pPr>
        <w:pStyle w:val="BodyText"/>
        <w:spacing w:line="297" w:lineRule="auto" w:before="69"/>
        <w:ind w:left="137" w:right="128" w:firstLine="420"/>
        <w:jc w:val="both"/>
        <w:rPr>
          <w:rFonts w:ascii="Times New Roman" w:hAnsi="Times New Roman" w:cs="Times New Roman" w:eastAsia="Times New Roman" w:hint="default"/>
        </w:rPr>
      </w:pPr>
      <w:r>
        <w:rPr>
          <w:spacing w:val="-4"/>
        </w:rPr>
        <w:t>（</w:t>
      </w:r>
      <w:r>
        <w:rPr>
          <w:rFonts w:ascii="Times New Roman" w:hAnsi="Times New Roman" w:cs="Times New Roman" w:eastAsia="Times New Roman" w:hint="default"/>
          <w:spacing w:val="-4"/>
        </w:rPr>
        <w:t>3</w:t>
      </w:r>
      <w:r>
        <w:rPr>
          <w:spacing w:val="-4"/>
        </w:rPr>
        <w:t>）无形资产产生经济利益的方式，包括能够证明运用该无形资产生产的产品存在市场或无</w:t>
      </w:r>
      <w:r>
        <w:rPr>
          <w:w w:val="100"/>
        </w:rPr>
        <w:t> </w:t>
      </w:r>
      <w:r>
        <w:rPr/>
        <w:t>形资产自身存在市场，无形资产将在内部使用的，应当证明其有用性</w:t>
      </w:r>
      <w:r>
        <w:rPr>
          <w:rFonts w:ascii="Times New Roman" w:hAnsi="Times New Roman" w:cs="Times New Roman" w:eastAsia="Times New Roman" w:hint="default"/>
        </w:rPr>
        <w:t>;</w:t>
      </w:r>
    </w:p>
    <w:p>
      <w:pPr>
        <w:pStyle w:val="BodyText"/>
        <w:spacing w:line="297" w:lineRule="auto" w:before="13"/>
        <w:ind w:left="137" w:right="129" w:firstLine="420"/>
        <w:jc w:val="both"/>
        <w:rPr>
          <w:rFonts w:ascii="Times New Roman" w:hAnsi="Times New Roman" w:cs="Times New Roman" w:eastAsia="Times New Roman" w:hint="default"/>
        </w:rPr>
      </w:pPr>
      <w:r>
        <w:rPr>
          <w:spacing w:val="-4"/>
        </w:rPr>
        <w:t>（</w:t>
      </w:r>
      <w:r>
        <w:rPr>
          <w:rFonts w:ascii="Times New Roman" w:hAnsi="Times New Roman" w:cs="Times New Roman" w:eastAsia="Times New Roman" w:hint="default"/>
          <w:spacing w:val="-4"/>
        </w:rPr>
        <w:t>4</w:t>
      </w:r>
      <w:r>
        <w:rPr>
          <w:spacing w:val="-4"/>
        </w:rPr>
        <w:t>）有足够的技术、财务资源和其他资源支持，以完成该无形资产的开发，并有能力使用或</w:t>
      </w:r>
      <w:r>
        <w:rPr>
          <w:w w:val="100"/>
        </w:rPr>
        <w:t> </w:t>
      </w:r>
      <w:r>
        <w:rPr/>
        <w:t>出售无形资产</w:t>
      </w:r>
      <w:r>
        <w:rPr>
          <w:rFonts w:ascii="Times New Roman" w:hAnsi="Times New Roman" w:cs="Times New Roman" w:eastAsia="Times New Roman" w:hint="default"/>
        </w:rPr>
        <w:t>;</w:t>
      </w:r>
    </w:p>
    <w:p>
      <w:pPr>
        <w:pStyle w:val="BodyText"/>
        <w:spacing w:line="297" w:lineRule="auto" w:before="14"/>
        <w:ind w:left="557" w:right="0"/>
        <w:jc w:val="left"/>
      </w:pPr>
      <w:r>
        <w:rPr>
          <w:spacing w:val="-2"/>
        </w:rPr>
        <w:t>（</w:t>
      </w:r>
      <w:r>
        <w:rPr>
          <w:rFonts w:ascii="Times New Roman" w:hAnsi="Times New Roman" w:cs="Times New Roman" w:eastAsia="Times New Roman" w:hint="default"/>
          <w:spacing w:val="-2"/>
        </w:rPr>
        <w:t>5</w:t>
      </w:r>
      <w:r>
        <w:rPr>
          <w:spacing w:val="-2"/>
        </w:rPr>
        <w:t>）归属于该无形资产开发阶段的支出能够可靠地计量。</w:t>
      </w:r>
      <w:r>
        <w:rPr>
          <w:spacing w:val="-57"/>
        </w:rPr>
        <w:t> </w:t>
      </w:r>
      <w:r>
        <w:rPr>
          <w:spacing w:val="-57"/>
        </w:rPr>
      </w:r>
      <w:r>
        <w:rPr/>
        <w:t>对于以前期间已经费用化的开发阶段的支出不再调整。</w:t>
      </w:r>
    </w:p>
    <w:p>
      <w:pPr>
        <w:pStyle w:val="Heading4"/>
        <w:spacing w:line="240" w:lineRule="auto" w:before="18"/>
        <w:ind w:left="137" w:right="0"/>
        <w:jc w:val="both"/>
        <w:rPr>
          <w:b w:val="0"/>
          <w:bCs w:val="0"/>
        </w:rPr>
      </w:pPr>
      <w:r>
        <w:rPr>
          <w:rFonts w:ascii="Times New Roman" w:hAnsi="Times New Roman" w:cs="Times New Roman" w:eastAsia="Times New Roman" w:hint="default"/>
        </w:rPr>
        <w:t>22.  </w:t>
      </w:r>
      <w:r>
        <w:rPr>
          <w:rFonts w:ascii="Times New Roman" w:hAnsi="Times New Roman" w:cs="Times New Roman" w:eastAsia="Times New Roman" w:hint="default"/>
          <w:spacing w:val="6"/>
        </w:rPr>
        <w:t> </w:t>
      </w:r>
      <w:r>
        <w:rPr/>
        <w:t>长期资产减值</w:t>
      </w:r>
      <w:r>
        <w:rPr>
          <w:b w:val="0"/>
          <w:bCs w:val="0"/>
        </w:rPr>
      </w:r>
    </w:p>
    <w:p>
      <w:pPr>
        <w:pStyle w:val="BodyText"/>
        <w:tabs>
          <w:tab w:pos="1082" w:val="left" w:leader="none"/>
        </w:tabs>
        <w:spacing w:line="307" w:lineRule="auto" w:before="40"/>
        <w:ind w:left="617" w:right="142" w:hanging="480"/>
        <w:jc w:val="left"/>
      </w:pPr>
      <w:r>
        <w:rPr/>
        <w:t>√适用</w:t>
        <w:tab/>
        <w:t>□不适用</w:t>
      </w:r>
      <w:r>
        <w:rPr>
          <w:w w:val="100"/>
        </w:rPr>
        <w:t> </w:t>
      </w:r>
      <w:r>
        <w:rPr>
          <w:spacing w:val="-3"/>
        </w:rPr>
        <w:t>长期股权投资、采用成本模式计量的投资性房地产、固定资产、在建工程、无形资产等长期</w:t>
      </w:r>
    </w:p>
    <w:p>
      <w:pPr>
        <w:pStyle w:val="BodyText"/>
        <w:spacing w:line="314" w:lineRule="auto" w:before="26"/>
        <w:ind w:left="137" w:right="129"/>
        <w:jc w:val="both"/>
      </w:pPr>
      <w:r>
        <w:rPr>
          <w:spacing w:val="-1"/>
        </w:rPr>
        <w:t>资产，于资产负债表日存在减值迹象的，进行减值测试。减值测试结果表明资产的可收回金额低</w:t>
      </w:r>
      <w:r>
        <w:rPr>
          <w:spacing w:val="-55"/>
        </w:rPr>
        <w:t> </w:t>
      </w:r>
      <w:r>
        <w:rPr>
          <w:spacing w:val="-55"/>
        </w:rPr>
      </w:r>
      <w:r>
        <w:rPr>
          <w:spacing w:val="-1"/>
        </w:rPr>
        <w:t>于其账面价值的，按其差额计提减值准备并计入减值损失。可收回金额为资产的公允价值减去处</w:t>
      </w:r>
      <w:r>
        <w:rPr>
          <w:spacing w:val="-55"/>
        </w:rPr>
        <w:t> </w:t>
      </w:r>
      <w:r>
        <w:rPr>
          <w:spacing w:val="-55"/>
        </w:rPr>
      </w:r>
      <w:r>
        <w:rPr>
          <w:spacing w:val="-1"/>
        </w:rPr>
        <w:t>置费用后的净额与资产预计未来现金流量的现值两者之间的较高者。资产减值准备按单项资产为</w:t>
      </w:r>
      <w:r>
        <w:rPr>
          <w:spacing w:val="-55"/>
        </w:rPr>
        <w:t> </w:t>
      </w:r>
      <w:r>
        <w:rPr>
          <w:spacing w:val="-55"/>
        </w:rPr>
      </w:r>
      <w:r>
        <w:rPr>
          <w:spacing w:val="-1"/>
        </w:rPr>
        <w:t>基础计算并确认，如果难以对单项资产的可收回金额进行估计的，以该资产所属的资产组确定资</w:t>
      </w:r>
      <w:r>
        <w:rPr>
          <w:spacing w:val="-55"/>
        </w:rPr>
        <w:t> </w:t>
      </w:r>
      <w:r>
        <w:rPr>
          <w:spacing w:val="-55"/>
        </w:rPr>
      </w:r>
      <w:r>
        <w:rPr/>
        <w:t>产组的可收回金额。资产组是能够独立产生现金流入的最小资产组合。</w:t>
      </w:r>
    </w:p>
    <w:p>
      <w:pPr>
        <w:pStyle w:val="BodyText"/>
        <w:spacing w:line="314" w:lineRule="auto" w:before="20"/>
        <w:ind w:left="137" w:right="128" w:firstLine="420"/>
        <w:jc w:val="both"/>
      </w:pPr>
      <w:r>
        <w:rPr>
          <w:spacing w:val="-2"/>
        </w:rPr>
        <w:t>商誉至少在每年年度终了进行减值测试。本公司进行商誉减值测试，对于因企业合并形成的</w:t>
      </w:r>
      <w:r>
        <w:rPr>
          <w:w w:val="100"/>
        </w:rPr>
        <w:t> </w:t>
      </w:r>
      <w:r>
        <w:rPr>
          <w:spacing w:val="-6"/>
          <w:w w:val="100"/>
        </w:rPr>
        <w:t>商誉的账面价值，自购买日起按照合理的方法分摊至相关的资产组；难以分摊至相关的资产组的，</w:t>
      </w:r>
      <w:r>
        <w:rPr>
          <w:w w:val="100"/>
        </w:rPr>
        <w:t> </w:t>
      </w:r>
      <w:r>
        <w:rPr>
          <w:spacing w:val="-1"/>
        </w:rPr>
        <w:t>将其分摊至相关的资产组组合。在将商誉的账面价值分摊至相关的资产组或者资产组组合时，按</w:t>
      </w:r>
      <w:r>
        <w:rPr>
          <w:spacing w:val="-55"/>
        </w:rPr>
        <w:t> </w:t>
      </w:r>
      <w:r>
        <w:rPr>
          <w:spacing w:val="-55"/>
        </w:rPr>
      </w:r>
      <w:r>
        <w:rPr>
          <w:spacing w:val="-1"/>
        </w:rPr>
        <w:t>照各资产组或者资产组组合的公允价值占相关资产组或者资产组组合公允价值总额的比例进行分</w:t>
      </w:r>
      <w:r>
        <w:rPr>
          <w:spacing w:val="-55"/>
        </w:rPr>
        <w:t> </w:t>
      </w:r>
      <w:r>
        <w:rPr>
          <w:spacing w:val="-55"/>
        </w:rPr>
      </w:r>
      <w:r>
        <w:rPr>
          <w:spacing w:val="-1"/>
        </w:rPr>
        <w:t>摊。公允价值难以可靠计量的，按照各资产组或者资产组组合的账面价值占相关资产组或者资产</w:t>
      </w:r>
      <w:r>
        <w:rPr>
          <w:spacing w:val="-55"/>
        </w:rPr>
        <w:t> </w:t>
      </w:r>
      <w:r>
        <w:rPr>
          <w:spacing w:val="-55"/>
        </w:rPr>
      </w:r>
      <w:r>
        <w:rPr>
          <w:spacing w:val="-1"/>
        </w:rPr>
        <w:t>组组合账面价值总额的比例进行分摊。在对包含商誉的相关资产组或者资产组组合进行减值测试</w:t>
      </w:r>
      <w:r>
        <w:rPr>
          <w:spacing w:val="-55"/>
        </w:rPr>
        <w:t> </w:t>
      </w:r>
      <w:r>
        <w:rPr>
          <w:spacing w:val="-55"/>
        </w:rPr>
      </w:r>
      <w:r>
        <w:rPr>
          <w:spacing w:val="-1"/>
        </w:rPr>
        <w:t>时，如与商誉相关的资产组或者资产组组合存在减值迹象的，先对不包含商誉的资产组或者资产</w:t>
      </w:r>
      <w:r>
        <w:rPr>
          <w:spacing w:val="-55"/>
        </w:rPr>
        <w:t> </w:t>
      </w:r>
      <w:r>
        <w:rPr>
          <w:spacing w:val="-55"/>
        </w:rPr>
      </w:r>
      <w:r>
        <w:rPr>
          <w:spacing w:val="-1"/>
        </w:rPr>
        <w:t>组组合进行减值测试，计算可收回金额，并与相关账面价值相比较，确认相应的减值损失。再对</w:t>
      </w:r>
      <w:r>
        <w:rPr>
          <w:spacing w:val="-55"/>
        </w:rPr>
        <w:t> </w:t>
      </w:r>
      <w:r>
        <w:rPr>
          <w:spacing w:val="-55"/>
        </w:rPr>
      </w:r>
      <w:r>
        <w:rPr>
          <w:spacing w:val="-1"/>
        </w:rPr>
        <w:t>包含商誉的资产组或者资产组组合进行减值测试，比较这些相关资产组或者资产组组合的账面价</w:t>
      </w:r>
      <w:r>
        <w:rPr>
          <w:spacing w:val="-55"/>
        </w:rPr>
        <w:t> </w:t>
      </w:r>
      <w:r>
        <w:rPr>
          <w:spacing w:val="-55"/>
        </w:rPr>
      </w:r>
      <w:r>
        <w:rPr>
          <w:spacing w:val="-1"/>
        </w:rPr>
        <w:t>值（包括所分摊的商誉的账面价值部分）与其可收回金额，如相关资产组或者资产组组合的可收</w:t>
      </w:r>
    </w:p>
    <w:p>
      <w:pPr>
        <w:spacing w:after="0" w:line="314" w:lineRule="auto"/>
        <w:jc w:val="both"/>
        <w:sectPr>
          <w:pgSz w:w="11910" w:h="16840"/>
          <w:pgMar w:header="857" w:footer="979" w:top="1120" w:bottom="1160" w:left="1140" w:right="1660"/>
        </w:sectPr>
      </w:pPr>
    </w:p>
    <w:p>
      <w:pPr>
        <w:spacing w:line="240" w:lineRule="auto" w:before="5"/>
        <w:rPr>
          <w:rFonts w:ascii="宋体" w:hAnsi="宋体" w:cs="宋体" w:eastAsia="宋体" w:hint="default"/>
          <w:sz w:val="24"/>
          <w:szCs w:val="24"/>
        </w:rPr>
      </w:pPr>
    </w:p>
    <w:p>
      <w:pPr>
        <w:pStyle w:val="BodyText"/>
        <w:spacing w:line="314" w:lineRule="auto" w:before="36"/>
        <w:ind w:left="557" w:right="0" w:hanging="420"/>
        <w:jc w:val="left"/>
      </w:pPr>
      <w:r>
        <w:rPr/>
        <w:t>回金额低于其账面价值的，确认商誉的减值损失。</w:t>
      </w:r>
      <w:r>
        <w:rPr>
          <w:w w:val="100"/>
        </w:rPr>
        <w:t> </w:t>
      </w:r>
      <w:r>
        <w:rPr>
          <w:spacing w:val="-2"/>
        </w:rPr>
        <w:t>上述资产减值损失一经确认，在以后会计期间不予转回。</w:t>
      </w:r>
    </w:p>
    <w:p>
      <w:pPr>
        <w:pStyle w:val="Heading4"/>
        <w:spacing w:line="240" w:lineRule="auto" w:before="3"/>
        <w:ind w:left="137" w:right="0"/>
        <w:jc w:val="left"/>
        <w:rPr>
          <w:b w:val="0"/>
          <w:bCs w:val="0"/>
        </w:rPr>
      </w:pPr>
      <w:r>
        <w:rPr>
          <w:rFonts w:ascii="Times New Roman" w:hAnsi="Times New Roman" w:cs="Times New Roman" w:eastAsia="Times New Roman" w:hint="default"/>
        </w:rPr>
        <w:t>23.  </w:t>
      </w:r>
      <w:r>
        <w:rPr>
          <w:rFonts w:ascii="Times New Roman" w:hAnsi="Times New Roman" w:cs="Times New Roman" w:eastAsia="Times New Roman" w:hint="default"/>
          <w:spacing w:val="6"/>
        </w:rPr>
        <w:t> </w:t>
      </w:r>
      <w:r>
        <w:rPr/>
        <w:t>长期待摊费用</w:t>
      </w:r>
      <w:r>
        <w:rPr>
          <w:b w:val="0"/>
          <w:bCs w:val="0"/>
        </w:rPr>
      </w:r>
    </w:p>
    <w:p>
      <w:pPr>
        <w:pStyle w:val="BodyText"/>
        <w:tabs>
          <w:tab w:pos="1082" w:val="left" w:leader="none"/>
        </w:tabs>
        <w:spacing w:line="240" w:lineRule="auto" w:before="40"/>
        <w:ind w:left="137" w:right="0"/>
        <w:jc w:val="left"/>
      </w:pPr>
      <w:r>
        <w:rPr/>
        <w:t>√适用</w:t>
        <w:tab/>
        <w:t>□不适用</w:t>
      </w:r>
    </w:p>
    <w:p>
      <w:pPr>
        <w:pStyle w:val="BodyText"/>
        <w:spacing w:line="304" w:lineRule="auto" w:before="75"/>
        <w:ind w:left="137" w:right="129" w:firstLine="480"/>
        <w:jc w:val="both"/>
      </w:pPr>
      <w:r>
        <w:rPr>
          <w:spacing w:val="-2"/>
        </w:rPr>
        <w:t>长期待摊费用是指公司已经发生但应由本期和以后各期负担的分摊期限在</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2"/>
        </w:rPr>
        <w:t>年以上的各项费</w:t>
      </w:r>
      <w:r>
        <w:rPr>
          <w:w w:val="100"/>
        </w:rPr>
        <w:t> </w:t>
      </w:r>
      <w:r>
        <w:rPr>
          <w:spacing w:val="-1"/>
        </w:rPr>
        <w:t>用，包括以经营租赁方式租入的固定资产发生的改良支出等。长期待摊费用在相关项目的受益期</w:t>
      </w:r>
      <w:r>
        <w:rPr>
          <w:spacing w:val="-55"/>
        </w:rPr>
        <w:t> </w:t>
      </w:r>
      <w:r>
        <w:rPr>
          <w:spacing w:val="-55"/>
        </w:rPr>
      </w:r>
      <w:r>
        <w:rPr/>
        <w:t>内平均摊销。</w:t>
      </w:r>
    </w:p>
    <w:p>
      <w:pPr>
        <w:pStyle w:val="Heading4"/>
        <w:spacing w:line="240" w:lineRule="auto" w:before="11"/>
        <w:ind w:left="137" w:right="0"/>
        <w:jc w:val="left"/>
        <w:rPr>
          <w:b w:val="0"/>
          <w:bCs w:val="0"/>
        </w:rPr>
      </w:pPr>
      <w:r>
        <w:rPr>
          <w:rFonts w:ascii="Times New Roman" w:hAnsi="Times New Roman" w:cs="Times New Roman" w:eastAsia="Times New Roman" w:hint="default"/>
        </w:rPr>
        <w:t>24.  </w:t>
      </w:r>
      <w:r>
        <w:rPr>
          <w:rFonts w:ascii="Times New Roman" w:hAnsi="Times New Roman" w:cs="Times New Roman" w:eastAsia="Times New Roman" w:hint="default"/>
          <w:spacing w:val="6"/>
        </w:rPr>
        <w:t> </w:t>
      </w:r>
      <w:r>
        <w:rPr/>
        <w:t>职工薪酬</w:t>
      </w:r>
      <w:r>
        <w:rPr>
          <w:b w:val="0"/>
          <w:bCs w:val="0"/>
        </w:rPr>
      </w:r>
    </w:p>
    <w:p>
      <w:pPr>
        <w:pStyle w:val="BodyText"/>
        <w:spacing w:line="304" w:lineRule="auto" w:before="117"/>
        <w:ind w:left="137" w:right="129" w:firstLine="420"/>
        <w:jc w:val="both"/>
        <w:rPr>
          <w:sz w:val="24"/>
          <w:szCs w:val="24"/>
        </w:rPr>
      </w:pPr>
      <w:r>
        <w:rPr>
          <w:spacing w:val="-2"/>
        </w:rPr>
        <w:t>职工薪酬是指公司为获得职工提供的服务或解除劳动关系而给予的各种形式的报酬或补偿。</w:t>
      </w:r>
      <w:r>
        <w:rPr>
          <w:w w:val="100"/>
        </w:rPr>
        <w:t> </w:t>
      </w:r>
      <w:r>
        <w:rPr>
          <w:spacing w:val="-6"/>
        </w:rPr>
        <w:t>公司提供给职工配偶、子女、受赡养人、已故员工遗属及其他受益人等的福利，也属于职工薪酬。</w:t>
      </w:r>
      <w:r>
        <w:rPr>
          <w:spacing w:val="-52"/>
        </w:rPr>
        <w:t> </w:t>
      </w:r>
      <w:r>
        <w:rPr>
          <w:spacing w:val="-52"/>
        </w:rPr>
      </w:r>
      <w:r>
        <w:rPr>
          <w:spacing w:val="-1"/>
        </w:rPr>
        <w:t>职工薪酬主要包括短期薪酬、离职后福利、辞退福利和其他长期职工福利。根据流动性，职工薪</w:t>
      </w:r>
      <w:r>
        <w:rPr>
          <w:spacing w:val="-55"/>
        </w:rPr>
        <w:t> </w:t>
      </w:r>
      <w:r>
        <w:rPr>
          <w:spacing w:val="-55"/>
        </w:rPr>
      </w:r>
      <w:r>
        <w:rPr/>
        <w:t>酬分别列示于资产负债表的</w:t>
      </w: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项目和</w:t>
      </w:r>
      <w:r>
        <w:rPr>
          <w:rFonts w:ascii="Times New Roman" w:hAnsi="Times New Roman" w:cs="Times New Roman" w:eastAsia="Times New Roman" w:hint="default"/>
        </w:rPr>
        <w:t>“</w:t>
      </w:r>
      <w:r>
        <w:rPr/>
        <w:t>长期应付职工薪酬</w:t>
      </w:r>
      <w:r>
        <w:rPr>
          <w:rFonts w:ascii="Times New Roman" w:hAnsi="Times New Roman" w:cs="Times New Roman" w:eastAsia="Times New Roman" w:hint="default"/>
        </w:rPr>
        <w:t>”</w:t>
      </w:r>
      <w:r>
        <w:rPr/>
        <w:t>项目</w:t>
      </w:r>
      <w:r>
        <w:rPr>
          <w:sz w:val="24"/>
          <w:szCs w:val="24"/>
        </w:rPr>
        <w:t>。</w:t>
      </w:r>
    </w:p>
    <w:p>
      <w:pPr>
        <w:pStyle w:val="Heading4"/>
        <w:spacing w:line="275" w:lineRule="exact" w:before="0"/>
        <w:ind w:left="137"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4"/>
        </w:rPr>
        <w:t> </w:t>
      </w:r>
      <w:r>
        <w:rPr/>
        <w:t>短期薪酬的会计处理方法</w:t>
      </w:r>
      <w:r>
        <w:rPr>
          <w:b w:val="0"/>
          <w:bCs w:val="0"/>
        </w:rPr>
      </w:r>
    </w:p>
    <w:p>
      <w:pPr>
        <w:pStyle w:val="BodyText"/>
        <w:tabs>
          <w:tab w:pos="1082" w:val="left" w:leader="none"/>
        </w:tabs>
        <w:spacing w:line="304" w:lineRule="auto" w:before="43"/>
        <w:ind w:left="617" w:right="142" w:hanging="480"/>
        <w:jc w:val="left"/>
      </w:pPr>
      <w:r>
        <w:rPr/>
        <w:t>√适用</w:t>
        <w:tab/>
        <w:t>□不适用</w:t>
      </w:r>
      <w:r>
        <w:rPr>
          <w:w w:val="100"/>
        </w:rPr>
        <w:t> </w:t>
      </w:r>
      <w:r>
        <w:rPr>
          <w:spacing w:val="2"/>
        </w:rPr>
        <w:t>短期薪酬是指本公司在职工提供相关服务的年度报告期间结束后十二个月内需要全部予以</w:t>
      </w:r>
    </w:p>
    <w:p>
      <w:pPr>
        <w:pStyle w:val="BodyText"/>
        <w:spacing w:line="314" w:lineRule="auto" w:before="28"/>
        <w:ind w:left="137" w:right="0"/>
        <w:jc w:val="left"/>
      </w:pPr>
      <w:r>
        <w:rPr>
          <w:spacing w:val="-1"/>
        </w:rPr>
        <w:t>支付的职工薪酬，离职后福利和辞退福利除外。本公司在职工提供服务的会计期间，将应付的短</w:t>
      </w:r>
      <w:r>
        <w:rPr>
          <w:spacing w:val="-55"/>
        </w:rPr>
        <w:t> </w:t>
      </w:r>
      <w:r>
        <w:rPr>
          <w:spacing w:val="-55"/>
        </w:rPr>
      </w:r>
      <w:r>
        <w:rPr/>
        <w:t>期薪酬确认为负债，并根据职工提供服务的受益对象计入当期损益或相关资产成本和费用。</w:t>
      </w:r>
    </w:p>
    <w:p>
      <w:pPr>
        <w:pStyle w:val="Heading4"/>
        <w:spacing w:line="240" w:lineRule="auto" w:before="3"/>
        <w:ind w:left="137"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2"/>
        </w:rPr>
        <w:t> </w:t>
      </w:r>
      <w:r>
        <w:rPr/>
        <w:t>离职后福利的会计处理方法</w:t>
      </w:r>
      <w:r>
        <w:rPr>
          <w:b w:val="0"/>
          <w:bCs w:val="0"/>
        </w:rPr>
      </w:r>
    </w:p>
    <w:p>
      <w:pPr>
        <w:pStyle w:val="BodyText"/>
        <w:tabs>
          <w:tab w:pos="1082" w:val="left" w:leader="none"/>
        </w:tabs>
        <w:spacing w:line="304" w:lineRule="auto" w:before="43"/>
        <w:ind w:left="557" w:right="142" w:hanging="420"/>
        <w:jc w:val="left"/>
      </w:pPr>
      <w:r>
        <w:rPr/>
        <w:t>√适用</w:t>
        <w:tab/>
        <w:t>□不适用</w:t>
      </w:r>
      <w:r>
        <w:rPr>
          <w:w w:val="100"/>
        </w:rPr>
        <w:t> </w:t>
      </w:r>
      <w:r>
        <w:rPr>
          <w:spacing w:val="-2"/>
        </w:rPr>
        <w:t>离职后福利是指公司为获得职工提供的服务而在职工退休或与公司解除劳动关系后，提供的</w:t>
      </w:r>
    </w:p>
    <w:p>
      <w:pPr>
        <w:pStyle w:val="BodyText"/>
        <w:spacing w:line="314" w:lineRule="auto" w:before="28"/>
        <w:ind w:left="137" w:right="129"/>
        <w:jc w:val="both"/>
      </w:pPr>
      <w:r>
        <w:rPr>
          <w:spacing w:val="-1"/>
        </w:rPr>
        <w:t>各种形式的报酬和福利，短期薪酬和辞退福利除外。离职后福利计划包括设定提存计划和设定受</w:t>
      </w:r>
      <w:r>
        <w:rPr>
          <w:spacing w:val="-55"/>
        </w:rPr>
        <w:t> </w:t>
      </w:r>
      <w:r>
        <w:rPr>
          <w:spacing w:val="-55"/>
        </w:rPr>
      </w:r>
      <w:r>
        <w:rPr>
          <w:spacing w:val="-1"/>
        </w:rPr>
        <w:t>益计划。其中，设定提存计划，是指向独立的基金缴存固定费用后，本公司不再承担进一步支付</w:t>
      </w:r>
      <w:r>
        <w:rPr>
          <w:spacing w:val="-55"/>
        </w:rPr>
        <w:t> </w:t>
      </w:r>
      <w:r>
        <w:rPr>
          <w:spacing w:val="-55"/>
        </w:rPr>
      </w:r>
      <w:r>
        <w:rPr/>
        <w:t>义务的离职后福利计划；设定受益计划，是指除设定提存计划以外的离职后福利计划。</w:t>
      </w:r>
    </w:p>
    <w:p>
      <w:pPr>
        <w:pStyle w:val="BodyText"/>
        <w:spacing w:line="297" w:lineRule="auto" w:before="20"/>
        <w:ind w:left="557" w:right="0"/>
        <w:jc w:val="left"/>
      </w:pPr>
      <w:r>
        <w:rPr/>
        <w:t>（</w:t>
      </w:r>
      <w:r>
        <w:rPr>
          <w:rFonts w:ascii="Times New Roman" w:hAnsi="Times New Roman" w:cs="Times New Roman" w:eastAsia="Times New Roman" w:hint="default"/>
        </w:rPr>
        <w:t>1</w:t>
      </w:r>
      <w:r>
        <w:rPr/>
        <w:t>）设定提存计划</w:t>
      </w:r>
      <w:r>
        <w:rPr>
          <w:w w:val="100"/>
        </w:rPr>
        <w:t> </w:t>
      </w:r>
      <w:r>
        <w:rPr>
          <w:spacing w:val="-2"/>
        </w:rPr>
        <w:t>设定提存计划包括基本养老保险、失业保险以及企业年金计划（如有）。在职工为本公司提</w:t>
      </w:r>
    </w:p>
    <w:p>
      <w:pPr>
        <w:pStyle w:val="BodyText"/>
        <w:spacing w:line="314" w:lineRule="auto" w:before="34"/>
        <w:ind w:left="137" w:right="0"/>
        <w:jc w:val="left"/>
      </w:pPr>
      <w:r>
        <w:rPr>
          <w:spacing w:val="-1"/>
        </w:rPr>
        <w:t>供服务的会计期间，按以当地规定的缴纳基数和比例计算应缴纳金额，确认为负债，并计入当期</w:t>
      </w:r>
      <w:r>
        <w:rPr>
          <w:spacing w:val="-55"/>
        </w:rPr>
        <w:t> </w:t>
      </w:r>
      <w:r>
        <w:rPr>
          <w:spacing w:val="-55"/>
        </w:rPr>
      </w:r>
      <w:r>
        <w:rPr/>
        <w:t>损益或相关资产成本。</w:t>
      </w:r>
    </w:p>
    <w:p>
      <w:pPr>
        <w:pStyle w:val="BodyText"/>
        <w:spacing w:line="297" w:lineRule="auto" w:before="20"/>
        <w:ind w:left="557" w:right="0"/>
        <w:jc w:val="left"/>
      </w:pPr>
      <w:r>
        <w:rPr/>
        <w:t>（</w:t>
      </w:r>
      <w:r>
        <w:rPr>
          <w:rFonts w:ascii="Times New Roman" w:hAnsi="Times New Roman" w:cs="Times New Roman" w:eastAsia="Times New Roman" w:hint="default"/>
        </w:rPr>
        <w:t>2</w:t>
      </w:r>
      <w:r>
        <w:rPr/>
        <w:t>）设定受益计划</w:t>
      </w:r>
      <w:r>
        <w:rPr>
          <w:w w:val="100"/>
        </w:rPr>
        <w:t> </w:t>
      </w:r>
      <w:r>
        <w:rPr>
          <w:spacing w:val="-2"/>
        </w:rPr>
        <w:t>本公司根据预期累计福利单位法确定的公式将设定受益计划产生的福利义务归属于职工提供</w:t>
      </w:r>
    </w:p>
    <w:p>
      <w:pPr>
        <w:pStyle w:val="BodyText"/>
        <w:spacing w:line="314" w:lineRule="auto" w:before="34"/>
        <w:ind w:left="137" w:right="0"/>
        <w:jc w:val="left"/>
      </w:pPr>
      <w:r>
        <w:rPr>
          <w:spacing w:val="-1"/>
        </w:rPr>
        <w:t>服务的期间，并计入当期损益或相关资产成本。本公司设定受益计划导致的职工薪酬成本包括下</w:t>
      </w:r>
      <w:r>
        <w:rPr>
          <w:spacing w:val="-55"/>
        </w:rPr>
        <w:t> </w:t>
      </w:r>
      <w:r>
        <w:rPr>
          <w:spacing w:val="-55"/>
        </w:rPr>
      </w:r>
      <w:r>
        <w:rPr/>
        <w:t>列组成部分：</w:t>
      </w:r>
    </w:p>
    <w:p>
      <w:pPr>
        <w:pStyle w:val="BodyText"/>
        <w:spacing w:line="304" w:lineRule="auto" w:before="20"/>
        <w:ind w:left="137" w:right="128" w:firstLine="420"/>
        <w:jc w:val="both"/>
      </w:pPr>
      <w:r>
        <w:rPr>
          <w:rFonts w:ascii="Times New Roman" w:hAnsi="Times New Roman" w:cs="Times New Roman" w:eastAsia="Times New Roman" w:hint="default"/>
          <w:spacing w:val="-5"/>
        </w:rPr>
        <w:t>A</w:t>
      </w:r>
      <w:r>
        <w:rPr>
          <w:spacing w:val="-5"/>
        </w:rPr>
        <w:t>．服务成本，包括当期服务成本、过去服务成本和结算利得或损失。其中，当期服务成本，</w:t>
      </w:r>
      <w:r>
        <w:rPr>
          <w:w w:val="100"/>
        </w:rPr>
        <w:t> </w:t>
      </w:r>
      <w:r>
        <w:rPr>
          <w:spacing w:val="-1"/>
        </w:rPr>
        <w:t>是指职工当期提供服务所导致的设定受益计划义务现值的增加额；过去服务成本，是指设定受益</w:t>
      </w:r>
      <w:r>
        <w:rPr>
          <w:spacing w:val="-55"/>
        </w:rPr>
        <w:t> </w:t>
      </w:r>
      <w:r>
        <w:rPr>
          <w:spacing w:val="-55"/>
        </w:rPr>
      </w:r>
      <w:r>
        <w:rPr/>
        <w:t>计划修改所导致的与以前期间职工服务相关的设定受益计划义务现值的增加或减少。</w:t>
      </w:r>
    </w:p>
    <w:p>
      <w:pPr>
        <w:pStyle w:val="BodyText"/>
        <w:spacing w:line="297" w:lineRule="auto" w:before="28"/>
        <w:ind w:left="137" w:right="133" w:firstLine="420"/>
        <w:jc w:val="both"/>
      </w:pPr>
      <w:r>
        <w:rPr>
          <w:rFonts w:ascii="Times New Roman" w:hAnsi="Times New Roman" w:cs="Times New Roman" w:eastAsia="Times New Roman" w:hint="default"/>
        </w:rPr>
        <w:t>B</w:t>
      </w:r>
      <w:r>
        <w:rPr/>
        <w:t>．设定受益计划净负债或净资产的利息净额，包括计划资产的利息收益、设定受益计划义</w:t>
      </w:r>
      <w:r>
        <w:rPr>
          <w:w w:val="100"/>
        </w:rPr>
        <w:t> </w:t>
      </w:r>
      <w:r>
        <w:rPr/>
        <w:t>务的利息费用以及资产上限影响的利息。</w:t>
      </w:r>
    </w:p>
    <w:p>
      <w:pPr>
        <w:pStyle w:val="BodyText"/>
        <w:spacing w:line="297" w:lineRule="auto" w:before="34"/>
        <w:ind w:left="557" w:right="125"/>
        <w:jc w:val="left"/>
      </w:pPr>
      <w:r>
        <w:rPr>
          <w:rFonts w:ascii="Times New Roman" w:hAnsi="Times New Roman" w:cs="Times New Roman" w:eastAsia="Times New Roman" w:hint="default"/>
        </w:rPr>
        <w:t>C</w:t>
      </w:r>
      <w:r>
        <w:rPr/>
        <w:t>．重新计量设定受益计划净负债或净资产所产生的变动。</w:t>
      </w:r>
      <w:r>
        <w:rPr>
          <w:w w:val="100"/>
        </w:rPr>
        <w:t> </w:t>
      </w:r>
      <w:r>
        <w:rPr>
          <w:spacing w:val="-4"/>
        </w:rPr>
        <w:t>除非其他会计准则要求或允许职工福利成本计入资产成本，本公司将上述第</w:t>
      </w:r>
      <w:r>
        <w:rPr>
          <w:spacing w:val="-41"/>
        </w:rPr>
        <w:t> </w:t>
      </w:r>
      <w:r>
        <w:rPr>
          <w:rFonts w:ascii="Times New Roman" w:hAnsi="Times New Roman" w:cs="Times New Roman" w:eastAsia="Times New Roman" w:hint="default"/>
        </w:rPr>
        <w:t>A</w:t>
      </w:r>
      <w:r>
        <w:rPr>
          <w:rFonts w:ascii="Times New Roman" w:hAnsi="Times New Roman" w:cs="Times New Roman" w:eastAsia="Times New Roman" w:hint="default"/>
          <w:spacing w:val="14"/>
        </w:rPr>
        <w:t> </w:t>
      </w:r>
      <w:r>
        <w:rPr/>
        <w:t>和</w:t>
      </w:r>
      <w:r>
        <w:rPr>
          <w:spacing w:val="-37"/>
        </w:rPr>
        <w:t> </w:t>
      </w:r>
      <w:r>
        <w:rPr>
          <w:rFonts w:ascii="Times New Roman" w:hAnsi="Times New Roman" w:cs="Times New Roman" w:eastAsia="Times New Roman" w:hint="default"/>
        </w:rPr>
        <w:t>B</w:t>
      </w:r>
      <w:r>
        <w:rPr>
          <w:rFonts w:ascii="Times New Roman" w:hAnsi="Times New Roman" w:cs="Times New Roman" w:eastAsia="Times New Roman" w:hint="default"/>
          <w:spacing w:val="13"/>
        </w:rPr>
        <w:t> </w:t>
      </w:r>
      <w:r>
        <w:rPr/>
        <w:t>项计入当</w:t>
      </w:r>
    </w:p>
    <w:p>
      <w:pPr>
        <w:spacing w:after="0" w:line="297" w:lineRule="auto"/>
        <w:jc w:val="left"/>
        <w:sectPr>
          <w:pgSz w:w="11910" w:h="16840"/>
          <w:pgMar w:header="857" w:footer="979" w:top="1120" w:bottom="1160" w:left="1140" w:right="1660"/>
        </w:sectPr>
      </w:pPr>
    </w:p>
    <w:p>
      <w:pPr>
        <w:spacing w:line="240" w:lineRule="auto" w:before="5"/>
        <w:rPr>
          <w:rFonts w:ascii="宋体" w:hAnsi="宋体" w:cs="宋体" w:eastAsia="宋体" w:hint="default"/>
          <w:sz w:val="24"/>
          <w:szCs w:val="24"/>
        </w:rPr>
      </w:pPr>
    </w:p>
    <w:p>
      <w:pPr>
        <w:pStyle w:val="BodyText"/>
        <w:spacing w:line="297" w:lineRule="auto" w:before="36"/>
        <w:ind w:left="137" w:right="129"/>
        <w:jc w:val="both"/>
      </w:pPr>
      <w:r>
        <w:rPr>
          <w:spacing w:val="-4"/>
        </w:rPr>
        <w:t>期损益；第</w:t>
      </w:r>
      <w:r>
        <w:rPr>
          <w:spacing w:val="-59"/>
        </w:rPr>
        <w:t> </w:t>
      </w:r>
      <w:r>
        <w:rPr>
          <w:rFonts w:ascii="Times New Roman" w:hAnsi="Times New Roman" w:cs="Times New Roman" w:eastAsia="Times New Roman" w:hint="default"/>
        </w:rPr>
        <w:t>C</w:t>
      </w:r>
      <w:r>
        <w:rPr>
          <w:rFonts w:ascii="Times New Roman" w:hAnsi="Times New Roman" w:cs="Times New Roman" w:eastAsia="Times New Roman" w:hint="default"/>
          <w:spacing w:val="-3"/>
        </w:rPr>
        <w:t> </w:t>
      </w:r>
      <w:r>
        <w:rPr/>
        <w:t>项计入其他综合收益且不会在后续会计期间转回至损益，但可以在权益范围内转移</w:t>
      </w:r>
      <w:r>
        <w:rPr>
          <w:w w:val="100"/>
        </w:rPr>
        <w:t> </w:t>
      </w:r>
      <w:r>
        <w:rPr/>
        <w:t>这些在其他综合收益中确认的金额。</w:t>
      </w:r>
    </w:p>
    <w:p>
      <w:pPr>
        <w:pStyle w:val="Heading4"/>
        <w:spacing w:line="240" w:lineRule="auto" w:before="18"/>
        <w:ind w:left="137" w:right="0"/>
        <w:jc w:val="both"/>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4"/>
        </w:rPr>
        <w:t> </w:t>
      </w:r>
      <w:r>
        <w:rPr/>
        <w:t>辞退福利的会计处理方法</w:t>
      </w:r>
      <w:r>
        <w:rPr>
          <w:b w:val="0"/>
          <w:bCs w:val="0"/>
        </w:rPr>
      </w:r>
    </w:p>
    <w:p>
      <w:pPr>
        <w:pStyle w:val="BodyText"/>
        <w:tabs>
          <w:tab w:pos="1082" w:val="left" w:leader="none"/>
        </w:tabs>
        <w:spacing w:line="307" w:lineRule="auto" w:before="40"/>
        <w:ind w:left="617" w:right="142" w:hanging="480"/>
        <w:jc w:val="left"/>
      </w:pPr>
      <w:r>
        <w:rPr/>
        <w:t>√适用</w:t>
        <w:tab/>
        <w:t>□不适用</w:t>
      </w:r>
      <w:r>
        <w:rPr>
          <w:w w:val="100"/>
        </w:rPr>
        <w:t> </w:t>
      </w:r>
      <w:r>
        <w:rPr>
          <w:spacing w:val="-3"/>
        </w:rPr>
        <w:t>辞退福利是指公司在职工劳动合同到期之前解除与职工的劳动关系，或者为鼓励职工自愿接</w:t>
      </w:r>
    </w:p>
    <w:p>
      <w:pPr>
        <w:pStyle w:val="BodyText"/>
        <w:spacing w:line="304" w:lineRule="auto" w:before="26"/>
        <w:ind w:left="137" w:right="128"/>
        <w:jc w:val="both"/>
      </w:pPr>
      <w:r>
        <w:rPr>
          <w:spacing w:val="-1"/>
        </w:rPr>
        <w:t>受裁减而给予职工的补偿。公司向职工提供辞退福利的，在下列两者孰早日确认辞退福利产生的</w:t>
      </w:r>
      <w:r>
        <w:rPr>
          <w:spacing w:val="-55"/>
        </w:rPr>
        <w:t> </w:t>
      </w:r>
      <w:r>
        <w:rPr>
          <w:spacing w:val="-55"/>
        </w:rPr>
      </w:r>
      <w:r>
        <w:rPr>
          <w:spacing w:val="-4"/>
        </w:rPr>
        <w:t>职工薪酬负债，并计入当期损益：（</w:t>
      </w:r>
      <w:r>
        <w:rPr>
          <w:rFonts w:ascii="Times New Roman" w:hAnsi="Times New Roman" w:cs="Times New Roman" w:eastAsia="Times New Roman" w:hint="default"/>
          <w:spacing w:val="-4"/>
        </w:rPr>
        <w:t>1</w:t>
      </w:r>
      <w:r>
        <w:rPr>
          <w:spacing w:val="-4"/>
        </w:rPr>
        <w:t>）公司不能单方面撤回因解除劳动关系计划或裁减建议所提</w:t>
      </w:r>
      <w:r>
        <w:rPr>
          <w:spacing w:val="-33"/>
        </w:rPr>
        <w:t> </w:t>
      </w:r>
      <w:r>
        <w:rPr>
          <w:spacing w:val="-33"/>
        </w:rPr>
      </w:r>
      <w:r>
        <w:rPr/>
        <w:t>供的辞退福利时；（</w:t>
      </w:r>
      <w:r>
        <w:rPr>
          <w:rFonts w:ascii="Times New Roman" w:hAnsi="Times New Roman" w:cs="Times New Roman" w:eastAsia="Times New Roman" w:hint="default"/>
        </w:rPr>
        <w:t>2</w:t>
      </w:r>
      <w:r>
        <w:rPr/>
        <w:t>）公司确认与涉及支付辞退福利的重组相关的成本或费用时。</w:t>
      </w:r>
    </w:p>
    <w:p>
      <w:pPr>
        <w:pStyle w:val="BodyText"/>
        <w:spacing w:line="314" w:lineRule="auto" w:before="6"/>
        <w:ind w:left="137" w:right="129" w:firstLine="420"/>
        <w:jc w:val="both"/>
      </w:pPr>
      <w:r>
        <w:rPr>
          <w:spacing w:val="-2"/>
        </w:rPr>
        <w:t>公司实行职工内部退休计划的，在正式退休日之前的经济补偿，属于辞退福利，自职工停止</w:t>
      </w:r>
      <w:r>
        <w:rPr>
          <w:w w:val="100"/>
        </w:rPr>
        <w:t> </w:t>
      </w:r>
      <w:r>
        <w:rPr>
          <w:spacing w:val="-1"/>
        </w:rPr>
        <w:t>提供服务日至正常退休日期间，拟支付的内退职工工资和缴纳的社会保险费等一次性计入当期损</w:t>
      </w:r>
      <w:r>
        <w:rPr>
          <w:spacing w:val="-55"/>
        </w:rPr>
        <w:t> </w:t>
      </w:r>
      <w:r>
        <w:rPr>
          <w:spacing w:val="-55"/>
        </w:rPr>
      </w:r>
      <w:r>
        <w:rPr/>
        <w:t>益；职工正式退休日期之后的经济补偿（如正常养老退休金），按照离职后福利处理。</w:t>
      </w:r>
    </w:p>
    <w:p>
      <w:pPr>
        <w:pStyle w:val="Heading4"/>
        <w:spacing w:line="240" w:lineRule="auto" w:before="3"/>
        <w:ind w:left="137" w:right="0"/>
        <w:jc w:val="both"/>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3"/>
        </w:rPr>
        <w:t> </w:t>
      </w:r>
      <w:r>
        <w:rPr/>
        <w:t>其他长期职工福利的会计处理方法</w:t>
      </w:r>
      <w:r>
        <w:rPr>
          <w:b w:val="0"/>
          <w:bCs w:val="0"/>
        </w:rPr>
      </w:r>
    </w:p>
    <w:p>
      <w:pPr>
        <w:pStyle w:val="BodyText"/>
        <w:tabs>
          <w:tab w:pos="1082" w:val="left" w:leader="none"/>
        </w:tabs>
        <w:spacing w:line="307" w:lineRule="auto" w:before="40"/>
        <w:ind w:left="617" w:right="142" w:hanging="480"/>
        <w:jc w:val="left"/>
      </w:pPr>
      <w:r>
        <w:rPr/>
        <w:t>√适用</w:t>
        <w:tab/>
        <w:t>□不适用</w:t>
      </w:r>
      <w:r>
        <w:rPr>
          <w:w w:val="100"/>
        </w:rPr>
        <w:t> </w:t>
      </w:r>
      <w:r>
        <w:rPr>
          <w:spacing w:val="-3"/>
        </w:rPr>
        <w:t>其他长期职工福利，是指除短期薪酬、离职后福利、辞退福利之外所有的职工薪酬，包括长</w:t>
      </w:r>
    </w:p>
    <w:p>
      <w:pPr>
        <w:pStyle w:val="BodyText"/>
        <w:spacing w:line="314" w:lineRule="auto" w:before="26"/>
        <w:ind w:left="137" w:right="138"/>
        <w:jc w:val="both"/>
      </w:pPr>
      <w:r>
        <w:rPr>
          <w:spacing w:val="-2"/>
        </w:rPr>
        <w:t>期带薪缺勤、长期残疾福利、长期利润分享计划等。本公司向职工提供的其他长期职工福利，符</w:t>
      </w:r>
      <w:r>
        <w:rPr>
          <w:spacing w:val="-25"/>
        </w:rPr>
        <w:t> </w:t>
      </w:r>
      <w:r>
        <w:rPr>
          <w:spacing w:val="-25"/>
        </w:rPr>
      </w:r>
      <w:r>
        <w:rPr>
          <w:spacing w:val="-2"/>
        </w:rPr>
        <w:t>合设定提存计划条件的，按照设定提存计划的有关规定进行处理；除上述情形外的其他长期职工</w:t>
      </w:r>
      <w:r>
        <w:rPr>
          <w:spacing w:val="-25"/>
        </w:rPr>
        <w:t> </w:t>
      </w:r>
      <w:r>
        <w:rPr>
          <w:spacing w:val="-25"/>
        </w:rPr>
      </w:r>
      <w:r>
        <w:rPr>
          <w:spacing w:val="-2"/>
        </w:rPr>
        <w:t>福利，按照设定受益计划的有关规定，确认和计量其他长期职工福利净负债或净资产。在报告期</w:t>
      </w:r>
      <w:r>
        <w:rPr>
          <w:spacing w:val="-25"/>
        </w:rPr>
        <w:t> </w:t>
      </w:r>
      <w:r>
        <w:rPr>
          <w:spacing w:val="-25"/>
        </w:rPr>
      </w:r>
      <w:r>
        <w:rPr>
          <w:spacing w:val="-2"/>
        </w:rPr>
        <w:t>末，公司将其他长期职工福利产生的福利义务归属于职工提供服务期间，并计入当期损益或相关</w:t>
      </w:r>
      <w:r>
        <w:rPr>
          <w:spacing w:val="-25"/>
        </w:rPr>
        <w:t> </w:t>
      </w:r>
      <w:r>
        <w:rPr>
          <w:spacing w:val="-25"/>
        </w:rPr>
      </w:r>
      <w:r>
        <w:rPr/>
        <w:t>资产成本。</w:t>
      </w:r>
    </w:p>
    <w:p>
      <w:pPr>
        <w:pStyle w:val="Heading4"/>
        <w:spacing w:line="240" w:lineRule="auto" w:before="3"/>
        <w:ind w:left="137" w:right="0"/>
        <w:jc w:val="both"/>
        <w:rPr>
          <w:b w:val="0"/>
          <w:bCs w:val="0"/>
        </w:rPr>
      </w:pPr>
      <w:r>
        <w:rPr>
          <w:rFonts w:ascii="Times New Roman" w:hAnsi="Times New Roman" w:cs="Times New Roman" w:eastAsia="Times New Roman" w:hint="default"/>
        </w:rPr>
        <w:t>25.  </w:t>
      </w:r>
      <w:r>
        <w:rPr>
          <w:rFonts w:ascii="Times New Roman" w:hAnsi="Times New Roman" w:cs="Times New Roman" w:eastAsia="Times New Roman" w:hint="default"/>
          <w:spacing w:val="6"/>
        </w:rPr>
        <w:t> </w:t>
      </w:r>
      <w:r>
        <w:rPr/>
        <w:t>预计负债</w:t>
      </w:r>
      <w:r>
        <w:rPr>
          <w:b w:val="0"/>
          <w:bCs w:val="0"/>
        </w:rPr>
      </w:r>
    </w:p>
    <w:p>
      <w:pPr>
        <w:pStyle w:val="BodyText"/>
        <w:tabs>
          <w:tab w:pos="1082" w:val="left" w:leader="none"/>
        </w:tabs>
        <w:spacing w:line="307" w:lineRule="auto" w:before="40"/>
        <w:ind w:left="617" w:right="142" w:hanging="480"/>
        <w:jc w:val="left"/>
      </w:pPr>
      <w:r>
        <w:rPr/>
        <w:t>√适用</w:t>
        <w:tab/>
        <w:t>□不适用</w:t>
      </w:r>
      <w:r>
        <w:rPr>
          <w:w w:val="100"/>
        </w:rPr>
        <w:t> </w:t>
      </w:r>
      <w:r>
        <w:rPr/>
        <w:t>公司如果发生与或有事项相关的义务且同时符合以下条件，则将其确认为预计负债：（</w:t>
      </w:r>
      <w:r>
        <w:rPr>
          <w:rFonts w:ascii="Times New Roman" w:hAnsi="Times New Roman" w:cs="Times New Roman" w:eastAsia="Times New Roman" w:hint="default"/>
        </w:rPr>
        <w:t>1</w:t>
      </w:r>
      <w:r>
        <w:rPr/>
        <w:t>）</w:t>
      </w:r>
    </w:p>
    <w:p>
      <w:pPr>
        <w:pStyle w:val="BodyText"/>
        <w:spacing w:line="297" w:lineRule="auto" w:before="4"/>
        <w:ind w:left="137" w:right="128"/>
        <w:jc w:val="both"/>
      </w:pPr>
      <w:r>
        <w:rPr>
          <w:spacing w:val="-1"/>
        </w:rPr>
        <w:t>该义务是公司承担的现时义务；（</w:t>
      </w:r>
      <w:r>
        <w:rPr>
          <w:rFonts w:ascii="Times New Roman" w:hAnsi="Times New Roman" w:cs="Times New Roman" w:eastAsia="Times New Roman" w:hint="default"/>
          <w:spacing w:val="-1"/>
        </w:rPr>
        <w:t>2</w:t>
      </w:r>
      <w:r>
        <w:rPr>
          <w:spacing w:val="-1"/>
        </w:rPr>
        <w:t>）该义务的履行很可能导致经济利益的流出；（</w:t>
      </w:r>
      <w:r>
        <w:rPr>
          <w:rFonts w:ascii="Times New Roman" w:hAnsi="Times New Roman" w:cs="Times New Roman" w:eastAsia="Times New Roman" w:hint="default"/>
          <w:spacing w:val="-1"/>
        </w:rPr>
        <w:t>3</w:t>
      </w:r>
      <w:r>
        <w:rPr>
          <w:spacing w:val="-1"/>
        </w:rPr>
        <w:t>）该义务的</w:t>
      </w:r>
      <w:r>
        <w:rPr>
          <w:spacing w:val="-54"/>
        </w:rPr>
        <w:t> </w:t>
      </w:r>
      <w:r>
        <w:rPr>
          <w:spacing w:val="-54"/>
        </w:rPr>
      </w:r>
      <w:r>
        <w:rPr/>
        <w:t>金额能够可靠地计量。</w:t>
      </w:r>
    </w:p>
    <w:p>
      <w:pPr>
        <w:pStyle w:val="BodyText"/>
        <w:spacing w:line="314" w:lineRule="auto" w:before="34"/>
        <w:ind w:left="137" w:right="129" w:firstLine="420"/>
        <w:jc w:val="both"/>
      </w:pPr>
      <w:r>
        <w:rPr>
          <w:spacing w:val="-2"/>
        </w:rPr>
        <w:t>预计负债按照履行相关现时义务所需支出的最佳估计数进行初始计量，并综合考虑与或有事</w:t>
      </w:r>
      <w:r>
        <w:rPr>
          <w:w w:val="100"/>
        </w:rPr>
        <w:t> </w:t>
      </w:r>
      <w:r>
        <w:rPr>
          <w:spacing w:val="-1"/>
        </w:rPr>
        <w:t>项有关的风险、不确定性和货币时间价值等因素。货币时间价值影响重大的，通过对相关未来现</w:t>
      </w:r>
      <w:r>
        <w:rPr>
          <w:spacing w:val="-55"/>
        </w:rPr>
        <w:t> </w:t>
      </w:r>
      <w:r>
        <w:rPr>
          <w:spacing w:val="-55"/>
        </w:rPr>
      </w:r>
      <w:r>
        <w:rPr/>
        <w:t>金流出进行折现后确定最佳估计数。</w:t>
      </w:r>
    </w:p>
    <w:p>
      <w:pPr>
        <w:pStyle w:val="BodyText"/>
        <w:spacing w:line="314" w:lineRule="auto" w:before="20"/>
        <w:ind w:left="137" w:right="131" w:firstLine="420"/>
        <w:jc w:val="both"/>
      </w:pPr>
      <w:r>
        <w:rPr>
          <w:spacing w:val="-2"/>
        </w:rPr>
        <w:t>在资产负债表日，公司对预计负债的账面价值进行复核，有确凿证据表明该账面价值不能真</w:t>
      </w:r>
      <w:r>
        <w:rPr>
          <w:w w:val="100"/>
        </w:rPr>
        <w:t> </w:t>
      </w:r>
      <w:r>
        <w:rPr/>
        <w:t>实反映当前最佳估计数的，按照当前最佳估计数对该账面价值进行调整。</w:t>
      </w:r>
    </w:p>
    <w:p>
      <w:pPr>
        <w:pStyle w:val="BodyText"/>
        <w:spacing w:line="314" w:lineRule="auto" w:before="20"/>
        <w:ind w:left="137" w:right="138" w:firstLine="420"/>
        <w:jc w:val="both"/>
      </w:pPr>
      <w:r>
        <w:rPr>
          <w:spacing w:val="-2"/>
        </w:rPr>
        <w:t>如果清偿已确认预计负债所需支出全部或部分预期由第三方或其他方补偿的，补偿金额只有</w:t>
      </w:r>
      <w:r>
        <w:rPr>
          <w:w w:val="100"/>
        </w:rPr>
        <w:t> </w:t>
      </w:r>
      <w:r>
        <w:rPr>
          <w:spacing w:val="-2"/>
        </w:rPr>
        <w:t>在基本确定能够收到时才能作为资产单独确认，确认的补偿金额不超过所确认预计负债的账面价</w:t>
      </w:r>
      <w:r>
        <w:rPr>
          <w:spacing w:val="-25"/>
        </w:rPr>
        <w:t> </w:t>
      </w:r>
      <w:r>
        <w:rPr>
          <w:spacing w:val="-25"/>
        </w:rPr>
      </w:r>
      <w:r>
        <w:rPr/>
        <w:t>值。</w:t>
      </w:r>
    </w:p>
    <w:p>
      <w:pPr>
        <w:pStyle w:val="Heading4"/>
        <w:spacing w:line="240" w:lineRule="auto" w:before="3"/>
        <w:ind w:left="137" w:right="0"/>
        <w:jc w:val="both"/>
        <w:rPr>
          <w:b w:val="0"/>
          <w:bCs w:val="0"/>
        </w:rPr>
      </w:pPr>
      <w:r>
        <w:rPr>
          <w:rFonts w:ascii="Times New Roman" w:hAnsi="Times New Roman" w:cs="Times New Roman" w:eastAsia="Times New Roman" w:hint="default"/>
        </w:rPr>
        <w:t>26.  </w:t>
      </w:r>
      <w:r>
        <w:rPr>
          <w:rFonts w:ascii="Times New Roman" w:hAnsi="Times New Roman" w:cs="Times New Roman" w:eastAsia="Times New Roman" w:hint="default"/>
          <w:spacing w:val="6"/>
        </w:rPr>
        <w:t> </w:t>
      </w:r>
      <w:r>
        <w:rPr/>
        <w:t>股份支付</w:t>
      </w:r>
      <w:r>
        <w:rPr>
          <w:b w:val="0"/>
          <w:bCs w:val="0"/>
        </w:rPr>
      </w:r>
    </w:p>
    <w:p>
      <w:pPr>
        <w:pStyle w:val="BodyText"/>
        <w:tabs>
          <w:tab w:pos="1562" w:val="left" w:leader="none"/>
        </w:tabs>
        <w:spacing w:line="240" w:lineRule="auto" w:before="40"/>
        <w:ind w:left="617" w:right="0"/>
        <w:jc w:val="left"/>
      </w:pPr>
      <w:r>
        <w:rPr/>
        <w:t>√适用</w:t>
        <w:tab/>
        <w:t>□不适用</w:t>
      </w:r>
    </w:p>
    <w:p>
      <w:pPr>
        <w:pStyle w:val="BodyText"/>
        <w:spacing w:line="297" w:lineRule="auto" w:before="75"/>
        <w:ind w:left="557" w:right="1979"/>
        <w:jc w:val="left"/>
      </w:pPr>
      <w:r>
        <w:rPr>
          <w:rFonts w:ascii="Times New Roman" w:hAnsi="Times New Roman" w:cs="Times New Roman" w:eastAsia="Times New Roman" w:hint="default"/>
        </w:rPr>
        <w:t>1</w:t>
      </w:r>
      <w:r>
        <w:rPr/>
        <w:t>．股份支付的种类</w:t>
      </w:r>
      <w:r>
        <w:rPr>
          <w:w w:val="100"/>
        </w:rPr>
        <w:t> </w:t>
      </w:r>
      <w:r>
        <w:rPr>
          <w:spacing w:val="-2"/>
        </w:rPr>
        <w:t>公司的股份支付分为以现金结算的股份支付和以权益结算的股份支付。</w:t>
      </w:r>
    </w:p>
    <w:p>
      <w:pPr>
        <w:pStyle w:val="BodyText"/>
        <w:spacing w:line="304" w:lineRule="auto" w:before="34"/>
        <w:ind w:left="137" w:right="129" w:firstLine="420"/>
        <w:jc w:val="both"/>
      </w:pPr>
      <w:r>
        <w:rPr>
          <w:spacing w:val="-4"/>
        </w:rPr>
        <w:t>（</w:t>
      </w:r>
      <w:r>
        <w:rPr>
          <w:rFonts w:ascii="Times New Roman" w:hAnsi="Times New Roman" w:cs="Times New Roman" w:eastAsia="Times New Roman" w:hint="default"/>
          <w:spacing w:val="-4"/>
        </w:rPr>
        <w:t>1</w:t>
      </w:r>
      <w:r>
        <w:rPr>
          <w:spacing w:val="-4"/>
        </w:rPr>
        <w:t>）以权益结算的股份支付，按授予职工权益工具的公允价值计量。授予后立即可行权的换</w:t>
      </w:r>
      <w:r>
        <w:rPr>
          <w:w w:val="100"/>
        </w:rPr>
        <w:t> </w:t>
      </w:r>
      <w:r>
        <w:rPr>
          <w:spacing w:val="-1"/>
        </w:rPr>
        <w:t>取职工服务的以权益结算的股份支付，在授予日按照权益工具的公允价值计入相关成本或费用，</w:t>
      </w:r>
      <w:r>
        <w:rPr>
          <w:spacing w:val="-55"/>
        </w:rPr>
        <w:t> </w:t>
      </w:r>
      <w:r>
        <w:rPr>
          <w:spacing w:val="-55"/>
        </w:rPr>
      </w:r>
      <w:r>
        <w:rPr>
          <w:spacing w:val="-1"/>
        </w:rPr>
        <w:t>相应增加资本公积。在完成等待期内的服务或达到规定业绩条件才可行权的换取职工服务的以权</w:t>
      </w:r>
    </w:p>
    <w:p>
      <w:pPr>
        <w:spacing w:after="0" w:line="304" w:lineRule="auto"/>
        <w:jc w:val="both"/>
        <w:sectPr>
          <w:pgSz w:w="11910" w:h="16840"/>
          <w:pgMar w:header="857" w:footer="979" w:top="1120" w:bottom="1160" w:left="1140" w:right="1660"/>
        </w:sectPr>
      </w:pPr>
    </w:p>
    <w:p>
      <w:pPr>
        <w:spacing w:line="240" w:lineRule="auto" w:before="5"/>
        <w:rPr>
          <w:rFonts w:ascii="宋体" w:hAnsi="宋体" w:cs="宋体" w:eastAsia="宋体" w:hint="default"/>
          <w:sz w:val="24"/>
          <w:szCs w:val="24"/>
        </w:rPr>
      </w:pPr>
    </w:p>
    <w:p>
      <w:pPr>
        <w:pStyle w:val="BodyText"/>
        <w:spacing w:line="314" w:lineRule="auto" w:before="36"/>
        <w:ind w:left="137" w:right="209"/>
        <w:jc w:val="both"/>
      </w:pPr>
      <w:r>
        <w:rPr>
          <w:spacing w:val="-1"/>
        </w:rPr>
        <w:t>益结算的股份支付，在等待期内的每个资产负债表日，以对可行权权益工具数量的最佳估计为基</w:t>
      </w:r>
      <w:r>
        <w:rPr>
          <w:spacing w:val="-55"/>
        </w:rPr>
        <w:t> </w:t>
      </w:r>
      <w:r>
        <w:rPr>
          <w:spacing w:val="-55"/>
        </w:rPr>
      </w:r>
      <w:r>
        <w:rPr>
          <w:spacing w:val="-1"/>
        </w:rPr>
        <w:t>础，按照权益工具授予日的公允价值，将当期取得的服务计入相关成本或费用和资本公积。公司</w:t>
      </w:r>
      <w:r>
        <w:rPr>
          <w:spacing w:val="-55"/>
        </w:rPr>
        <w:t> </w:t>
      </w:r>
      <w:r>
        <w:rPr>
          <w:spacing w:val="-55"/>
        </w:rPr>
      </w:r>
      <w:r>
        <w:rPr/>
        <w:t>在可行权日之后不再对已确认的相关成本或费用和所有者权益总额进行调整。</w:t>
      </w:r>
    </w:p>
    <w:p>
      <w:pPr>
        <w:pStyle w:val="BodyText"/>
        <w:spacing w:line="312" w:lineRule="auto" w:before="20"/>
        <w:ind w:left="137" w:right="208" w:firstLine="420"/>
        <w:jc w:val="both"/>
      </w:pPr>
      <w:r>
        <w:rPr>
          <w:spacing w:val="-4"/>
        </w:rPr>
        <w:t>（</w:t>
      </w:r>
      <w:r>
        <w:rPr>
          <w:rFonts w:ascii="Times New Roman" w:hAnsi="Times New Roman" w:cs="Times New Roman" w:eastAsia="Times New Roman" w:hint="default"/>
          <w:spacing w:val="-4"/>
        </w:rPr>
        <w:t>2</w:t>
      </w:r>
      <w:r>
        <w:rPr>
          <w:spacing w:val="-4"/>
        </w:rPr>
        <w:t>）以现金结算的股份支付，按照公司承担的以股份或其他权益工具为基础计算确定的负债</w:t>
      </w:r>
      <w:r>
        <w:rPr>
          <w:w w:val="100"/>
        </w:rPr>
        <w:t> </w:t>
      </w:r>
      <w:r>
        <w:rPr>
          <w:spacing w:val="-1"/>
        </w:rPr>
        <w:t>的公允价值计量。授予后立即可行权的以现金结算的股份支付，在授予日以公司承担负债的公允</w:t>
      </w:r>
      <w:r>
        <w:rPr>
          <w:spacing w:val="-55"/>
        </w:rPr>
        <w:t> </w:t>
      </w:r>
      <w:r>
        <w:rPr>
          <w:spacing w:val="-55"/>
        </w:rPr>
      </w:r>
      <w:r>
        <w:rPr>
          <w:spacing w:val="-1"/>
        </w:rPr>
        <w:t>价值计入相关成本或费用，相应增加负债。在完成等待期内的服务或达到规定业绩条件以后才可</w:t>
      </w:r>
      <w:r>
        <w:rPr>
          <w:spacing w:val="-55"/>
        </w:rPr>
        <w:t> </w:t>
      </w:r>
      <w:r>
        <w:rPr>
          <w:spacing w:val="-55"/>
        </w:rPr>
      </w:r>
      <w:r>
        <w:rPr>
          <w:spacing w:val="-1"/>
        </w:rPr>
        <w:t>行权的以现金结算的股份支付，在等待期内的每个资产负债表日，以对可行权情况的最佳估计为</w:t>
      </w:r>
      <w:r>
        <w:rPr>
          <w:spacing w:val="-55"/>
        </w:rPr>
        <w:t> </w:t>
      </w:r>
      <w:r>
        <w:rPr>
          <w:spacing w:val="-55"/>
        </w:rPr>
      </w:r>
      <w:r>
        <w:rPr>
          <w:spacing w:val="-1"/>
        </w:rPr>
        <w:t>基础，按照公司承担负债的公允价值金额，将当期取得的服务计入成本或费用和相应的负债。公</w:t>
      </w:r>
      <w:r>
        <w:rPr>
          <w:spacing w:val="-55"/>
        </w:rPr>
        <w:t> </w:t>
      </w:r>
      <w:r>
        <w:rPr>
          <w:spacing w:val="-55"/>
        </w:rPr>
      </w:r>
      <w:r>
        <w:rPr>
          <w:spacing w:val="-1"/>
        </w:rPr>
        <w:t>司在相关负债结算前的每个资产负债表日以及结算日，对负债的公允价值重新计量，其变动计入</w:t>
      </w:r>
      <w:r>
        <w:rPr>
          <w:spacing w:val="-55"/>
        </w:rPr>
        <w:t> </w:t>
      </w:r>
      <w:r>
        <w:rPr>
          <w:spacing w:val="-55"/>
        </w:rPr>
      </w:r>
      <w:r>
        <w:rPr/>
        <w:t>当期损益。</w:t>
      </w:r>
    </w:p>
    <w:p>
      <w:pPr>
        <w:pStyle w:val="BodyText"/>
        <w:spacing w:line="297" w:lineRule="auto" w:before="22"/>
        <w:ind w:left="557" w:right="47"/>
        <w:jc w:val="left"/>
      </w:pPr>
      <w:r>
        <w:rPr>
          <w:rFonts w:ascii="Times New Roman" w:hAnsi="Times New Roman" w:cs="Times New Roman" w:eastAsia="Times New Roman" w:hint="default"/>
        </w:rPr>
        <w:t>2</w:t>
      </w:r>
      <w:r>
        <w:rPr/>
        <w:t>．实施、修改、终止股份支付计划的相关会计处理</w:t>
      </w:r>
      <w:r>
        <w:rPr>
          <w:w w:val="100"/>
        </w:rPr>
        <w:t> </w:t>
      </w:r>
      <w:r>
        <w:rPr>
          <w:spacing w:val="-4"/>
          <w:w w:val="100"/>
        </w:rPr>
        <w:t>无论已授予的权益工具的条款和条件如何修改，甚至取消权益工具的授予或结算该权益工具，</w:t>
      </w:r>
    </w:p>
    <w:p>
      <w:pPr>
        <w:pStyle w:val="BodyText"/>
        <w:spacing w:line="314" w:lineRule="auto" w:before="34"/>
        <w:ind w:left="137" w:right="209"/>
        <w:jc w:val="both"/>
      </w:pPr>
      <w:r>
        <w:rPr>
          <w:spacing w:val="-1"/>
        </w:rPr>
        <w:t>公司都应至少确认按照所授予的权益工具在授予日的公允价值来计量获取的相应的服务，除非因</w:t>
      </w:r>
      <w:r>
        <w:rPr>
          <w:spacing w:val="-55"/>
        </w:rPr>
        <w:t> </w:t>
      </w:r>
      <w:r>
        <w:rPr>
          <w:spacing w:val="-55"/>
        </w:rPr>
      </w:r>
      <w:r>
        <w:rPr/>
        <w:t>不能满足权益工具的可行权条件（除市场条件外）而无法可行权。</w:t>
      </w:r>
    </w:p>
    <w:p>
      <w:pPr>
        <w:pStyle w:val="BodyText"/>
        <w:spacing w:line="314" w:lineRule="auto" w:before="20"/>
        <w:ind w:left="137" w:right="211" w:firstLine="420"/>
        <w:jc w:val="both"/>
      </w:pPr>
      <w:r>
        <w:rPr>
          <w:spacing w:val="-2"/>
        </w:rPr>
        <w:t>如果公司在等待期内取消了所授予的权益工具或结算了所授予的权益工具（因未满足可行权</w:t>
      </w:r>
      <w:r>
        <w:rPr>
          <w:w w:val="100"/>
        </w:rPr>
        <w:t> </w:t>
      </w:r>
      <w:r>
        <w:rPr/>
        <w:t>条件而被取消的除外），则按以下规定处理：</w:t>
      </w:r>
    </w:p>
    <w:p>
      <w:pPr>
        <w:pStyle w:val="BodyText"/>
        <w:spacing w:line="240" w:lineRule="auto" w:before="20"/>
        <w:ind w:left="557" w:right="47"/>
        <w:jc w:val="left"/>
      </w:pPr>
      <w:r>
        <w:rPr/>
        <w:t>（</w:t>
      </w:r>
      <w:r>
        <w:rPr>
          <w:rFonts w:ascii="Times New Roman" w:hAnsi="Times New Roman" w:cs="Times New Roman" w:eastAsia="Times New Roman" w:hint="default"/>
        </w:rPr>
        <w:t>1</w:t>
      </w:r>
      <w:r>
        <w:rPr/>
        <w:t>）将取消或结算作为加速可行权处理，立即确认原本应在剩余等待期内确认的金额。</w:t>
      </w:r>
    </w:p>
    <w:p>
      <w:pPr>
        <w:pStyle w:val="BodyText"/>
        <w:spacing w:line="297" w:lineRule="auto" w:before="69"/>
        <w:ind w:left="137" w:right="209" w:firstLine="420"/>
        <w:jc w:val="both"/>
      </w:pPr>
      <w:r>
        <w:rPr>
          <w:spacing w:val="-4"/>
        </w:rPr>
        <w:t>（</w:t>
      </w:r>
      <w:r>
        <w:rPr>
          <w:rFonts w:ascii="Times New Roman" w:hAnsi="Times New Roman" w:cs="Times New Roman" w:eastAsia="Times New Roman" w:hint="default"/>
          <w:spacing w:val="-4"/>
        </w:rPr>
        <w:t>2</w:t>
      </w:r>
      <w:r>
        <w:rPr>
          <w:spacing w:val="-4"/>
        </w:rPr>
        <w:t>）在取消或结算时支付给职工的所有款项均应作为权益的回购处理，回购支付的金额高于</w:t>
      </w:r>
      <w:r>
        <w:rPr>
          <w:w w:val="100"/>
        </w:rPr>
        <w:t> </w:t>
      </w:r>
      <w:r>
        <w:rPr/>
        <w:t>该权益工具在回购日公允价值的部分，计入当期费用。</w:t>
      </w:r>
    </w:p>
    <w:p>
      <w:pPr>
        <w:pStyle w:val="BodyText"/>
        <w:spacing w:line="304" w:lineRule="auto" w:before="34"/>
        <w:ind w:left="137" w:right="208" w:firstLine="420"/>
        <w:jc w:val="both"/>
      </w:pPr>
      <w:r>
        <w:rPr>
          <w:spacing w:val="-4"/>
        </w:rPr>
        <w:t>（</w:t>
      </w:r>
      <w:r>
        <w:rPr>
          <w:rFonts w:ascii="Times New Roman" w:hAnsi="Times New Roman" w:cs="Times New Roman" w:eastAsia="Times New Roman" w:hint="default"/>
          <w:spacing w:val="-4"/>
        </w:rPr>
        <w:t>3</w:t>
      </w:r>
      <w:r>
        <w:rPr>
          <w:spacing w:val="-4"/>
        </w:rPr>
        <w:t>）如果向职工授予新的权益工具，并在新权益工具授予日认定所授予的新权益工具是用于</w:t>
      </w:r>
      <w:r>
        <w:rPr>
          <w:w w:val="100"/>
        </w:rPr>
        <w:t> </w:t>
      </w:r>
      <w:r>
        <w:rPr>
          <w:spacing w:val="-1"/>
        </w:rPr>
        <w:t>替代被取消的权益工具的，公司应以处理原权益工具条款和条件修改相同的方式，对所授予的替</w:t>
      </w:r>
      <w:r>
        <w:rPr>
          <w:spacing w:val="-55"/>
        </w:rPr>
        <w:t> </w:t>
      </w:r>
      <w:r>
        <w:rPr>
          <w:spacing w:val="-55"/>
        </w:rPr>
      </w:r>
      <w:r>
        <w:rPr/>
        <w:t>代权益工具进行处理。</w:t>
      </w:r>
    </w:p>
    <w:p>
      <w:pPr>
        <w:pStyle w:val="Heading4"/>
        <w:spacing w:line="240" w:lineRule="auto" w:before="11"/>
        <w:ind w:left="137" w:right="0"/>
        <w:jc w:val="both"/>
        <w:rPr>
          <w:b w:val="0"/>
          <w:bCs w:val="0"/>
        </w:rPr>
      </w:pPr>
      <w:r>
        <w:rPr>
          <w:rFonts w:ascii="Times New Roman" w:hAnsi="Times New Roman" w:cs="Times New Roman" w:eastAsia="Times New Roman" w:hint="default"/>
        </w:rPr>
        <w:t>27.  </w:t>
      </w:r>
      <w:r>
        <w:rPr>
          <w:rFonts w:ascii="Times New Roman" w:hAnsi="Times New Roman" w:cs="Times New Roman" w:eastAsia="Times New Roman" w:hint="default"/>
          <w:spacing w:val="3"/>
        </w:rPr>
        <w:t> </w:t>
      </w:r>
      <w:r>
        <w:rPr/>
        <w:t>优先股、永续债等其他金融工具</w:t>
      </w:r>
      <w:r>
        <w:rPr>
          <w:b w:val="0"/>
          <w:bCs w:val="0"/>
        </w:rPr>
      </w:r>
    </w:p>
    <w:p>
      <w:pPr>
        <w:pStyle w:val="BodyText"/>
        <w:tabs>
          <w:tab w:pos="1082" w:val="left" w:leader="none"/>
        </w:tabs>
        <w:spacing w:line="307" w:lineRule="auto" w:before="40"/>
        <w:ind w:left="617" w:right="244" w:hanging="480"/>
        <w:jc w:val="left"/>
      </w:pPr>
      <w:r>
        <w:rPr/>
        <w:t>√适用</w:t>
        <w:tab/>
        <w:t>□不适用</w:t>
      </w:r>
      <w:r>
        <w:rPr>
          <w:w w:val="100"/>
        </w:rPr>
        <w:t> </w:t>
      </w:r>
      <w:r>
        <w:rPr>
          <w:spacing w:val="2"/>
        </w:rPr>
        <w:t>公司发行的金融工具按照金融工具准则和金融负债和权益工具的区分及相关会计处理规定</w:t>
      </w:r>
    </w:p>
    <w:p>
      <w:pPr>
        <w:pStyle w:val="BodyText"/>
        <w:spacing w:line="314" w:lineRule="auto" w:before="26"/>
        <w:ind w:left="137" w:right="209"/>
        <w:jc w:val="both"/>
      </w:pPr>
      <w:r>
        <w:rPr>
          <w:spacing w:val="-1"/>
        </w:rPr>
        <w:t>进行初始确认和计量。其后，公司以所发行金融工具的分类为基础，确定该工具利息支出或股利</w:t>
      </w:r>
      <w:r>
        <w:rPr>
          <w:spacing w:val="-55"/>
        </w:rPr>
        <w:t> </w:t>
      </w:r>
      <w:r>
        <w:rPr>
          <w:spacing w:val="-55"/>
        </w:rPr>
      </w:r>
      <w:r>
        <w:rPr>
          <w:spacing w:val="-1"/>
        </w:rPr>
        <w:t>分配等的会计处理。对于归类为权益工具的金融工具，其利息支出或股利分配都作为发行企业的</w:t>
      </w:r>
      <w:r>
        <w:rPr>
          <w:spacing w:val="-55"/>
        </w:rPr>
        <w:t> </w:t>
      </w:r>
      <w:r>
        <w:rPr>
          <w:spacing w:val="-55"/>
        </w:rPr>
      </w:r>
      <w:r>
        <w:rPr>
          <w:spacing w:val="-1"/>
        </w:rPr>
        <w:t>利润分配，其回购、注销等作为权益的变动处理。对于归类为金融负债的金融工具，其利息支出</w:t>
      </w:r>
      <w:r>
        <w:rPr>
          <w:spacing w:val="-55"/>
        </w:rPr>
        <w:t> </w:t>
      </w:r>
      <w:r>
        <w:rPr>
          <w:spacing w:val="-55"/>
        </w:rPr>
      </w:r>
      <w:r>
        <w:rPr/>
        <w:t>或股利分配原则上按照借款费用进行处理，其回购或赎回产生的利得或损失等计入当期损益。</w:t>
      </w:r>
    </w:p>
    <w:p>
      <w:pPr>
        <w:pStyle w:val="BodyText"/>
        <w:spacing w:line="314" w:lineRule="auto" w:before="20"/>
        <w:ind w:left="137" w:right="207" w:firstLine="436"/>
        <w:jc w:val="both"/>
      </w:pPr>
      <w:r>
        <w:rPr>
          <w:spacing w:val="3"/>
        </w:rPr>
        <w:t>发行方发行金融工具，其发生的手续费、佣金等交易费用，如分类为债务工具且以摊余成</w:t>
      </w:r>
      <w:r>
        <w:rPr>
          <w:spacing w:val="7"/>
          <w:w w:val="100"/>
        </w:rPr>
        <w:t> </w:t>
      </w:r>
      <w:r>
        <w:rPr>
          <w:spacing w:val="4"/>
        </w:rPr>
        <w:t>本计量的，计入所发行工具的初始计量金额；如分类为权益工具的，从权益中扣除。</w:t>
      </w:r>
    </w:p>
    <w:p>
      <w:pPr>
        <w:pStyle w:val="Heading4"/>
        <w:spacing w:line="240" w:lineRule="auto" w:before="3"/>
        <w:ind w:left="137" w:right="0"/>
        <w:jc w:val="both"/>
        <w:rPr>
          <w:b w:val="0"/>
          <w:bCs w:val="0"/>
        </w:rPr>
      </w:pPr>
      <w:r>
        <w:rPr>
          <w:rFonts w:ascii="Times New Roman" w:hAnsi="Times New Roman" w:cs="Times New Roman" w:eastAsia="Times New Roman" w:hint="default"/>
        </w:rPr>
        <w:t>28.  </w:t>
      </w:r>
      <w:r>
        <w:rPr>
          <w:rFonts w:ascii="Times New Roman" w:hAnsi="Times New Roman" w:cs="Times New Roman" w:eastAsia="Times New Roman" w:hint="default"/>
          <w:spacing w:val="5"/>
        </w:rPr>
        <w:t> </w:t>
      </w:r>
      <w:r>
        <w:rPr/>
        <w:t>收入</w:t>
      </w:r>
      <w:r>
        <w:rPr>
          <w:b w:val="0"/>
          <w:bCs w:val="0"/>
        </w:rPr>
      </w:r>
    </w:p>
    <w:p>
      <w:pPr>
        <w:pStyle w:val="BodyText"/>
        <w:tabs>
          <w:tab w:pos="1562" w:val="left" w:leader="none"/>
        </w:tabs>
        <w:spacing w:line="240" w:lineRule="auto" w:before="40"/>
        <w:ind w:left="617" w:right="2631"/>
        <w:jc w:val="left"/>
      </w:pPr>
      <w:r>
        <w:rPr/>
        <w:t>√适用</w:t>
        <w:tab/>
        <w:t>□不适用</w:t>
      </w:r>
    </w:p>
    <w:p>
      <w:pPr>
        <w:pStyle w:val="BodyText"/>
        <w:spacing w:line="297" w:lineRule="auto" w:before="75"/>
        <w:ind w:left="557" w:right="47"/>
        <w:jc w:val="left"/>
      </w:pPr>
      <w:r>
        <w:rPr>
          <w:rFonts w:ascii="Times New Roman" w:hAnsi="Times New Roman" w:cs="Times New Roman" w:eastAsia="Times New Roman" w:hint="default"/>
        </w:rPr>
        <w:t>1</w:t>
      </w:r>
      <w:r>
        <w:rPr/>
        <w:t>．销售商品</w:t>
      </w:r>
      <w:r>
        <w:rPr>
          <w:w w:val="100"/>
        </w:rPr>
        <w:t> </w:t>
      </w:r>
      <w:r>
        <w:rPr>
          <w:spacing w:val="-2"/>
        </w:rPr>
        <w:t>在公司已将商品所有权上的主要风险和报酬转移给购货方；公司既没有保留通常与所有权相</w:t>
      </w:r>
    </w:p>
    <w:p>
      <w:pPr>
        <w:pStyle w:val="BodyText"/>
        <w:spacing w:line="314" w:lineRule="auto" w:before="34"/>
        <w:ind w:left="137" w:right="209"/>
        <w:jc w:val="both"/>
      </w:pPr>
      <w:r>
        <w:rPr>
          <w:spacing w:val="-1"/>
        </w:rPr>
        <w:t>联系的继续管理权，也没有对已售出的商品实施有效控制；收入的金额能够可靠地计量；相关的</w:t>
      </w:r>
      <w:r>
        <w:rPr>
          <w:spacing w:val="-55"/>
        </w:rPr>
        <w:t> </w:t>
      </w:r>
      <w:r>
        <w:rPr>
          <w:spacing w:val="-55"/>
        </w:rPr>
      </w:r>
      <w:r>
        <w:rPr>
          <w:spacing w:val="-1"/>
        </w:rPr>
        <w:t>经济利益很可能流入企业；相关的已发生或将发生的成本能够可靠地计量时，确认销售商品收入</w:t>
      </w:r>
      <w:r>
        <w:rPr>
          <w:spacing w:val="-55"/>
        </w:rPr>
        <w:t> </w:t>
      </w:r>
      <w:r>
        <w:rPr>
          <w:spacing w:val="-55"/>
        </w:rPr>
      </w:r>
      <w:r>
        <w:rPr/>
        <w:t>的实现。</w:t>
      </w:r>
    </w:p>
    <w:p>
      <w:pPr>
        <w:spacing w:after="0" w:line="314" w:lineRule="auto"/>
        <w:jc w:val="both"/>
        <w:sectPr>
          <w:pgSz w:w="11910" w:h="16840"/>
          <w:pgMar w:header="857" w:footer="979" w:top="1120" w:bottom="1160" w:left="1140" w:right="1580"/>
        </w:sectPr>
      </w:pPr>
    </w:p>
    <w:p>
      <w:pPr>
        <w:spacing w:line="240" w:lineRule="auto" w:before="5"/>
        <w:rPr>
          <w:rFonts w:ascii="宋体" w:hAnsi="宋体" w:cs="宋体" w:eastAsia="宋体" w:hint="default"/>
          <w:sz w:val="24"/>
          <w:szCs w:val="24"/>
        </w:rPr>
      </w:pPr>
    </w:p>
    <w:p>
      <w:pPr>
        <w:pStyle w:val="BodyText"/>
        <w:spacing w:line="297" w:lineRule="auto" w:before="36"/>
        <w:ind w:left="557" w:right="0"/>
        <w:jc w:val="left"/>
      </w:pPr>
      <w:r>
        <w:rPr>
          <w:rFonts w:ascii="Times New Roman" w:hAnsi="Times New Roman" w:cs="Times New Roman" w:eastAsia="Times New Roman" w:hint="default"/>
        </w:rPr>
        <w:t>2</w:t>
      </w:r>
      <w:r>
        <w:rPr/>
        <w:t>．提供劳务</w:t>
      </w:r>
      <w:r>
        <w:rPr>
          <w:w w:val="100"/>
        </w:rPr>
        <w:t> </w:t>
      </w:r>
      <w:r>
        <w:rPr>
          <w:spacing w:val="-2"/>
        </w:rPr>
        <w:t>在资产负债表日提供劳务交易的结果能够可靠估计的，采用完工百分比法确认提供劳务的收</w:t>
      </w:r>
    </w:p>
    <w:p>
      <w:pPr>
        <w:pStyle w:val="BodyText"/>
        <w:spacing w:line="240" w:lineRule="auto" w:before="34"/>
        <w:ind w:left="137" w:right="0"/>
        <w:jc w:val="both"/>
      </w:pPr>
      <w:r>
        <w:rPr/>
        <w:t>入。</w:t>
      </w:r>
    </w:p>
    <w:p>
      <w:pPr>
        <w:pStyle w:val="BodyText"/>
        <w:spacing w:line="240" w:lineRule="auto" w:before="85"/>
        <w:ind w:left="557" w:right="0"/>
        <w:jc w:val="left"/>
      </w:pPr>
      <w:r>
        <w:rPr/>
        <w:t>在资产负债表日提供劳务交易的结果不能够可靠估计的，分别下列情况处理：</w:t>
      </w:r>
    </w:p>
    <w:p>
      <w:pPr>
        <w:pStyle w:val="BodyText"/>
        <w:spacing w:line="297" w:lineRule="auto" w:before="85"/>
        <w:ind w:left="137" w:right="128" w:firstLine="420"/>
        <w:jc w:val="both"/>
      </w:pPr>
      <w:r>
        <w:rPr>
          <w:spacing w:val="-4"/>
        </w:rPr>
        <w:t>（</w:t>
      </w:r>
      <w:r>
        <w:rPr>
          <w:rFonts w:ascii="Times New Roman" w:hAnsi="Times New Roman" w:cs="Times New Roman" w:eastAsia="Times New Roman" w:hint="default"/>
          <w:spacing w:val="-4"/>
        </w:rPr>
        <w:t>1</w:t>
      </w:r>
      <w:r>
        <w:rPr>
          <w:spacing w:val="-4"/>
        </w:rPr>
        <w:t>）已经发生的劳务成本预计能够得到补偿的，按照已经发生的劳务成本金额确认提供劳务</w:t>
      </w:r>
      <w:r>
        <w:rPr>
          <w:w w:val="100"/>
        </w:rPr>
        <w:t> </w:t>
      </w:r>
      <w:r>
        <w:rPr/>
        <w:t>收入，并按相同的金额结转劳务成本。</w:t>
      </w:r>
    </w:p>
    <w:p>
      <w:pPr>
        <w:pStyle w:val="BodyText"/>
        <w:spacing w:line="297" w:lineRule="auto" w:before="34"/>
        <w:ind w:left="137" w:right="129" w:firstLine="420"/>
        <w:jc w:val="both"/>
      </w:pPr>
      <w:r>
        <w:rPr>
          <w:spacing w:val="-4"/>
        </w:rPr>
        <w:t>（</w:t>
      </w:r>
      <w:r>
        <w:rPr>
          <w:rFonts w:ascii="Times New Roman" w:hAnsi="Times New Roman" w:cs="Times New Roman" w:eastAsia="Times New Roman" w:hint="default"/>
          <w:spacing w:val="-4"/>
        </w:rPr>
        <w:t>2</w:t>
      </w:r>
      <w:r>
        <w:rPr>
          <w:spacing w:val="-4"/>
        </w:rPr>
        <w:t>）已经发生的劳务成本预计不能够得到补偿的，将已经发生的劳务成本转入当期损益，不</w:t>
      </w:r>
      <w:r>
        <w:rPr>
          <w:w w:val="100"/>
        </w:rPr>
        <w:t> </w:t>
      </w:r>
      <w:r>
        <w:rPr/>
        <w:t>确认提供劳务收入。</w:t>
      </w:r>
    </w:p>
    <w:p>
      <w:pPr>
        <w:pStyle w:val="BodyText"/>
        <w:spacing w:line="297" w:lineRule="auto" w:before="34"/>
        <w:ind w:left="557" w:right="0"/>
        <w:jc w:val="left"/>
      </w:pPr>
      <w:r>
        <w:rPr>
          <w:rFonts w:ascii="Times New Roman" w:hAnsi="Times New Roman" w:cs="Times New Roman" w:eastAsia="Times New Roman" w:hint="default"/>
        </w:rPr>
        <w:t>3</w:t>
      </w:r>
      <w:r>
        <w:rPr/>
        <w:t>．让渡资产使用权</w:t>
      </w:r>
      <w:r>
        <w:rPr>
          <w:w w:val="100"/>
        </w:rPr>
        <w:t> </w:t>
      </w:r>
      <w:r>
        <w:rPr>
          <w:spacing w:val="-9"/>
          <w:w w:val="100"/>
        </w:rPr>
        <w:t>让渡资产使用权收入同时满足下列条件的，予以确认：（</w:t>
      </w:r>
      <w:r>
        <w:rPr>
          <w:rFonts w:ascii="Times New Roman" w:hAnsi="Times New Roman" w:cs="Times New Roman" w:eastAsia="Times New Roman" w:hint="default"/>
          <w:spacing w:val="-9"/>
          <w:w w:val="100"/>
        </w:rPr>
        <w:t>1</w:t>
      </w:r>
      <w:r>
        <w:rPr>
          <w:spacing w:val="-9"/>
          <w:w w:val="100"/>
        </w:rPr>
        <w:t>）相关的经济利益很可能流入企业；</w:t>
      </w:r>
    </w:p>
    <w:p>
      <w:pPr>
        <w:pStyle w:val="BodyText"/>
        <w:spacing w:line="297" w:lineRule="auto" w:before="13"/>
        <w:ind w:left="557" w:right="0" w:hanging="420"/>
        <w:jc w:val="left"/>
      </w:pPr>
      <w:r>
        <w:rPr/>
        <w:t>（</w:t>
      </w:r>
      <w:r>
        <w:rPr>
          <w:rFonts w:ascii="Times New Roman" w:hAnsi="Times New Roman" w:cs="Times New Roman" w:eastAsia="Times New Roman" w:hint="default"/>
        </w:rPr>
        <w:t>2</w:t>
      </w:r>
      <w:r>
        <w:rPr/>
        <w:t>）收入的金额能够可靠地计量。</w:t>
      </w:r>
      <w:r>
        <w:rPr>
          <w:w w:val="100"/>
        </w:rPr>
        <w:t> </w:t>
      </w:r>
      <w:r>
        <w:rPr>
          <w:spacing w:val="-2"/>
        </w:rPr>
        <w:t>提供资金的利息收入，按照他人使用公司货币资金的时间和实际利率计算确定；他人使用公</w:t>
      </w:r>
    </w:p>
    <w:p>
      <w:pPr>
        <w:pStyle w:val="BodyText"/>
        <w:spacing w:line="304" w:lineRule="auto" w:before="34"/>
        <w:ind w:left="557" w:right="0" w:hanging="420"/>
        <w:jc w:val="left"/>
      </w:pPr>
      <w:r>
        <w:rPr/>
        <w:t>司非现金资产，发生的使用费收入按照有关合同或协议约定的收费时间和方法计算确定。</w:t>
      </w:r>
      <w:r>
        <w:rPr>
          <w:w w:val="100"/>
        </w:rPr>
        <w:t> </w:t>
      </w:r>
      <w:r>
        <w:rPr>
          <w:rFonts w:ascii="Times New Roman" w:hAnsi="Times New Roman" w:cs="Times New Roman" w:eastAsia="Times New Roman" w:hint="default"/>
        </w:rPr>
        <w:t>4</w:t>
      </w:r>
      <w:r>
        <w:rPr/>
        <w:t>．公司主要收入类型及确认原则</w:t>
      </w:r>
      <w:r>
        <w:rPr>
          <w:w w:val="100"/>
        </w:rPr>
        <w:t> </w:t>
      </w:r>
      <w:r>
        <w:rPr>
          <w:spacing w:val="-2"/>
        </w:rPr>
        <w:t>公司的经营业务主要从事电子政务信息及其他行业通用软件研发和系统集成服务，主要面向</w:t>
      </w:r>
    </w:p>
    <w:p>
      <w:pPr>
        <w:pStyle w:val="BodyText"/>
        <w:spacing w:line="240" w:lineRule="auto" w:before="28"/>
        <w:ind w:left="137" w:right="0"/>
        <w:jc w:val="both"/>
      </w:pPr>
      <w:r>
        <w:rPr>
          <w:spacing w:val="-8"/>
        </w:rPr>
        <w:t>党政机关、军队、广电等领域的客户提供软件开发、系统集成服务和技术支持与服务、</w:t>
      </w:r>
      <w:r>
        <w:rPr>
          <w:rFonts w:ascii="Times New Roman" w:hAnsi="Times New Roman" w:cs="Times New Roman" w:eastAsia="Times New Roman" w:hint="default"/>
          <w:spacing w:val="-8"/>
        </w:rPr>
        <w:t>BOT </w:t>
      </w:r>
      <w:r>
        <w:rPr>
          <w:rFonts w:ascii="Times New Roman" w:hAnsi="Times New Roman" w:cs="Times New Roman" w:eastAsia="Times New Roman" w:hint="default"/>
          <w:spacing w:val="25"/>
        </w:rPr>
        <w:t> </w:t>
      </w:r>
      <w:r>
        <w:rPr/>
        <w:t>项目、</w:t>
      </w:r>
    </w:p>
    <w:p>
      <w:pPr>
        <w:pStyle w:val="BodyText"/>
        <w:spacing w:line="240" w:lineRule="auto" w:before="69"/>
        <w:ind w:left="137" w:right="0"/>
        <w:jc w:val="both"/>
      </w:pPr>
      <w:r>
        <w:rPr>
          <w:rFonts w:ascii="Times New Roman" w:hAnsi="Times New Roman" w:cs="Times New Roman" w:eastAsia="Times New Roman" w:hint="default"/>
        </w:rPr>
        <w:t>PPP</w:t>
      </w:r>
      <w:r>
        <w:rPr>
          <w:rFonts w:ascii="Times New Roman" w:hAnsi="Times New Roman" w:cs="Times New Roman" w:eastAsia="Times New Roman" w:hint="default"/>
          <w:spacing w:val="5"/>
        </w:rPr>
        <w:t> </w:t>
      </w:r>
      <w:r>
        <w:rPr>
          <w:spacing w:val="-3"/>
        </w:rPr>
        <w:t>项目。</w:t>
      </w:r>
      <w:r>
        <w:rPr/>
      </w:r>
    </w:p>
    <w:p>
      <w:pPr>
        <w:pStyle w:val="BodyText"/>
        <w:spacing w:line="297" w:lineRule="auto" w:before="69"/>
        <w:ind w:left="557" w:right="0"/>
        <w:jc w:val="left"/>
      </w:pPr>
      <w:r>
        <w:rPr/>
        <w:t>（</w:t>
      </w:r>
      <w:r>
        <w:rPr>
          <w:rFonts w:ascii="Times New Roman" w:hAnsi="Times New Roman" w:cs="Times New Roman" w:eastAsia="Times New Roman" w:hint="default"/>
        </w:rPr>
        <w:t>1</w:t>
      </w:r>
      <w:r>
        <w:rPr/>
        <w:t>）软件开发</w:t>
      </w:r>
      <w:r>
        <w:rPr>
          <w:w w:val="100"/>
        </w:rPr>
        <w:t> </w:t>
      </w:r>
      <w:r>
        <w:rPr>
          <w:spacing w:val="-2"/>
        </w:rPr>
        <w:t>软件开发指公司针对客户在电子政务中的业务应用需求而提供的软件产品及应用软件定制开</w:t>
      </w:r>
    </w:p>
    <w:p>
      <w:pPr>
        <w:pStyle w:val="BodyText"/>
        <w:spacing w:line="314" w:lineRule="auto" w:before="34"/>
        <w:ind w:left="137" w:right="129"/>
        <w:jc w:val="both"/>
      </w:pPr>
      <w:r>
        <w:rPr>
          <w:spacing w:val="-1"/>
        </w:rPr>
        <w:t>发。该类收入一般在项目完工且取得客户的最终验收报告时按照销售商品收入标准确认相关收入</w:t>
      </w:r>
      <w:r>
        <w:rPr>
          <w:spacing w:val="-55"/>
        </w:rPr>
        <w:t> </w:t>
      </w:r>
      <w:r>
        <w:rPr>
          <w:spacing w:val="-55"/>
        </w:rPr>
      </w:r>
      <w:r>
        <w:rPr>
          <w:spacing w:val="-1"/>
        </w:rPr>
        <w:t>及成本。另公司在与客户签订的合同中有涉及质保金条款的，相关质保金在收到时确认收入，在</w:t>
      </w:r>
      <w:r>
        <w:rPr>
          <w:spacing w:val="-55"/>
        </w:rPr>
        <w:t> </w:t>
      </w:r>
      <w:r>
        <w:rPr>
          <w:spacing w:val="-55"/>
        </w:rPr>
      </w:r>
      <w:r>
        <w:rPr/>
        <w:t>项目完工或产品销售完成时不确认收入。</w:t>
      </w:r>
    </w:p>
    <w:p>
      <w:pPr>
        <w:pStyle w:val="BodyText"/>
        <w:spacing w:line="297" w:lineRule="auto" w:before="20"/>
        <w:ind w:left="557" w:right="0"/>
        <w:jc w:val="left"/>
      </w:pPr>
      <w:r>
        <w:rPr/>
        <w:t>（</w:t>
      </w:r>
      <w:r>
        <w:rPr>
          <w:rFonts w:ascii="Times New Roman" w:hAnsi="Times New Roman" w:cs="Times New Roman" w:eastAsia="Times New Roman" w:hint="default"/>
        </w:rPr>
        <w:t>2</w:t>
      </w:r>
      <w:r>
        <w:rPr/>
        <w:t>）系统集成</w:t>
      </w:r>
      <w:r>
        <w:rPr>
          <w:w w:val="100"/>
        </w:rPr>
        <w:t> </w:t>
      </w:r>
      <w:r>
        <w:rPr>
          <w:spacing w:val="-2"/>
        </w:rPr>
        <w:t>系统集成指公司通过应用各种相关计算机软件技术以及各种硬件设备，经过集成设计，安装</w:t>
      </w:r>
    </w:p>
    <w:p>
      <w:pPr>
        <w:pStyle w:val="BodyText"/>
        <w:spacing w:line="314" w:lineRule="auto" w:before="34"/>
        <w:ind w:left="137" w:right="129"/>
        <w:jc w:val="both"/>
      </w:pPr>
      <w:r>
        <w:rPr>
          <w:spacing w:val="-1"/>
        </w:rPr>
        <w:t>调试等大量技术性工作，提供客户所需的应用系统。该类收入一般根据合同的约定，在项目完工</w:t>
      </w:r>
      <w:r>
        <w:rPr>
          <w:spacing w:val="-55"/>
        </w:rPr>
        <w:t> </w:t>
      </w:r>
      <w:r>
        <w:rPr>
          <w:spacing w:val="-55"/>
        </w:rPr>
      </w:r>
      <w:r>
        <w:rPr>
          <w:spacing w:val="-1"/>
        </w:rPr>
        <w:t>且取得客户的最终验收报告时按照销售商品收入标准确认相关收入及成本。另公司在与客户签订</w:t>
      </w:r>
      <w:r>
        <w:rPr>
          <w:spacing w:val="-55"/>
        </w:rPr>
        <w:t> </w:t>
      </w:r>
      <w:r>
        <w:rPr>
          <w:spacing w:val="-55"/>
        </w:rPr>
      </w:r>
      <w:r>
        <w:rPr>
          <w:spacing w:val="-1"/>
        </w:rPr>
        <w:t>的合同中有涉及质保金条款的，相关质保金在收到时确认收入，在项目完工或产品销售完成时不</w:t>
      </w:r>
      <w:r>
        <w:rPr>
          <w:spacing w:val="-55"/>
        </w:rPr>
        <w:t> </w:t>
      </w:r>
      <w:r>
        <w:rPr>
          <w:spacing w:val="-55"/>
        </w:rPr>
      </w:r>
      <w:r>
        <w:rPr/>
        <w:t>确认收入。</w:t>
      </w:r>
    </w:p>
    <w:p>
      <w:pPr>
        <w:pStyle w:val="BodyText"/>
        <w:spacing w:line="297" w:lineRule="auto" w:before="20"/>
        <w:ind w:left="557" w:right="0"/>
        <w:jc w:val="left"/>
      </w:pPr>
      <w:r>
        <w:rPr/>
        <w:t>（</w:t>
      </w:r>
      <w:r>
        <w:rPr>
          <w:rFonts w:ascii="Times New Roman" w:hAnsi="Times New Roman" w:cs="Times New Roman" w:eastAsia="Times New Roman" w:hint="default"/>
        </w:rPr>
        <w:t>3</w:t>
      </w:r>
      <w:r>
        <w:rPr/>
        <w:t>）技术支持与服务</w:t>
      </w:r>
      <w:r>
        <w:rPr>
          <w:w w:val="100"/>
        </w:rPr>
        <w:t> </w:t>
      </w:r>
      <w:r>
        <w:rPr>
          <w:spacing w:val="-2"/>
        </w:rPr>
        <w:t>技术支持与服务指根据合同约定向客户提供的相关后续服务，包括系统维护、技术与应用咨</w:t>
      </w:r>
    </w:p>
    <w:p>
      <w:pPr>
        <w:pStyle w:val="BodyText"/>
        <w:spacing w:line="314" w:lineRule="auto" w:before="34"/>
        <w:ind w:left="137" w:right="129"/>
        <w:jc w:val="both"/>
      </w:pPr>
      <w:r>
        <w:rPr>
          <w:spacing w:val="-1"/>
        </w:rPr>
        <w:t>询、产品升级等。公司根据合同约定的维护期间及总金额在维护服务已经提供，收到价款或取得</w:t>
      </w:r>
      <w:r>
        <w:rPr>
          <w:spacing w:val="-55"/>
        </w:rPr>
        <w:t> </w:t>
      </w:r>
      <w:r>
        <w:rPr>
          <w:spacing w:val="-55"/>
        </w:rPr>
      </w:r>
      <w:r>
        <w:rPr/>
        <w:t>收款的依据后确认收入。</w:t>
      </w:r>
    </w:p>
    <w:p>
      <w:pPr>
        <w:pStyle w:val="BodyText"/>
        <w:spacing w:line="240" w:lineRule="auto" w:before="20"/>
        <w:ind w:left="557" w:right="0"/>
        <w:jc w:val="left"/>
      </w:pPr>
      <w:r>
        <w:rPr/>
        <w:t>（</w:t>
      </w:r>
      <w:r>
        <w:rPr>
          <w:rFonts w:ascii="Times New Roman" w:hAnsi="Times New Roman" w:cs="Times New Roman" w:eastAsia="Times New Roman" w:hint="default"/>
        </w:rPr>
        <w:t>4</w:t>
      </w:r>
      <w:r>
        <w:rPr/>
        <w:t>）对于建造</w:t>
      </w:r>
      <w:r>
        <w:rPr>
          <w:rFonts w:ascii="Times New Roman" w:hAnsi="Times New Roman" w:cs="Times New Roman" w:eastAsia="Times New Roman" w:hint="default"/>
        </w:rPr>
        <w:t>-</w:t>
      </w:r>
      <w:r>
        <w:rPr/>
        <w:t>经营</w:t>
      </w:r>
      <w:r>
        <w:rPr>
          <w:rFonts w:ascii="Times New Roman" w:hAnsi="Times New Roman" w:cs="Times New Roman" w:eastAsia="Times New Roman" w:hint="default"/>
        </w:rPr>
        <w:t>-</w:t>
      </w:r>
      <w:r>
        <w:rPr/>
        <w:t>移交（</w:t>
      </w:r>
      <w:r>
        <w:rPr>
          <w:rFonts w:ascii="Times New Roman" w:hAnsi="Times New Roman" w:cs="Times New Roman" w:eastAsia="Times New Roman" w:hint="default"/>
        </w:rPr>
        <w:t>“BOT”</w:t>
      </w:r>
      <w:r>
        <w:rPr/>
        <w:t>）业务相关收入的确认</w:t>
      </w:r>
    </w:p>
    <w:p>
      <w:pPr>
        <w:pStyle w:val="BodyText"/>
        <w:spacing w:line="309" w:lineRule="auto" w:before="69"/>
        <w:ind w:left="137" w:right="129" w:firstLine="420"/>
        <w:jc w:val="both"/>
      </w:pPr>
      <w:r>
        <w:rPr/>
        <w:t>公司采用建造</w:t>
      </w:r>
      <w:r>
        <w:rPr>
          <w:rFonts w:ascii="Times New Roman" w:hAnsi="Times New Roman" w:cs="Times New Roman" w:eastAsia="Times New Roman" w:hint="default"/>
        </w:rPr>
        <w:t>—</w:t>
      </w:r>
      <w:r>
        <w:rPr/>
        <w:t>经营</w:t>
      </w:r>
      <w:r>
        <w:rPr>
          <w:rFonts w:ascii="Times New Roman" w:hAnsi="Times New Roman" w:cs="Times New Roman" w:eastAsia="Times New Roman" w:hint="default"/>
        </w:rPr>
        <w:t>—</w:t>
      </w:r>
      <w:r>
        <w:rPr/>
        <w:t>移交（</w:t>
      </w:r>
      <w:r>
        <w:rPr>
          <w:rFonts w:ascii="Times New Roman" w:hAnsi="Times New Roman" w:cs="Times New Roman" w:eastAsia="Times New Roman" w:hint="default"/>
        </w:rPr>
        <w:t>Build</w:t>
      </w:r>
      <w:r>
        <w:rPr>
          <w:rFonts w:ascii="Times New Roman" w:hAnsi="Times New Roman" w:cs="Times New Roman" w:eastAsia="Times New Roman" w:hint="default"/>
        </w:rPr>
        <w:t>—</w:t>
      </w:r>
      <w:r>
        <w:rPr>
          <w:rFonts w:ascii="Times New Roman" w:hAnsi="Times New Roman" w:cs="Times New Roman" w:eastAsia="Times New Roman" w:hint="default"/>
        </w:rPr>
        <w:t>Operate</w:t>
      </w:r>
      <w:r>
        <w:rPr>
          <w:rFonts w:ascii="Times New Roman" w:hAnsi="Times New Roman" w:cs="Times New Roman" w:eastAsia="Times New Roman" w:hint="default"/>
        </w:rPr>
        <w:t>—</w:t>
      </w:r>
      <w:r>
        <w:rPr>
          <w:rFonts w:ascii="Times New Roman" w:hAnsi="Times New Roman" w:cs="Times New Roman" w:eastAsia="Times New Roman" w:hint="default"/>
        </w:rPr>
        <w:t>Transfer</w:t>
      </w:r>
      <w:r>
        <w:rPr/>
        <w:t>）经营方式（以下简称</w:t>
      </w:r>
      <w:r>
        <w:rPr>
          <w:rFonts w:ascii="Times New Roman" w:hAnsi="Times New Roman" w:cs="Times New Roman" w:eastAsia="Times New Roman" w:hint="default"/>
        </w:rPr>
        <w:t>“BOT”</w:t>
      </w:r>
      <w:r>
        <w:rPr/>
        <w:t>），是</w:t>
      </w:r>
      <w:r>
        <w:rPr>
          <w:w w:val="100"/>
        </w:rPr>
        <w:t> </w:t>
      </w:r>
      <w:r>
        <w:rPr>
          <w:spacing w:val="-1"/>
        </w:rPr>
        <w:t>指政府将基础设施项目的特许权授予承包商，承包商在特许期内负责项目设计、融资、建设和运</w:t>
      </w:r>
      <w:r>
        <w:rPr>
          <w:spacing w:val="-55"/>
        </w:rPr>
        <w:t> </w:t>
      </w:r>
      <w:r>
        <w:rPr>
          <w:spacing w:val="-55"/>
        </w:rPr>
      </w:r>
      <w:r>
        <w:rPr>
          <w:spacing w:val="-1"/>
        </w:rPr>
        <w:t>营，并回收成本、偿还债务、赚取利润，特许期结束后将项目所有权移交政府。其会计核算方法</w:t>
      </w:r>
      <w:r>
        <w:rPr>
          <w:spacing w:val="-55"/>
        </w:rPr>
        <w:t> </w:t>
      </w:r>
      <w:r>
        <w:rPr>
          <w:spacing w:val="-55"/>
        </w:rPr>
      </w:r>
      <w:r>
        <w:rPr/>
        <w:t>为：</w:t>
      </w:r>
    </w:p>
    <w:p>
      <w:pPr>
        <w:pStyle w:val="BodyText"/>
        <w:spacing w:line="240" w:lineRule="auto" w:before="24"/>
        <w:ind w:left="557" w:right="0"/>
        <w:jc w:val="left"/>
      </w:pPr>
      <w:r>
        <w:rPr>
          <w:rFonts w:ascii="Times New Roman" w:hAnsi="Times New Roman" w:cs="Times New Roman" w:eastAsia="Times New Roman" w:hint="default"/>
        </w:rPr>
        <w:t>A</w:t>
      </w:r>
      <w:r>
        <w:rPr/>
        <w:t>．建造期间，公司对于所提供的建造服务按照正式上线运行前的验收报告确认相关的收入</w:t>
      </w:r>
    </w:p>
    <w:p>
      <w:pPr>
        <w:spacing w:after="0" w:line="240" w:lineRule="auto"/>
        <w:jc w:val="left"/>
        <w:sectPr>
          <w:pgSz w:w="11910" w:h="16840"/>
          <w:pgMar w:header="857" w:footer="979" w:top="1120" w:bottom="1160" w:left="1140" w:right="1660"/>
        </w:sectPr>
      </w:pPr>
    </w:p>
    <w:p>
      <w:pPr>
        <w:spacing w:line="240" w:lineRule="auto" w:before="5"/>
        <w:rPr>
          <w:rFonts w:ascii="宋体" w:hAnsi="宋体" w:cs="宋体" w:eastAsia="宋体" w:hint="default"/>
          <w:sz w:val="24"/>
          <w:szCs w:val="24"/>
        </w:rPr>
      </w:pPr>
    </w:p>
    <w:p>
      <w:pPr>
        <w:pStyle w:val="BodyText"/>
        <w:spacing w:line="240" w:lineRule="auto" w:before="36"/>
        <w:ind w:left="137" w:right="0"/>
        <w:jc w:val="left"/>
      </w:pPr>
      <w:r>
        <w:rPr/>
        <w:t>和费用。</w:t>
      </w:r>
    </w:p>
    <w:p>
      <w:pPr>
        <w:pStyle w:val="BodyText"/>
        <w:spacing w:line="304" w:lineRule="auto" w:before="85"/>
        <w:ind w:left="137" w:right="129" w:firstLine="420"/>
        <w:jc w:val="both"/>
      </w:pPr>
      <w:r>
        <w:rPr>
          <w:rFonts w:ascii="Times New Roman" w:hAnsi="Times New Roman" w:cs="Times New Roman" w:eastAsia="Times New Roman" w:hint="default"/>
          <w:spacing w:val="-3"/>
        </w:rPr>
        <w:t>B</w:t>
      </w:r>
      <w:r>
        <w:rPr>
          <w:spacing w:val="-3"/>
        </w:rPr>
        <w:t>．建造完成后，公司按照《企业会计准则第 </w:t>
      </w:r>
      <w:r>
        <w:rPr>
          <w:rFonts w:ascii="Times New Roman" w:hAnsi="Times New Roman" w:cs="Times New Roman" w:eastAsia="Times New Roman" w:hint="default"/>
        </w:rPr>
        <w:t>14</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收入》确认与后续经营服务相关的收</w:t>
      </w:r>
      <w:r>
        <w:rPr>
          <w:w w:val="100"/>
        </w:rPr>
        <w:t> </w:t>
      </w:r>
      <w:r>
        <w:rPr>
          <w:spacing w:val="-1"/>
        </w:rPr>
        <w:t>入。建造合同收入按照收取或应收对价的公允价值计量，并分别以下情况在确认收入的同时，确</w:t>
      </w:r>
      <w:r>
        <w:rPr>
          <w:spacing w:val="-55"/>
        </w:rPr>
        <w:t> </w:t>
      </w:r>
      <w:r>
        <w:rPr>
          <w:spacing w:val="-55"/>
        </w:rPr>
      </w:r>
      <w:r>
        <w:rPr/>
        <w:t>认金融资产或无形资产：</w:t>
      </w:r>
    </w:p>
    <w:p>
      <w:pPr>
        <w:pStyle w:val="BodyText"/>
        <w:spacing w:line="309" w:lineRule="auto" w:before="28"/>
        <w:ind w:left="137" w:right="128" w:firstLine="420"/>
        <w:jc w:val="both"/>
      </w:pPr>
      <w:r>
        <w:rPr>
          <w:spacing w:val="-4"/>
        </w:rPr>
        <w:t>（</w:t>
      </w:r>
      <w:r>
        <w:rPr>
          <w:rFonts w:ascii="Times New Roman" w:hAnsi="Times New Roman" w:cs="Times New Roman" w:eastAsia="Times New Roman" w:hint="default"/>
          <w:spacing w:val="-4"/>
        </w:rPr>
        <w:t>a</w:t>
      </w:r>
      <w:r>
        <w:rPr>
          <w:spacing w:val="-4"/>
        </w:rPr>
        <w:t>）合同规定基础设施建成后的一定期间内，公司可以无条件地自合同授予方收取确定金额</w:t>
      </w:r>
      <w:r>
        <w:rPr>
          <w:w w:val="100"/>
        </w:rPr>
        <w:t> </w:t>
      </w:r>
      <w:r>
        <w:rPr>
          <w:spacing w:val="-1"/>
        </w:rPr>
        <w:t>的货币资金或其他金融资产的；或在公司提供经营服务的收费低于某一限定金额的情况下，合同</w:t>
      </w:r>
      <w:r>
        <w:rPr>
          <w:spacing w:val="-55"/>
        </w:rPr>
        <w:t> </w:t>
      </w:r>
      <w:r>
        <w:rPr>
          <w:spacing w:val="-55"/>
        </w:rPr>
      </w:r>
      <w:r>
        <w:rPr>
          <w:spacing w:val="-6"/>
        </w:rPr>
        <w:t>授予方按照合同规定负责将有关差价补偿给公司的，在确认收入的同时确认金融资产，并按照《企</w:t>
      </w:r>
      <w:r>
        <w:rPr>
          <w:spacing w:val="-54"/>
        </w:rPr>
        <w:t> </w:t>
      </w:r>
      <w:r>
        <w:rPr>
          <w:spacing w:val="-54"/>
        </w:rPr>
      </w:r>
      <w:r>
        <w:rPr/>
        <w:t>业会计准则第</w:t>
      </w:r>
      <w:r>
        <w:rPr>
          <w:spacing w:val="-56"/>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金融工具确认和计量》的规定处理。</w:t>
      </w:r>
    </w:p>
    <w:p>
      <w:pPr>
        <w:pStyle w:val="BodyText"/>
        <w:spacing w:line="302" w:lineRule="auto" w:before="2"/>
        <w:ind w:left="137" w:right="128" w:firstLine="420"/>
        <w:jc w:val="both"/>
      </w:pPr>
      <w:r>
        <w:rPr>
          <w:spacing w:val="-4"/>
        </w:rPr>
        <w:t>（</w:t>
      </w:r>
      <w:r>
        <w:rPr>
          <w:rFonts w:ascii="Times New Roman" w:hAnsi="Times New Roman" w:cs="Times New Roman" w:eastAsia="Times New Roman" w:hint="default"/>
          <w:spacing w:val="-4"/>
        </w:rPr>
        <w:t>b</w:t>
      </w:r>
      <w:r>
        <w:rPr>
          <w:spacing w:val="-4"/>
        </w:rPr>
        <w:t>）合同规定公司在有关基础设施建成后，从事经营的一定期间内有权利向获取服务的对象</w:t>
      </w:r>
      <w:r>
        <w:rPr>
          <w:w w:val="100"/>
        </w:rPr>
        <w:t> </w:t>
      </w:r>
      <w:r>
        <w:rPr>
          <w:spacing w:val="-1"/>
        </w:rPr>
        <w:t>收取费用，但收费金额不确定的，该权利不构成一项无条件收取现金的权利，公司在确认收入的</w:t>
      </w:r>
      <w:r>
        <w:rPr>
          <w:spacing w:val="-55"/>
        </w:rPr>
        <w:t> </w:t>
      </w:r>
      <w:r>
        <w:rPr>
          <w:spacing w:val="-55"/>
        </w:rPr>
      </w:r>
      <w:r>
        <w:rPr>
          <w:spacing w:val="-4"/>
        </w:rPr>
        <w:t>同时确认无形资产。建造过程如发生借款利息，按照《企业会计准则第 </w:t>
      </w:r>
      <w:r>
        <w:rPr>
          <w:rFonts w:ascii="Times New Roman" w:hAnsi="Times New Roman" w:cs="Times New Roman" w:eastAsia="Times New Roman" w:hint="default"/>
        </w:rPr>
        <w:t>17 </w:t>
      </w:r>
      <w:r>
        <w:rPr>
          <w:spacing w:val="-4"/>
        </w:rPr>
        <w:t>号</w:t>
      </w:r>
      <w:r>
        <w:rPr>
          <w:rFonts w:ascii="Times New Roman" w:hAnsi="Times New Roman" w:cs="Times New Roman" w:eastAsia="Times New Roman" w:hint="default"/>
          <w:spacing w:val="-4"/>
        </w:rPr>
        <w:t>——</w:t>
      </w:r>
      <w:r>
        <w:rPr>
          <w:spacing w:val="-4"/>
        </w:rPr>
        <w:t>借款费用》的规</w:t>
      </w:r>
      <w:r>
        <w:rPr>
          <w:spacing w:val="-92"/>
        </w:rPr>
        <w:t> </w:t>
      </w:r>
      <w:r>
        <w:rPr>
          <w:spacing w:val="-92"/>
        </w:rPr>
      </w:r>
      <w:r>
        <w:rPr/>
        <w:t>定处理。</w:t>
      </w:r>
    </w:p>
    <w:p>
      <w:pPr>
        <w:pStyle w:val="BodyText"/>
        <w:spacing w:line="297" w:lineRule="auto" w:before="30"/>
        <w:ind w:left="137" w:right="136" w:firstLine="420"/>
        <w:jc w:val="both"/>
      </w:pPr>
      <w:r>
        <w:rPr>
          <w:rFonts w:ascii="Times New Roman" w:hAnsi="Times New Roman" w:cs="Times New Roman" w:eastAsia="Times New Roman" w:hint="default"/>
        </w:rPr>
        <w:t>C</w:t>
      </w:r>
      <w:r>
        <w:rPr/>
        <w:t>．公司未提供实际建造服务，将基础设施建造发包给其他方的，不确认建造服务收入，按</w:t>
      </w:r>
      <w:r>
        <w:rPr>
          <w:w w:val="100"/>
        </w:rPr>
        <w:t> </w:t>
      </w:r>
      <w:r>
        <w:rPr/>
        <w:t>照建造过程中支付的工程价款等考虑合同规定，分别确认为金融资产或无形资产。</w:t>
      </w:r>
    </w:p>
    <w:p>
      <w:pPr>
        <w:pStyle w:val="BodyText"/>
        <w:spacing w:line="297" w:lineRule="auto" w:before="34"/>
        <w:ind w:left="137" w:right="131" w:firstLine="420"/>
        <w:jc w:val="both"/>
      </w:pPr>
      <w:r>
        <w:rPr>
          <w:rFonts w:ascii="Times New Roman" w:hAnsi="Times New Roman" w:cs="Times New Roman" w:eastAsia="Times New Roman" w:hint="default"/>
        </w:rPr>
        <w:t>D</w:t>
      </w:r>
      <w:r>
        <w:rPr/>
        <w:t>．按照合同规定，公司为使有关基础设施保持一定的服务能力或在移交给合同授予方之前</w:t>
      </w:r>
      <w:r>
        <w:rPr>
          <w:w w:val="100"/>
        </w:rPr>
        <w:t> </w:t>
      </w:r>
      <w:r>
        <w:rPr>
          <w:spacing w:val="-4"/>
        </w:rPr>
        <w:t>保持一定的使用状态，预计将发生的支出，按照《企业会计准则第 </w:t>
      </w:r>
      <w:r>
        <w:rPr>
          <w:rFonts w:ascii="Times New Roman" w:hAnsi="Times New Roman" w:cs="Times New Roman" w:eastAsia="Times New Roman" w:hint="default"/>
        </w:rPr>
        <w:t>13 </w:t>
      </w:r>
      <w:r>
        <w:rPr>
          <w:spacing w:val="-4"/>
        </w:rPr>
        <w:t>号</w:t>
      </w:r>
      <w:r>
        <w:rPr>
          <w:rFonts w:ascii="Times New Roman" w:hAnsi="Times New Roman" w:cs="Times New Roman" w:eastAsia="Times New Roman" w:hint="default"/>
          <w:spacing w:val="-4"/>
        </w:rPr>
        <w:t>——</w:t>
      </w:r>
      <w:r>
        <w:rPr>
          <w:spacing w:val="-4"/>
        </w:rPr>
        <w:t>或有事项》的规定处</w:t>
      </w:r>
      <w:r>
        <w:rPr>
          <w:spacing w:val="-96"/>
        </w:rPr>
        <w:t> </w:t>
      </w:r>
      <w:r>
        <w:rPr>
          <w:spacing w:val="-96"/>
        </w:rPr>
      </w:r>
      <w:r>
        <w:rPr/>
        <w:t>理。</w:t>
      </w:r>
    </w:p>
    <w:p>
      <w:pPr>
        <w:pStyle w:val="BodyText"/>
        <w:spacing w:line="304" w:lineRule="auto" w:before="34"/>
        <w:ind w:left="137" w:right="129" w:firstLine="420"/>
        <w:jc w:val="both"/>
      </w:pPr>
      <w:r>
        <w:rPr>
          <w:rFonts w:ascii="Times New Roman" w:hAnsi="Times New Roman" w:cs="Times New Roman" w:eastAsia="Times New Roman" w:hint="default"/>
        </w:rPr>
        <w:t>E</w:t>
      </w:r>
      <w:r>
        <w:rPr/>
        <w:t>．按照特许经营权合同规定，公司应提供不止一项服务（如既提供基础设施建造服务又提</w:t>
      </w:r>
      <w:r>
        <w:rPr>
          <w:w w:val="100"/>
        </w:rPr>
        <w:t> </w:t>
      </w:r>
      <w:r>
        <w:rPr>
          <w:spacing w:val="-1"/>
        </w:rPr>
        <w:t>供建成后经营服务）的，各项服务能够单独区分时，其收取或应收的对价按照各项服务的相对公</w:t>
      </w:r>
      <w:r>
        <w:rPr>
          <w:spacing w:val="-55"/>
        </w:rPr>
        <w:t> </w:t>
      </w:r>
      <w:r>
        <w:rPr>
          <w:spacing w:val="-55"/>
        </w:rPr>
      </w:r>
      <w:r>
        <w:rPr/>
        <w:t>允价值比例分配给所提供的各项服务。</w:t>
      </w:r>
    </w:p>
    <w:p>
      <w:pPr>
        <w:pStyle w:val="BodyText"/>
        <w:spacing w:line="240" w:lineRule="auto" w:before="28"/>
        <w:ind w:left="557" w:right="0"/>
        <w:jc w:val="left"/>
      </w:pPr>
      <w:r>
        <w:rPr>
          <w:rFonts w:ascii="Times New Roman" w:hAnsi="Times New Roman" w:cs="Times New Roman" w:eastAsia="Times New Roman" w:hint="default"/>
        </w:rPr>
        <w:t>F</w:t>
      </w:r>
      <w:r>
        <w:rPr/>
        <w:t>．</w:t>
      </w:r>
      <w:r>
        <w:rPr>
          <w:rFonts w:ascii="Times New Roman" w:hAnsi="Times New Roman" w:cs="Times New Roman" w:eastAsia="Times New Roman" w:hint="default"/>
        </w:rPr>
        <w:t>BOT</w:t>
      </w:r>
      <w:r>
        <w:rPr>
          <w:rFonts w:ascii="Times New Roman" w:hAnsi="Times New Roman" w:cs="Times New Roman" w:eastAsia="Times New Roman" w:hint="default"/>
          <w:spacing w:val="-4"/>
        </w:rPr>
        <w:t> </w:t>
      </w:r>
      <w:r>
        <w:rPr/>
        <w:t>业务所建造基础设施不作为公司的固定资产。</w:t>
      </w:r>
    </w:p>
    <w:p>
      <w:pPr>
        <w:pStyle w:val="BodyText"/>
        <w:spacing w:line="304" w:lineRule="auto" w:before="69"/>
        <w:ind w:left="137" w:right="129" w:firstLine="420"/>
        <w:jc w:val="both"/>
      </w:pPr>
      <w:r>
        <w:rPr>
          <w:rFonts w:ascii="Times New Roman" w:hAnsi="Times New Roman" w:cs="Times New Roman" w:eastAsia="Times New Roman" w:hint="default"/>
          <w:spacing w:val="-5"/>
        </w:rPr>
        <w:t>G</w:t>
      </w:r>
      <w:r>
        <w:rPr>
          <w:spacing w:val="-5"/>
        </w:rPr>
        <w:t>．在 </w:t>
      </w:r>
      <w:r>
        <w:rPr>
          <w:rFonts w:ascii="Times New Roman" w:hAnsi="Times New Roman" w:cs="Times New Roman" w:eastAsia="Times New Roman" w:hint="default"/>
        </w:rPr>
        <w:t>BOT</w:t>
      </w:r>
      <w:r>
        <w:rPr>
          <w:rFonts w:ascii="Times New Roman" w:hAnsi="Times New Roman" w:cs="Times New Roman" w:eastAsia="Times New Roman" w:hint="default"/>
          <w:spacing w:val="15"/>
        </w:rPr>
        <w:t> </w:t>
      </w:r>
      <w:r>
        <w:rPr>
          <w:spacing w:val="-3"/>
        </w:rPr>
        <w:t>业务中，授予方可能向公司提供除基础设施以外其他的资产，如果该资产构成授</w:t>
      </w:r>
      <w:r>
        <w:rPr>
          <w:w w:val="100"/>
        </w:rPr>
        <w:t> </w:t>
      </w:r>
      <w:r>
        <w:rPr>
          <w:spacing w:val="-1"/>
        </w:rPr>
        <w:t>予方应付合同价款的一部分，不作为政府补助处理。公司自授予方取得资产时，以其公允价值确</w:t>
      </w:r>
      <w:r>
        <w:rPr>
          <w:spacing w:val="-55"/>
        </w:rPr>
        <w:t> </w:t>
      </w:r>
      <w:r>
        <w:rPr>
          <w:spacing w:val="-55"/>
        </w:rPr>
      </w:r>
      <w:r>
        <w:rPr/>
        <w:t>认，在未提供与获取该资产相关的服务前确认为一项负债。</w:t>
      </w:r>
    </w:p>
    <w:p>
      <w:pPr>
        <w:pStyle w:val="BodyText"/>
        <w:spacing w:line="240" w:lineRule="auto" w:before="28"/>
        <w:ind w:left="557" w:right="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PPP</w:t>
      </w:r>
      <w:r>
        <w:rPr>
          <w:rFonts w:ascii="Times New Roman" w:hAnsi="Times New Roman" w:cs="Times New Roman" w:eastAsia="Times New Roman" w:hint="default"/>
          <w:spacing w:val="-1"/>
        </w:rPr>
        <w:t> </w:t>
      </w:r>
      <w:r>
        <w:rPr/>
        <w:t>业务会计政策</w:t>
      </w:r>
    </w:p>
    <w:p>
      <w:pPr>
        <w:pStyle w:val="BodyText"/>
        <w:spacing w:line="297" w:lineRule="auto" w:before="69"/>
        <w:ind w:left="137" w:right="129" w:firstLine="420"/>
        <w:jc w:val="both"/>
      </w:pPr>
      <w:r>
        <w:rPr/>
        <w:t>公司承接的</w:t>
      </w:r>
      <w:r>
        <w:rPr>
          <w:spacing w:val="-36"/>
        </w:rPr>
        <w:t> </w:t>
      </w:r>
      <w:r>
        <w:rPr>
          <w:rFonts w:ascii="Times New Roman" w:hAnsi="Times New Roman" w:cs="Times New Roman" w:eastAsia="Times New Roman" w:hint="default"/>
        </w:rPr>
        <w:t>PPP</w:t>
      </w:r>
      <w:r>
        <w:rPr>
          <w:rFonts w:ascii="Times New Roman" w:hAnsi="Times New Roman" w:cs="Times New Roman" w:eastAsia="Times New Roman" w:hint="default"/>
          <w:spacing w:val="19"/>
        </w:rPr>
        <w:t> </w:t>
      </w:r>
      <w:r>
        <w:rPr/>
        <w:t>项目采用政府和社会资本合作的建设模式，运营模式与</w:t>
      </w:r>
      <w:r>
        <w:rPr>
          <w:spacing w:val="-36"/>
        </w:rPr>
        <w:t> </w:t>
      </w:r>
      <w:r>
        <w:rPr>
          <w:rFonts w:ascii="Times New Roman" w:hAnsi="Times New Roman" w:cs="Times New Roman" w:eastAsia="Times New Roman" w:hint="default"/>
        </w:rPr>
        <w:t>BOT</w:t>
      </w:r>
      <w:r>
        <w:rPr>
          <w:rFonts w:ascii="Times New Roman" w:hAnsi="Times New Roman" w:cs="Times New Roman" w:eastAsia="Times New Roman" w:hint="default"/>
          <w:spacing w:val="20"/>
        </w:rPr>
        <w:t> </w:t>
      </w:r>
      <w:r>
        <w:rPr/>
        <w:t>业务相似，收</w:t>
      </w:r>
      <w:r>
        <w:rPr>
          <w:w w:val="100"/>
        </w:rPr>
        <w:t> </w:t>
      </w:r>
      <w:r>
        <w:rPr/>
        <w:t>入的确认参照</w:t>
      </w:r>
      <w:r>
        <w:rPr>
          <w:spacing w:val="-55"/>
        </w:rPr>
        <w:t> </w:t>
      </w:r>
      <w:r>
        <w:rPr>
          <w:rFonts w:ascii="Times New Roman" w:hAnsi="Times New Roman" w:cs="Times New Roman" w:eastAsia="Times New Roman" w:hint="default"/>
        </w:rPr>
        <w:t>BOT</w:t>
      </w:r>
      <w:r>
        <w:rPr>
          <w:rFonts w:ascii="Times New Roman" w:hAnsi="Times New Roman" w:cs="Times New Roman" w:eastAsia="Times New Roman" w:hint="default"/>
          <w:spacing w:val="-2"/>
        </w:rPr>
        <w:t> </w:t>
      </w:r>
      <w:r>
        <w:rPr/>
        <w:t>业务执行。</w:t>
      </w:r>
    </w:p>
    <w:p>
      <w:pPr>
        <w:pStyle w:val="Heading4"/>
        <w:spacing w:line="288" w:lineRule="exact" w:before="0"/>
        <w:ind w:left="137" w:right="0"/>
        <w:jc w:val="left"/>
        <w:rPr>
          <w:b w:val="0"/>
          <w:bCs w:val="0"/>
        </w:rPr>
      </w:pPr>
      <w:r>
        <w:rPr>
          <w:rFonts w:ascii="Times New Roman" w:hAnsi="Times New Roman" w:cs="Times New Roman" w:eastAsia="Times New Roman" w:hint="default"/>
        </w:rPr>
        <w:t>29.  </w:t>
      </w:r>
      <w:r>
        <w:rPr>
          <w:rFonts w:ascii="Times New Roman" w:hAnsi="Times New Roman" w:cs="Times New Roman" w:eastAsia="Times New Roman" w:hint="default"/>
          <w:spacing w:val="6"/>
        </w:rPr>
        <w:t> </w:t>
      </w:r>
      <w:r>
        <w:rPr/>
        <w:t>政府补助</w:t>
      </w:r>
      <w:r>
        <w:rPr>
          <w:b w:val="0"/>
          <w:bCs w:val="0"/>
        </w:rPr>
      </w:r>
    </w:p>
    <w:p>
      <w:pPr>
        <w:pStyle w:val="BodyText"/>
        <w:spacing w:line="240" w:lineRule="auto" w:before="40"/>
        <w:ind w:left="617" w:right="0"/>
        <w:jc w:val="left"/>
      </w:pPr>
      <w:r>
        <w:rPr/>
        <w:t>√适用 □不适用</w:t>
      </w:r>
    </w:p>
    <w:p>
      <w:pPr>
        <w:pStyle w:val="BodyText"/>
        <w:spacing w:line="297" w:lineRule="auto" w:before="75"/>
        <w:ind w:left="557" w:right="0"/>
        <w:jc w:val="left"/>
      </w:pPr>
      <w:r>
        <w:rPr>
          <w:rFonts w:ascii="Times New Roman" w:hAnsi="Times New Roman" w:cs="Times New Roman" w:eastAsia="Times New Roman" w:hint="default"/>
        </w:rPr>
        <w:t>1</w:t>
      </w:r>
      <w:r>
        <w:rPr/>
        <w:t>．政府补助的类型</w:t>
      </w:r>
      <w:r>
        <w:rPr>
          <w:w w:val="100"/>
        </w:rPr>
        <w:t> </w:t>
      </w:r>
      <w:r>
        <w:rPr>
          <w:spacing w:val="-2"/>
        </w:rPr>
        <w:t>政府补助，是指公司从政府无偿取得的货币性资产或非货币性资产，包括与资产相关的政府</w:t>
      </w:r>
    </w:p>
    <w:p>
      <w:pPr>
        <w:pStyle w:val="BodyText"/>
        <w:spacing w:line="314" w:lineRule="auto" w:before="34"/>
        <w:ind w:left="557" w:right="0" w:hanging="420"/>
        <w:jc w:val="left"/>
      </w:pPr>
      <w:r>
        <w:rPr/>
        <w:t>补助和与收益相关的政府补助。</w:t>
      </w:r>
      <w:r>
        <w:rPr>
          <w:w w:val="100"/>
        </w:rPr>
        <w:t> </w:t>
      </w:r>
      <w:r>
        <w:rPr>
          <w:spacing w:val="-7"/>
          <w:w w:val="100"/>
        </w:rPr>
        <w:t>与资产相关的政府补助，是指公司取得的、用于购建或以其他方式形成长期资产的政府补助。</w:t>
      </w:r>
      <w:r>
        <w:rPr>
          <w:w w:val="100"/>
        </w:rPr>
        <w:t> </w:t>
      </w:r>
      <w:r>
        <w:rPr/>
        <w:t>与收益相关的政府补助，是指除与资产相关的政府补助之外的政府补助。</w:t>
      </w:r>
      <w:r>
        <w:rPr>
          <w:w w:val="100"/>
        </w:rPr>
        <w:t> </w:t>
      </w:r>
      <w:r>
        <w:rPr>
          <w:rFonts w:ascii="Times New Roman" w:hAnsi="Times New Roman" w:cs="Times New Roman" w:eastAsia="Times New Roman" w:hint="default"/>
        </w:rPr>
        <w:t>2</w:t>
      </w:r>
      <w:r>
        <w:rPr/>
        <w:t>．政府补助的确认原则和确认时点</w:t>
      </w:r>
    </w:p>
    <w:p>
      <w:pPr>
        <w:pStyle w:val="BodyText"/>
        <w:spacing w:line="272" w:lineRule="exact"/>
        <w:ind w:left="557" w:right="0"/>
        <w:jc w:val="left"/>
      </w:pPr>
      <w:r>
        <w:rPr/>
        <w:t>政府补助的确认原则：</w:t>
      </w:r>
    </w:p>
    <w:p>
      <w:pPr>
        <w:pStyle w:val="BodyText"/>
        <w:spacing w:line="240" w:lineRule="auto" w:before="85"/>
        <w:ind w:left="557" w:right="0"/>
        <w:jc w:val="left"/>
      </w:pPr>
      <w:r>
        <w:rPr/>
        <w:t>（</w:t>
      </w:r>
      <w:r>
        <w:rPr>
          <w:rFonts w:ascii="Times New Roman" w:hAnsi="Times New Roman" w:cs="Times New Roman" w:eastAsia="Times New Roman" w:hint="default"/>
        </w:rPr>
        <w:t>1</w:t>
      </w:r>
      <w:r>
        <w:rPr/>
        <w:t>）公司能够满足政府补助所附条件；</w:t>
      </w:r>
    </w:p>
    <w:p>
      <w:pPr>
        <w:pStyle w:val="BodyText"/>
        <w:spacing w:line="240" w:lineRule="auto" w:before="69"/>
        <w:ind w:left="557" w:right="0"/>
        <w:jc w:val="left"/>
      </w:pPr>
      <w:r>
        <w:rPr/>
        <w:t>（</w:t>
      </w:r>
      <w:r>
        <w:rPr>
          <w:rFonts w:ascii="Times New Roman" w:hAnsi="Times New Roman" w:cs="Times New Roman" w:eastAsia="Times New Roman" w:hint="default"/>
        </w:rPr>
        <w:t>2</w:t>
      </w:r>
      <w:r>
        <w:rPr/>
        <w:t>）公司能够收到政府补助。</w:t>
      </w:r>
    </w:p>
    <w:p>
      <w:pPr>
        <w:spacing w:after="0" w:line="240" w:lineRule="auto"/>
        <w:jc w:val="left"/>
        <w:sectPr>
          <w:pgSz w:w="11910" w:h="16840"/>
          <w:pgMar w:header="857" w:footer="979" w:top="1120" w:bottom="1160" w:left="1140" w:right="1660"/>
        </w:sectPr>
      </w:pPr>
    </w:p>
    <w:p>
      <w:pPr>
        <w:spacing w:line="240" w:lineRule="auto" w:before="5"/>
        <w:rPr>
          <w:rFonts w:ascii="宋体" w:hAnsi="宋体" w:cs="宋体" w:eastAsia="宋体" w:hint="default"/>
          <w:sz w:val="24"/>
          <w:szCs w:val="24"/>
        </w:rPr>
      </w:pPr>
    </w:p>
    <w:p>
      <w:pPr>
        <w:pStyle w:val="BodyText"/>
        <w:spacing w:line="240" w:lineRule="auto" w:before="36"/>
        <w:ind w:left="557" w:right="0"/>
        <w:jc w:val="left"/>
      </w:pPr>
      <w:r>
        <w:rPr/>
        <w:t>政府补助同时满足上述条件时才能予以确认。</w:t>
      </w:r>
    </w:p>
    <w:p>
      <w:pPr>
        <w:pStyle w:val="BodyText"/>
        <w:spacing w:line="240" w:lineRule="auto" w:before="85"/>
        <w:ind w:left="557" w:right="0"/>
        <w:jc w:val="left"/>
      </w:pPr>
      <w:r>
        <w:rPr>
          <w:rFonts w:ascii="Times New Roman" w:hAnsi="Times New Roman" w:cs="Times New Roman" w:eastAsia="Times New Roman" w:hint="default"/>
        </w:rPr>
        <w:t>3</w:t>
      </w:r>
      <w:r>
        <w:rPr/>
        <w:t>、政府补助的计量</w:t>
      </w:r>
    </w:p>
    <w:p>
      <w:pPr>
        <w:pStyle w:val="BodyText"/>
        <w:spacing w:line="240" w:lineRule="auto" w:before="69"/>
        <w:ind w:left="557" w:right="0"/>
        <w:jc w:val="left"/>
      </w:pPr>
      <w:r>
        <w:rPr/>
        <w:t>（</w:t>
      </w:r>
      <w:r>
        <w:rPr>
          <w:rFonts w:ascii="Times New Roman" w:hAnsi="Times New Roman" w:cs="Times New Roman" w:eastAsia="Times New Roman" w:hint="default"/>
        </w:rPr>
        <w:t>1</w:t>
      </w:r>
      <w:r>
        <w:rPr/>
        <w:t>）政府补助为货币性资产的，公司按照收到或应收的金额计量。</w:t>
      </w:r>
    </w:p>
    <w:p>
      <w:pPr>
        <w:pStyle w:val="BodyText"/>
        <w:spacing w:line="297" w:lineRule="auto" w:before="69"/>
        <w:ind w:left="137" w:right="129" w:firstLine="420"/>
        <w:jc w:val="both"/>
      </w:pPr>
      <w:r>
        <w:rPr>
          <w:spacing w:val="-4"/>
        </w:rPr>
        <w:t>（</w:t>
      </w:r>
      <w:r>
        <w:rPr>
          <w:rFonts w:ascii="Times New Roman" w:hAnsi="Times New Roman" w:cs="Times New Roman" w:eastAsia="Times New Roman" w:hint="default"/>
          <w:spacing w:val="-4"/>
        </w:rPr>
        <w:t>2</w:t>
      </w:r>
      <w:r>
        <w:rPr>
          <w:spacing w:val="-4"/>
        </w:rPr>
        <w:t>）政府补助为非货币性资产的，公司按照公允价值计量；公允价值不能可靠取得的，按照</w:t>
      </w:r>
      <w:r>
        <w:rPr>
          <w:w w:val="100"/>
        </w:rPr>
        <w:t> </w:t>
      </w:r>
      <w:r>
        <w:rPr/>
        <w:t>名义金额计量（名义金额为人民币</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w:t>
      </w:r>
    </w:p>
    <w:p>
      <w:pPr>
        <w:pStyle w:val="BodyText"/>
        <w:spacing w:line="240" w:lineRule="auto" w:before="13"/>
        <w:ind w:left="557" w:right="0"/>
        <w:jc w:val="left"/>
      </w:pPr>
      <w:r>
        <w:rPr>
          <w:rFonts w:ascii="Times New Roman" w:hAnsi="Times New Roman" w:cs="Times New Roman" w:eastAsia="Times New Roman" w:hint="default"/>
        </w:rPr>
        <w:t>4</w:t>
      </w:r>
      <w:r>
        <w:rPr/>
        <w:t>、政府补助的会计处理方法</w:t>
      </w:r>
    </w:p>
    <w:p>
      <w:pPr>
        <w:pStyle w:val="BodyText"/>
        <w:spacing w:line="304" w:lineRule="auto" w:before="69"/>
        <w:ind w:left="137" w:right="129" w:firstLine="420"/>
        <w:jc w:val="both"/>
      </w:pPr>
      <w:r>
        <w:rPr>
          <w:spacing w:val="-4"/>
        </w:rPr>
        <w:t>（</w:t>
      </w:r>
      <w:r>
        <w:rPr>
          <w:rFonts w:ascii="Times New Roman" w:hAnsi="Times New Roman" w:cs="Times New Roman" w:eastAsia="Times New Roman" w:hint="default"/>
          <w:spacing w:val="-4"/>
        </w:rPr>
        <w:t>1</w:t>
      </w:r>
      <w:r>
        <w:rPr>
          <w:spacing w:val="-4"/>
        </w:rPr>
        <w:t>）与资产相关的政府补助，在取得时冲减相关资产的账面价值或确认为递延收益。确认为</w:t>
      </w:r>
      <w:r>
        <w:rPr>
          <w:w w:val="100"/>
        </w:rPr>
        <w:t> </w:t>
      </w:r>
      <w:r>
        <w:rPr>
          <w:spacing w:val="-1"/>
        </w:rPr>
        <w:t>递延收益的，在相关资产使用寿命内按照合理、系统的方法分期计入损益。按照名义金额计量的</w:t>
      </w:r>
      <w:r>
        <w:rPr>
          <w:spacing w:val="-55"/>
        </w:rPr>
        <w:t> </w:t>
      </w:r>
      <w:r>
        <w:rPr>
          <w:spacing w:val="-55"/>
        </w:rPr>
      </w:r>
      <w:r>
        <w:rPr/>
        <w:t>政府补助，直接计入当期损益。</w:t>
      </w:r>
    </w:p>
    <w:p>
      <w:pPr>
        <w:pStyle w:val="BodyText"/>
        <w:spacing w:line="240" w:lineRule="auto" w:before="29"/>
        <w:ind w:left="557" w:right="0"/>
        <w:jc w:val="left"/>
      </w:pPr>
      <w:r>
        <w:rPr/>
        <w:t>（</w:t>
      </w:r>
      <w:r>
        <w:rPr>
          <w:rFonts w:ascii="Times New Roman" w:hAnsi="Times New Roman" w:cs="Times New Roman" w:eastAsia="Times New Roman" w:hint="default"/>
        </w:rPr>
        <w:t>2</w:t>
      </w:r>
      <w:r>
        <w:rPr/>
        <w:t>）与收益相关的政府补助，分别下列情况处理：</w:t>
      </w:r>
    </w:p>
    <w:p>
      <w:pPr>
        <w:pStyle w:val="BodyText"/>
        <w:spacing w:line="297" w:lineRule="auto" w:before="69"/>
        <w:ind w:left="137" w:right="133" w:firstLine="420"/>
        <w:jc w:val="both"/>
      </w:pPr>
      <w:r>
        <w:rPr>
          <w:rFonts w:ascii="Times New Roman" w:hAnsi="Times New Roman" w:cs="Times New Roman" w:eastAsia="Times New Roman" w:hint="default"/>
        </w:rPr>
        <w:t>A</w:t>
      </w:r>
      <w:r>
        <w:rPr/>
        <w:t>．用于补偿公司以后期间的相关成本费用或损失的，在取得时确认为递延收益，并在确认</w:t>
      </w:r>
      <w:r>
        <w:rPr>
          <w:w w:val="100"/>
        </w:rPr>
        <w:t> </w:t>
      </w:r>
      <w:r>
        <w:rPr/>
        <w:t>相关成本费用或损失的期间，计入当期损益或冲减相关成本。</w:t>
      </w:r>
    </w:p>
    <w:p>
      <w:pPr>
        <w:pStyle w:val="BodyText"/>
        <w:spacing w:line="297" w:lineRule="auto" w:before="34"/>
        <w:ind w:left="137" w:right="136" w:firstLine="420"/>
        <w:jc w:val="both"/>
      </w:pPr>
      <w:r>
        <w:rPr>
          <w:rFonts w:ascii="Times New Roman" w:hAnsi="Times New Roman" w:cs="Times New Roman" w:eastAsia="Times New Roman" w:hint="default"/>
        </w:rPr>
        <w:t>B</w:t>
      </w:r>
      <w:r>
        <w:rPr/>
        <w:t>．用于补偿公司已发生的相关成本费用或损失的，在取得时直接计入当期损益或冲减相关</w:t>
      </w:r>
      <w:r>
        <w:rPr>
          <w:w w:val="100"/>
        </w:rPr>
        <w:t> </w:t>
      </w:r>
      <w:r>
        <w:rPr/>
        <w:t>成本。</w:t>
      </w:r>
    </w:p>
    <w:p>
      <w:pPr>
        <w:pStyle w:val="BodyText"/>
        <w:spacing w:line="297" w:lineRule="auto" w:before="34"/>
        <w:ind w:left="137" w:right="129" w:firstLine="420"/>
        <w:jc w:val="both"/>
      </w:pPr>
      <w:r>
        <w:rPr>
          <w:spacing w:val="-4"/>
        </w:rPr>
        <w:t>（</w:t>
      </w:r>
      <w:r>
        <w:rPr>
          <w:rFonts w:ascii="Times New Roman" w:hAnsi="Times New Roman" w:cs="Times New Roman" w:eastAsia="Times New Roman" w:hint="default"/>
          <w:spacing w:val="-4"/>
        </w:rPr>
        <w:t>3</w:t>
      </w:r>
      <w:r>
        <w:rPr>
          <w:spacing w:val="-4"/>
        </w:rPr>
        <w:t>）对于同时包含于资产相关部分和与收益相关部分的政府补助，可以区分的，则分不同部</w:t>
      </w:r>
      <w:r>
        <w:rPr>
          <w:w w:val="100"/>
        </w:rPr>
        <w:t> </w:t>
      </w:r>
      <w:r>
        <w:rPr/>
        <w:t>分分别进行会计处理；难以区分的，则整体归类为与收益相关的政府补助。</w:t>
      </w:r>
    </w:p>
    <w:p>
      <w:pPr>
        <w:pStyle w:val="BodyText"/>
        <w:spacing w:line="304" w:lineRule="auto" w:before="34"/>
        <w:ind w:left="137" w:right="129" w:firstLine="420"/>
        <w:jc w:val="both"/>
      </w:pPr>
      <w:r>
        <w:rPr>
          <w:spacing w:val="-4"/>
        </w:rPr>
        <w:t>（</w:t>
      </w:r>
      <w:r>
        <w:rPr>
          <w:rFonts w:ascii="Times New Roman" w:hAnsi="Times New Roman" w:cs="Times New Roman" w:eastAsia="Times New Roman" w:hint="default"/>
          <w:spacing w:val="-4"/>
        </w:rPr>
        <w:t>4</w:t>
      </w:r>
      <w:r>
        <w:rPr>
          <w:spacing w:val="-4"/>
        </w:rPr>
        <w:t>）与公司日常经营相关的政府补助，按照经济业务实质，计入其他收益或冲减相关成本费</w:t>
      </w:r>
      <w:r>
        <w:rPr>
          <w:w w:val="100"/>
        </w:rPr>
        <w:t> </w:t>
      </w:r>
      <w:r>
        <w:rPr>
          <w:spacing w:val="-1"/>
        </w:rPr>
        <w:t>用。与公司日常活动无关的政府补助，计入营业外收支。财政将贴息资金直接拨付给公司的，公</w:t>
      </w:r>
      <w:r>
        <w:rPr>
          <w:spacing w:val="-55"/>
        </w:rPr>
        <w:t> </w:t>
      </w:r>
      <w:r>
        <w:rPr>
          <w:spacing w:val="-55"/>
        </w:rPr>
      </w:r>
      <w:r>
        <w:rPr/>
        <w:t>司将对应的贴息冲减相关借款费用。</w:t>
      </w:r>
    </w:p>
    <w:p>
      <w:pPr>
        <w:pStyle w:val="BodyText"/>
        <w:spacing w:line="297" w:lineRule="auto" w:before="28"/>
        <w:ind w:left="557" w:right="0"/>
        <w:jc w:val="left"/>
      </w:pPr>
      <w:r>
        <w:rPr/>
        <w:t>（</w:t>
      </w:r>
      <w:r>
        <w:rPr>
          <w:rFonts w:ascii="Times New Roman" w:hAnsi="Times New Roman" w:cs="Times New Roman" w:eastAsia="Times New Roman" w:hint="default"/>
        </w:rPr>
        <w:t>5</w:t>
      </w:r>
      <w:r>
        <w:rPr/>
        <w:t>）已确认的政府补助需要退回的，分别下列情况处理：</w:t>
      </w:r>
      <w:r>
        <w:rPr>
          <w:w w:val="100"/>
        </w:rPr>
        <w:t> </w:t>
      </w:r>
      <w:r>
        <w:rPr>
          <w:rFonts w:ascii="Times New Roman" w:hAnsi="Times New Roman" w:cs="Times New Roman" w:eastAsia="Times New Roman" w:hint="default"/>
        </w:rPr>
        <w:t>A</w:t>
      </w:r>
      <w:r>
        <w:rPr/>
        <w:t>．初始确认时冲减相关资产账面价值的，调整资产账面价值。</w:t>
      </w:r>
      <w:r>
        <w:rPr>
          <w:w w:val="100"/>
        </w:rPr>
        <w:t> </w:t>
      </w:r>
      <w:r>
        <w:rPr>
          <w:rFonts w:ascii="Times New Roman" w:hAnsi="Times New Roman" w:cs="Times New Roman" w:eastAsia="Times New Roman" w:hint="default"/>
          <w:spacing w:val="-2"/>
        </w:rPr>
        <w:t>B</w:t>
      </w:r>
      <w:r>
        <w:rPr>
          <w:spacing w:val="-2"/>
        </w:rPr>
        <w:t>．存在相关递延收益的，冲减相关递延收益账面金额，超出部分计入当期损益。</w:t>
      </w:r>
      <w:r>
        <w:rPr>
          <w:spacing w:val="-39"/>
        </w:rPr>
        <w:t> </w:t>
      </w:r>
      <w:r>
        <w:rPr>
          <w:spacing w:val="-39"/>
        </w:rPr>
      </w:r>
      <w:r>
        <w:rPr>
          <w:rFonts w:ascii="Times New Roman" w:hAnsi="Times New Roman" w:cs="Times New Roman" w:eastAsia="Times New Roman" w:hint="default"/>
        </w:rPr>
        <w:t>C</w:t>
      </w:r>
      <w:r>
        <w:rPr/>
        <w:t>．属于其他情况的，直接计入当期损益。</w:t>
      </w:r>
    </w:p>
    <w:p>
      <w:pPr>
        <w:pStyle w:val="Heading4"/>
        <w:spacing w:line="298" w:lineRule="exact" w:before="0"/>
        <w:ind w:left="137" w:right="0"/>
        <w:jc w:val="left"/>
        <w:rPr>
          <w:b w:val="0"/>
          <w:bCs w:val="0"/>
        </w:rPr>
      </w:pPr>
      <w:r>
        <w:rPr>
          <w:rFonts w:ascii="Times New Roman" w:hAnsi="Times New Roman" w:cs="Times New Roman" w:eastAsia="Times New Roman" w:hint="default"/>
        </w:rPr>
        <w:t>30.  </w:t>
      </w:r>
      <w:r>
        <w:rPr>
          <w:rFonts w:ascii="Times New Roman" w:hAnsi="Times New Roman" w:cs="Times New Roman" w:eastAsia="Times New Roman" w:hint="default"/>
          <w:spacing w:val="4"/>
        </w:rPr>
        <w:t> </w:t>
      </w:r>
      <w:r>
        <w:rPr/>
        <w:t>递延所得税资产</w:t>
      </w:r>
      <w:r>
        <w:rPr>
          <w:rFonts w:ascii="Calibri" w:hAnsi="Calibri" w:cs="Calibri" w:eastAsia="Calibri" w:hint="default"/>
        </w:rPr>
        <w:t>/</w:t>
      </w:r>
      <w:r>
        <w:rPr/>
        <w:t>递延所得税负债</w:t>
      </w:r>
      <w:r>
        <w:rPr>
          <w:b w:val="0"/>
          <w:bCs w:val="0"/>
        </w:rPr>
      </w:r>
    </w:p>
    <w:p>
      <w:pPr>
        <w:pStyle w:val="BodyText"/>
        <w:tabs>
          <w:tab w:pos="1082" w:val="left" w:leader="none"/>
        </w:tabs>
        <w:spacing w:line="307" w:lineRule="auto" w:before="29"/>
        <w:ind w:left="557" w:right="142" w:hanging="420"/>
        <w:jc w:val="left"/>
      </w:pPr>
      <w:r>
        <w:rPr/>
        <w:t>√适用</w:t>
        <w:tab/>
        <w:t>□不适用</w:t>
      </w:r>
      <w:r>
        <w:rPr>
          <w:w w:val="100"/>
        </w:rPr>
        <w:t> </w:t>
      </w:r>
      <w:r>
        <w:rPr>
          <w:spacing w:val="-2"/>
        </w:rPr>
        <w:t>公司在取得资产、负债时，确定其计税基础。资产、负债的账面价值与其计税基础存在的暂</w:t>
      </w:r>
    </w:p>
    <w:p>
      <w:pPr>
        <w:pStyle w:val="BodyText"/>
        <w:spacing w:line="240" w:lineRule="auto" w:before="26"/>
        <w:ind w:left="137" w:right="0"/>
        <w:jc w:val="left"/>
      </w:pPr>
      <w:r>
        <w:rPr/>
        <w:t>时性差异，按照规定确认所产生的递延所得税资产或递延所得税负债。</w:t>
      </w:r>
    </w:p>
    <w:p>
      <w:pPr>
        <w:pStyle w:val="BodyText"/>
        <w:spacing w:line="240" w:lineRule="auto" w:before="85"/>
        <w:ind w:left="557" w:right="0"/>
        <w:jc w:val="left"/>
      </w:pPr>
      <w:r>
        <w:rPr>
          <w:rFonts w:ascii="Times New Roman" w:hAnsi="Times New Roman" w:cs="Times New Roman" w:eastAsia="Times New Roman" w:hint="default"/>
        </w:rPr>
        <w:t>1</w:t>
      </w:r>
      <w:r>
        <w:rPr/>
        <w:t>．递延所得税资产的确认</w:t>
      </w:r>
    </w:p>
    <w:p>
      <w:pPr>
        <w:pStyle w:val="BodyText"/>
        <w:spacing w:line="309" w:lineRule="auto" w:before="70"/>
        <w:ind w:left="137" w:right="128" w:firstLine="420"/>
        <w:jc w:val="both"/>
      </w:pPr>
      <w:r>
        <w:rPr>
          <w:spacing w:val="-4"/>
        </w:rPr>
        <w:t>（</w:t>
      </w:r>
      <w:r>
        <w:rPr>
          <w:rFonts w:ascii="Times New Roman" w:hAnsi="Times New Roman" w:cs="Times New Roman" w:eastAsia="Times New Roman" w:hint="default"/>
          <w:spacing w:val="-4"/>
        </w:rPr>
        <w:t>1</w:t>
      </w:r>
      <w:r>
        <w:rPr>
          <w:spacing w:val="-4"/>
        </w:rPr>
        <w:t>）公司以很可能取得用来抵扣可抵扣暂时性差异的应纳税所得额为限，确认由可抵扣暂时</w:t>
      </w:r>
      <w:r>
        <w:rPr>
          <w:w w:val="100"/>
        </w:rPr>
        <w:t> </w:t>
      </w:r>
      <w:r>
        <w:rPr>
          <w:spacing w:val="-1"/>
        </w:rPr>
        <w:t>性差异产生的递延所得税资产。但是，同时具有下列特征的交易中因资产或负债的初始确认所产</w:t>
      </w:r>
      <w:r>
        <w:rPr>
          <w:spacing w:val="-55"/>
        </w:rPr>
        <w:t> </w:t>
      </w:r>
      <w:r>
        <w:rPr>
          <w:spacing w:val="-55"/>
        </w:rPr>
      </w:r>
      <w:r>
        <w:rPr>
          <w:spacing w:val="-1"/>
        </w:rPr>
        <w:t>生的递延所得税资产不予确认：①该项交易不是企业合并；②交易发生时既不影响会计利润也不</w:t>
      </w:r>
      <w:r>
        <w:rPr>
          <w:spacing w:val="-55"/>
        </w:rPr>
        <w:t> </w:t>
      </w:r>
      <w:r>
        <w:rPr>
          <w:spacing w:val="-55"/>
        </w:rPr>
      </w:r>
      <w:r>
        <w:rPr/>
        <w:t>影响应纳税所得额（或可抵扣亏损）。</w:t>
      </w:r>
    </w:p>
    <w:p>
      <w:pPr>
        <w:pStyle w:val="BodyText"/>
        <w:spacing w:line="304" w:lineRule="auto" w:before="24"/>
        <w:ind w:left="137" w:right="129" w:firstLine="420"/>
        <w:jc w:val="both"/>
      </w:pPr>
      <w:r>
        <w:rPr>
          <w:spacing w:val="-4"/>
        </w:rPr>
        <w:t>（</w:t>
      </w:r>
      <w:r>
        <w:rPr>
          <w:rFonts w:ascii="Times New Roman" w:hAnsi="Times New Roman" w:cs="Times New Roman" w:eastAsia="Times New Roman" w:hint="default"/>
          <w:spacing w:val="-4"/>
        </w:rPr>
        <w:t>2</w:t>
      </w:r>
      <w:r>
        <w:rPr>
          <w:spacing w:val="-4"/>
        </w:rPr>
        <w:t>）公司对与子公司、联营公司及合营企业投资相关的可抵扣暂时性差异，同时满足下列条</w:t>
      </w:r>
      <w:r>
        <w:rPr>
          <w:w w:val="100"/>
        </w:rPr>
        <w:t> </w:t>
      </w:r>
      <w:r>
        <w:rPr>
          <w:spacing w:val="-1"/>
        </w:rPr>
        <w:t>件的，确认相应的递延所得税资产：①暂时性差异在可预见的未来很可能转回；②未来很可能获</w:t>
      </w:r>
      <w:r>
        <w:rPr>
          <w:spacing w:val="-56"/>
        </w:rPr>
        <w:t> </w:t>
      </w:r>
      <w:r>
        <w:rPr>
          <w:spacing w:val="-56"/>
        </w:rPr>
      </w:r>
      <w:r>
        <w:rPr/>
        <w:t>得用来抵扣可抵扣暂时性差异的应纳税所得额。</w:t>
      </w:r>
    </w:p>
    <w:p>
      <w:pPr>
        <w:pStyle w:val="BodyText"/>
        <w:spacing w:line="304" w:lineRule="auto" w:before="28"/>
        <w:ind w:left="137" w:right="128" w:firstLine="420"/>
        <w:jc w:val="both"/>
      </w:pPr>
      <w:r>
        <w:rPr>
          <w:spacing w:val="-4"/>
        </w:rPr>
        <w:t>（</w:t>
      </w:r>
      <w:r>
        <w:rPr>
          <w:rFonts w:ascii="Times New Roman" w:hAnsi="Times New Roman" w:cs="Times New Roman" w:eastAsia="Times New Roman" w:hint="default"/>
          <w:spacing w:val="-4"/>
        </w:rPr>
        <w:t>3</w:t>
      </w:r>
      <w:r>
        <w:rPr>
          <w:spacing w:val="-4"/>
        </w:rPr>
        <w:t>）对于按照税法规定可以结转以后年度的可抵扣亏损和税款抵减，视同可抵扣暂时性差异</w:t>
      </w:r>
      <w:r>
        <w:rPr>
          <w:w w:val="100"/>
        </w:rPr>
        <w:t> </w:t>
      </w:r>
      <w:r>
        <w:rPr>
          <w:spacing w:val="-1"/>
        </w:rPr>
        <w:t>处理，以很可能获得用来抵扣可抵扣亏损和税款抵减的未来应纳税所得额为限，确认相应的递延</w:t>
      </w:r>
      <w:r>
        <w:rPr>
          <w:spacing w:val="-55"/>
        </w:rPr>
        <w:t> </w:t>
      </w:r>
      <w:r>
        <w:rPr>
          <w:spacing w:val="-55"/>
        </w:rPr>
      </w:r>
      <w:r>
        <w:rPr/>
        <w:t>所得税资产。</w:t>
      </w:r>
    </w:p>
    <w:p>
      <w:pPr>
        <w:spacing w:after="0" w:line="304" w:lineRule="auto"/>
        <w:jc w:val="both"/>
        <w:sectPr>
          <w:pgSz w:w="11910" w:h="16840"/>
          <w:pgMar w:header="857" w:footer="979" w:top="1120" w:bottom="1160" w:left="1140" w:right="1660"/>
        </w:sectPr>
      </w:pPr>
    </w:p>
    <w:p>
      <w:pPr>
        <w:spacing w:line="240" w:lineRule="auto" w:before="5"/>
        <w:rPr>
          <w:rFonts w:ascii="宋体" w:hAnsi="宋体" w:cs="宋体" w:eastAsia="宋体" w:hint="default"/>
          <w:sz w:val="24"/>
          <w:szCs w:val="24"/>
        </w:rPr>
      </w:pPr>
    </w:p>
    <w:p>
      <w:pPr>
        <w:pStyle w:val="BodyText"/>
        <w:spacing w:line="240" w:lineRule="auto" w:before="36"/>
        <w:ind w:left="557" w:right="0"/>
        <w:jc w:val="left"/>
      </w:pPr>
      <w:r>
        <w:rPr>
          <w:rFonts w:ascii="Times New Roman" w:hAnsi="Times New Roman" w:cs="Times New Roman" w:eastAsia="Times New Roman" w:hint="default"/>
        </w:rPr>
        <w:t>2</w:t>
      </w:r>
      <w:r>
        <w:rPr/>
        <w:t>．递延所得税负债的确认</w:t>
      </w:r>
    </w:p>
    <w:p>
      <w:pPr>
        <w:pStyle w:val="BodyText"/>
        <w:spacing w:line="309" w:lineRule="auto" w:before="69"/>
        <w:ind w:left="137" w:right="128" w:firstLine="420"/>
        <w:jc w:val="both"/>
      </w:pPr>
      <w:r>
        <w:rPr>
          <w:spacing w:val="-4"/>
        </w:rPr>
        <w:t>（</w:t>
      </w:r>
      <w:r>
        <w:rPr>
          <w:rFonts w:ascii="Times New Roman" w:hAnsi="Times New Roman" w:cs="Times New Roman" w:eastAsia="Times New Roman" w:hint="default"/>
          <w:spacing w:val="-4"/>
        </w:rPr>
        <w:t>1</w:t>
      </w:r>
      <w:r>
        <w:rPr>
          <w:spacing w:val="-4"/>
        </w:rPr>
        <w:t>）除下列交易中产生的递延所得税负债以外，公司确认所有应纳税暂时性差异产生的递延</w:t>
      </w:r>
      <w:r>
        <w:rPr>
          <w:w w:val="100"/>
        </w:rPr>
        <w:t> </w:t>
      </w:r>
      <w:r>
        <w:rPr>
          <w:spacing w:val="-1"/>
        </w:rPr>
        <w:t>所得税负债：①商誉的初始确认；②同时满足具有下列特征的交易中产生的资产或负债的初始确</w:t>
      </w:r>
      <w:r>
        <w:rPr>
          <w:spacing w:val="-54"/>
        </w:rPr>
        <w:t> </w:t>
      </w:r>
      <w:r>
        <w:rPr>
          <w:spacing w:val="-54"/>
        </w:rPr>
      </w:r>
      <w:r>
        <w:rPr>
          <w:spacing w:val="-1"/>
        </w:rPr>
        <w:t>认：该项交易不是企业合并；交易发生时既不影响会计利润也不影响应纳税所得额（或可抵扣亏</w:t>
      </w:r>
      <w:r>
        <w:rPr>
          <w:spacing w:val="-55"/>
        </w:rPr>
        <w:t> </w:t>
      </w:r>
      <w:r>
        <w:rPr>
          <w:spacing w:val="-55"/>
        </w:rPr>
      </w:r>
      <w:r>
        <w:rPr/>
        <w:t>损）。</w:t>
      </w:r>
    </w:p>
    <w:p>
      <w:pPr>
        <w:pStyle w:val="BodyText"/>
        <w:spacing w:line="304" w:lineRule="auto" w:before="24"/>
        <w:ind w:left="137" w:right="128" w:firstLine="420"/>
        <w:jc w:val="both"/>
      </w:pPr>
      <w:r>
        <w:rPr>
          <w:spacing w:val="-4"/>
        </w:rPr>
        <w:t>（</w:t>
      </w:r>
      <w:r>
        <w:rPr>
          <w:rFonts w:ascii="Times New Roman" w:hAnsi="Times New Roman" w:cs="Times New Roman" w:eastAsia="Times New Roman" w:hint="default"/>
          <w:spacing w:val="-4"/>
        </w:rPr>
        <w:t>2</w:t>
      </w:r>
      <w:r>
        <w:rPr>
          <w:spacing w:val="-4"/>
        </w:rPr>
        <w:t>）公司对与子公司、联营公司及合营企业投资相关的应纳税暂时性差异，确认相应的递延</w:t>
      </w:r>
      <w:r>
        <w:rPr>
          <w:w w:val="100"/>
        </w:rPr>
        <w:t> </w:t>
      </w:r>
      <w:r>
        <w:rPr>
          <w:spacing w:val="-1"/>
        </w:rPr>
        <w:t>所得税负债。但是，同时满足下列条件的除外：①投资企业能够控制暂时性差异转回的时间；②</w:t>
      </w:r>
      <w:r>
        <w:rPr>
          <w:spacing w:val="-55"/>
        </w:rPr>
        <w:t> </w:t>
      </w:r>
      <w:r>
        <w:rPr>
          <w:spacing w:val="-55"/>
        </w:rPr>
      </w:r>
      <w:r>
        <w:rPr/>
        <w:t>该暂时性差异在可预见的未来很可能不会转回。</w:t>
      </w:r>
    </w:p>
    <w:p>
      <w:pPr>
        <w:pStyle w:val="BodyText"/>
        <w:spacing w:line="314" w:lineRule="auto" w:before="28"/>
        <w:ind w:left="137" w:right="131" w:firstLine="420"/>
        <w:jc w:val="both"/>
      </w:pPr>
      <w:r>
        <w:rPr>
          <w:spacing w:val="-1"/>
        </w:rPr>
        <w:t>公司于资产负债表日对递延所得税资产和递延所得税负债，按照预期收回该资产或清偿该负</w:t>
      </w:r>
      <w:r>
        <w:rPr>
          <w:w w:val="100"/>
        </w:rPr>
        <w:t> </w:t>
      </w:r>
      <w:r>
        <w:rPr/>
        <w:t>债期间的适用税率计量，并反映资产负债表日预期收回资产或清偿负债方式的所得税影响。</w:t>
      </w:r>
    </w:p>
    <w:p>
      <w:pPr>
        <w:pStyle w:val="BodyText"/>
        <w:spacing w:line="314" w:lineRule="auto" w:before="20"/>
        <w:ind w:left="137" w:right="129" w:firstLine="420"/>
        <w:jc w:val="both"/>
      </w:pPr>
      <w:r>
        <w:rPr>
          <w:spacing w:val="-2"/>
        </w:rPr>
        <w:t>公司于资产负债表日对递延所得税资产的账面价值进行复核。如果未来期间很可能无法获得</w:t>
      </w:r>
      <w:r>
        <w:rPr>
          <w:w w:val="100"/>
        </w:rPr>
        <w:t> </w:t>
      </w:r>
      <w:r>
        <w:rPr>
          <w:spacing w:val="-1"/>
        </w:rPr>
        <w:t>足够的应纳税所得额用以抵扣递延所得税资产的利益的，减记递延所得税资产的账面价值。在很</w:t>
      </w:r>
      <w:r>
        <w:rPr>
          <w:spacing w:val="-55"/>
        </w:rPr>
        <w:t> </w:t>
      </w:r>
      <w:r>
        <w:rPr>
          <w:spacing w:val="-55"/>
        </w:rPr>
      </w:r>
      <w:r>
        <w:rPr/>
        <w:t>可能获得足够的应纳税所得额时，减记的金额予以转回。</w:t>
      </w:r>
    </w:p>
    <w:p>
      <w:pPr>
        <w:pStyle w:val="Heading4"/>
        <w:spacing w:line="240" w:lineRule="auto" w:before="3"/>
        <w:ind w:left="137" w:right="0"/>
        <w:jc w:val="both"/>
        <w:rPr>
          <w:b w:val="0"/>
          <w:bCs w:val="0"/>
        </w:rPr>
      </w:pPr>
      <w:r>
        <w:rPr>
          <w:rFonts w:ascii="Times New Roman" w:hAnsi="Times New Roman" w:cs="Times New Roman" w:eastAsia="Times New Roman" w:hint="default"/>
        </w:rPr>
        <w:t>31.  </w:t>
      </w:r>
      <w:r>
        <w:rPr>
          <w:rFonts w:ascii="Times New Roman" w:hAnsi="Times New Roman" w:cs="Times New Roman" w:eastAsia="Times New Roman" w:hint="default"/>
          <w:spacing w:val="5"/>
        </w:rPr>
        <w:t> </w:t>
      </w:r>
      <w:r>
        <w:rPr/>
        <w:t>租赁</w:t>
      </w:r>
      <w:r>
        <w:rPr>
          <w:b w:val="0"/>
          <w:bCs w:val="0"/>
        </w:rPr>
      </w:r>
    </w:p>
    <w:p>
      <w:pPr>
        <w:pStyle w:val="Heading4"/>
        <w:spacing w:line="240" w:lineRule="auto" w:before="40"/>
        <w:ind w:left="137" w:right="0"/>
        <w:jc w:val="both"/>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4"/>
        </w:rPr>
        <w:t> </w:t>
      </w:r>
      <w:r>
        <w:rPr/>
        <w:t>经营租赁的会计处理方法</w:t>
      </w:r>
      <w:r>
        <w:rPr>
          <w:b w:val="0"/>
          <w:bCs w:val="0"/>
        </w:rPr>
      </w:r>
    </w:p>
    <w:p>
      <w:pPr>
        <w:pStyle w:val="BodyText"/>
        <w:tabs>
          <w:tab w:pos="1562" w:val="left" w:leader="none"/>
        </w:tabs>
        <w:spacing w:line="304" w:lineRule="auto" w:before="43"/>
        <w:ind w:left="557" w:right="142" w:firstLine="60"/>
        <w:jc w:val="left"/>
      </w:pPr>
      <w:r>
        <w:rPr/>
        <w:t>√适用</w:t>
        <w:tab/>
        <w:t>□不适用</w:t>
      </w:r>
      <w:r>
        <w:rPr>
          <w:w w:val="100"/>
        </w:rPr>
        <w:t> </w:t>
      </w:r>
      <w:r>
        <w:rPr>
          <w:spacing w:val="-2"/>
        </w:rPr>
        <w:t>对于经营租赁的租金，出租人、承租人在租赁期内各个期间按照直线法确认为当期损益。出</w:t>
      </w:r>
    </w:p>
    <w:p>
      <w:pPr>
        <w:pStyle w:val="BodyText"/>
        <w:spacing w:line="240" w:lineRule="auto" w:before="28"/>
        <w:ind w:left="137" w:right="0"/>
        <w:jc w:val="both"/>
      </w:pPr>
      <w:r>
        <w:rPr/>
        <w:t>租人、承租人发生的初始直接费用，计入当期损益。或有租金在实际发生时计入当期损益。</w:t>
      </w:r>
    </w:p>
    <w:p>
      <w:pPr>
        <w:pStyle w:val="Heading4"/>
        <w:spacing w:line="240" w:lineRule="auto" w:before="68"/>
        <w:ind w:left="137" w:right="0"/>
        <w:jc w:val="both"/>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4"/>
        </w:rPr>
        <w:t> </w:t>
      </w:r>
      <w:r>
        <w:rPr/>
        <w:t>融资租赁的会计处理方法</w:t>
      </w:r>
      <w:r>
        <w:rPr>
          <w:b w:val="0"/>
          <w:bCs w:val="0"/>
        </w:rPr>
      </w:r>
    </w:p>
    <w:p>
      <w:pPr>
        <w:pStyle w:val="BodyText"/>
        <w:tabs>
          <w:tab w:pos="1562" w:val="left" w:leader="none"/>
        </w:tabs>
        <w:spacing w:line="240" w:lineRule="auto" w:before="43"/>
        <w:ind w:left="617" w:right="0"/>
        <w:jc w:val="left"/>
      </w:pPr>
      <w:r>
        <w:rPr/>
        <w:t>√适用</w:t>
        <w:tab/>
        <w:t>□不适用</w:t>
      </w:r>
    </w:p>
    <w:p>
      <w:pPr>
        <w:pStyle w:val="BodyText"/>
        <w:spacing w:line="297" w:lineRule="auto" w:before="73"/>
        <w:ind w:left="557" w:right="0" w:firstLine="60"/>
        <w:jc w:val="left"/>
      </w:pPr>
      <w:r>
        <w:rPr/>
        <w:t>（</w:t>
      </w:r>
      <w:r>
        <w:rPr>
          <w:rFonts w:ascii="Times New Roman" w:hAnsi="Times New Roman" w:cs="Times New Roman" w:eastAsia="Times New Roman" w:hint="default"/>
        </w:rPr>
        <w:t>1</w:t>
      </w:r>
      <w:r>
        <w:rPr/>
        <w:t>）公司作为承租人的会计处理</w:t>
      </w:r>
      <w:r>
        <w:rPr>
          <w:w w:val="100"/>
        </w:rPr>
        <w:t> </w:t>
      </w:r>
      <w:r>
        <w:rPr>
          <w:spacing w:val="-2"/>
        </w:rPr>
        <w:t>在融资租赁期开始日，将租赁开始日租赁资产公允价值与最低租赁付款额现值两者中较低者</w:t>
      </w:r>
    </w:p>
    <w:p>
      <w:pPr>
        <w:pStyle w:val="BodyText"/>
        <w:spacing w:line="314" w:lineRule="auto" w:before="34"/>
        <w:ind w:left="137" w:right="128"/>
        <w:jc w:val="both"/>
      </w:pPr>
      <w:r>
        <w:rPr>
          <w:spacing w:val="-1"/>
        </w:rPr>
        <w:t>作为租入资产的入账价值，将最低租赁付款额作为长期应付款的入账价值，其差额作为未确认融</w:t>
      </w:r>
      <w:r>
        <w:rPr>
          <w:spacing w:val="-55"/>
        </w:rPr>
        <w:t> </w:t>
      </w:r>
      <w:r>
        <w:rPr>
          <w:spacing w:val="-55"/>
        </w:rPr>
      </w:r>
      <w:r>
        <w:rPr>
          <w:spacing w:val="-6"/>
        </w:rPr>
        <w:t>资费用。在租赁谈判和签订租赁合同过程中发生的可归属于租赁项目的手续费、律师费、差旅费、</w:t>
      </w:r>
      <w:r>
        <w:rPr>
          <w:spacing w:val="-54"/>
        </w:rPr>
        <w:t> </w:t>
      </w:r>
      <w:r>
        <w:rPr>
          <w:spacing w:val="-54"/>
        </w:rPr>
      </w:r>
      <w:r>
        <w:rPr>
          <w:spacing w:val="-1"/>
        </w:rPr>
        <w:t>印花税等初始直接费用（下同），计入租入资产价值。在计算最低租赁付款额的现值时，能够取</w:t>
      </w:r>
      <w:r>
        <w:rPr>
          <w:spacing w:val="-55"/>
        </w:rPr>
        <w:t> </w:t>
      </w:r>
      <w:r>
        <w:rPr>
          <w:spacing w:val="-55"/>
        </w:rPr>
      </w:r>
      <w:r>
        <w:rPr>
          <w:spacing w:val="-1"/>
        </w:rPr>
        <w:t>得出租人租赁内含利率的，采用租赁内含利率作为折现率；否则，采用租赁合同规定的利率作为</w:t>
      </w:r>
      <w:r>
        <w:rPr>
          <w:spacing w:val="-55"/>
        </w:rPr>
        <w:t> </w:t>
      </w:r>
      <w:r>
        <w:rPr>
          <w:spacing w:val="-55"/>
        </w:rPr>
      </w:r>
      <w:r>
        <w:rPr>
          <w:spacing w:val="-1"/>
        </w:rPr>
        <w:t>折现率。无法取得出租人的租赁内含利率且租赁合同没有规定利率的，采用同期银行贷款利率作</w:t>
      </w:r>
      <w:r>
        <w:rPr>
          <w:spacing w:val="-55"/>
        </w:rPr>
        <w:t> </w:t>
      </w:r>
      <w:r>
        <w:rPr>
          <w:spacing w:val="-55"/>
        </w:rPr>
      </w:r>
      <w:r>
        <w:rPr/>
        <w:t>为折现率。未确认融资费用在租赁期内按照实际利率法计算确认当期的融资费用。</w:t>
      </w:r>
    </w:p>
    <w:p>
      <w:pPr>
        <w:pStyle w:val="BodyText"/>
        <w:spacing w:line="314" w:lineRule="auto" w:before="20"/>
        <w:ind w:left="137" w:right="129" w:firstLine="420"/>
        <w:jc w:val="both"/>
      </w:pPr>
      <w:r>
        <w:rPr>
          <w:spacing w:val="-2"/>
        </w:rPr>
        <w:t>公司采用与自有固定资产相一致的折旧政策计提租赁资产折旧。能够合理确定租赁期届满时</w:t>
      </w:r>
      <w:r>
        <w:rPr>
          <w:w w:val="100"/>
        </w:rPr>
        <w:t> </w:t>
      </w:r>
      <w:r>
        <w:rPr>
          <w:spacing w:val="-1"/>
        </w:rPr>
        <w:t>取得租赁资产所有权的，在租赁资产使用寿命内计提折旧。无法合理确定租赁期届满时能够取得</w:t>
      </w:r>
      <w:r>
        <w:rPr>
          <w:spacing w:val="-55"/>
        </w:rPr>
        <w:t> </w:t>
      </w:r>
      <w:r>
        <w:rPr>
          <w:spacing w:val="-55"/>
        </w:rPr>
      </w:r>
      <w:r>
        <w:rPr>
          <w:spacing w:val="-1"/>
        </w:rPr>
        <w:t>租赁资产所有权的，在租赁期与租赁资产使用寿命两者中较短的期间内计提折旧。或有租金在实</w:t>
      </w:r>
      <w:r>
        <w:rPr>
          <w:spacing w:val="-55"/>
        </w:rPr>
        <w:t> </w:t>
      </w:r>
      <w:r>
        <w:rPr>
          <w:spacing w:val="-55"/>
        </w:rPr>
      </w:r>
      <w:r>
        <w:rPr/>
        <w:t>际发生时计入当期损益。</w:t>
      </w:r>
    </w:p>
    <w:p>
      <w:pPr>
        <w:pStyle w:val="BodyText"/>
        <w:spacing w:line="297" w:lineRule="auto" w:before="20"/>
        <w:ind w:left="557" w:right="0"/>
        <w:jc w:val="left"/>
      </w:pPr>
      <w:r>
        <w:rPr/>
        <w:t>（</w:t>
      </w:r>
      <w:r>
        <w:rPr>
          <w:rFonts w:ascii="Times New Roman" w:hAnsi="Times New Roman" w:cs="Times New Roman" w:eastAsia="Times New Roman" w:hint="default"/>
        </w:rPr>
        <w:t>2</w:t>
      </w:r>
      <w:r>
        <w:rPr/>
        <w:t>）公司作为出租人的会计处理</w:t>
      </w:r>
      <w:r>
        <w:rPr>
          <w:w w:val="100"/>
        </w:rPr>
        <w:t> </w:t>
      </w:r>
      <w:r>
        <w:rPr>
          <w:spacing w:val="-2"/>
        </w:rPr>
        <w:t>在租赁期开始日，出租人将租赁开始日最低租赁收款额与初始直接费用之和作为应收融资租</w:t>
      </w:r>
    </w:p>
    <w:p>
      <w:pPr>
        <w:pStyle w:val="BodyText"/>
        <w:spacing w:line="314" w:lineRule="auto" w:before="34"/>
        <w:ind w:left="137" w:right="0"/>
        <w:jc w:val="left"/>
      </w:pPr>
      <w:r>
        <w:rPr>
          <w:spacing w:val="-1"/>
        </w:rPr>
        <w:t>赁款的入账价值，同时记录未担保余值；将最低租赁收款额、初始直接费用及未担保余值之和与</w:t>
      </w:r>
      <w:r>
        <w:rPr>
          <w:spacing w:val="-55"/>
        </w:rPr>
        <w:t> </w:t>
      </w:r>
      <w:r>
        <w:rPr>
          <w:spacing w:val="-55"/>
        </w:rPr>
      </w:r>
      <w:r>
        <w:rPr/>
        <w:t>其现值之和的差额确认为未实现融资收益。</w:t>
      </w:r>
    </w:p>
    <w:p>
      <w:pPr>
        <w:pStyle w:val="BodyText"/>
        <w:spacing w:line="314" w:lineRule="auto" w:before="20"/>
        <w:ind w:left="557" w:right="0"/>
        <w:jc w:val="left"/>
      </w:pPr>
      <w:r>
        <w:rPr>
          <w:spacing w:val="-2"/>
        </w:rPr>
        <w:t>未实现融资收益在租赁期内按照实际利率法计算确认当期的融资收入。</w:t>
      </w:r>
      <w:r>
        <w:rPr>
          <w:spacing w:val="-45"/>
        </w:rPr>
        <w:t> </w:t>
      </w:r>
      <w:r>
        <w:rPr>
          <w:spacing w:val="-45"/>
        </w:rPr>
      </w:r>
      <w:r>
        <w:rPr/>
        <w:t>或有租金在实际发生时计入当期损益。</w:t>
      </w:r>
    </w:p>
    <w:p>
      <w:pPr>
        <w:spacing w:after="0" w:line="314" w:lineRule="auto"/>
        <w:jc w:val="left"/>
        <w:sectPr>
          <w:pgSz w:w="11910" w:h="16840"/>
          <w:pgMar w:header="857" w:footer="979" w:top="1120" w:bottom="1160" w:left="1140" w:right="1660"/>
        </w:sectPr>
      </w:pPr>
    </w:p>
    <w:p>
      <w:pPr>
        <w:spacing w:line="240" w:lineRule="auto" w:before="7"/>
        <w:rPr>
          <w:rFonts w:ascii="宋体" w:hAnsi="宋体" w:cs="宋体" w:eastAsia="宋体" w:hint="default"/>
          <w:sz w:val="18"/>
          <w:szCs w:val="18"/>
        </w:rPr>
      </w:pPr>
    </w:p>
    <w:p>
      <w:pPr>
        <w:pStyle w:val="Heading4"/>
        <w:spacing w:line="240" w:lineRule="auto"/>
        <w:ind w:left="137" w:right="0"/>
        <w:jc w:val="left"/>
        <w:rPr>
          <w:b w:val="0"/>
          <w:bCs w:val="0"/>
        </w:rPr>
      </w:pPr>
      <w:r>
        <w:rPr>
          <w:rFonts w:ascii="Times New Roman" w:hAnsi="Times New Roman" w:cs="Times New Roman" w:eastAsia="Times New Roman" w:hint="default"/>
        </w:rPr>
        <w:t>32.  </w:t>
      </w:r>
      <w:r>
        <w:rPr>
          <w:rFonts w:ascii="Times New Roman" w:hAnsi="Times New Roman" w:cs="Times New Roman" w:eastAsia="Times New Roman" w:hint="default"/>
          <w:spacing w:val="3"/>
        </w:rPr>
        <w:t> </w:t>
      </w:r>
      <w:r>
        <w:rPr/>
        <w:t>其他重要的会计政策和会计估计</w:t>
      </w:r>
      <w:r>
        <w:rPr>
          <w:b w:val="0"/>
          <w:bCs w:val="0"/>
        </w:rPr>
      </w:r>
    </w:p>
    <w:p>
      <w:pPr>
        <w:pStyle w:val="BodyText"/>
        <w:tabs>
          <w:tab w:pos="1562" w:val="left" w:leader="none"/>
        </w:tabs>
        <w:spacing w:line="240" w:lineRule="auto" w:before="40"/>
        <w:ind w:left="617" w:right="0"/>
        <w:jc w:val="left"/>
      </w:pPr>
      <w:r>
        <w:rPr/>
        <w:t>√适用</w:t>
        <w:tab/>
        <w:t>□不适用</w:t>
      </w:r>
    </w:p>
    <w:p>
      <w:pPr>
        <w:pStyle w:val="BodyText"/>
        <w:spacing w:line="297" w:lineRule="auto" w:before="75"/>
        <w:ind w:left="557" w:right="1979"/>
        <w:jc w:val="left"/>
      </w:pPr>
      <w:r>
        <w:rPr>
          <w:rFonts w:ascii="Times New Roman" w:hAnsi="Times New Roman" w:cs="Times New Roman" w:eastAsia="Times New Roman" w:hint="default"/>
        </w:rPr>
        <w:t>1</w:t>
      </w:r>
      <w:r>
        <w:rPr/>
        <w:t>．回购本公司股份</w:t>
      </w:r>
      <w:r>
        <w:rPr>
          <w:w w:val="100"/>
        </w:rPr>
        <w:t> </w:t>
      </w:r>
      <w:r>
        <w:rPr>
          <w:spacing w:val="-2"/>
        </w:rPr>
        <w:t>公司回购自身权益工具支付的对价和交易费用，应当减少所有者权益。</w:t>
      </w:r>
    </w:p>
    <w:p>
      <w:pPr>
        <w:pStyle w:val="BodyText"/>
        <w:spacing w:line="314" w:lineRule="auto" w:before="34"/>
        <w:ind w:left="137" w:right="129" w:firstLine="420"/>
        <w:jc w:val="both"/>
      </w:pPr>
      <w:r>
        <w:rPr>
          <w:spacing w:val="-2"/>
        </w:rPr>
        <w:t>公司按法定程序报经批准采用收购本公司股票方式减资，按注销股票面值总额减少股本，购</w:t>
      </w:r>
      <w:r>
        <w:rPr>
          <w:w w:val="100"/>
        </w:rPr>
        <w:t> </w:t>
      </w:r>
      <w:r>
        <w:rPr>
          <w:spacing w:val="-1"/>
        </w:rPr>
        <w:t>回股票支付的价款（含交易费用）与股票面值的差额调整所有者权益，超过面值总额的部分，依</w:t>
      </w:r>
      <w:r>
        <w:rPr>
          <w:spacing w:val="-55"/>
        </w:rPr>
        <w:t> </w:t>
      </w:r>
      <w:r>
        <w:rPr>
          <w:spacing w:val="-55"/>
        </w:rPr>
      </w:r>
      <w:r>
        <w:rPr>
          <w:spacing w:val="-1"/>
        </w:rPr>
        <w:t>次冲减资本公积（股本溢价）、盈余公积和未分配利润；如低于面值总额的，低于面值总额的部</w:t>
      </w:r>
      <w:r>
        <w:rPr>
          <w:spacing w:val="-55"/>
        </w:rPr>
        <w:t> </w:t>
      </w:r>
      <w:r>
        <w:rPr>
          <w:spacing w:val="-55"/>
        </w:rPr>
      </w:r>
      <w:r>
        <w:rPr/>
        <w:t>分增加资本公积（股本溢价）。公司回购自身权益工具，不确认利得或损失。</w:t>
      </w:r>
    </w:p>
    <w:p>
      <w:pPr>
        <w:pStyle w:val="BodyText"/>
        <w:spacing w:line="314" w:lineRule="auto" w:before="20"/>
        <w:ind w:left="137" w:right="131" w:firstLine="420"/>
        <w:jc w:val="both"/>
      </w:pPr>
      <w:r>
        <w:rPr>
          <w:spacing w:val="-2"/>
        </w:rPr>
        <w:t>公司回购的股份在注销或者转让之前，作为库存股管理，回购股份的全部支出转作库存股成</w:t>
      </w:r>
      <w:r>
        <w:rPr>
          <w:w w:val="100"/>
        </w:rPr>
        <w:t> </w:t>
      </w:r>
      <w:r>
        <w:rPr/>
        <w:t>本，同时进行备查登记。</w:t>
      </w:r>
    </w:p>
    <w:p>
      <w:pPr>
        <w:pStyle w:val="BodyText"/>
        <w:spacing w:line="297" w:lineRule="auto" w:before="20"/>
        <w:ind w:left="137" w:right="130" w:firstLine="420"/>
        <w:jc w:val="both"/>
      </w:pPr>
      <w:r>
        <w:rPr/>
        <w:t>库存股转让时，转让收入高于库存股成本的部分，增加资本公积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；低于库存股成</w:t>
      </w:r>
      <w:r>
        <w:rPr>
          <w:w w:val="100"/>
        </w:rPr>
        <w:t> </w:t>
      </w:r>
      <w:r>
        <w:rPr/>
        <w:t>本的部分，依次冲减资本公积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、盈余公积、未分配利润。</w:t>
      </w:r>
    </w:p>
    <w:p>
      <w:pPr>
        <w:pStyle w:val="BodyText"/>
        <w:spacing w:line="314" w:lineRule="auto" w:before="13"/>
        <w:ind w:left="137" w:right="131" w:firstLine="420"/>
        <w:jc w:val="both"/>
      </w:pPr>
      <w:r>
        <w:rPr>
          <w:spacing w:val="-2"/>
        </w:rPr>
        <w:t>公司回购其普通股形成的库存股不参与公司利润分配，公司将其作为在资产负债表中所有者</w:t>
      </w:r>
      <w:r>
        <w:rPr>
          <w:w w:val="100"/>
        </w:rPr>
        <w:t> </w:t>
      </w:r>
      <w:r>
        <w:rPr/>
        <w:t>权益的备抵项目列示。</w:t>
      </w:r>
    </w:p>
    <w:p>
      <w:pPr>
        <w:pStyle w:val="BodyText"/>
        <w:spacing w:line="297" w:lineRule="auto" w:before="20"/>
        <w:ind w:left="557" w:right="0"/>
        <w:jc w:val="left"/>
      </w:pPr>
      <w:r>
        <w:rPr>
          <w:rFonts w:ascii="Times New Roman" w:hAnsi="Times New Roman" w:cs="Times New Roman" w:eastAsia="Times New Roman" w:hint="default"/>
        </w:rPr>
        <w:t>2</w:t>
      </w:r>
      <w:r>
        <w:rPr/>
        <w:t>．资产证券化业务</w:t>
      </w:r>
      <w:r>
        <w:rPr>
          <w:w w:val="100"/>
        </w:rPr>
        <w:t> </w:t>
      </w:r>
      <w:r>
        <w:rPr>
          <w:spacing w:val="-2"/>
        </w:rPr>
        <w:t>公司设立特殊目的主体作为结构化融资的载体，公司把金融资产转移到特殊目的主体，如果</w:t>
      </w:r>
    </w:p>
    <w:p>
      <w:pPr>
        <w:pStyle w:val="BodyText"/>
        <w:spacing w:line="314" w:lineRule="auto" w:before="34"/>
        <w:ind w:left="137" w:right="0"/>
        <w:jc w:val="left"/>
      </w:pPr>
      <w:r>
        <w:rPr>
          <w:spacing w:val="-1"/>
        </w:rPr>
        <w:t>公司能够控制该特殊目的主体，这些特殊目的主体则视同为子公司而纳入公司合并财务报表的范</w:t>
      </w:r>
      <w:r>
        <w:rPr>
          <w:spacing w:val="-55"/>
        </w:rPr>
        <w:t> </w:t>
      </w:r>
      <w:r>
        <w:rPr>
          <w:spacing w:val="-55"/>
        </w:rPr>
      </w:r>
      <w:r>
        <w:rPr/>
        <w:t>围。</w:t>
      </w:r>
    </w:p>
    <w:p>
      <w:pPr>
        <w:pStyle w:val="BodyText"/>
        <w:spacing w:line="314" w:lineRule="auto" w:before="20"/>
        <w:ind w:left="137" w:right="128" w:firstLine="420"/>
        <w:jc w:val="both"/>
      </w:pPr>
      <w:r>
        <w:rPr>
          <w:spacing w:val="-7"/>
          <w:w w:val="100"/>
        </w:rPr>
        <w:t>公司出售金融资产作出承诺，已转移的金融资产将来发生信用损失时，由公司进行全额补偿，</w:t>
      </w:r>
      <w:r>
        <w:rPr>
          <w:w w:val="100"/>
        </w:rPr>
        <w:t> </w:t>
      </w:r>
      <w:r>
        <w:rPr>
          <w:spacing w:val="-1"/>
        </w:rPr>
        <w:t>公司实质上保留了该金融资产所有权上几乎所有的风险和报酬，公司未终止确认所出售的金融资</w:t>
      </w:r>
      <w:r>
        <w:rPr>
          <w:spacing w:val="-55"/>
        </w:rPr>
        <w:t> </w:t>
      </w:r>
      <w:r>
        <w:rPr>
          <w:spacing w:val="-55"/>
        </w:rPr>
      </w:r>
      <w:r>
        <w:rPr/>
        <w:t>产。</w:t>
      </w:r>
    </w:p>
    <w:p>
      <w:pPr>
        <w:pStyle w:val="BodyText"/>
        <w:spacing w:line="314" w:lineRule="auto" w:before="20"/>
        <w:ind w:left="137" w:right="129" w:firstLine="420"/>
        <w:jc w:val="both"/>
      </w:pPr>
      <w:r>
        <w:rPr>
          <w:spacing w:val="-2"/>
        </w:rPr>
        <w:t>资产证券化募集的资金列专项应付款，资产证券化融资费用（包括财务顾问费、银行担保费</w:t>
      </w:r>
      <w:r>
        <w:rPr>
          <w:w w:val="100"/>
        </w:rPr>
        <w:t> </w:t>
      </w:r>
      <w:r>
        <w:rPr>
          <w:spacing w:val="-1"/>
        </w:rPr>
        <w:t>等）列入当期财务费用，收益权与实际募集的委托资金差额列长期待摊费用，在存续期内按证券</w:t>
      </w:r>
      <w:r>
        <w:rPr>
          <w:spacing w:val="-55"/>
        </w:rPr>
        <w:t> </w:t>
      </w:r>
      <w:r>
        <w:rPr>
          <w:spacing w:val="-55"/>
        </w:rPr>
      </w:r>
      <w:r>
        <w:rPr/>
        <w:t>化实施的项目进行摊销列入财务费用。</w:t>
      </w:r>
    </w:p>
    <w:p>
      <w:pPr>
        <w:pStyle w:val="BodyText"/>
        <w:spacing w:line="297" w:lineRule="auto" w:before="20"/>
        <w:ind w:left="557" w:right="0"/>
        <w:jc w:val="left"/>
      </w:pPr>
      <w:r>
        <w:rPr>
          <w:rFonts w:ascii="Times New Roman" w:hAnsi="Times New Roman" w:cs="Times New Roman" w:eastAsia="Times New Roman" w:hint="default"/>
        </w:rPr>
        <w:t>3</w:t>
      </w:r>
      <w:r>
        <w:rPr/>
        <w:t>．套期会计</w:t>
      </w:r>
      <w:r>
        <w:rPr>
          <w:w w:val="100"/>
        </w:rPr>
        <w:t> </w:t>
      </w:r>
      <w:r>
        <w:rPr>
          <w:spacing w:val="-2"/>
        </w:rPr>
        <w:t>套期会计方法是指在相同会计期间将套期工具和被套期项目公允价值变动的抵销结果计入当</w:t>
      </w:r>
    </w:p>
    <w:p>
      <w:pPr>
        <w:pStyle w:val="BodyText"/>
        <w:spacing w:line="314" w:lineRule="auto" w:before="34"/>
        <w:ind w:left="557" w:right="0" w:hanging="420"/>
        <w:jc w:val="left"/>
      </w:pPr>
      <w:r>
        <w:rPr/>
        <w:t>期损益的方法。</w:t>
      </w:r>
      <w:r>
        <w:rPr>
          <w:spacing w:val="-103"/>
        </w:rPr>
        <w:t> </w:t>
      </w:r>
      <w:r>
        <w:rPr>
          <w:spacing w:val="-103"/>
        </w:rPr>
      </w:r>
      <w:r>
        <w:rPr>
          <w:spacing w:val="-2"/>
        </w:rPr>
        <w:t>套期工具是指公司为规避外汇风险、利率风险、商品价格风险、股票价格风险、信用风险等</w:t>
      </w:r>
    </w:p>
    <w:p>
      <w:pPr>
        <w:pStyle w:val="BodyText"/>
        <w:spacing w:line="314" w:lineRule="auto" w:before="20"/>
        <w:ind w:left="137" w:right="0"/>
        <w:jc w:val="left"/>
      </w:pPr>
      <w:r>
        <w:rPr>
          <w:spacing w:val="-1"/>
        </w:rPr>
        <w:t>所使用的衍生工具，分为公允价值套期、现金流量套期和境外经营净投资套期。对于同时满足下</w:t>
      </w:r>
      <w:r>
        <w:rPr>
          <w:spacing w:val="-55"/>
        </w:rPr>
        <w:t> </w:t>
      </w:r>
      <w:r>
        <w:rPr>
          <w:spacing w:val="-55"/>
        </w:rPr>
      </w:r>
      <w:r>
        <w:rPr/>
        <w:t>列条件的套期工具，运用套期会计方法进行处理：</w:t>
      </w:r>
    </w:p>
    <w:p>
      <w:pPr>
        <w:pStyle w:val="BodyText"/>
        <w:spacing w:line="297" w:lineRule="auto" w:before="20"/>
        <w:ind w:left="137" w:right="129" w:firstLine="420"/>
        <w:jc w:val="both"/>
      </w:pPr>
      <w:r>
        <w:rPr>
          <w:spacing w:val="-2"/>
        </w:rPr>
        <w:t>（</w:t>
      </w:r>
      <w:r>
        <w:rPr>
          <w:rFonts w:ascii="Times New Roman" w:hAnsi="Times New Roman" w:cs="Times New Roman" w:eastAsia="Times New Roman" w:hint="default"/>
          <w:spacing w:val="-2"/>
        </w:rPr>
        <w:t>1</w:t>
      </w:r>
      <w:r>
        <w:rPr>
          <w:spacing w:val="-2"/>
        </w:rPr>
        <w:t>）在套期开始时，公司对套期关系</w:t>
      </w:r>
      <w:r>
        <w:rPr>
          <w:rFonts w:ascii="Times New Roman" w:hAnsi="Times New Roman" w:cs="Times New Roman" w:eastAsia="Times New Roman" w:hint="default"/>
          <w:spacing w:val="-2"/>
        </w:rPr>
        <w:t>(</w:t>
      </w:r>
      <w:r>
        <w:rPr>
          <w:spacing w:val="-2"/>
        </w:rPr>
        <w:t>即套期工具和被套期项目之间的关系</w:t>
      </w:r>
      <w:r>
        <w:rPr>
          <w:rFonts w:ascii="Times New Roman" w:hAnsi="Times New Roman" w:cs="Times New Roman" w:eastAsia="Times New Roman" w:hint="default"/>
          <w:spacing w:val="-2"/>
        </w:rPr>
        <w:t>)</w:t>
      </w:r>
      <w:r>
        <w:rPr>
          <w:spacing w:val="-2"/>
        </w:rPr>
        <w:t>有正式指定，并</w:t>
      </w:r>
      <w:r>
        <w:rPr>
          <w:w w:val="100"/>
        </w:rPr>
        <w:t> </w:t>
      </w:r>
      <w:r>
        <w:rPr/>
        <w:t>准备了关于套期关系、风险管理目标和套期策略的正式书面文件；</w:t>
      </w:r>
    </w:p>
    <w:p>
      <w:pPr>
        <w:pStyle w:val="BodyText"/>
        <w:spacing w:line="240" w:lineRule="auto" w:before="34"/>
        <w:ind w:left="557" w:right="0"/>
        <w:jc w:val="left"/>
      </w:pPr>
      <w:r>
        <w:rPr/>
        <w:t>（</w:t>
      </w:r>
      <w:r>
        <w:rPr>
          <w:rFonts w:ascii="Times New Roman" w:hAnsi="Times New Roman" w:cs="Times New Roman" w:eastAsia="Times New Roman" w:hint="default"/>
        </w:rPr>
        <w:t>2</w:t>
      </w:r>
      <w:r>
        <w:rPr/>
        <w:t>）该套期预期高度有效，且符合公司最初为该套期关系所确定的风险管理策略；</w:t>
      </w:r>
    </w:p>
    <w:p>
      <w:pPr>
        <w:pStyle w:val="BodyText"/>
        <w:spacing w:line="297" w:lineRule="auto" w:before="69"/>
        <w:ind w:left="137" w:right="129" w:firstLine="420"/>
        <w:jc w:val="both"/>
      </w:pPr>
      <w:r>
        <w:rPr>
          <w:spacing w:val="-4"/>
        </w:rPr>
        <w:t>（</w:t>
      </w:r>
      <w:r>
        <w:rPr>
          <w:rFonts w:ascii="Times New Roman" w:hAnsi="Times New Roman" w:cs="Times New Roman" w:eastAsia="Times New Roman" w:hint="default"/>
          <w:spacing w:val="-4"/>
        </w:rPr>
        <w:t>3</w:t>
      </w:r>
      <w:r>
        <w:rPr>
          <w:spacing w:val="-4"/>
        </w:rPr>
        <w:t>）对预期交易的现金流量套期，预期交易应当很可能发生，且必须使公司面临最终将影响</w:t>
      </w:r>
      <w:r>
        <w:rPr>
          <w:w w:val="100"/>
        </w:rPr>
        <w:t> </w:t>
      </w:r>
      <w:r>
        <w:rPr/>
        <w:t>损益的现金流量变动风险；</w:t>
      </w:r>
    </w:p>
    <w:p>
      <w:pPr>
        <w:pStyle w:val="BodyText"/>
        <w:spacing w:line="240" w:lineRule="auto" w:before="34"/>
        <w:ind w:left="557" w:right="0"/>
        <w:jc w:val="left"/>
      </w:pPr>
      <w:r>
        <w:rPr/>
        <w:t>（</w:t>
      </w:r>
      <w:r>
        <w:rPr>
          <w:rFonts w:ascii="Times New Roman" w:hAnsi="Times New Roman" w:cs="Times New Roman" w:eastAsia="Times New Roman" w:hint="default"/>
        </w:rPr>
        <w:t>4</w:t>
      </w:r>
      <w:r>
        <w:rPr/>
        <w:t>）套期有效性能够可靠地计量；</w:t>
      </w:r>
    </w:p>
    <w:p>
      <w:pPr>
        <w:pStyle w:val="BodyText"/>
        <w:spacing w:line="297" w:lineRule="auto" w:before="69"/>
        <w:ind w:left="137" w:right="128" w:firstLine="420"/>
        <w:jc w:val="both"/>
      </w:pPr>
      <w:r>
        <w:rPr>
          <w:spacing w:val="-4"/>
        </w:rPr>
        <w:t>（</w:t>
      </w:r>
      <w:r>
        <w:rPr>
          <w:rFonts w:ascii="Times New Roman" w:hAnsi="Times New Roman" w:cs="Times New Roman" w:eastAsia="Times New Roman" w:hint="default"/>
          <w:spacing w:val="-4"/>
        </w:rPr>
        <w:t>5</w:t>
      </w:r>
      <w:r>
        <w:rPr>
          <w:spacing w:val="-4"/>
        </w:rPr>
        <w:t>）公司持续地对套期有效性进行评价，并确保该套期在套期关系被指定的会计期间内高度</w:t>
      </w:r>
      <w:r>
        <w:rPr>
          <w:w w:val="100"/>
        </w:rPr>
        <w:t> </w:t>
      </w:r>
      <w:r>
        <w:rPr/>
        <w:t>有效。</w:t>
      </w:r>
    </w:p>
    <w:p>
      <w:pPr>
        <w:spacing w:after="0" w:line="297" w:lineRule="auto"/>
        <w:jc w:val="both"/>
        <w:sectPr>
          <w:pgSz w:w="11910" w:h="16840"/>
          <w:pgMar w:header="857" w:footer="979" w:top="1120" w:bottom="1160" w:left="1140" w:right="1660"/>
        </w:sectPr>
      </w:pPr>
    </w:p>
    <w:p>
      <w:pPr>
        <w:spacing w:line="240" w:lineRule="auto" w:before="5"/>
        <w:rPr>
          <w:rFonts w:ascii="宋体" w:hAnsi="宋体" w:cs="宋体" w:eastAsia="宋体" w:hint="default"/>
          <w:sz w:val="24"/>
          <w:szCs w:val="24"/>
        </w:rPr>
      </w:pPr>
    </w:p>
    <w:p>
      <w:pPr>
        <w:pStyle w:val="BodyText"/>
        <w:spacing w:line="314" w:lineRule="auto" w:before="36"/>
        <w:ind w:left="557" w:right="47"/>
        <w:jc w:val="left"/>
      </w:pPr>
      <w:r>
        <w:rPr/>
        <w:t>公允价值套期满足上述条件的，公允价值变动形成的利得或损失计入当期损益。</w:t>
      </w:r>
      <w:r>
        <w:rPr>
          <w:w w:val="100"/>
        </w:rPr>
        <w:t> </w:t>
      </w:r>
      <w:r>
        <w:rPr>
          <w:spacing w:val="-2"/>
        </w:rPr>
        <w:t>现金流量套期满足上述条件的，套期工具利得或损失中属于有效套期的部分计入其他综合收</w:t>
      </w:r>
    </w:p>
    <w:p>
      <w:pPr>
        <w:pStyle w:val="BodyText"/>
        <w:spacing w:line="314" w:lineRule="auto" w:before="20"/>
        <w:ind w:left="137" w:right="209"/>
        <w:jc w:val="both"/>
      </w:pPr>
      <w:r>
        <w:rPr>
          <w:spacing w:val="-1"/>
        </w:rPr>
        <w:t>益，无效部分计入当期损益。对于被套期项目为预期交易且该预期交易使公司随后确认一项金融</w:t>
      </w:r>
      <w:r>
        <w:rPr>
          <w:spacing w:val="-55"/>
        </w:rPr>
        <w:t> </w:t>
      </w:r>
      <w:r>
        <w:rPr>
          <w:spacing w:val="-55"/>
        </w:rPr>
      </w:r>
      <w:r>
        <w:rPr>
          <w:spacing w:val="-1"/>
        </w:rPr>
        <w:t>资产或一项金融负债的，原确认为其他综合收益的相关利得或损失在该金融资产或金融负债影响</w:t>
      </w:r>
      <w:r>
        <w:rPr>
          <w:spacing w:val="-55"/>
        </w:rPr>
        <w:t> </w:t>
      </w:r>
      <w:r>
        <w:rPr>
          <w:spacing w:val="-55"/>
        </w:rPr>
      </w:r>
      <w:r>
        <w:rPr>
          <w:spacing w:val="-1"/>
        </w:rPr>
        <w:t>公司损益的相同期间转出，计入当期损益。但是，公司预期原直接在所有者权益中确认的净损失</w:t>
      </w:r>
      <w:r>
        <w:rPr>
          <w:spacing w:val="-55"/>
        </w:rPr>
        <w:t> </w:t>
      </w:r>
      <w:r>
        <w:rPr>
          <w:spacing w:val="-55"/>
        </w:rPr>
      </w:r>
      <w:r>
        <w:rPr/>
        <w:t>全部或部分在未来会计期间不能弥补时，将不能弥补的部分转出，计入当期损益。</w:t>
      </w:r>
    </w:p>
    <w:p>
      <w:pPr>
        <w:pStyle w:val="BodyText"/>
        <w:spacing w:line="314" w:lineRule="auto" w:before="20"/>
        <w:ind w:left="137" w:right="209" w:firstLine="420"/>
        <w:jc w:val="both"/>
      </w:pPr>
      <w:r>
        <w:rPr>
          <w:spacing w:val="-2"/>
        </w:rPr>
        <w:t>境外经营净投资套期满足上述条件的，公司应按类似于现金流量套期会计的规定处理：套期</w:t>
      </w:r>
      <w:r>
        <w:rPr>
          <w:w w:val="100"/>
        </w:rPr>
        <w:t> </w:t>
      </w:r>
      <w:r>
        <w:rPr>
          <w:spacing w:val="-1"/>
        </w:rPr>
        <w:t>工具形成的利得或损失中属于有效套期的部分，直接确认为所有者权益，并单列项目反映。处置</w:t>
      </w:r>
      <w:r>
        <w:rPr>
          <w:spacing w:val="-55"/>
        </w:rPr>
        <w:t> </w:t>
      </w:r>
      <w:r>
        <w:rPr>
          <w:spacing w:val="-55"/>
        </w:rPr>
      </w:r>
      <w:r>
        <w:rPr>
          <w:spacing w:val="-2"/>
        </w:rPr>
        <w:t>境外经营时，将上述在所有者权益中单列项目反映的套期工具利得或损失转出，计入当期损益。</w:t>
      </w:r>
    </w:p>
    <w:p>
      <w:pPr>
        <w:pStyle w:val="BodyText"/>
        <w:spacing w:line="314" w:lineRule="auto" w:before="20"/>
        <w:ind w:left="557" w:right="47"/>
        <w:jc w:val="left"/>
      </w:pPr>
      <w:r>
        <w:rPr/>
        <w:t>套期工具形成的利得或损失中属于无效套期的部分，计入当期损益。</w:t>
      </w:r>
      <w:r>
        <w:rPr>
          <w:w w:val="100"/>
        </w:rPr>
        <w:t> </w:t>
      </w:r>
      <w:r>
        <w:rPr>
          <w:spacing w:val="-2"/>
        </w:rPr>
        <w:t>不符合上述条件的其他公允价值套期、现金流量套期和境外净投资套期，其公允价值变动直</w:t>
      </w:r>
    </w:p>
    <w:p>
      <w:pPr>
        <w:pStyle w:val="BodyText"/>
        <w:spacing w:line="240" w:lineRule="auto" w:before="20"/>
        <w:ind w:left="137" w:right="0"/>
        <w:jc w:val="both"/>
      </w:pPr>
      <w:r>
        <w:rPr/>
        <w:t>接计入当期损益。</w:t>
      </w:r>
    </w:p>
    <w:p>
      <w:pPr>
        <w:pStyle w:val="BodyText"/>
        <w:spacing w:line="297" w:lineRule="auto" w:before="85"/>
        <w:ind w:left="557" w:right="47"/>
        <w:jc w:val="left"/>
      </w:pPr>
      <w:r>
        <w:rPr>
          <w:rFonts w:ascii="Times New Roman" w:hAnsi="Times New Roman" w:cs="Times New Roman" w:eastAsia="Times New Roman" w:hint="default"/>
        </w:rPr>
        <w:t>4</w:t>
      </w:r>
      <w:r>
        <w:rPr/>
        <w:t>．建造合同</w:t>
      </w:r>
      <w:r>
        <w:rPr>
          <w:w w:val="100"/>
        </w:rPr>
        <w:t> </w:t>
      </w:r>
      <w:r>
        <w:rPr>
          <w:spacing w:val="-2"/>
        </w:rPr>
        <w:t>在建造合同的结果能够可靠估计的情况下，本公司于资产负债表日按照完工百分比法确认合</w:t>
      </w:r>
    </w:p>
    <w:p>
      <w:pPr>
        <w:pStyle w:val="BodyText"/>
        <w:spacing w:line="314" w:lineRule="auto" w:before="34"/>
        <w:ind w:left="557" w:right="47" w:hanging="420"/>
        <w:jc w:val="left"/>
      </w:pPr>
      <w:r>
        <w:rPr/>
        <w:t>同收入和合同费用。</w:t>
      </w:r>
      <w:r>
        <w:rPr>
          <w:w w:val="100"/>
        </w:rPr>
        <w:t> </w:t>
      </w:r>
      <w:r>
        <w:rPr>
          <w:spacing w:val="-2"/>
        </w:rPr>
        <w:t>建造合同的结果能够可靠估计是指同时满足：①合同总收入能够可靠地计量；②与合同相关</w:t>
      </w:r>
    </w:p>
    <w:p>
      <w:pPr>
        <w:pStyle w:val="BodyText"/>
        <w:spacing w:line="314" w:lineRule="auto" w:before="20"/>
        <w:ind w:left="137" w:right="208"/>
        <w:jc w:val="both"/>
      </w:pPr>
      <w:r>
        <w:rPr>
          <w:spacing w:val="-1"/>
        </w:rPr>
        <w:t>的经济利益很可能流入企业；③实际发生的合同成本能够清楚地区分和可靠地计量；④合同完工</w:t>
      </w:r>
      <w:r>
        <w:rPr>
          <w:spacing w:val="-54"/>
        </w:rPr>
        <w:t> </w:t>
      </w:r>
      <w:r>
        <w:rPr>
          <w:spacing w:val="-54"/>
        </w:rPr>
      </w:r>
      <w:r>
        <w:rPr/>
        <w:t>进度和为完成合同尚需发生的成本能够可靠地确定。</w:t>
      </w:r>
    </w:p>
    <w:p>
      <w:pPr>
        <w:pStyle w:val="BodyText"/>
        <w:spacing w:line="314" w:lineRule="auto" w:before="20"/>
        <w:ind w:left="137" w:right="209" w:firstLine="420"/>
        <w:jc w:val="both"/>
      </w:pPr>
      <w:r>
        <w:rPr>
          <w:spacing w:val="-2"/>
        </w:rPr>
        <w:t>本公司于资产负债表日按照合同总收入乘以完工程度扣除以前会计期间累计已确认收入后的</w:t>
      </w:r>
      <w:r>
        <w:rPr>
          <w:w w:val="100"/>
        </w:rPr>
        <w:t> </w:t>
      </w:r>
      <w:r>
        <w:rPr>
          <w:spacing w:val="-1"/>
        </w:rPr>
        <w:t>金额，确认为当期合同收入；同时，按照合同预计总成本乘以完工程度扣除以前会计期间累计已</w:t>
      </w:r>
      <w:r>
        <w:rPr>
          <w:spacing w:val="-55"/>
        </w:rPr>
        <w:t> </w:t>
      </w:r>
      <w:r>
        <w:rPr>
          <w:spacing w:val="-55"/>
        </w:rPr>
      </w:r>
      <w:r>
        <w:rPr/>
        <w:t>确认费用后的金额，确认为当期合同费用。</w:t>
      </w:r>
    </w:p>
    <w:p>
      <w:pPr>
        <w:pStyle w:val="BodyText"/>
        <w:spacing w:line="304" w:lineRule="auto" w:before="20"/>
        <w:ind w:left="557" w:right="205"/>
        <w:jc w:val="left"/>
      </w:pPr>
      <w:r>
        <w:rPr/>
        <w:t>合同预计总成本超过合同总收入的，将预计损失确认为当期费用。</w:t>
      </w:r>
      <w:r>
        <w:rPr>
          <w:w w:val="100"/>
        </w:rPr>
        <w:t> </w:t>
      </w:r>
      <w:r>
        <w:rPr>
          <w:rFonts w:ascii="Times New Roman" w:hAnsi="Times New Roman" w:cs="Times New Roman" w:eastAsia="Times New Roman" w:hint="default"/>
        </w:rPr>
        <w:t>5</w:t>
      </w:r>
      <w:r>
        <w:rPr/>
        <w:t>．附回购条件的资产转让</w:t>
      </w:r>
      <w:r>
        <w:rPr>
          <w:w w:val="100"/>
        </w:rPr>
        <w:t> </w:t>
      </w:r>
      <w:r>
        <w:rPr>
          <w:spacing w:val="-2"/>
        </w:rPr>
        <w:t>售后回购是指销售商品的同时，公司同意日后再将同样或类似的商品购回的销售方式。公司</w:t>
      </w:r>
    </w:p>
    <w:p>
      <w:pPr>
        <w:pStyle w:val="BodyText"/>
        <w:spacing w:line="314" w:lineRule="auto" w:before="28"/>
        <w:ind w:left="137" w:right="209"/>
        <w:jc w:val="both"/>
      </w:pPr>
      <w:r>
        <w:rPr>
          <w:spacing w:val="-1"/>
        </w:rPr>
        <w:t>根据合同或协议条款判断销售商品是否满足收入确认条件。若售后回购交易属于融资交易的，商</w:t>
      </w:r>
      <w:r>
        <w:rPr>
          <w:spacing w:val="-55"/>
        </w:rPr>
        <w:t> </w:t>
      </w:r>
      <w:r>
        <w:rPr>
          <w:spacing w:val="-55"/>
        </w:rPr>
      </w:r>
      <w:r>
        <w:rPr>
          <w:spacing w:val="-1"/>
        </w:rPr>
        <w:t>品所有权上的主要风险和报酬没有转移，不应确认收入；回购价格大于原售价的差额，公司在回</w:t>
      </w:r>
      <w:r>
        <w:rPr>
          <w:spacing w:val="-55"/>
        </w:rPr>
        <w:t> </w:t>
      </w:r>
      <w:r>
        <w:rPr>
          <w:spacing w:val="-55"/>
        </w:rPr>
      </w:r>
      <w:r>
        <w:rPr/>
        <w:t>购期间按期计提利息费用，计入财务费用。</w:t>
      </w:r>
    </w:p>
    <w:p>
      <w:pPr>
        <w:pStyle w:val="BodyText"/>
        <w:spacing w:line="297" w:lineRule="auto" w:before="20"/>
        <w:ind w:left="557" w:right="47"/>
        <w:jc w:val="left"/>
      </w:pPr>
      <w:r>
        <w:rPr>
          <w:rFonts w:ascii="Times New Roman" w:hAnsi="Times New Roman" w:cs="Times New Roman" w:eastAsia="Times New Roman" w:hint="default"/>
        </w:rPr>
        <w:t>6</w:t>
      </w:r>
      <w:r>
        <w:rPr/>
        <w:t>．衍生金融工具</w:t>
      </w:r>
      <w:r>
        <w:rPr>
          <w:w w:val="100"/>
        </w:rPr>
        <w:t> </w:t>
      </w:r>
      <w:r>
        <w:rPr>
          <w:spacing w:val="-4"/>
          <w:w w:val="100"/>
        </w:rPr>
        <w:t>衍生金融工具初始以衍生交易合同签订当日的公允价值计量，并以其公允价值进行后续计量。</w:t>
      </w:r>
    </w:p>
    <w:p>
      <w:pPr>
        <w:pStyle w:val="BodyText"/>
        <w:spacing w:line="314" w:lineRule="auto" w:before="34"/>
        <w:ind w:left="137" w:right="209"/>
        <w:jc w:val="both"/>
      </w:pPr>
      <w:r>
        <w:rPr>
          <w:spacing w:val="-1"/>
        </w:rPr>
        <w:t>公允价值为正数的衍生金融工具确认为一项资产，公允价值为负数的衍生金融工具确认为一项负</w:t>
      </w:r>
      <w:r>
        <w:rPr>
          <w:spacing w:val="-55"/>
        </w:rPr>
        <w:t> </w:t>
      </w:r>
      <w:r>
        <w:rPr>
          <w:spacing w:val="-55"/>
        </w:rPr>
      </w:r>
      <w:r>
        <w:rPr/>
        <w:t>债。</w:t>
      </w:r>
    </w:p>
    <w:p>
      <w:pPr>
        <w:pStyle w:val="BodyText"/>
        <w:spacing w:line="314" w:lineRule="auto" w:before="20"/>
        <w:ind w:left="137" w:right="211" w:firstLine="420"/>
        <w:jc w:val="both"/>
      </w:pPr>
      <w:r>
        <w:rPr>
          <w:spacing w:val="-2"/>
        </w:rPr>
        <w:t>公司根据政策管理衍生金融工具的应用，并以书面方式列明与公司风险管理策略一致的衍生</w:t>
      </w:r>
      <w:r>
        <w:rPr>
          <w:w w:val="100"/>
        </w:rPr>
        <w:t> </w:t>
      </w:r>
      <w:r>
        <w:rPr/>
        <w:t>金融工具应用原则。</w:t>
      </w:r>
    </w:p>
    <w:p>
      <w:pPr>
        <w:pStyle w:val="BodyText"/>
        <w:spacing w:line="314" w:lineRule="auto" w:before="20"/>
        <w:ind w:left="137" w:right="209" w:firstLine="420"/>
        <w:jc w:val="both"/>
      </w:pPr>
      <w:r>
        <w:rPr>
          <w:spacing w:val="-2"/>
        </w:rPr>
        <w:t>衍生金融工具的后续计量时，因公允价值变动而产生的利得或损失在利润表中确认。对于符</w:t>
      </w:r>
      <w:r>
        <w:rPr>
          <w:w w:val="100"/>
        </w:rPr>
        <w:t> </w:t>
      </w:r>
      <w:r>
        <w:rPr>
          <w:spacing w:val="-1"/>
        </w:rPr>
        <w:t>合套期会计处理的衍生金融工具，确认任何产生的利得或损失取决于被套期项目的性质。不符合</w:t>
      </w:r>
      <w:r>
        <w:rPr>
          <w:spacing w:val="-55"/>
        </w:rPr>
        <w:t> </w:t>
      </w:r>
      <w:r>
        <w:rPr>
          <w:spacing w:val="-55"/>
        </w:rPr>
      </w:r>
      <w:r>
        <w:rPr>
          <w:spacing w:val="-1"/>
        </w:rPr>
        <w:t>套期会计处理的衍生金融工具分类为以公允价值计量且其变动计入当期损益的金融资产及金融负</w:t>
      </w:r>
      <w:r>
        <w:rPr>
          <w:spacing w:val="-55"/>
        </w:rPr>
        <w:t> </w:t>
      </w:r>
      <w:r>
        <w:rPr>
          <w:spacing w:val="-55"/>
        </w:rPr>
      </w:r>
      <w:r>
        <w:rPr/>
        <w:t>债。</w:t>
      </w:r>
    </w:p>
    <w:p>
      <w:pPr>
        <w:spacing w:after="0" w:line="314" w:lineRule="auto"/>
        <w:jc w:val="both"/>
        <w:sectPr>
          <w:pgSz w:w="11910" w:h="16840"/>
          <w:pgMar w:header="857" w:footer="979" w:top="1120" w:bottom="1160" w:left="1140" w:right="1580"/>
        </w:sectPr>
      </w:pPr>
    </w:p>
    <w:p>
      <w:pPr>
        <w:spacing w:line="240" w:lineRule="auto" w:before="7"/>
        <w:rPr>
          <w:rFonts w:ascii="宋体" w:hAnsi="宋体" w:cs="宋体" w:eastAsia="宋体" w:hint="default"/>
          <w:sz w:val="18"/>
          <w:szCs w:val="18"/>
        </w:rPr>
      </w:pPr>
    </w:p>
    <w:p>
      <w:pPr>
        <w:pStyle w:val="Heading4"/>
        <w:spacing w:line="240" w:lineRule="auto"/>
        <w:ind w:left="217" w:right="2631"/>
        <w:jc w:val="left"/>
        <w:rPr>
          <w:b w:val="0"/>
          <w:bCs w:val="0"/>
        </w:rPr>
      </w:pPr>
      <w:r>
        <w:rPr>
          <w:rFonts w:ascii="Times New Roman" w:hAnsi="Times New Roman" w:cs="Times New Roman" w:eastAsia="Times New Roman" w:hint="default"/>
        </w:rPr>
        <w:t>33.  </w:t>
      </w:r>
      <w:r>
        <w:rPr>
          <w:rFonts w:ascii="Times New Roman" w:hAnsi="Times New Roman" w:cs="Times New Roman" w:eastAsia="Times New Roman" w:hint="default"/>
          <w:spacing w:val="2"/>
        </w:rPr>
        <w:t> </w:t>
      </w:r>
      <w:r>
        <w:rPr/>
        <w:t>重要会计政策和会计估计的变更</w:t>
      </w:r>
      <w:r>
        <w:rPr>
          <w:b w:val="0"/>
          <w:bCs w:val="0"/>
        </w:rPr>
      </w:r>
    </w:p>
    <w:p>
      <w:pPr>
        <w:pStyle w:val="Heading4"/>
        <w:spacing w:line="240" w:lineRule="auto" w:before="40"/>
        <w:ind w:left="217" w:right="2631"/>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5"/>
        </w:rPr>
        <w:t> </w:t>
      </w:r>
      <w:r>
        <w:rPr/>
        <w:t>重要会计政策变更</w:t>
      </w:r>
      <w:r>
        <w:rPr>
          <w:b w:val="0"/>
          <w:bCs w:val="0"/>
        </w:rPr>
      </w:r>
    </w:p>
    <w:p>
      <w:pPr>
        <w:pStyle w:val="BodyText"/>
        <w:spacing w:line="240" w:lineRule="auto" w:before="43"/>
        <w:ind w:left="217" w:right="2631"/>
        <w:jc w:val="left"/>
      </w:pPr>
      <w:r>
        <w:rPr/>
        <w:t>√适用 □不适用</w:t>
      </w:r>
    </w:p>
    <w:p>
      <w:pPr>
        <w:spacing w:line="240" w:lineRule="auto" w:before="2"/>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2881"/>
        <w:gridCol w:w="2979"/>
        <w:gridCol w:w="2965"/>
      </w:tblGrid>
      <w:tr>
        <w:trPr>
          <w:trHeight w:val="55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3"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备注（受重要影响的报表项目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名称和金额）</w:t>
            </w:r>
          </w:p>
        </w:tc>
      </w:tr>
      <w:tr>
        <w:trPr>
          <w:trHeight w:val="3279"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根据财政部制定的《企业会计</w:t>
            </w:r>
          </w:p>
          <w:p>
            <w:pPr>
              <w:pStyle w:val="TableParagraph"/>
              <w:spacing w:line="235" w:lineRule="auto" w:before="4"/>
              <w:ind w:left="103" w:right="87"/>
              <w:jc w:val="both"/>
              <w:rPr>
                <w:rFonts w:ascii="宋体" w:hAnsi="宋体" w:cs="宋体" w:eastAsia="宋体" w:hint="default"/>
                <w:sz w:val="21"/>
                <w:szCs w:val="21"/>
              </w:rPr>
            </w:pPr>
            <w:r>
              <w:rPr>
                <w:rFonts w:ascii="宋体" w:hAnsi="宋体" w:cs="宋体" w:eastAsia="宋体" w:hint="default"/>
                <w:sz w:val="21"/>
                <w:szCs w:val="21"/>
              </w:rPr>
              <w:t>准则第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持有待售的</w:t>
            </w:r>
            <w:r>
              <w:rPr>
                <w:rFonts w:ascii="宋体" w:hAnsi="宋体" w:cs="宋体" w:eastAsia="宋体" w:hint="default"/>
                <w:w w:val="100"/>
                <w:sz w:val="21"/>
                <w:szCs w:val="21"/>
              </w:rPr>
              <w:t> </w:t>
            </w:r>
            <w:r>
              <w:rPr>
                <w:rFonts w:ascii="宋体" w:hAnsi="宋体" w:cs="宋体" w:eastAsia="宋体" w:hint="default"/>
                <w:spacing w:val="-7"/>
                <w:sz w:val="21"/>
                <w:szCs w:val="21"/>
              </w:rPr>
              <w:t>非流动资产、处置组和终止经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7"/>
                <w:sz w:val="21"/>
                <w:szCs w:val="21"/>
              </w:rPr>
              <w:t>营》的规定，施行日存在的持</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有待售非流动资产、处置组和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7"/>
                <w:sz w:val="21"/>
                <w:szCs w:val="21"/>
              </w:rPr>
              <w:t>终止经营，应当采用未来适用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7"/>
                <w:sz w:val="21"/>
                <w:szCs w:val="21"/>
              </w:rPr>
              <w:t>法处理，准则规范了持有待售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1"/>
                <w:sz w:val="21"/>
                <w:szCs w:val="21"/>
              </w:rPr>
              <w:t>的非流动资产或处置组的分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7"/>
                <w:sz w:val="21"/>
                <w:szCs w:val="21"/>
              </w:rPr>
              <w:t>类、计量和列报，以及终止经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营的列报。公司于本准则实施</w:t>
            </w:r>
          </w:p>
          <w:p>
            <w:pPr>
              <w:pStyle w:val="TableParagraph"/>
              <w:spacing w:line="274" w:lineRule="exact" w:before="23"/>
              <w:ind w:left="103" w:right="31"/>
              <w:jc w:val="both"/>
              <w:rPr>
                <w:rFonts w:ascii="宋体" w:hAnsi="宋体" w:cs="宋体" w:eastAsia="宋体" w:hint="default"/>
                <w:sz w:val="21"/>
                <w:szCs w:val="21"/>
              </w:rPr>
            </w:pPr>
            <w:r>
              <w:rPr>
                <w:rFonts w:ascii="宋体" w:hAnsi="宋体" w:cs="宋体" w:eastAsia="宋体" w:hint="default"/>
                <w:spacing w:val="-2"/>
                <w:sz w:val="21"/>
                <w:szCs w:val="21"/>
              </w:rPr>
              <w:t>日无持有待售的非流动资产、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处置组和终止经营项目。</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35" w:lineRule="auto"/>
              <w:ind w:left="103" w:right="101"/>
              <w:jc w:val="both"/>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 </w:t>
            </w:r>
            <w:r>
              <w:rPr>
                <w:rFonts w:ascii="宋体" w:hAnsi="宋体" w:cs="宋体" w:eastAsia="宋体" w:hint="default"/>
                <w:spacing w:val="-5"/>
                <w:sz w:val="21"/>
                <w:szCs w:val="21"/>
              </w:rPr>
              <w:t>日，公司召开第</w:t>
            </w:r>
            <w:r>
              <w:rPr>
                <w:rFonts w:ascii="宋体" w:hAnsi="宋体" w:cs="宋体" w:eastAsia="宋体" w:hint="default"/>
                <w:w w:val="100"/>
                <w:sz w:val="21"/>
                <w:szCs w:val="21"/>
              </w:rPr>
              <w:t> </w:t>
            </w:r>
            <w:r>
              <w:rPr>
                <w:rFonts w:ascii="宋体" w:hAnsi="宋体" w:cs="宋体" w:eastAsia="宋体" w:hint="default"/>
                <w:sz w:val="21"/>
                <w:szCs w:val="21"/>
              </w:rPr>
              <w:t>三届董事会第十五次会议审议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通过《关于新增会计政策的议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案》</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32" w:lineRule="auto"/>
              <w:ind w:left="100" w:right="96"/>
              <w:jc w:val="both"/>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年度财务报表已按</w:t>
            </w:r>
            <w:r>
              <w:rPr>
                <w:rFonts w:ascii="宋体" w:hAnsi="宋体" w:cs="宋体" w:eastAsia="宋体" w:hint="default"/>
                <w:w w:val="100"/>
                <w:sz w:val="21"/>
                <w:szCs w:val="21"/>
              </w:rPr>
              <w:t> </w:t>
            </w:r>
            <w:r>
              <w:rPr>
                <w:rFonts w:ascii="宋体" w:hAnsi="宋体" w:cs="宋体" w:eastAsia="宋体" w:hint="default"/>
                <w:sz w:val="21"/>
                <w:szCs w:val="21"/>
              </w:rPr>
              <w:t>调整后的会计政策执行，此项</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会计政策变更对公司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度的财务报表无实质性影响，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不会对公司的财务状况、经营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成果和现金流量产生影响。</w:t>
            </w:r>
          </w:p>
        </w:tc>
      </w:tr>
      <w:tr>
        <w:trPr>
          <w:trHeight w:val="2189"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31"/>
              <w:jc w:val="left"/>
              <w:rPr>
                <w:rFonts w:ascii="宋体" w:hAnsi="宋体" w:cs="宋体" w:eastAsia="宋体" w:hint="default"/>
                <w:sz w:val="21"/>
                <w:szCs w:val="21"/>
              </w:rPr>
            </w:pPr>
            <w:r>
              <w:rPr>
                <w:rFonts w:ascii="宋体" w:hAnsi="宋体" w:cs="宋体" w:eastAsia="宋体" w:hint="default"/>
                <w:spacing w:val="-7"/>
                <w:sz w:val="21"/>
                <w:szCs w:val="21"/>
              </w:rPr>
              <w:t>根据财政部《关于修订印发一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般企业财务报表格式的通知》</w:t>
            </w:r>
          </w:p>
          <w:p>
            <w:pPr>
              <w:pStyle w:val="TableParagraph"/>
              <w:spacing w:line="272" w:lineRule="exact" w:before="1"/>
              <w:ind w:left="103" w:right="51"/>
              <w:jc w:val="left"/>
              <w:rPr>
                <w:rFonts w:ascii="宋体" w:hAnsi="宋体" w:cs="宋体" w:eastAsia="宋体" w:hint="default"/>
                <w:sz w:val="21"/>
                <w:szCs w:val="21"/>
              </w:rPr>
            </w:pPr>
            <w:r>
              <w:rPr>
                <w:rFonts w:ascii="宋体" w:hAnsi="宋体" w:cs="宋体" w:eastAsia="宋体" w:hint="default"/>
                <w:sz w:val="21"/>
                <w:szCs w:val="21"/>
              </w:rPr>
              <w:t>（财会</w:t>
            </w:r>
            <w:r>
              <w:rPr>
                <w:rFonts w:ascii="Times New Roman" w:hAnsi="Times New Roman" w:cs="Times New Roman" w:eastAsia="Times New Roman" w:hint="default"/>
                <w:sz w:val="21"/>
                <w:szCs w:val="21"/>
              </w:rPr>
              <w:t>[2017]30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号）的规定，</w:t>
            </w:r>
            <w:r>
              <w:rPr>
                <w:rFonts w:ascii="宋体" w:hAnsi="宋体" w:cs="宋体" w:eastAsia="宋体" w:hint="default"/>
                <w:w w:val="100"/>
                <w:sz w:val="21"/>
                <w:szCs w:val="21"/>
              </w:rPr>
              <w:t> </w:t>
            </w:r>
            <w:r>
              <w:rPr>
                <w:rFonts w:ascii="宋体" w:hAnsi="宋体" w:cs="宋体" w:eastAsia="宋体" w:hint="default"/>
                <w:spacing w:val="11"/>
                <w:sz w:val="21"/>
                <w:szCs w:val="21"/>
              </w:rPr>
              <w:t>对公司会计政策和相关会计</w:t>
            </w:r>
            <w:r>
              <w:rPr>
                <w:rFonts w:ascii="宋体" w:hAnsi="宋体" w:cs="宋体" w:eastAsia="宋体" w:hint="default"/>
                <w:sz w:val="21"/>
                <w:szCs w:val="21"/>
              </w:rPr>
            </w:r>
          </w:p>
          <w:p>
            <w:pPr>
              <w:pStyle w:val="TableParagraph"/>
              <w:spacing w:line="272" w:lineRule="exact" w:before="1"/>
              <w:ind w:left="103" w:right="87"/>
              <w:jc w:val="left"/>
              <w:rPr>
                <w:rFonts w:ascii="宋体" w:hAnsi="宋体" w:cs="宋体" w:eastAsia="宋体" w:hint="default"/>
                <w:sz w:val="21"/>
                <w:szCs w:val="21"/>
              </w:rPr>
            </w:pPr>
            <w:r>
              <w:rPr>
                <w:rFonts w:ascii="宋体" w:hAnsi="宋体" w:cs="宋体" w:eastAsia="宋体" w:hint="default"/>
                <w:spacing w:val="11"/>
                <w:sz w:val="21"/>
                <w:szCs w:val="21"/>
              </w:rPr>
              <w:t>科目核算进行适当的变更和</w:t>
            </w:r>
            <w:r>
              <w:rPr>
                <w:rFonts w:ascii="宋体" w:hAnsi="宋体" w:cs="宋体" w:eastAsia="宋体" w:hint="default"/>
                <w:spacing w:val="-79"/>
                <w:sz w:val="21"/>
                <w:szCs w:val="21"/>
              </w:rPr>
              <w:t> </w:t>
            </w:r>
            <w:r>
              <w:rPr>
                <w:rFonts w:ascii="宋体" w:hAnsi="宋体" w:cs="宋体" w:eastAsia="宋体" w:hint="default"/>
                <w:sz w:val="21"/>
                <w:szCs w:val="21"/>
              </w:rPr>
              <w:t>调整。</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exact"/>
              <w:ind w:left="103" w:right="-3"/>
              <w:jc w:val="both"/>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日，公司第三</w:t>
            </w:r>
            <w:r>
              <w:rPr>
                <w:rFonts w:ascii="宋体" w:hAnsi="宋体" w:cs="宋体" w:eastAsia="宋体" w:hint="default"/>
                <w:w w:val="100"/>
                <w:sz w:val="21"/>
                <w:szCs w:val="21"/>
              </w:rPr>
              <w:t> </w:t>
            </w:r>
            <w:r>
              <w:rPr>
                <w:rFonts w:ascii="宋体" w:hAnsi="宋体" w:cs="宋体" w:eastAsia="宋体" w:hint="default"/>
                <w:sz w:val="21"/>
                <w:szCs w:val="21"/>
              </w:rPr>
              <w:t>届董事会第十九次会议审议通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过《关于会计政策变更的议案》</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7"/>
                <w:sz w:val="21"/>
                <w:szCs w:val="21"/>
              </w:rPr>
              <w:t>此项会计政策采用追溯调整</w:t>
            </w:r>
          </w:p>
          <w:p>
            <w:pPr>
              <w:pStyle w:val="TableParagraph"/>
              <w:spacing w:line="232" w:lineRule="auto" w:before="6"/>
              <w:ind w:left="100" w:right="100"/>
              <w:jc w:val="both"/>
              <w:rPr>
                <w:rFonts w:ascii="宋体" w:hAnsi="宋体" w:cs="宋体" w:eastAsia="宋体" w:hint="default"/>
                <w:sz w:val="21"/>
                <w:szCs w:val="21"/>
              </w:rPr>
            </w:pPr>
            <w:r>
              <w:rPr>
                <w:rFonts w:ascii="宋体" w:hAnsi="宋体" w:cs="宋体" w:eastAsia="宋体" w:hint="default"/>
                <w:spacing w:val="-23"/>
                <w:w w:val="100"/>
                <w:sz w:val="21"/>
                <w:szCs w:val="21"/>
              </w:rPr>
              <w:t>法，公司</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
                <w:w w:val="100"/>
                <w:sz w:val="21"/>
                <w:szCs w:val="21"/>
              </w:rPr>
              <w:t>2017</w:t>
            </w:r>
            <w:r>
              <w:rPr>
                <w:rFonts w:ascii="Times New Roman" w:hAnsi="Times New Roman" w:cs="Times New Roman" w:eastAsia="Times New Roman" w:hint="default"/>
                <w:w w:val="100"/>
                <w:sz w:val="21"/>
                <w:szCs w:val="21"/>
              </w:rPr>
              <w:t> </w:t>
            </w:r>
            <w:r>
              <w:rPr>
                <w:rFonts w:ascii="宋体" w:hAnsi="宋体" w:cs="宋体" w:eastAsia="宋体" w:hint="default"/>
                <w:spacing w:val="-2"/>
                <w:w w:val="100"/>
                <w:sz w:val="21"/>
                <w:szCs w:val="21"/>
              </w:rPr>
              <w:t>年度财务报表已</w:t>
            </w:r>
            <w:r>
              <w:rPr>
                <w:rFonts w:ascii="宋体" w:hAnsi="宋体" w:cs="宋体" w:eastAsia="宋体" w:hint="default"/>
                <w:w w:val="100"/>
                <w:sz w:val="21"/>
                <w:szCs w:val="21"/>
              </w:rPr>
              <w:t> </w:t>
            </w:r>
            <w:r>
              <w:rPr>
                <w:rFonts w:ascii="宋体" w:hAnsi="宋体" w:cs="宋体" w:eastAsia="宋体" w:hint="default"/>
                <w:sz w:val="21"/>
                <w:szCs w:val="21"/>
              </w:rPr>
              <w:t>按调整后的会计政策执行。此</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8"/>
                <w:sz w:val="21"/>
                <w:szCs w:val="21"/>
              </w:rPr>
              <w:t>项会计政策变更对公司</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9"/>
                <w:sz w:val="21"/>
                <w:szCs w:val="21"/>
              </w:rPr>
              <w:t> </w:t>
            </w:r>
            <w:r>
              <w:rPr>
                <w:rFonts w:ascii="Times New Roman" w:hAnsi="Times New Roman" w:cs="Times New Roman" w:eastAsia="Times New Roman" w:hint="default"/>
                <w:spacing w:val="-49"/>
                <w:sz w:val="21"/>
                <w:szCs w:val="21"/>
              </w:rPr>
            </w:r>
            <w:r>
              <w:rPr>
                <w:rFonts w:ascii="宋体" w:hAnsi="宋体" w:cs="宋体" w:eastAsia="宋体" w:hint="default"/>
                <w:spacing w:val="17"/>
                <w:sz w:val="21"/>
                <w:szCs w:val="21"/>
              </w:rPr>
              <w:t>年度的财务报表无实质性影</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响，不会对公司的财务状况、</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7"/>
                <w:sz w:val="21"/>
                <w:szCs w:val="21"/>
              </w:rPr>
              <w:t>经营成果和现金流量产生影</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响。</w:t>
            </w:r>
          </w:p>
        </w:tc>
      </w:tr>
      <w:tr>
        <w:trPr>
          <w:trHeight w:val="1918"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根据财政部（以下简称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财政</w:t>
            </w:r>
            <w:r>
              <w:rPr>
                <w:rFonts w:ascii="宋体" w:hAnsi="宋体" w:cs="宋体" w:eastAsia="宋体" w:hint="default"/>
                <w:sz w:val="21"/>
                <w:szCs w:val="21"/>
              </w:rPr>
            </w:r>
          </w:p>
          <w:p>
            <w:pPr>
              <w:pStyle w:val="TableParagraph"/>
              <w:spacing w:line="225" w:lineRule="auto" w:before="6"/>
              <w:ind w:left="103" w:right="34"/>
              <w:jc w:val="both"/>
              <w:rPr>
                <w:rFonts w:ascii="宋体" w:hAnsi="宋体" w:cs="宋体" w:eastAsia="宋体" w:hint="default"/>
                <w:sz w:val="21"/>
                <w:szCs w:val="21"/>
              </w:rPr>
            </w:pPr>
            <w:r>
              <w:rPr>
                <w:rFonts w:ascii="宋体" w:hAnsi="宋体" w:cs="宋体" w:eastAsia="宋体" w:hint="default"/>
                <w:spacing w:val="2"/>
                <w:sz w:val="21"/>
                <w:szCs w:val="21"/>
              </w:rPr>
              <w:t>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）发布了《关于修订印发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Times New Roman" w:hAnsi="Times New Roman" w:cs="Times New Roman" w:eastAsia="Times New Roman" w:hint="default"/>
                <w:sz w:val="21"/>
                <w:szCs w:val="21"/>
              </w:rPr>
              <w:t>2018 </w:t>
            </w:r>
            <w:r>
              <w:rPr>
                <w:rFonts w:ascii="宋体" w:hAnsi="宋体" w:cs="宋体" w:eastAsia="宋体" w:hint="default"/>
                <w:sz w:val="21"/>
                <w:szCs w:val="21"/>
              </w:rPr>
              <w:t>年度一般企业财务报表</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格式的通知》（财会〔</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15 </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号），对公司会计政策和</w:t>
            </w:r>
          </w:p>
          <w:p>
            <w:pPr>
              <w:pStyle w:val="TableParagraph"/>
              <w:spacing w:line="272" w:lineRule="exact" w:before="13"/>
              <w:ind w:left="103" w:right="87"/>
              <w:jc w:val="both"/>
              <w:rPr>
                <w:rFonts w:ascii="宋体" w:hAnsi="宋体" w:cs="宋体" w:eastAsia="宋体" w:hint="default"/>
                <w:sz w:val="21"/>
                <w:szCs w:val="21"/>
              </w:rPr>
            </w:pPr>
            <w:r>
              <w:rPr>
                <w:rFonts w:ascii="宋体" w:hAnsi="宋体" w:cs="宋体" w:eastAsia="宋体" w:hint="default"/>
                <w:spacing w:val="11"/>
                <w:sz w:val="21"/>
                <w:szCs w:val="21"/>
              </w:rPr>
              <w:t>相关会计科目核算进行适当</w:t>
            </w:r>
            <w:r>
              <w:rPr>
                <w:rFonts w:ascii="宋体" w:hAnsi="宋体" w:cs="宋体" w:eastAsia="宋体" w:hint="default"/>
                <w:spacing w:val="-79"/>
                <w:sz w:val="21"/>
                <w:szCs w:val="21"/>
              </w:rPr>
              <w:t> </w:t>
            </w:r>
            <w:r>
              <w:rPr>
                <w:rFonts w:ascii="宋体" w:hAnsi="宋体" w:cs="宋体" w:eastAsia="宋体" w:hint="default"/>
                <w:sz w:val="21"/>
                <w:szCs w:val="21"/>
              </w:rPr>
              <w:t>的变更和调整。</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30" w:lineRule="auto"/>
              <w:ind w:left="103" w:right="-3"/>
              <w:jc w:val="both"/>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日，公司第三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届董事会第二十八次审议通过</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了《关于会计政策变更的议案》</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00" w:right="101"/>
              <w:jc w:val="left"/>
              <w:rPr>
                <w:rFonts w:ascii="宋体" w:hAnsi="宋体" w:cs="宋体" w:eastAsia="宋体" w:hint="default"/>
                <w:sz w:val="21"/>
                <w:szCs w:val="21"/>
              </w:rPr>
            </w:pPr>
            <w:r>
              <w:rPr>
                <w:rFonts w:ascii="宋体" w:hAnsi="宋体" w:cs="宋体" w:eastAsia="宋体" w:hint="default"/>
                <w:spacing w:val="-20"/>
                <w:w w:val="100"/>
                <w:sz w:val="21"/>
                <w:szCs w:val="21"/>
              </w:rPr>
              <w:t>注：公司执行财会〔</w:t>
            </w:r>
            <w:r>
              <w:rPr>
                <w:rFonts w:ascii="Times New Roman" w:hAnsi="Times New Roman" w:cs="Times New Roman" w:eastAsia="Times New Roman" w:hint="default"/>
                <w:spacing w:val="-20"/>
                <w:w w:val="100"/>
                <w:sz w:val="21"/>
                <w:szCs w:val="21"/>
              </w:rPr>
              <w:t>2018</w:t>
            </w:r>
            <w:r>
              <w:rPr>
                <w:rFonts w:ascii="宋体" w:hAnsi="宋体" w:cs="宋体" w:eastAsia="宋体" w:hint="default"/>
                <w:spacing w:val="-20"/>
                <w:w w:val="100"/>
                <w:sz w:val="21"/>
                <w:szCs w:val="21"/>
              </w:rPr>
              <w:t>〕</w:t>
            </w:r>
            <w:r>
              <w:rPr>
                <w:rFonts w:ascii="Times New Roman" w:hAnsi="Times New Roman" w:cs="Times New Roman" w:eastAsia="Times New Roman" w:hint="default"/>
                <w:spacing w:val="-20"/>
                <w:w w:val="100"/>
                <w:sz w:val="21"/>
                <w:szCs w:val="21"/>
              </w:rPr>
              <w:t>15</w:t>
            </w:r>
            <w:r>
              <w:rPr>
                <w:rFonts w:ascii="Times New Roman" w:hAnsi="Times New Roman" w:cs="Times New Roman" w:eastAsia="Times New Roman" w:hint="default"/>
                <w:spacing w:val="3"/>
                <w:w w:val="100"/>
                <w:sz w:val="21"/>
                <w:szCs w:val="21"/>
              </w:rPr>
              <w:t> </w:t>
            </w:r>
            <w:r>
              <w:rPr>
                <w:rFonts w:ascii="宋体" w:hAnsi="宋体" w:cs="宋体" w:eastAsia="宋体" w:hint="default"/>
                <w:w w:val="100"/>
                <w:sz w:val="21"/>
                <w:szCs w:val="21"/>
              </w:rPr>
              <w:t>号 </w:t>
            </w:r>
            <w:r>
              <w:rPr>
                <w:rFonts w:ascii="宋体" w:hAnsi="宋体" w:cs="宋体" w:eastAsia="宋体" w:hint="default"/>
                <w:sz w:val="21"/>
                <w:szCs w:val="21"/>
              </w:rPr>
              <w:t>的主要影响</w:t>
            </w:r>
          </w:p>
        </w:tc>
      </w:tr>
    </w:tbl>
    <w:p>
      <w:pPr>
        <w:spacing w:line="240" w:lineRule="auto" w:before="9"/>
        <w:rPr>
          <w:rFonts w:ascii="宋体" w:hAnsi="宋体" w:cs="宋体" w:eastAsia="宋体" w:hint="default"/>
          <w:sz w:val="15"/>
          <w:szCs w:val="15"/>
        </w:rPr>
      </w:pPr>
    </w:p>
    <w:p>
      <w:pPr>
        <w:pStyle w:val="BodyText"/>
        <w:spacing w:line="240" w:lineRule="auto" w:before="36"/>
        <w:ind w:left="637" w:right="2631"/>
        <w:jc w:val="left"/>
      </w:pPr>
      <w:r>
        <w:rPr/>
        <w:t>本公司执行财会〔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号的主要影响如下：</w:t>
      </w:r>
    </w:p>
    <w:tbl>
      <w:tblPr>
        <w:tblW w:w="0" w:type="auto"/>
        <w:jc w:val="left"/>
        <w:tblInd w:w="103" w:type="dxa"/>
        <w:tblLayout w:type="fixed"/>
        <w:tblCellMar>
          <w:top w:w="0" w:type="dxa"/>
          <w:left w:w="0" w:type="dxa"/>
          <w:bottom w:w="0" w:type="dxa"/>
          <w:right w:w="0" w:type="dxa"/>
        </w:tblCellMar>
        <w:tblLook w:val="01E0"/>
      </w:tblPr>
      <w:tblGrid>
        <w:gridCol w:w="2093"/>
        <w:gridCol w:w="1589"/>
        <w:gridCol w:w="1702"/>
        <w:gridCol w:w="1558"/>
        <w:gridCol w:w="1844"/>
      </w:tblGrid>
      <w:tr>
        <w:trPr>
          <w:trHeight w:val="370" w:hRule="exact"/>
        </w:trPr>
        <w:tc>
          <w:tcPr>
            <w:tcW w:w="20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会计报表科目</w:t>
            </w:r>
          </w:p>
        </w:tc>
        <w:tc>
          <w:tcPr>
            <w:tcW w:w="32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74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本期金额</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0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本期金额</w:t>
            </w:r>
          </w:p>
        </w:tc>
      </w:tr>
      <w:tr>
        <w:trPr>
          <w:trHeight w:val="372" w:hRule="exact"/>
        </w:trPr>
        <w:tc>
          <w:tcPr>
            <w:tcW w:w="2093" w:type="dxa"/>
            <w:vMerge/>
            <w:tcBorders>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2"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2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55"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00"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7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248,911,241.15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278,665,932.12</w:t>
            </w: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8"/>
                <w:sz w:val="21"/>
                <w:szCs w:val="21"/>
              </w:rPr>
              <w:t> </w:t>
            </w:r>
            <w:r>
              <w:rPr>
                <w:rFonts w:ascii="宋体" w:hAnsi="宋体" w:cs="宋体" w:eastAsia="宋体" w:hint="default"/>
                <w:sz w:val="21"/>
                <w:szCs w:val="21"/>
              </w:rPr>
              <w:t>收</w:t>
            </w:r>
            <w:r>
              <w:rPr>
                <w:rFonts w:ascii="宋体" w:hAnsi="宋体" w:cs="宋体" w:eastAsia="宋体" w:hint="default"/>
                <w:spacing w:val="-76"/>
                <w:sz w:val="21"/>
                <w:szCs w:val="21"/>
              </w:rPr>
              <w:t> </w:t>
            </w:r>
            <w:r>
              <w:rPr>
                <w:rFonts w:ascii="宋体" w:hAnsi="宋体" w:cs="宋体" w:eastAsia="宋体" w:hint="default"/>
                <w:sz w:val="21"/>
                <w:szCs w:val="21"/>
              </w:rPr>
              <w:t>账</w:t>
            </w:r>
            <w:r>
              <w:rPr>
                <w:rFonts w:ascii="宋体" w:hAnsi="宋体" w:cs="宋体" w:eastAsia="宋体" w:hint="default"/>
                <w:spacing w:val="-78"/>
                <w:sz w:val="21"/>
                <w:szCs w:val="21"/>
              </w:rPr>
              <w:t> </w:t>
            </w:r>
            <w:r>
              <w:rPr>
                <w:rFonts w:ascii="宋体" w:hAnsi="宋体" w:cs="宋体" w:eastAsia="宋体" w:hint="default"/>
                <w:sz w:val="21"/>
                <w:szCs w:val="21"/>
              </w:rPr>
              <w:t>款</w:t>
            </w:r>
            <w:r>
              <w:rPr>
                <w:rFonts w:ascii="宋体" w:hAnsi="宋体" w:cs="宋体" w:eastAsia="宋体" w:hint="default"/>
                <w:spacing w:val="-78"/>
                <w:sz w:val="21"/>
                <w:szCs w:val="21"/>
              </w:rPr>
              <w:t> </w:t>
            </w:r>
            <w:r>
              <w:rPr>
                <w:rFonts w:ascii="宋体" w:hAnsi="宋体" w:cs="宋体" w:eastAsia="宋体" w:hint="default"/>
                <w:sz w:val="21"/>
                <w:szCs w:val="21"/>
              </w:rPr>
              <w:t>及</w:t>
            </w:r>
            <w:r>
              <w:rPr>
                <w:rFonts w:ascii="宋体" w:hAnsi="宋体" w:cs="宋体" w:eastAsia="宋体" w:hint="default"/>
                <w:spacing w:val="-78"/>
                <w:sz w:val="21"/>
                <w:szCs w:val="21"/>
              </w:rPr>
              <w:t> </w:t>
            </w:r>
            <w:r>
              <w:rPr>
                <w:rFonts w:ascii="宋体" w:hAnsi="宋体" w:cs="宋体" w:eastAsia="宋体" w:hint="default"/>
                <w:sz w:val="21"/>
                <w:szCs w:val="21"/>
              </w:rPr>
              <w:t>应</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spacing w:val="-78"/>
                <w:sz w:val="21"/>
                <w:szCs w:val="21"/>
              </w:rPr>
              <w:t> </w:t>
            </w:r>
            <w:r>
              <w:rPr>
                <w:rFonts w:ascii="宋体" w:hAnsi="宋体" w:cs="宋体" w:eastAsia="宋体" w:hint="default"/>
                <w:sz w:val="21"/>
                <w:szCs w:val="21"/>
              </w:rPr>
              <w:t>票</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158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248,911,241.15</w:t>
            </w:r>
          </w:p>
        </w:tc>
        <w:tc>
          <w:tcPr>
            <w:tcW w:w="155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278,665,932.12</w:t>
            </w:r>
          </w:p>
        </w:tc>
      </w:tr>
      <w:tr>
        <w:trPr>
          <w:trHeight w:val="37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183,156.53</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46,355,318.42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46,538,474.95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49,966,485.30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49,966,485.30</w:t>
            </w:r>
          </w:p>
        </w:tc>
      </w:tr>
      <w:tr>
        <w:trPr>
          <w:trHeight w:val="37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116,825,048.45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238,486,982.59</w:t>
            </w: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361,212,717.38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286,895,744.76</w:t>
            </w: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10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8"/>
                <w:sz w:val="21"/>
                <w:szCs w:val="21"/>
              </w:rPr>
              <w:t> </w:t>
            </w:r>
            <w:r>
              <w:rPr>
                <w:rFonts w:ascii="宋体" w:hAnsi="宋体" w:cs="宋体" w:eastAsia="宋体" w:hint="default"/>
                <w:sz w:val="21"/>
                <w:szCs w:val="21"/>
              </w:rPr>
              <w:t>付</w:t>
            </w:r>
            <w:r>
              <w:rPr>
                <w:rFonts w:ascii="宋体" w:hAnsi="宋体" w:cs="宋体" w:eastAsia="宋体" w:hint="default"/>
                <w:spacing w:val="-76"/>
                <w:sz w:val="21"/>
                <w:szCs w:val="21"/>
              </w:rPr>
              <w:t> </w:t>
            </w:r>
            <w:r>
              <w:rPr>
                <w:rFonts w:ascii="宋体" w:hAnsi="宋体" w:cs="宋体" w:eastAsia="宋体" w:hint="default"/>
                <w:sz w:val="21"/>
                <w:szCs w:val="21"/>
              </w:rPr>
              <w:t>账</w:t>
            </w:r>
            <w:r>
              <w:rPr>
                <w:rFonts w:ascii="宋体" w:hAnsi="宋体" w:cs="宋体" w:eastAsia="宋体" w:hint="default"/>
                <w:spacing w:val="-78"/>
                <w:sz w:val="21"/>
                <w:szCs w:val="21"/>
              </w:rPr>
              <w:t> </w:t>
            </w:r>
            <w:r>
              <w:rPr>
                <w:rFonts w:ascii="宋体" w:hAnsi="宋体" w:cs="宋体" w:eastAsia="宋体" w:hint="default"/>
                <w:sz w:val="21"/>
                <w:szCs w:val="21"/>
              </w:rPr>
              <w:t>款</w:t>
            </w:r>
            <w:r>
              <w:rPr>
                <w:rFonts w:ascii="宋体" w:hAnsi="宋体" w:cs="宋体" w:eastAsia="宋体" w:hint="default"/>
                <w:spacing w:val="-78"/>
                <w:sz w:val="21"/>
                <w:szCs w:val="21"/>
              </w:rPr>
              <w:t> </w:t>
            </w:r>
            <w:r>
              <w:rPr>
                <w:rFonts w:ascii="宋体" w:hAnsi="宋体" w:cs="宋体" w:eastAsia="宋体" w:hint="default"/>
                <w:sz w:val="21"/>
                <w:szCs w:val="21"/>
              </w:rPr>
              <w:t>及</w:t>
            </w:r>
            <w:r>
              <w:rPr>
                <w:rFonts w:ascii="宋体" w:hAnsi="宋体" w:cs="宋体" w:eastAsia="宋体" w:hint="default"/>
                <w:spacing w:val="-78"/>
                <w:sz w:val="21"/>
                <w:szCs w:val="21"/>
              </w:rPr>
              <w:t> </w:t>
            </w:r>
            <w:r>
              <w:rPr>
                <w:rFonts w:ascii="宋体" w:hAnsi="宋体" w:cs="宋体" w:eastAsia="宋体" w:hint="default"/>
                <w:sz w:val="21"/>
                <w:szCs w:val="21"/>
              </w:rPr>
              <w:t>应</w:t>
            </w:r>
            <w:r>
              <w:rPr>
                <w:rFonts w:ascii="宋体" w:hAnsi="宋体" w:cs="宋体" w:eastAsia="宋体" w:hint="default"/>
                <w:spacing w:val="-76"/>
                <w:sz w:val="21"/>
                <w:szCs w:val="21"/>
              </w:rPr>
              <w:t> </w:t>
            </w:r>
            <w:r>
              <w:rPr>
                <w:rFonts w:ascii="宋体" w:hAnsi="宋体" w:cs="宋体" w:eastAsia="宋体" w:hint="default"/>
                <w:sz w:val="21"/>
                <w:szCs w:val="21"/>
              </w:rPr>
              <w:t>付</w:t>
            </w:r>
            <w:r>
              <w:rPr>
                <w:rFonts w:ascii="宋体" w:hAnsi="宋体" w:cs="宋体" w:eastAsia="宋体" w:hint="default"/>
                <w:spacing w:val="-78"/>
                <w:sz w:val="21"/>
                <w:szCs w:val="21"/>
              </w:rPr>
              <w:t> </w:t>
            </w:r>
            <w:r>
              <w:rPr>
                <w:rFonts w:ascii="宋体" w:hAnsi="宋体" w:cs="宋体" w:eastAsia="宋体" w:hint="default"/>
                <w:sz w:val="21"/>
                <w:szCs w:val="21"/>
              </w:rPr>
              <w:t>票</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158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478,037,765.83</w:t>
            </w:r>
          </w:p>
        </w:tc>
        <w:tc>
          <w:tcPr>
            <w:tcW w:w="155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525,382,727.35</w:t>
            </w:r>
          </w:p>
        </w:tc>
      </w:tr>
    </w:tbl>
    <w:p>
      <w:pPr>
        <w:spacing w:after="0" w:line="240" w:lineRule="auto"/>
        <w:jc w:val="right"/>
        <w:rPr>
          <w:rFonts w:ascii="Times New Roman" w:hAnsi="Times New Roman" w:cs="Times New Roman" w:eastAsia="Times New Roman" w:hint="default"/>
          <w:sz w:val="21"/>
          <w:szCs w:val="21"/>
        </w:rPr>
        <w:sectPr>
          <w:pgSz w:w="11910" w:h="16840"/>
          <w:pgMar w:header="857" w:footer="979" w:top="1120" w:bottom="1160" w:left="1060" w:right="1660"/>
        </w:sectPr>
      </w:pP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2093"/>
        <w:gridCol w:w="1589"/>
        <w:gridCol w:w="1702"/>
        <w:gridCol w:w="1558"/>
        <w:gridCol w:w="1844"/>
      </w:tblGrid>
      <w:tr>
        <w:trPr>
          <w:trHeight w:val="370" w:hRule="exact"/>
        </w:trPr>
        <w:tc>
          <w:tcPr>
            <w:tcW w:w="209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会计报表科目</w:t>
            </w:r>
          </w:p>
        </w:tc>
        <w:tc>
          <w:tcPr>
            <w:tcW w:w="32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74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本期金额</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0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本期金额</w:t>
            </w:r>
          </w:p>
        </w:tc>
      </w:tr>
      <w:tr>
        <w:trPr>
          <w:trHeight w:val="370" w:hRule="exact"/>
        </w:trPr>
        <w:tc>
          <w:tcPr>
            <w:tcW w:w="2093" w:type="dxa"/>
            <w:vMerge/>
            <w:tcBorders>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72"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55"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00"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7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58,187.27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34,355,407.95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34,413,595.22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50,885,054.47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50,885,054.47</w:t>
            </w:r>
          </w:p>
        </w:tc>
      </w:tr>
      <w:tr>
        <w:trPr>
          <w:trHeight w:val="37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180,694,875.56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158,473,036.62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119,221,016.89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102,564</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905.34</w:t>
            </w:r>
          </w:p>
        </w:tc>
      </w:tr>
      <w:tr>
        <w:trPr>
          <w:trHeight w:val="37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8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22,221,838.94</w:t>
            </w:r>
          </w:p>
        </w:tc>
        <w:tc>
          <w:tcPr>
            <w:tcW w:w="155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16,656,111.55</w:t>
            </w:r>
          </w:p>
        </w:tc>
      </w:tr>
    </w:tbl>
    <w:p>
      <w:pPr>
        <w:pStyle w:val="BodyText"/>
        <w:spacing w:line="314" w:lineRule="auto" w:before="42"/>
        <w:ind w:left="637" w:right="7999" w:hanging="420"/>
        <w:jc w:val="left"/>
      </w:pPr>
      <w:r>
        <w:rPr/>
        <w:t>其他说明：</w:t>
      </w:r>
      <w:r>
        <w:rPr>
          <w:spacing w:val="-103"/>
        </w:rPr>
        <w:t> </w:t>
      </w:r>
      <w:r>
        <w:rPr>
          <w:spacing w:val="-103"/>
        </w:rPr>
      </w:r>
      <w:r>
        <w:rPr/>
        <w:t>无</w:t>
      </w:r>
    </w:p>
    <w:p>
      <w:pPr>
        <w:pStyle w:val="Heading4"/>
        <w:spacing w:line="240" w:lineRule="auto" w:before="3"/>
        <w:ind w:left="217"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5"/>
        </w:rPr>
        <w:t> </w:t>
      </w:r>
      <w:r>
        <w:rPr/>
        <w:t>重要会计估计变更</w:t>
      </w:r>
      <w:r>
        <w:rPr>
          <w:b w:val="0"/>
          <w:bCs w:val="0"/>
        </w:rPr>
      </w:r>
    </w:p>
    <w:p>
      <w:pPr>
        <w:pStyle w:val="BodyText"/>
        <w:spacing w:line="304" w:lineRule="auto" w:before="43"/>
        <w:ind w:left="697" w:right="4295"/>
        <w:jc w:val="left"/>
      </w:pPr>
      <w:r>
        <w:rPr/>
        <w:t>√适用</w:t>
      </w:r>
      <w:r>
        <w:rPr>
          <w:spacing w:val="-2"/>
        </w:rPr>
        <w:t> </w:t>
      </w:r>
      <w:r>
        <w:rPr/>
        <w:t>□不适用</w:t>
      </w:r>
      <w:r>
        <w:rPr>
          <w:spacing w:val="-103"/>
        </w:rPr>
        <w:t> </w:t>
      </w:r>
      <w:r>
        <w:rPr>
          <w:spacing w:val="-103"/>
        </w:rPr>
      </w:r>
      <w:r>
        <w:rPr>
          <w:spacing w:val="-2"/>
        </w:rPr>
        <w:t>本报告期公司未发生重要会计估计变更。</w:t>
      </w:r>
    </w:p>
    <w:p>
      <w:pPr>
        <w:pStyle w:val="Heading4"/>
        <w:spacing w:line="240" w:lineRule="auto" w:before="11"/>
        <w:ind w:left="217" w:right="0"/>
        <w:jc w:val="left"/>
        <w:rPr>
          <w:b w:val="0"/>
          <w:bCs w:val="0"/>
        </w:rPr>
      </w:pPr>
      <w:r>
        <w:rPr>
          <w:rFonts w:ascii="Times New Roman" w:hAnsi="Times New Roman" w:cs="Times New Roman" w:eastAsia="Times New Roman" w:hint="default"/>
        </w:rPr>
        <w:t>34.  </w:t>
      </w:r>
      <w:r>
        <w:rPr>
          <w:rFonts w:ascii="Times New Roman" w:hAnsi="Times New Roman" w:cs="Times New Roman" w:eastAsia="Times New Roman" w:hint="default"/>
          <w:spacing w:val="5"/>
        </w:rPr>
        <w:t> </w:t>
      </w:r>
      <w:r>
        <w:rPr/>
        <w:t>其他</w:t>
      </w:r>
      <w:r>
        <w:rPr>
          <w:b w:val="0"/>
          <w:bCs w:val="0"/>
        </w:rPr>
      </w:r>
    </w:p>
    <w:p>
      <w:pPr>
        <w:tabs>
          <w:tab w:pos="1642" w:val="left" w:leader="none"/>
        </w:tabs>
        <w:spacing w:line="290" w:lineRule="auto" w:before="43"/>
        <w:ind w:left="217" w:right="6799" w:firstLine="48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六、税项</w:t>
      </w:r>
      <w:r>
        <w:rPr>
          <w:rFonts w:ascii="宋体" w:hAnsi="宋体" w:cs="宋体" w:eastAsia="宋体" w:hint="default"/>
          <w:sz w:val="21"/>
          <w:szCs w:val="21"/>
        </w:rPr>
      </w:r>
    </w:p>
    <w:p>
      <w:pPr>
        <w:pStyle w:val="Heading4"/>
        <w:tabs>
          <w:tab w:pos="641" w:val="left" w:leader="none"/>
        </w:tabs>
        <w:spacing w:line="240" w:lineRule="auto" w:before="14"/>
        <w:ind w:left="217" w:right="0"/>
        <w:jc w:val="left"/>
        <w:rPr>
          <w:b w:val="0"/>
          <w:bCs w:val="0"/>
        </w:rPr>
      </w:pPr>
      <w:r>
        <w:rPr>
          <w:rFonts w:ascii="Times New Roman" w:hAnsi="Times New Roman" w:cs="Times New Roman" w:eastAsia="Times New Roman" w:hint="default"/>
        </w:rPr>
        <w:t>1.</w:t>
        <w:tab/>
      </w:r>
      <w:r>
        <w:rPr/>
        <w:t>主要税种及税率情况</w:t>
      </w:r>
      <w:r>
        <w:rPr>
          <w:b w:val="0"/>
          <w:bCs w:val="0"/>
        </w:rPr>
      </w:r>
    </w:p>
    <w:p>
      <w:pPr>
        <w:pStyle w:val="BodyText"/>
        <w:tabs>
          <w:tab w:pos="1539" w:val="left" w:leader="none"/>
        </w:tabs>
        <w:spacing w:line="240" w:lineRule="auto" w:before="40"/>
        <w:ind w:left="697" w:right="0"/>
        <w:jc w:val="left"/>
      </w:pPr>
      <w:r>
        <w:rPr/>
        <w:t>√适用</w:t>
        <w:tab/>
        <w:t>□不适用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370"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730"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3"/>
              <w:jc w:val="left"/>
              <w:rPr>
                <w:rFonts w:ascii="宋体" w:hAnsi="宋体" w:cs="宋体" w:eastAsia="宋体" w:hint="default"/>
                <w:sz w:val="21"/>
                <w:szCs w:val="21"/>
              </w:rPr>
            </w:pPr>
            <w:r>
              <w:rPr>
                <w:rFonts w:ascii="宋体" w:hAnsi="宋体" w:cs="宋体" w:eastAsia="宋体" w:hint="default"/>
                <w:spacing w:val="12"/>
                <w:sz w:val="21"/>
                <w:szCs w:val="21"/>
              </w:rPr>
              <w:t>销售货物或提供应税劳务过程</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中产生的增值额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5"/>
              <w:jc w:val="left"/>
              <w:rPr>
                <w:rFonts w:ascii="宋体" w:hAnsi="宋体" w:cs="宋体" w:eastAsia="宋体" w:hint="default"/>
                <w:sz w:val="21"/>
                <w:szCs w:val="21"/>
              </w:rPr>
            </w:pPr>
            <w:r>
              <w:rPr>
                <w:rFonts w:ascii="宋体" w:hAnsi="宋体" w:cs="宋体" w:eastAsia="宋体" w:hint="default"/>
                <w:spacing w:val="-16"/>
                <w:sz w:val="21"/>
                <w:szCs w:val="21"/>
              </w:rPr>
              <w:t>免征、</w:t>
            </w:r>
            <w:r>
              <w:rPr>
                <w:rFonts w:ascii="Times New Roman" w:hAnsi="Times New Roman" w:cs="Times New Roman" w:eastAsia="Times New Roman" w:hint="default"/>
                <w:spacing w:val="-16"/>
                <w:sz w:val="21"/>
                <w:szCs w:val="21"/>
              </w:rPr>
              <w:t>3%</w:t>
            </w:r>
            <w:r>
              <w:rPr>
                <w:rFonts w:ascii="宋体" w:hAnsi="宋体" w:cs="宋体" w:eastAsia="宋体" w:hint="default"/>
                <w:spacing w:val="-16"/>
                <w:sz w:val="21"/>
                <w:szCs w:val="21"/>
              </w:rPr>
              <w:t>、</w:t>
            </w:r>
            <w:r>
              <w:rPr>
                <w:rFonts w:ascii="Times New Roman" w:hAnsi="Times New Roman" w:cs="Times New Roman" w:eastAsia="Times New Roman" w:hint="default"/>
                <w:spacing w:val="-16"/>
                <w:sz w:val="21"/>
                <w:szCs w:val="21"/>
              </w:rPr>
              <w:t>5%</w:t>
            </w:r>
            <w:r>
              <w:rPr>
                <w:rFonts w:ascii="宋体" w:hAnsi="宋体" w:cs="宋体" w:eastAsia="宋体" w:hint="default"/>
                <w:spacing w:val="-16"/>
                <w:sz w:val="21"/>
                <w:szCs w:val="21"/>
              </w:rPr>
              <w:t>、</w:t>
            </w:r>
            <w:r>
              <w:rPr>
                <w:rFonts w:ascii="Times New Roman" w:hAnsi="Times New Roman" w:cs="Times New Roman" w:eastAsia="Times New Roman" w:hint="default"/>
                <w:spacing w:val="-16"/>
                <w:sz w:val="21"/>
                <w:szCs w:val="21"/>
              </w:rPr>
              <w:t>6%</w:t>
            </w:r>
            <w:r>
              <w:rPr>
                <w:rFonts w:ascii="宋体" w:hAnsi="宋体" w:cs="宋体" w:eastAsia="宋体" w:hint="default"/>
                <w:spacing w:val="-16"/>
                <w:sz w:val="21"/>
                <w:szCs w:val="21"/>
              </w:rPr>
              <w:t>、</w:t>
            </w:r>
            <w:r>
              <w:rPr>
                <w:rFonts w:ascii="Times New Roman" w:hAnsi="Times New Roman" w:cs="Times New Roman" w:eastAsia="Times New Roman" w:hint="default"/>
                <w:spacing w:val="-16"/>
                <w:sz w:val="21"/>
                <w:szCs w:val="21"/>
              </w:rPr>
              <w:t>10%</w:t>
            </w:r>
            <w:r>
              <w:rPr>
                <w:rFonts w:ascii="宋体" w:hAnsi="宋体" w:cs="宋体" w:eastAsia="宋体" w:hint="default"/>
                <w:spacing w:val="-16"/>
                <w:sz w:val="21"/>
                <w:szCs w:val="21"/>
              </w:rPr>
              <w:t>、</w:t>
            </w:r>
            <w:r>
              <w:rPr>
                <w:rFonts w:ascii="Times New Roman" w:hAnsi="Times New Roman" w:cs="Times New Roman" w:eastAsia="Times New Roman" w:hint="default"/>
                <w:spacing w:val="-16"/>
                <w:sz w:val="21"/>
                <w:szCs w:val="21"/>
              </w:rPr>
              <w:t>11%</w:t>
            </w:r>
            <w:r>
              <w:rPr>
                <w:rFonts w:ascii="宋体" w:hAnsi="宋体" w:cs="宋体" w:eastAsia="宋体" w:hint="default"/>
                <w:spacing w:val="-16"/>
                <w:sz w:val="21"/>
                <w:szCs w:val="21"/>
              </w:rPr>
              <w:t>、</w:t>
            </w:r>
          </w:p>
          <w:p>
            <w:pPr>
              <w:pStyle w:val="TableParagraph"/>
              <w:spacing w:line="240" w:lineRule="auto" w:before="69"/>
              <w:ind w:left="16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sz w:val="21"/>
                <w:szCs w:val="21"/>
              </w:rPr>
              <w:t>、</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r>
        <w:trPr>
          <w:trHeight w:val="370"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应交增值税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z w:val="21"/>
              </w:rPr>
              <w:t>7%</w:t>
            </w:r>
          </w:p>
        </w:tc>
      </w:tr>
      <w:tr>
        <w:trPr>
          <w:trHeight w:val="730"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3"/>
              <w:jc w:val="left"/>
              <w:rPr>
                <w:rFonts w:ascii="宋体" w:hAnsi="宋体" w:cs="宋体" w:eastAsia="宋体" w:hint="default"/>
                <w:sz w:val="21"/>
                <w:szCs w:val="21"/>
              </w:rPr>
            </w:pPr>
            <w:r>
              <w:rPr>
                <w:rFonts w:ascii="宋体" w:hAnsi="宋体" w:cs="宋体" w:eastAsia="宋体" w:hint="default"/>
                <w:spacing w:val="12"/>
                <w:sz w:val="21"/>
                <w:szCs w:val="21"/>
              </w:rPr>
              <w:t>根据应纳税所得额计算缴纳所</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得税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15%</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25%</w:t>
            </w:r>
          </w:p>
        </w:tc>
      </w:tr>
      <w:tr>
        <w:trPr>
          <w:trHeight w:val="370"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应交增值税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z w:val="21"/>
              </w:rPr>
              <w:t>3%</w:t>
            </w:r>
          </w:p>
        </w:tc>
      </w:tr>
      <w:tr>
        <w:trPr>
          <w:trHeight w:val="37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应交增值税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21"/>
                <w:szCs w:val="21"/>
              </w:rPr>
            </w:pPr>
            <w:r>
              <w:rPr>
                <w:rFonts w:ascii="Times New Roman"/>
                <w:sz w:val="21"/>
              </w:rPr>
              <w:t>2%</w:t>
            </w:r>
          </w:p>
        </w:tc>
      </w:tr>
      <w:tr>
        <w:trPr>
          <w:trHeight w:val="370"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防洪费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应纳税收入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0.09%</w:t>
            </w:r>
          </w:p>
        </w:tc>
      </w:tr>
    </w:tbl>
    <w:p>
      <w:pPr>
        <w:pStyle w:val="BodyText"/>
        <w:spacing w:line="239" w:lineRule="exact"/>
        <w:ind w:left="217" w:right="0"/>
        <w:jc w:val="left"/>
      </w:pPr>
      <w:r>
        <w:rPr/>
        <w:t>存在不同企业所得税税率纳税主体的，披露情况说明</w:t>
      </w:r>
    </w:p>
    <w:p>
      <w:pPr>
        <w:pStyle w:val="BodyText"/>
        <w:tabs>
          <w:tab w:pos="1539" w:val="left" w:leader="none"/>
        </w:tabs>
        <w:spacing w:line="273" w:lineRule="exact"/>
        <w:ind w:left="697" w:right="0"/>
        <w:jc w:val="left"/>
      </w:pPr>
      <w:r>
        <w:rPr/>
        <w:t>√适用</w:t>
        <w:tab/>
        <w:t>□不适用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372"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42"/>
              <w:ind w:left="518"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75"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南威软件股份有限公司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15%</w:t>
            </w:r>
          </w:p>
        </w:tc>
      </w:tr>
      <w:tr>
        <w:trPr>
          <w:trHeight w:val="374"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福建南威软件有限公司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15%</w:t>
            </w:r>
          </w:p>
        </w:tc>
      </w:tr>
      <w:tr>
        <w:trPr>
          <w:trHeight w:val="377"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网链科技集团有限公司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15%</w:t>
            </w:r>
          </w:p>
        </w:tc>
      </w:tr>
      <w:tr>
        <w:trPr>
          <w:trHeight w:val="374"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深圳太极云软技术股份有限公司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10%</w:t>
            </w:r>
          </w:p>
        </w:tc>
      </w:tr>
      <w:tr>
        <w:trPr>
          <w:trHeight w:val="372"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合并报表范围内其他公司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25%</w:t>
            </w:r>
          </w:p>
        </w:tc>
      </w:tr>
    </w:tbl>
    <w:p>
      <w:pPr>
        <w:pStyle w:val="BodyText"/>
        <w:spacing w:line="304" w:lineRule="auto" w:before="42"/>
        <w:ind w:left="217" w:right="228" w:firstLine="420"/>
        <w:jc w:val="both"/>
      </w:pPr>
      <w:r>
        <w:rPr/>
        <w:t>注 </w:t>
      </w:r>
      <w:r>
        <w:rPr>
          <w:rFonts w:ascii="Times New Roman" w:hAnsi="Times New Roman" w:cs="Times New Roman" w:eastAsia="Times New Roman" w:hint="default"/>
        </w:rPr>
        <w:t>1</w:t>
      </w:r>
      <w:r>
        <w:rPr/>
        <w:t>：根据财税字</w:t>
      </w:r>
      <w:r>
        <w:rPr>
          <w:rFonts w:ascii="Times New Roman" w:hAnsi="Times New Roman" w:cs="Times New Roman" w:eastAsia="Times New Roman" w:hint="default"/>
        </w:rPr>
        <w:t>[1999]273</w:t>
      </w:r>
      <w:r>
        <w:rPr>
          <w:rFonts w:ascii="Times New Roman" w:hAnsi="Times New Roman" w:cs="Times New Roman" w:eastAsia="Times New Roman" w:hint="default"/>
          <w:spacing w:val="-11"/>
        </w:rPr>
        <w:t> </w:t>
      </w:r>
      <w:r>
        <w:rPr>
          <w:spacing w:val="-3"/>
        </w:rPr>
        <w:t>号，财政部、国家税务总局关于贯彻落实《中共中央国务院关于</w:t>
      </w:r>
      <w:r>
        <w:rPr>
          <w:w w:val="100"/>
        </w:rPr>
        <w:t> </w:t>
      </w:r>
      <w:r>
        <w:rPr>
          <w:spacing w:val="-1"/>
        </w:rPr>
        <w:t>加强技术创新，发展高科技，实现产业化的决定》有关税收问题的通知的规定，公司取得的经税</w:t>
      </w:r>
      <w:r>
        <w:rPr>
          <w:spacing w:val="-55"/>
        </w:rPr>
        <w:t> </w:t>
      </w:r>
      <w:r>
        <w:rPr>
          <w:spacing w:val="-55"/>
        </w:rPr>
      </w:r>
      <w:r>
        <w:rPr>
          <w:spacing w:val="-1"/>
        </w:rPr>
        <w:t>务主管部门核准后的技术转让、技术开发业务和与之相关的技术咨询、技术服务业务收入免征营</w:t>
      </w:r>
      <w:r>
        <w:rPr>
          <w:spacing w:val="-55"/>
        </w:rPr>
        <w:t> </w:t>
      </w:r>
      <w:r>
        <w:rPr>
          <w:spacing w:val="-55"/>
        </w:rPr>
      </w:r>
      <w:r>
        <w:rPr>
          <w:spacing w:val="-3"/>
        </w:rPr>
        <w:t>业税。根据财税</w:t>
      </w:r>
      <w:r>
        <w:rPr>
          <w:rFonts w:ascii="Times New Roman" w:hAnsi="Times New Roman" w:cs="Times New Roman" w:eastAsia="Times New Roman" w:hint="default"/>
          <w:spacing w:val="-3"/>
        </w:rPr>
        <w:t>[2011]111 </w:t>
      </w:r>
      <w:r>
        <w:rPr>
          <w:spacing w:val="-4"/>
        </w:rPr>
        <w:t>号文规定，营改增后经税务主管部门核准后的技术转让、技术开发业务</w:t>
      </w:r>
      <w:r>
        <w:rPr>
          <w:spacing w:val="-67"/>
        </w:rPr>
        <w:t> </w:t>
      </w:r>
      <w:r>
        <w:rPr>
          <w:spacing w:val="-67"/>
        </w:rPr>
      </w:r>
      <w:r>
        <w:rPr/>
        <w:t>和与之相关的技术咨询、技术服务业务收入免征增值税。</w:t>
      </w:r>
    </w:p>
    <w:p>
      <w:pPr>
        <w:spacing w:after="0" w:line="304" w:lineRule="auto"/>
        <w:jc w:val="both"/>
        <w:sectPr>
          <w:pgSz w:w="11910" w:h="16840"/>
          <w:pgMar w:header="857" w:footer="979" w:top="1120" w:bottom="1160" w:left="1060" w:right="1560"/>
        </w:sectPr>
      </w:pPr>
    </w:p>
    <w:p>
      <w:pPr>
        <w:spacing w:line="240" w:lineRule="auto" w:before="5"/>
        <w:rPr>
          <w:rFonts w:ascii="宋体" w:hAnsi="宋体" w:cs="宋体" w:eastAsia="宋体" w:hint="default"/>
          <w:sz w:val="24"/>
          <w:szCs w:val="24"/>
        </w:rPr>
      </w:pPr>
    </w:p>
    <w:p>
      <w:pPr>
        <w:pStyle w:val="BodyText"/>
        <w:spacing w:line="240" w:lineRule="auto" w:before="36"/>
        <w:ind w:left="557" w:right="47"/>
        <w:jc w:val="left"/>
      </w:pPr>
      <w:r>
        <w:rPr/>
        <w:t>注</w:t>
      </w:r>
      <w:r>
        <w:rPr>
          <w:spacing w:val="-48"/>
        </w:rPr>
        <w:t> </w:t>
      </w:r>
      <w:r>
        <w:rPr>
          <w:rFonts w:ascii="Times New Roman" w:hAnsi="Times New Roman" w:cs="Times New Roman" w:eastAsia="Times New Roman" w:hint="default"/>
          <w:spacing w:val="-11"/>
        </w:rPr>
        <w:t>2</w:t>
      </w:r>
      <w:r>
        <w:rPr>
          <w:spacing w:val="-11"/>
        </w:rPr>
        <w:t>：自</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3"/>
        </w:rPr>
        <w:t>日营业税改征增值税之后，本公司不动产租金收入按</w:t>
      </w:r>
      <w:r>
        <w:rPr>
          <w:spacing w:val="-50"/>
        </w:rPr>
        <w:t> </w:t>
      </w:r>
      <w:r>
        <w:rPr>
          <w:rFonts w:ascii="Times New Roman" w:hAnsi="Times New Roman" w:cs="Times New Roman" w:eastAsia="Times New Roman" w:hint="default"/>
        </w:rPr>
        <w:t>11%</w:t>
      </w:r>
      <w:r>
        <w:rPr/>
        <w:t>的税率缴纳</w:t>
      </w:r>
    </w:p>
    <w:p>
      <w:pPr>
        <w:pStyle w:val="BodyText"/>
        <w:spacing w:line="297" w:lineRule="auto" w:before="69"/>
        <w:ind w:left="137" w:right="47"/>
        <w:jc w:val="left"/>
      </w:pPr>
      <w:r>
        <w:rPr/>
        <w:t>增值税。公司出租</w:t>
      </w:r>
      <w:r>
        <w:rPr>
          <w:spacing w:val="-4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39"/>
        </w:rPr>
        <w:t> </w:t>
      </w:r>
      <w:r>
        <w:rPr>
          <w:rFonts w:ascii="Times New Roman" w:hAnsi="Times New Roman" w:cs="Times New Roman" w:eastAsia="Times New Roman" w:hint="default"/>
        </w:rPr>
        <w:t>30</w:t>
      </w:r>
      <w:r>
        <w:rPr>
          <w:rFonts w:ascii="Times New Roman" w:hAnsi="Times New Roman" w:cs="Times New Roman" w:eastAsia="Times New Roman" w:hint="default"/>
          <w:spacing w:val="11"/>
        </w:rPr>
        <w:t> </w:t>
      </w:r>
      <w:r>
        <w:rPr/>
        <w:t>日前取得的不动产，选择适用简易计税方法，按</w:t>
      </w:r>
      <w:r>
        <w:rPr>
          <w:spacing w:val="-39"/>
        </w:rPr>
        <w:t> </w:t>
      </w:r>
      <w:r>
        <w:rPr>
          <w:rFonts w:ascii="Times New Roman" w:hAnsi="Times New Roman" w:cs="Times New Roman" w:eastAsia="Times New Roman" w:hint="default"/>
        </w:rPr>
        <w:t>5%</w:t>
      </w:r>
      <w:r>
        <w:rPr/>
        <w:t>的征收率</w:t>
      </w:r>
      <w:r>
        <w:rPr>
          <w:w w:val="100"/>
        </w:rPr>
        <w:t> </w:t>
      </w:r>
      <w:r>
        <w:rPr/>
        <w:t>计算增值税应纳税额。</w:t>
      </w:r>
    </w:p>
    <w:p>
      <w:pPr>
        <w:pStyle w:val="BodyText"/>
        <w:spacing w:line="297" w:lineRule="auto" w:before="34"/>
        <w:ind w:left="137" w:right="209" w:firstLine="420"/>
        <w:jc w:val="both"/>
      </w:pPr>
      <w:r>
        <w:rPr/>
        <w:t>注</w:t>
      </w:r>
      <w:r>
        <w:rPr>
          <w:spacing w:val="-55"/>
        </w:rPr>
        <w:t> </w:t>
      </w:r>
      <w:r>
        <w:rPr>
          <w:rFonts w:ascii="Times New Roman" w:hAnsi="Times New Roman" w:cs="Times New Roman" w:eastAsia="Times New Roman" w:hint="default"/>
        </w:rPr>
        <w:t>3</w:t>
      </w:r>
      <w:r>
        <w:rPr/>
        <w:t>：财税</w:t>
      </w:r>
      <w:r>
        <w:rPr>
          <w:rFonts w:ascii="Times New Roman" w:hAnsi="Times New Roman" w:cs="Times New Roman" w:eastAsia="Times New Roman" w:hint="default"/>
        </w:rPr>
        <w:t>[2018]32</w:t>
      </w:r>
      <w:r>
        <w:rPr>
          <w:rFonts w:ascii="Times New Roman" w:hAnsi="Times New Roman" w:cs="Times New Roman" w:eastAsia="Times New Roman" w:hint="default"/>
          <w:spacing w:val="-3"/>
        </w:rPr>
        <w:t> </w:t>
      </w:r>
      <w:r>
        <w:rPr>
          <w:spacing w:val="-3"/>
        </w:rPr>
        <w:t>号规定，自</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日起，纳税人发生增值税应税销售行为或者进</w:t>
      </w:r>
      <w:r>
        <w:rPr>
          <w:w w:val="100"/>
        </w:rPr>
        <w:t> </w:t>
      </w:r>
      <w:r>
        <w:rPr/>
        <w:t>口货物，原适用</w:t>
      </w:r>
      <w:r>
        <w:rPr>
          <w:spacing w:val="-55"/>
        </w:rPr>
        <w:t> </w:t>
      </w:r>
      <w:r>
        <w:rPr>
          <w:rFonts w:ascii="Times New Roman" w:hAnsi="Times New Roman" w:cs="Times New Roman" w:eastAsia="Times New Roman" w:hint="default"/>
        </w:rPr>
        <w:t>17%</w:t>
      </w:r>
      <w:r>
        <w:rPr/>
        <w:t>和</w:t>
      </w:r>
      <w:r>
        <w:rPr>
          <w:spacing w:val="-55"/>
        </w:rPr>
        <w:t> </w:t>
      </w:r>
      <w:r>
        <w:rPr>
          <w:rFonts w:ascii="Times New Roman" w:hAnsi="Times New Roman" w:cs="Times New Roman" w:eastAsia="Times New Roman" w:hint="default"/>
        </w:rPr>
        <w:t>11%</w:t>
      </w:r>
      <w:r>
        <w:rPr/>
        <w:t>税率的，税率分别调整为</w:t>
      </w:r>
      <w:r>
        <w:rPr>
          <w:spacing w:val="-55"/>
        </w:rPr>
        <w:t> </w:t>
      </w:r>
      <w:r>
        <w:rPr>
          <w:rFonts w:ascii="Times New Roman" w:hAnsi="Times New Roman" w:cs="Times New Roman" w:eastAsia="Times New Roman" w:hint="default"/>
        </w:rPr>
        <w:t>16%</w:t>
      </w:r>
      <w:r>
        <w:rPr/>
        <w:t>、</w:t>
      </w:r>
      <w:r>
        <w:rPr>
          <w:rFonts w:ascii="Times New Roman" w:hAnsi="Times New Roman" w:cs="Times New Roman" w:eastAsia="Times New Roman" w:hint="default"/>
        </w:rPr>
        <w:t>10%</w:t>
      </w:r>
      <w:r>
        <w:rPr/>
        <w:t>。</w:t>
      </w:r>
    </w:p>
    <w:p>
      <w:pPr>
        <w:pStyle w:val="Heading4"/>
        <w:tabs>
          <w:tab w:pos="562" w:val="left" w:leader="none"/>
        </w:tabs>
        <w:spacing w:line="287" w:lineRule="exact" w:before="0"/>
        <w:ind w:left="137" w:right="2631"/>
        <w:jc w:val="left"/>
        <w:rPr>
          <w:b w:val="0"/>
          <w:bCs w:val="0"/>
        </w:rPr>
      </w:pPr>
      <w:r>
        <w:rPr>
          <w:rFonts w:ascii="Times New Roman" w:hAnsi="Times New Roman" w:cs="Times New Roman" w:eastAsia="Times New Roman" w:hint="default"/>
        </w:rPr>
        <w:t>2.</w:t>
        <w:tab/>
      </w:r>
      <w:r>
        <w:rPr/>
        <w:t>税收优惠</w:t>
      </w:r>
      <w:r>
        <w:rPr>
          <w:b w:val="0"/>
          <w:bCs w:val="0"/>
        </w:rPr>
      </w:r>
    </w:p>
    <w:p>
      <w:pPr>
        <w:pStyle w:val="BodyText"/>
        <w:tabs>
          <w:tab w:pos="1562" w:val="left" w:leader="none"/>
        </w:tabs>
        <w:spacing w:line="240" w:lineRule="auto" w:before="40"/>
        <w:ind w:left="617" w:right="2631"/>
        <w:jc w:val="left"/>
      </w:pPr>
      <w:r>
        <w:rPr/>
        <w:t>√适用</w:t>
        <w:tab/>
        <w:t>□不适用</w:t>
      </w:r>
    </w:p>
    <w:p>
      <w:pPr>
        <w:pStyle w:val="BodyText"/>
        <w:spacing w:line="240" w:lineRule="auto" w:before="75"/>
        <w:ind w:left="557" w:right="47"/>
        <w:jc w:val="left"/>
      </w:pPr>
      <w:r>
        <w:rPr>
          <w:rFonts w:ascii="Times New Roman" w:hAnsi="Times New Roman" w:cs="Times New Roman" w:eastAsia="Times New Roman" w:hint="default"/>
        </w:rPr>
        <w:t>1</w:t>
      </w:r>
      <w:r>
        <w:rPr/>
        <w:t>．依据国务院下发的《关于印发进一步鼓励软件产业和集成电路产业发展若干政策的通知》</w:t>
      </w:r>
    </w:p>
    <w:p>
      <w:pPr>
        <w:pStyle w:val="BodyText"/>
        <w:spacing w:line="240" w:lineRule="auto" w:before="69"/>
        <w:ind w:left="137" w:right="47"/>
        <w:jc w:val="left"/>
      </w:pPr>
      <w:r>
        <w:rPr>
          <w:w w:val="100"/>
        </w:rPr>
        <w:t>（国发</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2011</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spacing w:val="-3"/>
          <w:w w:val="100"/>
        </w:rPr>
        <w:t>号</w:t>
      </w:r>
      <w:r>
        <w:rPr>
          <w:spacing w:val="-97"/>
          <w:w w:val="100"/>
        </w:rPr>
        <w:t>）</w:t>
      </w:r>
      <w:r>
        <w:rPr>
          <w:w w:val="100"/>
        </w:rPr>
        <w:t>第</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spacing w:val="-3"/>
          <w:w w:val="100"/>
        </w:rPr>
        <w:t>条</w:t>
      </w:r>
      <w:r>
        <w:rPr>
          <w:w w:val="100"/>
        </w:rPr>
        <w:t>及财</w:t>
      </w:r>
      <w:r>
        <w:rPr>
          <w:spacing w:val="-3"/>
          <w:w w:val="100"/>
        </w:rPr>
        <w:t>政部</w:t>
      </w:r>
      <w:r>
        <w:rPr>
          <w:spacing w:val="-94"/>
          <w:w w:val="100"/>
        </w:rPr>
        <w:t>、</w:t>
      </w:r>
      <w:r>
        <w:rPr>
          <w:spacing w:val="-3"/>
          <w:w w:val="100"/>
        </w:rPr>
        <w:t>国</w:t>
      </w:r>
      <w:r>
        <w:rPr>
          <w:w w:val="100"/>
        </w:rPr>
        <w:t>家</w:t>
      </w:r>
      <w:r>
        <w:rPr>
          <w:spacing w:val="-3"/>
          <w:w w:val="100"/>
        </w:rPr>
        <w:t>税</w:t>
      </w:r>
      <w:r>
        <w:rPr>
          <w:w w:val="100"/>
        </w:rPr>
        <w:t>务</w:t>
      </w:r>
      <w:r>
        <w:rPr>
          <w:spacing w:val="-3"/>
          <w:w w:val="100"/>
        </w:rPr>
        <w:t>总</w:t>
      </w:r>
      <w:r>
        <w:rPr>
          <w:w w:val="100"/>
        </w:rPr>
        <w:t>局</w:t>
      </w:r>
      <w:r>
        <w:rPr>
          <w:spacing w:val="-3"/>
          <w:w w:val="100"/>
        </w:rPr>
        <w:t>联</w:t>
      </w:r>
      <w:r>
        <w:rPr>
          <w:w w:val="100"/>
        </w:rPr>
        <w:t>合下</w:t>
      </w:r>
      <w:r>
        <w:rPr>
          <w:spacing w:val="-3"/>
          <w:w w:val="100"/>
        </w:rPr>
        <w:t>发</w:t>
      </w:r>
      <w:r>
        <w:rPr>
          <w:spacing w:val="-97"/>
          <w:w w:val="100"/>
        </w:rPr>
        <w:t>的</w:t>
      </w:r>
      <w:r>
        <w:rPr>
          <w:w w:val="100"/>
        </w:rPr>
        <w:t>《</w:t>
      </w:r>
      <w:r>
        <w:rPr>
          <w:spacing w:val="-3"/>
          <w:w w:val="100"/>
        </w:rPr>
        <w:t>关</w:t>
      </w:r>
      <w:r>
        <w:rPr>
          <w:w w:val="100"/>
        </w:rPr>
        <w:t>于</w:t>
      </w:r>
      <w:r>
        <w:rPr>
          <w:spacing w:val="-3"/>
          <w:w w:val="100"/>
        </w:rPr>
        <w:t>软</w:t>
      </w:r>
      <w:r>
        <w:rPr>
          <w:w w:val="100"/>
        </w:rPr>
        <w:t>件</w:t>
      </w:r>
      <w:r>
        <w:rPr>
          <w:spacing w:val="-3"/>
          <w:w w:val="100"/>
        </w:rPr>
        <w:t>产</w:t>
      </w:r>
      <w:r>
        <w:rPr>
          <w:w w:val="100"/>
        </w:rPr>
        <w:t>品</w:t>
      </w:r>
      <w:r>
        <w:rPr>
          <w:spacing w:val="-3"/>
          <w:w w:val="100"/>
        </w:rPr>
        <w:t>增</w:t>
      </w:r>
      <w:r>
        <w:rPr>
          <w:w w:val="100"/>
        </w:rPr>
        <w:t>值税</w:t>
      </w:r>
      <w:r>
        <w:rPr>
          <w:spacing w:val="-3"/>
          <w:w w:val="100"/>
        </w:rPr>
        <w:t>政</w:t>
      </w:r>
      <w:r>
        <w:rPr>
          <w:w w:val="100"/>
        </w:rPr>
        <w:t>策</w:t>
      </w:r>
      <w:r>
        <w:rPr>
          <w:spacing w:val="-3"/>
          <w:w w:val="100"/>
        </w:rPr>
        <w:t>的</w:t>
      </w:r>
      <w:r>
        <w:rPr>
          <w:w w:val="100"/>
        </w:rPr>
        <w:t>通</w:t>
      </w:r>
      <w:r>
        <w:rPr>
          <w:spacing w:val="-3"/>
          <w:w w:val="100"/>
        </w:rPr>
        <w:t>知</w:t>
      </w:r>
      <w:r>
        <w:rPr>
          <w:w w:val="100"/>
        </w:rPr>
        <w:t>》</w:t>
      </w:r>
    </w:p>
    <w:p>
      <w:pPr>
        <w:pStyle w:val="BodyText"/>
        <w:spacing w:line="297" w:lineRule="auto" w:before="70"/>
        <w:ind w:left="137" w:right="47"/>
        <w:jc w:val="left"/>
      </w:pPr>
      <w:r>
        <w:rPr/>
        <w:t>（财税</w:t>
      </w:r>
      <w:r>
        <w:rPr>
          <w:rFonts w:ascii="Times New Roman" w:hAnsi="Times New Roman" w:cs="Times New Roman" w:eastAsia="Times New Roman" w:hint="default"/>
        </w:rPr>
        <w:t>[2011]100</w:t>
      </w:r>
      <w:r>
        <w:rPr>
          <w:rFonts w:ascii="Times New Roman" w:hAnsi="Times New Roman" w:cs="Times New Roman" w:eastAsia="Times New Roman" w:hint="default"/>
          <w:spacing w:val="16"/>
        </w:rPr>
        <w:t> </w:t>
      </w:r>
      <w:r>
        <w:rPr>
          <w:spacing w:val="-6"/>
        </w:rPr>
        <w:t>号）的规定，公司销售其自行开发生产的软件产品，按</w:t>
      </w:r>
      <w:r>
        <w:rPr>
          <w:spacing w:val="-36"/>
        </w:rPr>
        <w:t> </w:t>
      </w:r>
      <w:r>
        <w:rPr>
          <w:rFonts w:ascii="Times New Roman" w:hAnsi="Times New Roman" w:cs="Times New Roman" w:eastAsia="Times New Roman" w:hint="default"/>
        </w:rPr>
        <w:t>17%</w:t>
      </w:r>
      <w:r>
        <w:rPr/>
        <w:t>的法定税率征收增值</w:t>
      </w:r>
      <w:r>
        <w:rPr>
          <w:spacing w:val="-97"/>
        </w:rPr>
        <w:t> </w:t>
      </w:r>
      <w:r>
        <w:rPr>
          <w:spacing w:val="-97"/>
        </w:rPr>
      </w:r>
      <w:r>
        <w:rPr>
          <w:spacing w:val="-2"/>
        </w:rPr>
        <w:t>税后，享受增值税实际税负超过</w:t>
      </w:r>
      <w:r>
        <w:rPr>
          <w:spacing w:val="5"/>
        </w:rPr>
        <w:t> </w:t>
      </w:r>
      <w:r>
        <w:rPr>
          <w:rFonts w:ascii="Times New Roman" w:hAnsi="Times New Roman" w:cs="Times New Roman" w:eastAsia="Times New Roman" w:hint="default"/>
          <w:spacing w:val="-2"/>
        </w:rPr>
        <w:t>3%</w:t>
      </w:r>
      <w:r>
        <w:rPr>
          <w:spacing w:val="-2"/>
        </w:rPr>
        <w:t>的部分实行即征即退的优惠政策。</w:t>
      </w:r>
    </w:p>
    <w:p>
      <w:pPr>
        <w:pStyle w:val="BodyText"/>
        <w:spacing w:line="304" w:lineRule="auto" w:before="13"/>
        <w:ind w:left="137" w:right="208" w:firstLine="420"/>
        <w:jc w:val="both"/>
      </w:pPr>
      <w:r>
        <w:rPr>
          <w:rFonts w:ascii="Times New Roman" w:hAnsi="Times New Roman" w:cs="Times New Roman" w:eastAsia="Times New Roman" w:hint="default"/>
        </w:rPr>
        <w:t>2</w:t>
      </w:r>
      <w:r>
        <w:rPr/>
        <w:t>．根据财税字</w:t>
      </w:r>
      <w:r>
        <w:rPr>
          <w:rFonts w:ascii="Times New Roman" w:hAnsi="Times New Roman" w:cs="Times New Roman" w:eastAsia="Times New Roman" w:hint="default"/>
        </w:rPr>
        <w:t>[1999]273</w:t>
      </w:r>
      <w:r>
        <w:rPr>
          <w:rFonts w:ascii="Times New Roman" w:hAnsi="Times New Roman" w:cs="Times New Roman" w:eastAsia="Times New Roman" w:hint="default"/>
          <w:spacing w:val="23"/>
        </w:rPr>
        <w:t> </w:t>
      </w:r>
      <w:r>
        <w:rPr/>
        <w:t>号，财政部、国家税务总局关于贯彻落实《中共中央国务院关于加</w:t>
      </w:r>
      <w:r>
        <w:rPr>
          <w:w w:val="100"/>
        </w:rPr>
        <w:t> </w:t>
      </w:r>
      <w:r>
        <w:rPr>
          <w:spacing w:val="-1"/>
        </w:rPr>
        <w:t>强技术创新，发展高科技，实现产业化的决定》有关税收问题的通知的规定，公司取得的经税务</w:t>
      </w:r>
      <w:r>
        <w:rPr>
          <w:spacing w:val="-55"/>
        </w:rPr>
        <w:t> </w:t>
      </w:r>
      <w:r>
        <w:rPr>
          <w:spacing w:val="-55"/>
        </w:rPr>
      </w:r>
      <w:r>
        <w:rPr>
          <w:spacing w:val="-1"/>
        </w:rPr>
        <w:t>主管部门核准后的技术转让、技术开发业务和与之相关的技术咨询、技术服务业务收入免征营业</w:t>
      </w:r>
      <w:r>
        <w:rPr>
          <w:spacing w:val="-55"/>
        </w:rPr>
        <w:t> </w:t>
      </w:r>
      <w:r>
        <w:rPr>
          <w:spacing w:val="-55"/>
        </w:rPr>
      </w:r>
      <w:r>
        <w:rPr>
          <w:spacing w:val="-3"/>
        </w:rPr>
        <w:t>税。根据财税</w:t>
      </w:r>
      <w:r>
        <w:rPr>
          <w:rFonts w:ascii="Times New Roman" w:hAnsi="Times New Roman" w:cs="Times New Roman" w:eastAsia="Times New Roman" w:hint="default"/>
          <w:spacing w:val="-3"/>
        </w:rPr>
        <w:t>[2011]111 </w:t>
      </w:r>
      <w:r>
        <w:rPr>
          <w:spacing w:val="-3"/>
        </w:rPr>
        <w:t>号文规定，营改增后经税务主管部门核准后的技术转让、技术开发业务和</w:t>
      </w:r>
      <w:r>
        <w:rPr>
          <w:spacing w:val="-96"/>
        </w:rPr>
        <w:t> </w:t>
      </w:r>
      <w:r>
        <w:rPr>
          <w:spacing w:val="-96"/>
        </w:rPr>
      </w:r>
      <w:r>
        <w:rPr/>
        <w:t>与之相关的技术咨询、技术服务业务收入免征增值税。</w:t>
      </w:r>
    </w:p>
    <w:p>
      <w:pPr>
        <w:pStyle w:val="BodyText"/>
        <w:spacing w:line="297" w:lineRule="auto" w:before="28"/>
        <w:ind w:left="137" w:right="209" w:firstLine="420"/>
        <w:jc w:val="both"/>
      </w:pPr>
      <w:r>
        <w:rPr>
          <w:rFonts w:ascii="Times New Roman" w:hAnsi="Times New Roman" w:cs="Times New Roman" w:eastAsia="Times New Roman" w:hint="default"/>
        </w:rPr>
        <w:t>3.</w:t>
      </w:r>
      <w:r>
        <w:rPr/>
        <w:t>依据《财政部、国家税务总局、发展改革委、工业和信息化部关于软件和集成电路产业企</w:t>
      </w:r>
      <w:r>
        <w:rPr>
          <w:w w:val="100"/>
        </w:rPr>
        <w:t> </w:t>
      </w:r>
      <w:r>
        <w:rPr/>
        <w:t>业所得税优惠政策有关问题的通知》（财税</w:t>
      </w:r>
      <w:r>
        <w:rPr>
          <w:rFonts w:ascii="Times New Roman" w:hAnsi="Times New Roman" w:cs="Times New Roman" w:eastAsia="Times New Roman" w:hint="default"/>
        </w:rPr>
        <w:t>[2016]49</w:t>
      </w:r>
      <w:r>
        <w:rPr>
          <w:rFonts w:ascii="Times New Roman" w:hAnsi="Times New Roman" w:cs="Times New Roman" w:eastAsia="Times New Roman" w:hint="default"/>
          <w:spacing w:val="22"/>
        </w:rPr>
        <w:t> </w:t>
      </w:r>
      <w:r>
        <w:rPr/>
        <w:t>号）的规定，公司子公司深圳太极云软技术</w:t>
      </w:r>
      <w:r>
        <w:rPr>
          <w:w w:val="100"/>
        </w:rPr>
        <w:t> </w:t>
      </w:r>
      <w:r>
        <w:rPr>
          <w:spacing w:val="-2"/>
        </w:rPr>
        <w:t>股份有限公司属于国家规划布局内重点软件企业，可减按</w:t>
      </w:r>
      <w:r>
        <w:rPr>
          <w:spacing w:val="21"/>
        </w:rPr>
        <w:t> </w:t>
      </w:r>
      <w:r>
        <w:rPr>
          <w:rFonts w:ascii="Times New Roman" w:hAnsi="Times New Roman" w:cs="Times New Roman" w:eastAsia="Times New Roman" w:hint="default"/>
          <w:spacing w:val="-2"/>
        </w:rPr>
        <w:t>10%</w:t>
      </w:r>
      <w:r>
        <w:rPr>
          <w:spacing w:val="-2"/>
        </w:rPr>
        <w:t>的税率征收企业所得税。</w:t>
      </w:r>
    </w:p>
    <w:p>
      <w:pPr>
        <w:pStyle w:val="BodyText"/>
        <w:spacing w:line="297" w:lineRule="auto" w:before="13"/>
        <w:ind w:left="137" w:right="208" w:firstLine="420"/>
        <w:jc w:val="both"/>
      </w:pPr>
      <w:r>
        <w:rPr>
          <w:rFonts w:ascii="Times New Roman" w:hAnsi="Times New Roman" w:cs="Times New Roman" w:eastAsia="Times New Roman" w:hint="default"/>
        </w:rPr>
        <w:t>4.</w:t>
      </w:r>
      <w:r>
        <w:rPr/>
        <w:t>根据《高新技术企业认定管理办法》（国科发火</w:t>
      </w:r>
      <w:r>
        <w:rPr>
          <w:rFonts w:ascii="Times New Roman" w:hAnsi="Times New Roman" w:cs="Times New Roman" w:eastAsia="Times New Roman" w:hint="default"/>
        </w:rPr>
        <w:t>[2008]172</w:t>
      </w:r>
      <w:r>
        <w:rPr>
          <w:rFonts w:ascii="Times New Roman" w:hAnsi="Times New Roman" w:cs="Times New Roman" w:eastAsia="Times New Roman" w:hint="default"/>
          <w:spacing w:val="8"/>
        </w:rPr>
        <w:t> </w:t>
      </w:r>
      <w:r>
        <w:rPr>
          <w:spacing w:val="-3"/>
        </w:rPr>
        <w:t>号）、《高新技术企业认定管理</w:t>
      </w:r>
      <w:r>
        <w:rPr>
          <w:w w:val="100"/>
        </w:rPr>
        <w:t> </w:t>
      </w:r>
      <w:r>
        <w:rPr>
          <w:spacing w:val="-3"/>
        </w:rPr>
        <w:t>工作指引》（国科发火</w:t>
      </w:r>
      <w:r>
        <w:rPr>
          <w:rFonts w:ascii="Times New Roman" w:hAnsi="Times New Roman" w:cs="Times New Roman" w:eastAsia="Times New Roman" w:hint="default"/>
          <w:spacing w:val="-3"/>
        </w:rPr>
        <w:t>[2008]362 </w:t>
      </w:r>
      <w:r>
        <w:rPr>
          <w:spacing w:val="-3"/>
        </w:rPr>
        <w:t>号），公司原高新技术企业证书有效期满后重新被认定为高新技</w:t>
      </w:r>
      <w:r>
        <w:rPr>
          <w:spacing w:val="-96"/>
        </w:rPr>
        <w:t> </w:t>
      </w:r>
      <w:r>
        <w:rPr>
          <w:spacing w:val="-96"/>
        </w:rPr>
      </w:r>
      <w:r>
        <w:rPr/>
        <w:t>术企业并取得《高新技术企业证书》，证书编号：</w:t>
      </w:r>
      <w:r>
        <w:rPr>
          <w:rFonts w:ascii="Times New Roman" w:hAnsi="Times New Roman" w:cs="Times New Roman" w:eastAsia="Times New Roman" w:hint="default"/>
        </w:rPr>
        <w:t>GR201735000086</w:t>
      </w:r>
      <w:r>
        <w:rPr/>
        <w:t>，有效期三年，</w:t>
      </w:r>
      <w:r>
        <w:rPr>
          <w:rFonts w:ascii="Times New Roman" w:hAnsi="Times New Roman" w:cs="Times New Roman" w:eastAsia="Times New Roman" w:hint="default"/>
        </w:rPr>
        <w:t>2018</w:t>
      </w:r>
      <w:r>
        <w:rPr>
          <w:rFonts w:ascii="Times New Roman" w:hAnsi="Times New Roman" w:cs="Times New Roman" w:eastAsia="Times New Roman" w:hint="default"/>
          <w:spacing w:val="31"/>
        </w:rPr>
        <w:t> </w:t>
      </w:r>
      <w:r>
        <w:rPr/>
        <w:t>年月企</w:t>
      </w:r>
      <w:r>
        <w:rPr>
          <w:spacing w:val="-102"/>
        </w:rPr>
        <w:t> </w:t>
      </w:r>
      <w:r>
        <w:rPr>
          <w:spacing w:val="-102"/>
        </w:rPr>
      </w:r>
      <w:r>
        <w:rPr/>
        <w:t>业所得税暂按</w:t>
      </w:r>
      <w:r>
        <w:rPr>
          <w:spacing w:val="-55"/>
        </w:rPr>
        <w:t> </w:t>
      </w:r>
      <w:r>
        <w:rPr>
          <w:rFonts w:ascii="Times New Roman" w:hAnsi="Times New Roman" w:cs="Times New Roman" w:eastAsia="Times New Roman" w:hint="default"/>
        </w:rPr>
        <w:t>15%</w:t>
      </w:r>
      <w:r>
        <w:rPr/>
        <w:t>的所得税税率预缴。</w:t>
      </w:r>
    </w:p>
    <w:p>
      <w:pPr>
        <w:pStyle w:val="BodyText"/>
        <w:spacing w:line="297" w:lineRule="auto" w:before="13"/>
        <w:ind w:left="137" w:right="208" w:firstLine="420"/>
        <w:jc w:val="both"/>
      </w:pPr>
      <w:r>
        <w:rPr>
          <w:rFonts w:ascii="Times New Roman" w:hAnsi="Times New Roman" w:cs="Times New Roman" w:eastAsia="Times New Roman" w:hint="default"/>
        </w:rPr>
        <w:t>5.</w:t>
      </w:r>
      <w:r>
        <w:rPr/>
        <w:t>公司之子公司福建南威软件有限公司于 </w:t>
      </w:r>
      <w:r>
        <w:rPr>
          <w:rFonts w:ascii="Times New Roman" w:hAnsi="Times New Roman" w:cs="Times New Roman" w:eastAsia="Times New Roman" w:hint="default"/>
        </w:rPr>
        <w:t>2016</w:t>
      </w:r>
      <w:r>
        <w:rPr>
          <w:rFonts w:ascii="Times New Roman" w:hAnsi="Times New Roman" w:cs="Times New Roman" w:eastAsia="Times New Roman" w:hint="default"/>
          <w:spacing w:val="-30"/>
        </w:rPr>
        <w:t> </w:t>
      </w:r>
      <w:r>
        <w:rPr>
          <w:spacing w:val="-4"/>
        </w:rPr>
        <w:t>年被认定为高新技术企业，取得《高新技术企</w:t>
      </w:r>
      <w:r>
        <w:rPr>
          <w:w w:val="100"/>
        </w:rPr>
        <w:t> </w:t>
      </w:r>
      <w:r>
        <w:rPr/>
        <w:t>业证书》，证书编号：</w:t>
      </w:r>
      <w:r>
        <w:rPr>
          <w:rFonts w:ascii="Times New Roman" w:hAnsi="Times New Roman" w:cs="Times New Roman" w:eastAsia="Times New Roman" w:hint="default"/>
        </w:rPr>
        <w:t>GR201635000402</w:t>
      </w:r>
      <w:r>
        <w:rPr/>
        <w:t>，有效期三年，</w:t>
      </w:r>
      <w:r>
        <w:rPr>
          <w:rFonts w:ascii="Times New Roman" w:hAnsi="Times New Roman" w:cs="Times New Roman" w:eastAsia="Times New Roman" w:hint="default"/>
        </w:rPr>
        <w:t>2018 </w:t>
      </w:r>
      <w:r>
        <w:rPr/>
        <w:t>年企业所得税暂按</w:t>
      </w:r>
      <w:r>
        <w:rPr>
          <w:spacing w:val="-42"/>
        </w:rPr>
        <w:t> </w:t>
      </w:r>
      <w:r>
        <w:rPr>
          <w:rFonts w:ascii="Times New Roman" w:hAnsi="Times New Roman" w:cs="Times New Roman" w:eastAsia="Times New Roman" w:hint="default"/>
        </w:rPr>
        <w:t>15%</w:t>
      </w:r>
      <w:r>
        <w:rPr/>
        <w:t>的所得税税</w:t>
      </w:r>
      <w:r>
        <w:rPr>
          <w:w w:val="100"/>
        </w:rPr>
        <w:t> </w:t>
      </w:r>
      <w:r>
        <w:rPr/>
        <w:t>率预缴。</w:t>
      </w:r>
    </w:p>
    <w:p>
      <w:pPr>
        <w:pStyle w:val="BodyText"/>
        <w:spacing w:line="297" w:lineRule="auto" w:before="34"/>
        <w:ind w:left="137" w:right="208" w:firstLine="420"/>
        <w:jc w:val="both"/>
      </w:pPr>
      <w:r>
        <w:rPr>
          <w:rFonts w:ascii="Times New Roman" w:hAnsi="Times New Roman" w:cs="Times New Roman" w:eastAsia="Times New Roman" w:hint="default"/>
        </w:rPr>
        <w:t>6.</w:t>
      </w:r>
      <w:r>
        <w:rPr/>
        <w:t>公司之子公司网链科技集团有限公司于 </w:t>
      </w:r>
      <w:r>
        <w:rPr>
          <w:rFonts w:ascii="Times New Roman" w:hAnsi="Times New Roman" w:cs="Times New Roman" w:eastAsia="Times New Roman" w:hint="default"/>
        </w:rPr>
        <w:t>2018</w:t>
      </w:r>
      <w:r>
        <w:rPr>
          <w:rFonts w:ascii="Times New Roman" w:hAnsi="Times New Roman" w:cs="Times New Roman" w:eastAsia="Times New Roman" w:hint="default"/>
          <w:spacing w:val="-30"/>
        </w:rPr>
        <w:t> </w:t>
      </w:r>
      <w:r>
        <w:rPr>
          <w:spacing w:val="-4"/>
        </w:rPr>
        <w:t>年被认定为高新技术企业，取得《高新技术企</w:t>
      </w:r>
      <w:r>
        <w:rPr>
          <w:w w:val="100"/>
        </w:rPr>
        <w:t> </w:t>
      </w:r>
      <w:r>
        <w:rPr/>
        <w:t>业证书》，证书编号：</w:t>
      </w:r>
      <w:r>
        <w:rPr>
          <w:rFonts w:ascii="Times New Roman" w:hAnsi="Times New Roman" w:cs="Times New Roman" w:eastAsia="Times New Roman" w:hint="default"/>
        </w:rPr>
        <w:t>GR201835000084</w:t>
      </w:r>
      <w:r>
        <w:rPr/>
        <w:t>，有效期三年，</w:t>
      </w:r>
      <w:r>
        <w:rPr>
          <w:rFonts w:ascii="Times New Roman" w:hAnsi="Times New Roman" w:cs="Times New Roman" w:eastAsia="Times New Roman" w:hint="default"/>
        </w:rPr>
        <w:t>2018 </w:t>
      </w:r>
      <w:r>
        <w:rPr/>
        <w:t>年企业所得税暂按</w:t>
      </w:r>
      <w:r>
        <w:rPr>
          <w:spacing w:val="-42"/>
        </w:rPr>
        <w:t> </w:t>
      </w:r>
      <w:r>
        <w:rPr>
          <w:rFonts w:ascii="Times New Roman" w:hAnsi="Times New Roman" w:cs="Times New Roman" w:eastAsia="Times New Roman" w:hint="default"/>
        </w:rPr>
        <w:t>15%</w:t>
      </w:r>
      <w:r>
        <w:rPr/>
        <w:t>的所得税税</w:t>
      </w:r>
      <w:r>
        <w:rPr>
          <w:w w:val="100"/>
        </w:rPr>
        <w:t> </w:t>
      </w:r>
      <w:r>
        <w:rPr/>
        <w:t>率预缴。</w:t>
      </w:r>
    </w:p>
    <w:p>
      <w:pPr>
        <w:pStyle w:val="BodyText"/>
        <w:spacing w:line="240" w:lineRule="auto" w:before="34"/>
        <w:ind w:left="557" w:right="47"/>
        <w:jc w:val="left"/>
      </w:pPr>
      <w:r>
        <w:rPr>
          <w:rFonts w:ascii="Times New Roman" w:hAnsi="Times New Roman" w:cs="Times New Roman" w:eastAsia="Times New Roman" w:hint="default"/>
        </w:rPr>
        <w:t>7.</w:t>
      </w:r>
      <w:r>
        <w:rPr/>
        <w:t>根据财政部税务总局科技部关于提高研究开发费用税前加计扣除比例的通知财税〔</w:t>
      </w:r>
      <w:r>
        <w:rPr>
          <w:rFonts w:ascii="Times New Roman" w:hAnsi="Times New Roman" w:cs="Times New Roman" w:eastAsia="Times New Roman" w:hint="default"/>
        </w:rPr>
        <w:t>2018</w:t>
      </w:r>
      <w:r>
        <w:rPr/>
        <w:t>〕</w:t>
      </w:r>
    </w:p>
    <w:p>
      <w:pPr>
        <w:pStyle w:val="BodyText"/>
        <w:spacing w:line="240" w:lineRule="auto" w:before="69"/>
        <w:ind w:left="137" w:right="47"/>
        <w:jc w:val="left"/>
      </w:pPr>
      <w:r>
        <w:rPr>
          <w:rFonts w:ascii="Times New Roman" w:hAnsi="Times New Roman" w:cs="Times New Roman" w:eastAsia="Times New Roman" w:hint="default"/>
        </w:rPr>
        <w:t>99 </w:t>
      </w:r>
      <w:r>
        <w:rPr>
          <w:rFonts w:ascii="Times New Roman" w:hAnsi="Times New Roman" w:cs="Times New Roman" w:eastAsia="Times New Roman" w:hint="default"/>
          <w:spacing w:val="22"/>
        </w:rPr>
        <w:t> </w:t>
      </w:r>
      <w:r>
        <w:rPr>
          <w:spacing w:val="-3"/>
        </w:rPr>
        <w:t>号，企业开展研发活动中实际发生的研发费用，未形成无形资产计入当期损益的，在按规定据</w:t>
      </w:r>
    </w:p>
    <w:p>
      <w:pPr>
        <w:pStyle w:val="BodyText"/>
        <w:spacing w:line="297" w:lineRule="auto" w:before="69"/>
        <w:ind w:left="137" w:right="47"/>
        <w:jc w:val="left"/>
      </w:pPr>
      <w:r>
        <w:rPr/>
        <w:t>实扣除的基础上，在</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日期间，再按照实际发生额的</w:t>
      </w:r>
      <w:r>
        <w:rPr>
          <w:spacing w:val="-53"/>
        </w:rPr>
        <w:t> </w:t>
      </w:r>
      <w:r>
        <w:rPr>
          <w:rFonts w:ascii="Times New Roman" w:hAnsi="Times New Roman" w:cs="Times New Roman" w:eastAsia="Times New Roman" w:hint="default"/>
        </w:rPr>
        <w:t>75%</w:t>
      </w:r>
      <w:r>
        <w:rPr/>
        <w:t>在税</w:t>
      </w:r>
      <w:r>
        <w:rPr>
          <w:spacing w:val="-3"/>
          <w:w w:val="100"/>
        </w:rPr>
        <w:t> </w:t>
      </w:r>
      <w:r>
        <w:rPr>
          <w:spacing w:val="-2"/>
        </w:rPr>
        <w:t>前加计扣除；形成无形资产的，在上述期间按照无形资产成本的</w:t>
      </w:r>
      <w:r>
        <w:rPr>
          <w:spacing w:val="10"/>
        </w:rPr>
        <w:t> </w:t>
      </w:r>
      <w:r>
        <w:rPr>
          <w:rFonts w:ascii="Times New Roman" w:hAnsi="Times New Roman" w:cs="Times New Roman" w:eastAsia="Times New Roman" w:hint="default"/>
          <w:spacing w:val="-1"/>
        </w:rPr>
        <w:t>175%</w:t>
      </w:r>
      <w:r>
        <w:rPr>
          <w:spacing w:val="-1"/>
        </w:rPr>
        <w:t>在税前摊销。</w:t>
      </w:r>
    </w:p>
    <w:p>
      <w:pPr>
        <w:pStyle w:val="Heading4"/>
        <w:tabs>
          <w:tab w:pos="562" w:val="left" w:leader="none"/>
        </w:tabs>
        <w:spacing w:line="287" w:lineRule="exact" w:before="0"/>
        <w:ind w:left="137" w:right="2631"/>
        <w:jc w:val="left"/>
        <w:rPr>
          <w:b w:val="0"/>
          <w:bCs w:val="0"/>
        </w:rPr>
      </w:pPr>
      <w:r>
        <w:rPr>
          <w:rFonts w:ascii="Times New Roman" w:hAnsi="Times New Roman" w:cs="Times New Roman" w:eastAsia="Times New Roman" w:hint="default"/>
        </w:rPr>
        <w:t>3.</w:t>
        <w:tab/>
      </w:r>
      <w:r>
        <w:rPr/>
        <w:t>其他</w:t>
      </w:r>
      <w:r>
        <w:rPr>
          <w:b w:val="0"/>
          <w:bCs w:val="0"/>
        </w:rPr>
      </w:r>
    </w:p>
    <w:p>
      <w:pPr>
        <w:tabs>
          <w:tab w:pos="1562" w:val="left" w:leader="none"/>
        </w:tabs>
        <w:spacing w:line="290" w:lineRule="auto" w:before="40"/>
        <w:ind w:left="137" w:right="6512" w:firstLine="48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七、合并财务报表项目注释</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tabs>
          <w:tab w:pos="1459" w:val="left" w:leader="none"/>
        </w:tabs>
        <w:spacing w:line="269" w:lineRule="exact"/>
        <w:ind w:left="617" w:right="2631"/>
        <w:jc w:val="left"/>
      </w:pPr>
      <w:r>
        <w:rPr/>
        <w:t>√适用</w:t>
        <w:tab/>
        <w:t>□不适用</w:t>
      </w:r>
    </w:p>
    <w:p>
      <w:pPr>
        <w:pStyle w:val="BodyText"/>
        <w:tabs>
          <w:tab w:pos="1051" w:val="left" w:leader="none"/>
        </w:tabs>
        <w:spacing w:line="271" w:lineRule="exact"/>
        <w:ind w:left="0" w:right="211"/>
        <w:jc w:val="right"/>
      </w:pPr>
      <w:r>
        <w:rPr>
          <w:spacing w:val="-1"/>
        </w:rPr>
        <w:t>单位：元</w:t>
        <w:tab/>
        <w:t>币种：人民币</w:t>
      </w:r>
    </w:p>
    <w:p>
      <w:pPr>
        <w:spacing w:after="0" w:line="271" w:lineRule="exact"/>
        <w:jc w:val="right"/>
        <w:sectPr>
          <w:pgSz w:w="11910" w:h="16840"/>
          <w:pgMar w:header="857" w:footer="979" w:top="1120" w:bottom="1160" w:left="1140" w:right="1580"/>
        </w:sectPr>
      </w:pPr>
    </w:p>
    <w:p>
      <w:pPr>
        <w:spacing w:line="240" w:lineRule="auto" w:before="11"/>
        <w:rPr>
          <w:rFonts w:ascii="宋体" w:hAnsi="宋体" w:cs="宋体" w:eastAsia="宋体"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2216"/>
        <w:gridCol w:w="3294"/>
        <w:gridCol w:w="3315"/>
      </w:tblGrid>
      <w:tr>
        <w:trPr>
          <w:trHeight w:val="370"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24,675.74</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4,379.40</w:t>
            </w:r>
          </w:p>
        </w:tc>
      </w:tr>
      <w:tr>
        <w:trPr>
          <w:trHeight w:val="372"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21"/>
                <w:szCs w:val="21"/>
              </w:rPr>
            </w:pPr>
            <w:r>
              <w:rPr>
                <w:rFonts w:ascii="Times New Roman"/>
                <w:spacing w:val="-1"/>
                <w:sz w:val="21"/>
              </w:rPr>
              <w:t>523,646,838.46</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21"/>
                <w:szCs w:val="21"/>
              </w:rPr>
            </w:pPr>
            <w:r>
              <w:rPr>
                <w:rFonts w:ascii="Times New Roman"/>
                <w:spacing w:val="-1"/>
                <w:sz w:val="21"/>
              </w:rPr>
              <w:t>161,883,232.97</w:t>
            </w:r>
          </w:p>
        </w:tc>
      </w:tr>
      <w:tr>
        <w:trPr>
          <w:trHeight w:val="370"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76,184,693.60</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126,480,829.83</w:t>
            </w:r>
          </w:p>
        </w:tc>
      </w:tr>
      <w:tr>
        <w:trPr>
          <w:trHeight w:val="370"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599,856,207.80</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288,368,442.20</w:t>
            </w:r>
          </w:p>
        </w:tc>
      </w:tr>
      <w:tr>
        <w:trPr>
          <w:trHeight w:val="730"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8" w:right="105"/>
              <w:jc w:val="left"/>
              <w:rPr>
                <w:rFonts w:ascii="宋体" w:hAnsi="宋体" w:cs="宋体" w:eastAsia="宋体" w:hint="default"/>
                <w:sz w:val="21"/>
                <w:szCs w:val="21"/>
              </w:rPr>
            </w:pPr>
            <w:r>
              <w:rPr>
                <w:rFonts w:ascii="宋体" w:hAnsi="宋体" w:cs="宋体" w:eastAsia="宋体" w:hint="default"/>
                <w:spacing w:val="8"/>
                <w:sz w:val="21"/>
                <w:szCs w:val="21"/>
              </w:rPr>
              <w:t>其中：存放在境外的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款项总额</w:t>
            </w:r>
          </w:p>
        </w:tc>
        <w:tc>
          <w:tcPr>
            <w:tcW w:w="3294" w:type="dxa"/>
            <w:tcBorders>
              <w:top w:val="single" w:sz="4" w:space="0" w:color="000000"/>
              <w:left w:val="single" w:sz="4" w:space="0" w:color="000000"/>
              <w:bottom w:val="single" w:sz="4" w:space="0" w:color="000000"/>
              <w:right w:val="single" w:sz="4" w:space="0" w:color="000000"/>
            </w:tcBorders>
          </w:tcPr>
          <w:p>
            <w:pPr/>
          </w:p>
        </w:tc>
        <w:tc>
          <w:tcPr>
            <w:tcW w:w="33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2"/>
        <w:ind w:left="237" w:right="0"/>
        <w:jc w:val="left"/>
      </w:pPr>
      <w:r>
        <w:rPr/>
        <w:t>其他说明</w:t>
      </w:r>
    </w:p>
    <w:p>
      <w:pPr>
        <w:pStyle w:val="BodyText"/>
        <w:spacing w:line="240" w:lineRule="auto" w:before="85"/>
        <w:ind w:left="717" w:right="0"/>
        <w:jc w:val="left"/>
        <w:rPr>
          <w:rFonts w:ascii="Times New Roman" w:hAnsi="Times New Roman" w:cs="Times New Roman" w:eastAsia="Times New Roman" w:hint="default"/>
        </w:rPr>
      </w:pPr>
      <w:r>
        <w:rPr/>
        <w:t>其他货币资金期末余额为人民币</w:t>
      </w:r>
      <w:r>
        <w:rPr>
          <w:spacing w:val="-42"/>
        </w:rPr>
        <w:t> </w:t>
      </w:r>
      <w:r>
        <w:rPr>
          <w:rFonts w:ascii="Times New Roman" w:hAnsi="Times New Roman" w:cs="Times New Roman" w:eastAsia="Times New Roman" w:hint="default"/>
        </w:rPr>
        <w:t>76,184,693.60</w:t>
      </w:r>
      <w:r>
        <w:rPr>
          <w:rFonts w:ascii="Times New Roman" w:hAnsi="Times New Roman" w:cs="Times New Roman" w:eastAsia="Times New Roman" w:hint="default"/>
          <w:spacing w:val="11"/>
        </w:rPr>
        <w:t> </w:t>
      </w:r>
      <w:r>
        <w:rPr/>
        <w:t>元，其中：存出投资款为人民币</w:t>
      </w:r>
      <w:r>
        <w:rPr>
          <w:spacing w:val="-41"/>
        </w:rPr>
        <w:t> </w:t>
      </w:r>
      <w:r>
        <w:rPr>
          <w:rFonts w:ascii="Times New Roman" w:hAnsi="Times New Roman" w:cs="Times New Roman" w:eastAsia="Times New Roman" w:hint="default"/>
        </w:rPr>
        <w:t>3,498.16</w:t>
      </w:r>
      <w:r>
        <w:rPr>
          <w:rFonts w:ascii="Times New Roman" w:hAnsi="Times New Roman" w:cs="Times New Roman" w:eastAsia="Times New Roman" w:hint="default"/>
          <w:spacing w:val="11"/>
        </w:rPr>
        <w:t> </w:t>
      </w:r>
      <w:r>
        <w:rPr/>
        <w:t>元</w:t>
      </w:r>
      <w:r>
        <w:rPr>
          <w:rFonts w:ascii="Times New Roman" w:hAnsi="Times New Roman" w:cs="Times New Roman" w:eastAsia="Times New Roman" w:hint="default"/>
        </w:rPr>
        <w:t>;</w:t>
      </w:r>
    </w:p>
    <w:p>
      <w:pPr>
        <w:pStyle w:val="BodyText"/>
        <w:spacing w:line="240" w:lineRule="auto" w:before="70"/>
        <w:ind w:left="237" w:right="0"/>
        <w:jc w:val="left"/>
      </w:pPr>
      <w:r>
        <w:rPr/>
        <w:t>支付宝及微信账户资金</w:t>
      </w:r>
      <w:r>
        <w:rPr>
          <w:spacing w:val="-44"/>
        </w:rPr>
        <w:t> </w:t>
      </w:r>
      <w:r>
        <w:rPr>
          <w:rFonts w:ascii="Times New Roman" w:hAnsi="Times New Roman" w:cs="Times New Roman" w:eastAsia="Times New Roman" w:hint="default"/>
        </w:rPr>
        <w:t>791,339.23</w:t>
      </w:r>
      <w:r>
        <w:rPr>
          <w:rFonts w:ascii="Times New Roman" w:hAnsi="Times New Roman" w:cs="Times New Roman" w:eastAsia="Times New Roman" w:hint="default"/>
          <w:spacing w:val="9"/>
        </w:rPr>
        <w:t> </w:t>
      </w:r>
      <w:r>
        <w:rPr>
          <w:spacing w:val="-4"/>
        </w:rPr>
        <w:t>元；票据保证金为人民</w:t>
      </w:r>
      <w:r>
        <w:rPr>
          <w:spacing w:val="-44"/>
        </w:rPr>
        <w:t> </w:t>
      </w:r>
      <w:r>
        <w:rPr>
          <w:rFonts w:ascii="Times New Roman" w:hAnsi="Times New Roman" w:cs="Times New Roman" w:eastAsia="Times New Roman" w:hint="default"/>
        </w:rPr>
        <w:t>43,255,247.66</w:t>
      </w:r>
      <w:r>
        <w:rPr>
          <w:rFonts w:ascii="Times New Roman" w:hAnsi="Times New Roman" w:cs="Times New Roman" w:eastAsia="Times New Roman" w:hint="default"/>
          <w:spacing w:val="5"/>
        </w:rPr>
        <w:t> </w:t>
      </w:r>
      <w:r>
        <w:rPr>
          <w:spacing w:val="-4"/>
        </w:rPr>
        <w:t>元，保函保证金为人民币</w:t>
      </w:r>
    </w:p>
    <w:p>
      <w:pPr>
        <w:pStyle w:val="BodyText"/>
        <w:spacing w:line="297" w:lineRule="auto" w:before="69"/>
        <w:ind w:left="237" w:right="0"/>
        <w:jc w:val="left"/>
      </w:pPr>
      <w:r>
        <w:rPr>
          <w:rFonts w:ascii="Times New Roman" w:hAnsi="Times New Roman" w:cs="Times New Roman" w:eastAsia="Times New Roman" w:hint="default"/>
          <w:spacing w:val="-1"/>
        </w:rPr>
        <w:t>32,134,608.55</w:t>
      </w:r>
      <w:r>
        <w:rPr>
          <w:rFonts w:ascii="Times New Roman" w:hAnsi="Times New Roman" w:cs="Times New Roman" w:eastAsia="Times New Roman" w:hint="default"/>
        </w:rPr>
        <w:t> </w:t>
      </w:r>
      <w:r>
        <w:rPr>
          <w:spacing w:val="-2"/>
        </w:rPr>
        <w:t>元。货币资金中除票据保证金及保函保证金使用受限外，无其他因抵押、质押或冻</w:t>
      </w:r>
      <w:r>
        <w:rPr>
          <w:spacing w:val="-68"/>
        </w:rPr>
        <w:t> </w:t>
      </w:r>
      <w:r>
        <w:rPr>
          <w:spacing w:val="-68"/>
        </w:rPr>
      </w:r>
      <w:r>
        <w:rPr/>
        <w:t>结等对使用有限制、存放在境外、有潜在回收风险的货币资金。</w:t>
      </w:r>
    </w:p>
    <w:p>
      <w:pPr>
        <w:pStyle w:val="Heading4"/>
        <w:spacing w:line="240" w:lineRule="auto" w:before="94"/>
        <w:ind w:left="237" w:right="0"/>
        <w:jc w:val="left"/>
        <w:rPr>
          <w:b w:val="0"/>
          <w:bCs w:val="0"/>
        </w:rPr>
      </w:pPr>
      <w:r>
        <w:rPr>
          <w:rFonts w:ascii="Times New Roman" w:hAnsi="Times New Roman" w:cs="Times New Roman" w:eastAsia="Times New Roman" w:hint="default"/>
        </w:rPr>
        <w:t>2</w:t>
      </w:r>
      <w:r>
        <w:rPr/>
        <w:t>、</w:t>
      </w:r>
      <w:r>
        <w:rPr>
          <w:spacing w:val="-3"/>
        </w:rPr>
        <w:t> </w:t>
      </w:r>
      <w:r>
        <w:rPr/>
        <w:t>以公允价值计量且其变动计入当期损益的金融资产</w:t>
      </w:r>
      <w:r>
        <w:rPr>
          <w:b w:val="0"/>
          <w:bCs w:val="0"/>
        </w:rPr>
      </w:r>
    </w:p>
    <w:p>
      <w:pPr>
        <w:pStyle w:val="BodyText"/>
        <w:spacing w:line="240" w:lineRule="auto" w:before="52"/>
        <w:ind w:left="237" w:right="0"/>
        <w:jc w:val="left"/>
      </w:pPr>
      <w:r>
        <w:rPr/>
        <w:t>√适用 □不适用</w:t>
      </w:r>
    </w:p>
    <w:p>
      <w:pPr>
        <w:pStyle w:val="BodyText"/>
        <w:tabs>
          <w:tab w:pos="1051" w:val="left" w:leader="none"/>
        </w:tabs>
        <w:spacing w:line="274" w:lineRule="exact"/>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133"/>
        <w:gridCol w:w="2900"/>
        <w:gridCol w:w="3017"/>
      </w:tblGrid>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113,710,759.27</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3"/>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3"/>
              <w:jc w:val="right"/>
              <w:rPr>
                <w:rFonts w:ascii="宋体" w:hAnsi="宋体" w:cs="宋体" w:eastAsia="宋体" w:hint="default"/>
                <w:sz w:val="21"/>
                <w:szCs w:val="21"/>
              </w:rPr>
            </w:pPr>
            <w:r>
              <w:rPr>
                <w:rFonts w:ascii="宋体" w:hAnsi="宋体" w:cs="宋体" w:eastAsia="宋体" w:hint="default"/>
                <w:spacing w:val="-1"/>
                <w:sz w:val="21"/>
                <w:szCs w:val="21"/>
              </w:rPr>
              <w:t>衍生金融资产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113,710,759.27</w:t>
            </w: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3"/>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113,710,759.27</w:t>
            </w:r>
          </w:p>
        </w:tc>
      </w:tr>
    </w:tbl>
    <w:p>
      <w:pPr>
        <w:spacing w:after="0" w:line="235" w:lineRule="exact"/>
        <w:jc w:val="right"/>
        <w:rPr>
          <w:rFonts w:ascii="Times New Roman" w:hAnsi="Times New Roman" w:cs="Times New Roman" w:eastAsia="Times New Roman" w:hint="default"/>
          <w:sz w:val="21"/>
          <w:szCs w:val="21"/>
        </w:rPr>
        <w:sectPr>
          <w:pgSz w:w="11910" w:h="16840"/>
          <w:pgMar w:header="857" w:footer="979" w:top="1120" w:bottom="1160" w:left="1040" w:right="1560"/>
        </w:sectPr>
      </w:pPr>
    </w:p>
    <w:p>
      <w:pPr>
        <w:pStyle w:val="BodyText"/>
        <w:spacing w:line="314" w:lineRule="auto" w:before="42"/>
        <w:ind w:left="657" w:right="1256" w:hanging="420"/>
        <w:jc w:val="left"/>
      </w:pPr>
      <w:r>
        <w:rPr>
          <w:spacing w:val="-1"/>
        </w:rPr>
        <w:t>其他说明：</w:t>
      </w:r>
      <w:r>
        <w:rPr>
          <w:spacing w:val="-98"/>
        </w:rPr>
        <w:t> </w:t>
      </w:r>
      <w:r>
        <w:rPr>
          <w:spacing w:val="-98"/>
        </w:rPr>
      </w:r>
      <w:r>
        <w:rPr/>
        <w:t>无</w:t>
      </w:r>
    </w:p>
    <w:p>
      <w:pPr>
        <w:pStyle w:val="Heading4"/>
        <w:spacing w:line="240" w:lineRule="auto" w:before="80"/>
        <w:ind w:left="237" w:right="-19"/>
        <w:jc w:val="left"/>
        <w:rPr>
          <w:b w:val="0"/>
          <w:bCs w:val="0"/>
        </w:rPr>
      </w:pPr>
      <w:r>
        <w:rPr>
          <w:rFonts w:ascii="Times New Roman" w:hAnsi="Times New Roman" w:cs="Times New Roman" w:eastAsia="Times New Roman" w:hint="default"/>
        </w:rPr>
        <w:t>3</w:t>
      </w:r>
      <w:r>
        <w:rPr/>
        <w:t>、 衍生金融资产</w:t>
      </w:r>
      <w:r>
        <w:rPr>
          <w:b w:val="0"/>
          <w:bCs w:val="0"/>
        </w:rPr>
      </w:r>
    </w:p>
    <w:p>
      <w:pPr>
        <w:spacing w:line="357" w:lineRule="auto" w:before="130"/>
        <w:ind w:left="237" w:right="-19" w:firstLine="48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应收票据及应收账款</w:t>
      </w:r>
      <w:r>
        <w:rPr>
          <w:rFonts w:ascii="宋体" w:hAnsi="宋体" w:cs="宋体" w:eastAsia="宋体" w:hint="default"/>
          <w:b/>
          <w:bCs/>
          <w:w w:val="100"/>
          <w:sz w:val="21"/>
          <w:szCs w:val="21"/>
        </w:rPr>
        <w:t> </w:t>
      </w:r>
      <w:r>
        <w:rPr>
          <w:rFonts w:ascii="宋体" w:hAnsi="宋体" w:cs="宋体" w:eastAsia="宋体" w:hint="default"/>
          <w:b/>
          <w:bCs/>
          <w:sz w:val="21"/>
          <w:szCs w:val="21"/>
        </w:rPr>
        <w:t>总表情况</w:t>
      </w:r>
      <w:r>
        <w:rPr>
          <w:rFonts w:ascii="宋体" w:hAnsi="宋体" w:cs="宋体" w:eastAsia="宋体" w:hint="default"/>
          <w:sz w:val="21"/>
          <w:szCs w:val="21"/>
        </w:rPr>
      </w:r>
    </w:p>
    <w:p>
      <w:pPr>
        <w:pStyle w:val="Heading4"/>
        <w:spacing w:line="240" w:lineRule="auto" w:before="42"/>
        <w:ind w:left="237" w:right="-19"/>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分类列示</w:t>
      </w:r>
      <w:r>
        <w:rPr>
          <w:b w:val="0"/>
          <w:bCs w:val="0"/>
        </w:rPr>
      </w:r>
    </w:p>
    <w:p>
      <w:pPr>
        <w:pStyle w:val="BodyText"/>
        <w:spacing w:line="240" w:lineRule="auto" w:before="129"/>
        <w:ind w:left="7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88" w:val="left" w:leader="none"/>
        </w:tabs>
        <w:spacing w:line="240" w:lineRule="auto" w:before="142"/>
        <w:ind w:left="237" w:right="0"/>
        <w:jc w:val="left"/>
      </w:pPr>
      <w:r>
        <w:rPr>
          <w:spacing w:val="-1"/>
        </w:rPr>
        <w:t>单位：元</w:t>
        <w:tab/>
        <w:t>币种：人民币</w:t>
      </w:r>
    </w:p>
    <w:p>
      <w:pPr>
        <w:spacing w:after="0" w:line="240" w:lineRule="auto"/>
        <w:jc w:val="left"/>
        <w:sectPr>
          <w:type w:val="continuous"/>
          <w:pgSz w:w="11910" w:h="16840"/>
          <w:pgMar w:top="1580" w:bottom="280" w:left="1040" w:right="1560"/>
          <w:cols w:num="2" w:equalWidth="0">
            <w:col w:w="2559" w:space="3860"/>
            <w:col w:w="2891"/>
          </w:cols>
        </w:sectPr>
      </w:pPr>
    </w:p>
    <w:p>
      <w:pPr>
        <w:spacing w:line="240" w:lineRule="auto" w:before="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114"/>
        <w:gridCol w:w="2864"/>
        <w:gridCol w:w="2847"/>
      </w:tblGrid>
      <w:tr>
        <w:trPr>
          <w:trHeight w:val="370"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47"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427" w:right="0"/>
              <w:jc w:val="left"/>
              <w:rPr>
                <w:rFonts w:ascii="Times New Roman" w:hAnsi="Times New Roman" w:cs="Times New Roman" w:eastAsia="Times New Roman" w:hint="default"/>
                <w:sz w:val="21"/>
                <w:szCs w:val="21"/>
              </w:rPr>
            </w:pPr>
            <w:r>
              <w:rPr>
                <w:rFonts w:ascii="Times New Roman"/>
                <w:sz w:val="21"/>
              </w:rPr>
              <w:t>248,911,241.15</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8" w:right="0"/>
              <w:jc w:val="left"/>
              <w:rPr>
                <w:rFonts w:ascii="Times New Roman" w:hAnsi="Times New Roman" w:cs="Times New Roman" w:eastAsia="Times New Roman" w:hint="default"/>
                <w:sz w:val="21"/>
                <w:szCs w:val="21"/>
              </w:rPr>
            </w:pPr>
            <w:r>
              <w:rPr>
                <w:rFonts w:ascii="Times New Roman"/>
                <w:sz w:val="21"/>
              </w:rPr>
              <w:t>278,665,932.12</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580" w:bottom="280" w:left="1040" w:right="1560"/>
        </w:sectPr>
      </w:pPr>
    </w:p>
    <w:p>
      <w:pPr>
        <w:spacing w:line="240" w:lineRule="auto" w:before="11"/>
        <w:rPr>
          <w:rFonts w:ascii="宋体" w:hAnsi="宋体" w:cs="宋体" w:eastAsia="宋体"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3114"/>
        <w:gridCol w:w="2864"/>
        <w:gridCol w:w="2847"/>
      </w:tblGrid>
      <w:tr>
        <w:trPr>
          <w:trHeight w:val="370"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427" w:right="0"/>
              <w:jc w:val="left"/>
              <w:rPr>
                <w:rFonts w:ascii="Times New Roman" w:hAnsi="Times New Roman" w:cs="Times New Roman" w:eastAsia="Times New Roman" w:hint="default"/>
                <w:sz w:val="21"/>
                <w:szCs w:val="21"/>
              </w:rPr>
            </w:pPr>
            <w:r>
              <w:rPr>
                <w:rFonts w:ascii="Times New Roman"/>
                <w:sz w:val="21"/>
              </w:rPr>
              <w:t>248,911,241.15</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8" w:right="0"/>
              <w:jc w:val="left"/>
              <w:rPr>
                <w:rFonts w:ascii="Times New Roman" w:hAnsi="Times New Roman" w:cs="Times New Roman" w:eastAsia="Times New Roman" w:hint="default"/>
                <w:sz w:val="21"/>
                <w:szCs w:val="21"/>
              </w:rPr>
            </w:pPr>
            <w:r>
              <w:rPr>
                <w:rFonts w:ascii="Times New Roman"/>
                <w:sz w:val="21"/>
              </w:rPr>
              <w:t>278,665,932.12</w:t>
            </w:r>
          </w:p>
        </w:tc>
      </w:tr>
    </w:tbl>
    <w:p>
      <w:pPr>
        <w:spacing w:line="240" w:lineRule="auto" w:before="0"/>
        <w:rPr>
          <w:rFonts w:ascii="宋体" w:hAnsi="宋体" w:cs="宋体" w:eastAsia="宋体" w:hint="default"/>
          <w:sz w:val="28"/>
          <w:szCs w:val="28"/>
        </w:rPr>
      </w:pPr>
    </w:p>
    <w:p>
      <w:pPr>
        <w:pStyle w:val="BodyText"/>
        <w:spacing w:line="240" w:lineRule="auto" w:before="36"/>
        <w:ind w:left="237" w:right="0"/>
        <w:jc w:val="left"/>
      </w:pPr>
      <w:r>
        <w:rPr/>
        <w:t>其他说明：</w:t>
      </w:r>
    </w:p>
    <w:p>
      <w:pPr>
        <w:spacing w:line="367" w:lineRule="auto" w:before="85"/>
        <w:ind w:left="237" w:right="6894" w:firstLine="48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应收票据</w:t>
      </w:r>
      <w:r>
        <w:rPr>
          <w:rFonts w:ascii="宋体" w:hAnsi="宋体" w:cs="宋体" w:eastAsia="宋体" w:hint="default"/>
          <w:sz w:val="21"/>
          <w:szCs w:val="21"/>
        </w:rPr>
      </w:r>
    </w:p>
    <w:p>
      <w:pPr>
        <w:pStyle w:val="Heading4"/>
        <w:spacing w:line="240" w:lineRule="auto" w:before="34"/>
        <w:ind w:left="237"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应收票据分类列示</w:t>
      </w:r>
      <w:r>
        <w:rPr>
          <w:b w:val="0"/>
          <w:bCs w:val="0"/>
        </w:rPr>
      </w:r>
    </w:p>
    <w:p>
      <w:pPr>
        <w:pStyle w:val="BodyText"/>
        <w:spacing w:line="240" w:lineRule="auto" w:before="129"/>
        <w:ind w:left="717" w:right="0"/>
        <w:jc w:val="left"/>
      </w:pPr>
      <w:r>
        <w:rPr/>
        <w:t>□适用 √不适用</w:t>
      </w:r>
    </w:p>
    <w:p>
      <w:pPr>
        <w:pStyle w:val="Heading4"/>
        <w:spacing w:line="240" w:lineRule="auto" w:before="145"/>
        <w:ind w:left="237"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期末公司已质押的应收票据</w:t>
      </w:r>
      <w:r>
        <w:rPr>
          <w:b w:val="0"/>
          <w:bCs w:val="0"/>
        </w:rPr>
      </w:r>
    </w:p>
    <w:p>
      <w:pPr>
        <w:pStyle w:val="BodyText"/>
        <w:spacing w:line="240" w:lineRule="auto" w:before="130"/>
        <w:ind w:left="717" w:right="0"/>
        <w:jc w:val="left"/>
      </w:pPr>
      <w:r>
        <w:rPr/>
        <w:t>□适用 √不适用</w:t>
      </w:r>
    </w:p>
    <w:p>
      <w:pPr>
        <w:pStyle w:val="Heading4"/>
        <w:spacing w:line="240" w:lineRule="auto" w:before="145"/>
        <w:ind w:left="237" w:right="0"/>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期末公司已背书或贴现且在资产负债表日尚未到期的应收票据</w:t>
      </w:r>
      <w:r>
        <w:rPr>
          <w:b w:val="0"/>
          <w:bCs w:val="0"/>
        </w:rPr>
      </w:r>
    </w:p>
    <w:p>
      <w:pPr>
        <w:pStyle w:val="BodyText"/>
        <w:spacing w:line="240" w:lineRule="auto" w:before="129"/>
        <w:ind w:left="717" w:right="0"/>
        <w:jc w:val="left"/>
      </w:pPr>
      <w:r>
        <w:rPr/>
        <w:t>□适用 √不适用</w:t>
      </w:r>
    </w:p>
    <w:p>
      <w:pPr>
        <w:pStyle w:val="Heading4"/>
        <w:spacing w:line="240" w:lineRule="auto" w:before="145"/>
        <w:ind w:left="237" w:right="0"/>
        <w:jc w:val="left"/>
        <w:rPr>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51"/>
        </w:rPr>
        <w:t> </w:t>
      </w:r>
      <w:r>
        <w:rPr/>
        <w:t>期末公司因出票人未履约而将其转应收账款的票据</w:t>
      </w:r>
      <w:r>
        <w:rPr>
          <w:b w:val="0"/>
          <w:bCs w:val="0"/>
        </w:rPr>
      </w:r>
    </w:p>
    <w:p>
      <w:pPr>
        <w:pStyle w:val="BodyText"/>
        <w:spacing w:line="314" w:lineRule="auto" w:before="129"/>
        <w:ind w:left="237" w:right="6894" w:firstLine="480"/>
        <w:jc w:val="left"/>
      </w:pPr>
      <w:r>
        <w:rPr/>
        <w:t>□适用 √不适用</w:t>
      </w:r>
      <w:r>
        <w:rPr>
          <w:w w:val="100"/>
        </w:rPr>
        <w:t> </w:t>
      </w:r>
      <w:r>
        <w:rPr/>
        <w:t>其他说明</w:t>
      </w:r>
    </w:p>
    <w:p>
      <w:pPr>
        <w:pStyle w:val="BodyText"/>
        <w:spacing w:line="240" w:lineRule="auto" w:before="20"/>
        <w:ind w:left="717" w:right="0"/>
        <w:jc w:val="left"/>
      </w:pPr>
      <w:r>
        <w:rPr/>
        <w:t>□适用 √不适用</w:t>
      </w:r>
    </w:p>
    <w:p>
      <w:pPr>
        <w:spacing w:after="0" w:line="240" w:lineRule="auto"/>
        <w:jc w:val="left"/>
        <w:sectPr>
          <w:pgSz w:w="11910" w:h="16840"/>
          <w:pgMar w:header="857" w:footer="979" w:top="1120" w:bottom="1160" w:left="1040" w:right="16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44"/>
          <w:footerReference w:type="default" r:id="rId45"/>
          <w:pgSz w:w="16840" w:h="11910" w:orient="landscape"/>
          <w:pgMar w:header="857" w:footer="980" w:top="1120" w:bottom="1160" w:left="1300" w:right="1220"/>
          <w:pgNumType w:start="141"/>
        </w:sectPr>
      </w:pPr>
    </w:p>
    <w:p>
      <w:pPr>
        <w:pStyle w:val="Heading4"/>
        <w:spacing w:line="240" w:lineRule="auto"/>
        <w:ind w:left="224" w:right="-18"/>
        <w:jc w:val="left"/>
        <w:rPr>
          <w:b w:val="0"/>
          <w:bCs w:val="0"/>
        </w:rPr>
      </w:pPr>
      <w:r>
        <w:rPr/>
        <w:t>应收账款</w:t>
      </w:r>
      <w:r>
        <w:rPr>
          <w:b w:val="0"/>
          <w:bCs w:val="0"/>
        </w:rPr>
      </w:r>
    </w:p>
    <w:p>
      <w:pPr>
        <w:pStyle w:val="Heading4"/>
        <w:spacing w:line="240" w:lineRule="auto" w:before="58"/>
        <w:ind w:left="224" w:right="-18"/>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6"/>
        </w:rPr>
        <w:t> </w:t>
      </w:r>
      <w:r>
        <w:rPr/>
        <w:t>应收账款分类披露</w:t>
      </w:r>
      <w:r>
        <w:rPr>
          <w:b w:val="0"/>
          <w:bCs w:val="0"/>
        </w:rPr>
      </w:r>
    </w:p>
    <w:p>
      <w:pPr>
        <w:pStyle w:val="BodyText"/>
        <w:spacing w:line="240" w:lineRule="auto" w:before="40"/>
        <w:ind w:left="704"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580" w:bottom="280" w:left="1300" w:right="1220"/>
          <w:cols w:num="2" w:equalWidth="0">
            <w:col w:w="2342" w:space="9118"/>
            <w:col w:w="2860"/>
          </w:cols>
        </w:sectPr>
      </w:pPr>
    </w:p>
    <w:p>
      <w:pPr>
        <w:spacing w:line="240" w:lineRule="auto" w:before="4"/>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1697"/>
        <w:gridCol w:w="1418"/>
        <w:gridCol w:w="790"/>
        <w:gridCol w:w="1418"/>
        <w:gridCol w:w="991"/>
        <w:gridCol w:w="1419"/>
        <w:gridCol w:w="1558"/>
        <w:gridCol w:w="994"/>
        <w:gridCol w:w="1274"/>
        <w:gridCol w:w="852"/>
        <w:gridCol w:w="1560"/>
      </w:tblGrid>
      <w:tr>
        <w:trPr>
          <w:trHeight w:val="370"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0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2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2" w:hRule="exact"/>
        </w:trPr>
        <w:tc>
          <w:tcPr>
            <w:tcW w:w="1697" w:type="dxa"/>
            <w:vMerge/>
            <w:tcBorders>
              <w:left w:val="single" w:sz="4" w:space="0" w:color="000000"/>
              <w:right w:val="single" w:sz="4" w:space="0" w:color="000000"/>
            </w:tcBorders>
          </w:tcPr>
          <w:p>
            <w:pPr/>
          </w:p>
        </w:tc>
        <w:tc>
          <w:tcPr>
            <w:tcW w:w="22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8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14" w:lineRule="auto"/>
              <w:ind w:left="494" w:right="491"/>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14" w:lineRule="auto"/>
              <w:ind w:left="563" w:right="56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730" w:hRule="exact"/>
        </w:trPr>
        <w:tc>
          <w:tcPr>
            <w:tcW w:w="1697"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99" w:right="176" w:hanging="2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299" w:right="65" w:hanging="228"/>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9"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84"/>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24" w:right="98" w:hanging="17"/>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60" w:type="dxa"/>
            <w:vMerge/>
            <w:tcBorders>
              <w:left w:val="single" w:sz="4" w:space="0" w:color="000000"/>
              <w:bottom w:val="single" w:sz="4" w:space="0" w:color="000000"/>
              <w:right w:val="single" w:sz="4" w:space="0" w:color="000000"/>
            </w:tcBorders>
          </w:tcPr>
          <w:p>
            <w:pPr/>
          </w:p>
        </w:tc>
      </w:tr>
      <w:tr>
        <w:trPr>
          <w:trHeight w:val="109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3"/>
              <w:jc w:val="both"/>
              <w:rPr>
                <w:rFonts w:ascii="宋体" w:hAnsi="宋体" w:cs="宋体" w:eastAsia="宋体" w:hint="default"/>
                <w:sz w:val="21"/>
                <w:szCs w:val="21"/>
              </w:rPr>
            </w:pPr>
            <w:r>
              <w:rPr>
                <w:rFonts w:ascii="宋体" w:hAnsi="宋体" w:cs="宋体" w:eastAsia="宋体" w:hint="default"/>
                <w:spacing w:val="21"/>
                <w:sz w:val="21"/>
                <w:szCs w:val="21"/>
              </w:rPr>
              <w:t>单项金额重大并</w:t>
            </w:r>
            <w:r>
              <w:rPr>
                <w:rFonts w:ascii="宋体" w:hAnsi="宋体" w:cs="宋体" w:eastAsia="宋体" w:hint="default"/>
                <w:spacing w:val="-88"/>
                <w:sz w:val="21"/>
                <w:szCs w:val="21"/>
              </w:rPr>
              <w:t> </w:t>
            </w:r>
            <w:r>
              <w:rPr>
                <w:rFonts w:ascii="宋体" w:hAnsi="宋体" w:cs="宋体" w:eastAsia="宋体" w:hint="default"/>
                <w:spacing w:val="21"/>
                <w:sz w:val="21"/>
                <w:szCs w:val="21"/>
              </w:rPr>
              <w:t>单独计提坏账准</w:t>
            </w:r>
            <w:r>
              <w:rPr>
                <w:rFonts w:ascii="宋体" w:hAnsi="宋体" w:cs="宋体" w:eastAsia="宋体" w:hint="default"/>
                <w:spacing w:val="-88"/>
                <w:sz w:val="21"/>
                <w:szCs w:val="21"/>
              </w:rPr>
              <w:t> </w:t>
            </w:r>
            <w:r>
              <w:rPr>
                <w:rFonts w:ascii="宋体" w:hAnsi="宋体" w:cs="宋体" w:eastAsia="宋体" w:hint="default"/>
                <w:sz w:val="21"/>
                <w:szCs w:val="21"/>
              </w:rPr>
              <w:t>备的应收账款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21"/>
              <w:jc w:val="right"/>
              <w:rPr>
                <w:rFonts w:ascii="Times New Roman" w:hAnsi="Times New Roman" w:cs="Times New Roman" w:eastAsia="Times New Roman" w:hint="default"/>
                <w:sz w:val="21"/>
                <w:szCs w:val="21"/>
              </w:rPr>
            </w:pPr>
            <w:r>
              <w:rPr>
                <w:rFonts w:ascii="Times New Roman"/>
                <w:spacing w:val="-1"/>
                <w:sz w:val="21"/>
              </w:rPr>
              <w:t>6,500,000.00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z w:val="21"/>
              </w:rPr>
              <w:t>2.10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6,500,000.00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z w:val="21"/>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23"/>
              <w:jc w:val="right"/>
              <w:rPr>
                <w:rFonts w:ascii="Times New Roman" w:hAnsi="Times New Roman" w:cs="Times New Roman" w:eastAsia="Times New Roman" w:hint="default"/>
                <w:sz w:val="21"/>
                <w:szCs w:val="21"/>
              </w:rPr>
            </w:pPr>
            <w:r>
              <w:rPr>
                <w:rFonts w:ascii="Times New Roman"/>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3"/>
              <w:jc w:val="both"/>
              <w:rPr>
                <w:rFonts w:ascii="宋体" w:hAnsi="宋体" w:cs="宋体" w:eastAsia="宋体" w:hint="default"/>
                <w:sz w:val="21"/>
                <w:szCs w:val="21"/>
              </w:rPr>
            </w:pPr>
            <w:r>
              <w:rPr>
                <w:rFonts w:ascii="宋体" w:hAnsi="宋体" w:cs="宋体" w:eastAsia="宋体" w:hint="default"/>
                <w:spacing w:val="21"/>
                <w:sz w:val="21"/>
                <w:szCs w:val="21"/>
              </w:rPr>
              <w:t>按信用风险特征</w:t>
            </w:r>
            <w:r>
              <w:rPr>
                <w:rFonts w:ascii="宋体" w:hAnsi="宋体" w:cs="宋体" w:eastAsia="宋体" w:hint="default"/>
                <w:spacing w:val="-88"/>
                <w:sz w:val="21"/>
                <w:szCs w:val="21"/>
              </w:rPr>
              <w:t> </w:t>
            </w:r>
            <w:r>
              <w:rPr>
                <w:rFonts w:ascii="宋体" w:hAnsi="宋体" w:cs="宋体" w:eastAsia="宋体" w:hint="default"/>
                <w:spacing w:val="21"/>
                <w:sz w:val="21"/>
                <w:szCs w:val="21"/>
              </w:rPr>
              <w:t>组合计提坏账准</w:t>
            </w:r>
            <w:r>
              <w:rPr>
                <w:rFonts w:ascii="宋体" w:hAnsi="宋体" w:cs="宋体" w:eastAsia="宋体" w:hint="default"/>
                <w:spacing w:val="-88"/>
                <w:sz w:val="21"/>
                <w:szCs w:val="21"/>
              </w:rPr>
              <w:t> </w:t>
            </w:r>
            <w:r>
              <w:rPr>
                <w:rFonts w:ascii="宋体" w:hAnsi="宋体" w:cs="宋体" w:eastAsia="宋体" w:hint="default"/>
                <w:sz w:val="21"/>
                <w:szCs w:val="21"/>
              </w:rPr>
              <w:t>备的应收账款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21"/>
              <w:jc w:val="right"/>
              <w:rPr>
                <w:rFonts w:ascii="Times New Roman" w:hAnsi="Times New Roman" w:cs="Times New Roman" w:eastAsia="Times New Roman" w:hint="default"/>
                <w:sz w:val="21"/>
                <w:szCs w:val="21"/>
              </w:rPr>
            </w:pPr>
            <w:r>
              <w:rPr>
                <w:rFonts w:ascii="Times New Roman"/>
                <w:spacing w:val="-1"/>
                <w:sz w:val="21"/>
              </w:rPr>
              <w:t>302,102,738.14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z w:val="21"/>
              </w:rPr>
              <w:t>97.75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53,191,496.99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z w:val="21"/>
              </w:rPr>
              <w:t>17.61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248,911,241.15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313,559,480.76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99.85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34,893,548.64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11.13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278,665,932.12</w:t>
            </w:r>
          </w:p>
        </w:tc>
      </w:tr>
      <w:tr>
        <w:trPr>
          <w:trHeight w:val="109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3"/>
              <w:jc w:val="both"/>
              <w:rPr>
                <w:rFonts w:ascii="宋体" w:hAnsi="宋体" w:cs="宋体" w:eastAsia="宋体" w:hint="default"/>
                <w:sz w:val="21"/>
                <w:szCs w:val="21"/>
              </w:rPr>
            </w:pPr>
            <w:r>
              <w:rPr>
                <w:rFonts w:ascii="宋体" w:hAnsi="宋体" w:cs="宋体" w:eastAsia="宋体" w:hint="default"/>
                <w:spacing w:val="21"/>
                <w:sz w:val="21"/>
                <w:szCs w:val="21"/>
              </w:rPr>
              <w:t>单项金额不重大</w:t>
            </w:r>
            <w:r>
              <w:rPr>
                <w:rFonts w:ascii="宋体" w:hAnsi="宋体" w:cs="宋体" w:eastAsia="宋体" w:hint="default"/>
                <w:spacing w:val="-88"/>
                <w:sz w:val="21"/>
                <w:szCs w:val="21"/>
              </w:rPr>
              <w:t> </w:t>
            </w:r>
            <w:r>
              <w:rPr>
                <w:rFonts w:ascii="宋体" w:hAnsi="宋体" w:cs="宋体" w:eastAsia="宋体" w:hint="default"/>
                <w:spacing w:val="21"/>
                <w:sz w:val="21"/>
                <w:szCs w:val="21"/>
              </w:rPr>
              <w:t>但单独计提坏账</w:t>
            </w:r>
            <w:r>
              <w:rPr>
                <w:rFonts w:ascii="宋体" w:hAnsi="宋体" w:cs="宋体" w:eastAsia="宋体" w:hint="default"/>
                <w:spacing w:val="-88"/>
                <w:sz w:val="21"/>
                <w:szCs w:val="21"/>
              </w:rPr>
              <w:t> </w:t>
            </w:r>
            <w:r>
              <w:rPr>
                <w:rFonts w:ascii="宋体" w:hAnsi="宋体" w:cs="宋体" w:eastAsia="宋体" w:hint="default"/>
                <w:sz w:val="21"/>
                <w:szCs w:val="21"/>
              </w:rPr>
              <w:t>准备的应收账款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21"/>
              <w:jc w:val="right"/>
              <w:rPr>
                <w:rFonts w:ascii="Times New Roman" w:hAnsi="Times New Roman" w:cs="Times New Roman" w:eastAsia="Times New Roman" w:hint="default"/>
                <w:sz w:val="21"/>
                <w:szCs w:val="21"/>
              </w:rPr>
            </w:pPr>
            <w:r>
              <w:rPr>
                <w:rFonts w:ascii="Times New Roman"/>
                <w:spacing w:val="-1"/>
                <w:sz w:val="21"/>
              </w:rPr>
              <w:t>474,800.00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z w:val="21"/>
              </w:rPr>
              <w:t>0.15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474,800.00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z w:val="21"/>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23"/>
              <w:jc w:val="right"/>
              <w:rPr>
                <w:rFonts w:ascii="Times New Roman" w:hAnsi="Times New Roman" w:cs="Times New Roman" w:eastAsia="Times New Roman" w:hint="default"/>
                <w:sz w:val="21"/>
                <w:szCs w:val="21"/>
              </w:rPr>
            </w:pPr>
            <w:r>
              <w:rPr>
                <w:rFonts w:ascii="Times New Roman"/>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474,800.00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474,800.00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100.00</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309,077,538.14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21"/>
                <w:szCs w:val="21"/>
              </w:rPr>
            </w:pPr>
            <w:r>
              <w:rPr>
                <w:rFonts w:ascii="Times New Roman"/>
                <w:sz w:val="21"/>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60,166,296.99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248,911,241.15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314,034,280.76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21"/>
                <w:szCs w:val="21"/>
              </w:rPr>
            </w:pPr>
            <w:r>
              <w:rPr>
                <w:rFonts w:ascii="Times New Roman"/>
                <w:sz w:val="21"/>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35,368,348.64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z w:val="21"/>
              </w:rPr>
              <w:t>11.26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21"/>
                <w:szCs w:val="21"/>
              </w:rPr>
            </w:pPr>
            <w:r>
              <w:rPr>
                <w:rFonts w:ascii="Times New Roman"/>
                <w:spacing w:val="-1"/>
                <w:sz w:val="21"/>
              </w:rPr>
              <w:t>278,665,932.12</w:t>
            </w:r>
          </w:p>
        </w:tc>
      </w:tr>
    </w:tbl>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6840" w:h="11910" w:orient="landscape"/>
          <w:pgMar w:top="1580" w:bottom="280" w:left="1300" w:right="1220"/>
        </w:sectPr>
      </w:pPr>
    </w:p>
    <w:p>
      <w:pPr>
        <w:pStyle w:val="BodyText"/>
        <w:spacing w:line="274" w:lineRule="exact" w:before="36"/>
        <w:ind w:left="224" w:right="0"/>
        <w:jc w:val="left"/>
      </w:pPr>
      <w:r>
        <w:rPr>
          <w:spacing w:val="-2"/>
        </w:rPr>
        <w:t>期末单项金额重大并单项计提坏账准备的应收账款</w:t>
      </w:r>
    </w:p>
    <w:p>
      <w:pPr>
        <w:pStyle w:val="BodyText"/>
        <w:spacing w:line="274" w:lineRule="exact"/>
        <w:ind w:left="70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580" w:bottom="280" w:left="1300" w:right="1220"/>
          <w:cols w:num="2" w:equalWidth="0">
            <w:col w:w="4850" w:space="6713"/>
            <w:col w:w="275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072"/>
        <w:gridCol w:w="2662"/>
        <w:gridCol w:w="2960"/>
        <w:gridCol w:w="2729"/>
        <w:gridCol w:w="2667"/>
      </w:tblGrid>
      <w:tr>
        <w:trPr>
          <w:trHeight w:val="370" w:hRule="exact"/>
        </w:trPr>
        <w:tc>
          <w:tcPr>
            <w:tcW w:w="3072" w:type="dxa"/>
            <w:vMerge w:val="restart"/>
            <w:tcBorders>
              <w:top w:val="single" w:sz="4" w:space="0" w:color="000000"/>
              <w:left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40" w:lineRule="auto" w:before="85"/>
              <w:ind w:left="2"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110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70" w:hRule="exact"/>
        </w:trPr>
        <w:tc>
          <w:tcPr>
            <w:tcW w:w="3072" w:type="dxa"/>
            <w:vMerge/>
            <w:tcBorders>
              <w:left w:val="single" w:sz="4" w:space="0" w:color="000000"/>
              <w:bottom w:val="single" w:sz="4" w:space="0" w:color="000000"/>
              <w:right w:val="single" w:sz="4" w:space="0" w:color="000000"/>
            </w:tcBorders>
          </w:tcPr>
          <w:p>
            <w:pP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4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计提理由</w:t>
            </w:r>
          </w:p>
        </w:tc>
      </w:tr>
    </w:tbl>
    <w:p>
      <w:pPr>
        <w:spacing w:after="0" w:line="240" w:lineRule="auto"/>
        <w:jc w:val="center"/>
        <w:rPr>
          <w:rFonts w:ascii="宋体" w:hAnsi="宋体" w:cs="宋体" w:eastAsia="宋体" w:hint="default"/>
          <w:sz w:val="21"/>
          <w:szCs w:val="21"/>
        </w:rPr>
        <w:sectPr>
          <w:type w:val="continuous"/>
          <w:pgSz w:w="16840" w:h="11910" w:orient="landscape"/>
          <w:pgMar w:top="1580" w:bottom="280" w:left="1300" w:right="1220"/>
        </w:sectPr>
      </w:pPr>
    </w:p>
    <w:p>
      <w:pPr>
        <w:spacing w:line="240" w:lineRule="auto" w:before="5"/>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072"/>
        <w:gridCol w:w="2662"/>
        <w:gridCol w:w="2960"/>
        <w:gridCol w:w="2729"/>
        <w:gridCol w:w="2667"/>
      </w:tblGrid>
      <w:tr>
        <w:trPr>
          <w:trHeight w:val="730"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应收账款客户一</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6,500,000.00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6,500,000.00</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4"/>
              <w:jc w:val="left"/>
              <w:rPr>
                <w:rFonts w:ascii="宋体" w:hAnsi="宋体" w:cs="宋体" w:eastAsia="宋体" w:hint="default"/>
                <w:sz w:val="21"/>
                <w:szCs w:val="21"/>
              </w:rPr>
            </w:pPr>
            <w:r>
              <w:rPr>
                <w:rFonts w:ascii="宋体" w:hAnsi="宋体" w:cs="宋体" w:eastAsia="宋体" w:hint="default"/>
                <w:spacing w:val="2"/>
                <w:sz w:val="21"/>
                <w:szCs w:val="21"/>
              </w:rPr>
              <w:t>合同中止</w:t>
            </w:r>
            <w:r>
              <w:rPr>
                <w:rFonts w:ascii="宋体" w:hAnsi="宋体" w:cs="宋体" w:eastAsia="宋体" w:hint="default"/>
                <w:spacing w:val="2"/>
                <w:sz w:val="21"/>
                <w:szCs w:val="21"/>
              </w:rPr>
              <w:t>,</w:t>
            </w:r>
            <w:r>
              <w:rPr>
                <w:rFonts w:ascii="宋体" w:hAnsi="宋体" w:cs="宋体" w:eastAsia="宋体" w:hint="default"/>
                <w:spacing w:val="2"/>
                <w:sz w:val="21"/>
                <w:szCs w:val="21"/>
              </w:rPr>
              <w:t>已确认工作量款</w:t>
            </w:r>
            <w:r>
              <w:rPr>
                <w:rFonts w:ascii="宋体" w:hAnsi="宋体" w:cs="宋体" w:eastAsia="宋体" w:hint="default"/>
                <w:spacing w:val="-92"/>
                <w:sz w:val="21"/>
                <w:szCs w:val="21"/>
              </w:rPr>
              <w:t> </w:t>
            </w:r>
            <w:r>
              <w:rPr>
                <w:rFonts w:ascii="宋体" w:hAnsi="宋体" w:cs="宋体" w:eastAsia="宋体" w:hint="default"/>
                <w:sz w:val="21"/>
                <w:szCs w:val="21"/>
              </w:rPr>
              <w:t>项逾期预计无法收回</w:t>
            </w:r>
          </w:p>
        </w:tc>
      </w:tr>
      <w:tr>
        <w:trPr>
          <w:trHeight w:val="370"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6,500,000.00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6,500,000.00</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100.00</w:t>
            </w:r>
          </w:p>
        </w:tc>
        <w:tc>
          <w:tcPr>
            <w:tcW w:w="26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57" w:footer="980" w:top="1120" w:bottom="1160" w:left="1300" w:right="1200"/>
        </w:sectPr>
      </w:pPr>
    </w:p>
    <w:p>
      <w:pPr>
        <w:pStyle w:val="BodyText"/>
        <w:spacing w:line="273" w:lineRule="exact" w:before="36"/>
        <w:ind w:left="704" w:right="0"/>
        <w:jc w:val="left"/>
      </w:pPr>
      <w:r>
        <w:rPr>
          <w:spacing w:val="-2"/>
        </w:rPr>
        <w:t>组合中，按账龄分析法计提坏账准备的应收账款</w:t>
      </w:r>
    </w:p>
    <w:p>
      <w:pPr>
        <w:pStyle w:val="BodyText"/>
        <w:spacing w:line="273" w:lineRule="exact"/>
        <w:ind w:left="70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755" w:val="left" w:leader="none"/>
        </w:tabs>
        <w:spacing w:line="240" w:lineRule="auto"/>
        <w:ind w:left="704" w:right="0"/>
        <w:jc w:val="left"/>
      </w:pPr>
      <w:r>
        <w:rPr>
          <w:spacing w:val="-1"/>
        </w:rPr>
        <w:t>单位：元</w:t>
        <w:tab/>
        <w:t>币种：人民币</w:t>
      </w:r>
    </w:p>
    <w:p>
      <w:pPr>
        <w:spacing w:after="0" w:line="240" w:lineRule="auto"/>
        <w:jc w:val="left"/>
        <w:sectPr>
          <w:type w:val="continuous"/>
          <w:pgSz w:w="16840" w:h="11910" w:orient="landscape"/>
          <w:pgMar w:top="1580" w:bottom="280" w:left="1300" w:right="1200"/>
          <w:cols w:num="2" w:equalWidth="0">
            <w:col w:w="5119" w:space="5963"/>
            <w:col w:w="325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45"/>
        <w:gridCol w:w="3620"/>
        <w:gridCol w:w="3673"/>
        <w:gridCol w:w="3564"/>
      </w:tblGrid>
      <w:tr>
        <w:trPr>
          <w:trHeight w:val="370" w:hRule="exact"/>
        </w:trPr>
        <w:tc>
          <w:tcPr>
            <w:tcW w:w="324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08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72" w:hRule="exact"/>
        </w:trPr>
        <w:tc>
          <w:tcPr>
            <w:tcW w:w="3245" w:type="dxa"/>
            <w:vMerge/>
            <w:tcBorders>
              <w:left w:val="single" w:sz="4" w:space="0" w:color="000000"/>
              <w:bottom w:val="single" w:sz="4" w:space="0" w:color="000000"/>
              <w:right w:val="single" w:sz="4" w:space="0" w:color="000000"/>
            </w:tcBorders>
          </w:tcPr>
          <w:p>
            <w:pP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70"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0857" w:type="dxa"/>
            <w:gridSpan w:val="3"/>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年以内分项</w:t>
            </w:r>
          </w:p>
        </w:tc>
        <w:tc>
          <w:tcPr>
            <w:tcW w:w="10857" w:type="dxa"/>
            <w:gridSpan w:val="3"/>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168,163,272.54</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5,044,898.19</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z w:val="21"/>
              </w:rPr>
              <w:t>3.00</w:t>
            </w:r>
          </w:p>
        </w:tc>
      </w:tr>
      <w:tr>
        <w:trPr>
          <w:trHeight w:val="370"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67,555,774.65</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6,755,577.47</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z w:val="21"/>
              </w:rPr>
              <w:t>10.00</w:t>
            </w:r>
          </w:p>
        </w:tc>
      </w:tr>
      <w:tr>
        <w:trPr>
          <w:trHeight w:val="370"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16,726,982.85</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3,345,396.57</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z w:val="21"/>
              </w:rPr>
              <w:t>20.00</w:t>
            </w:r>
          </w:p>
        </w:tc>
      </w:tr>
      <w:tr>
        <w:trPr>
          <w:trHeight w:val="372"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13,697,570.22</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21"/>
                <w:szCs w:val="21"/>
              </w:rPr>
            </w:pPr>
            <w:r>
              <w:rPr>
                <w:rFonts w:ascii="Times New Roman"/>
                <w:spacing w:val="-1"/>
                <w:sz w:val="21"/>
              </w:rPr>
              <w:t>6,848,785.11</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z w:val="21"/>
              </w:rPr>
              <w:t>50.00</w:t>
            </w:r>
          </w:p>
        </w:tc>
      </w:tr>
      <w:tr>
        <w:trPr>
          <w:trHeight w:val="370"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23,811,491.14</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19,049,192.91</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z w:val="21"/>
              </w:rPr>
              <w:t>80.00</w:t>
            </w:r>
          </w:p>
        </w:tc>
      </w:tr>
      <w:tr>
        <w:trPr>
          <w:trHeight w:val="370"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12,147,646.74</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12,147,646.74</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z w:val="21"/>
              </w:rPr>
              <w:t>100.00</w:t>
            </w:r>
          </w:p>
        </w:tc>
      </w:tr>
      <w:tr>
        <w:trPr>
          <w:trHeight w:val="370"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302,102,738.14</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53,191,496.99</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z w:val="21"/>
              </w:rPr>
              <w:t>17.61</w:t>
            </w:r>
          </w:p>
        </w:tc>
      </w:tr>
    </w:tbl>
    <w:p>
      <w:pPr>
        <w:pStyle w:val="BodyText"/>
        <w:spacing w:line="240" w:lineRule="auto" w:before="42"/>
        <w:ind w:left="224" w:right="0"/>
        <w:jc w:val="left"/>
      </w:pPr>
      <w:r>
        <w:rPr/>
        <w:t>确定该组合依据的说明：</w:t>
      </w:r>
    </w:p>
    <w:p>
      <w:pPr>
        <w:pStyle w:val="Heading3"/>
        <w:spacing w:line="240" w:lineRule="auto"/>
        <w:ind w:left="224" w:right="0"/>
        <w:jc w:val="left"/>
      </w:pPr>
      <w:r>
        <w:rPr/>
        <w:t>无</w:t>
      </w:r>
    </w:p>
    <w:p>
      <w:pPr>
        <w:pStyle w:val="BodyText"/>
        <w:spacing w:line="240" w:lineRule="auto" w:before="81"/>
        <w:ind w:left="224" w:right="0"/>
        <w:jc w:val="left"/>
      </w:pPr>
      <w:r>
        <w:rPr/>
        <w:t>组合中，采用余额百分比法计提坏账准备的应收账款</w:t>
      </w:r>
    </w:p>
    <w:p>
      <w:pPr>
        <w:pStyle w:val="BodyText"/>
        <w:spacing w:line="314" w:lineRule="auto" w:before="85"/>
        <w:ind w:left="224" w:right="7713" w:firstLine="480"/>
        <w:jc w:val="left"/>
      </w:pPr>
      <w:r>
        <w:rPr/>
        <w:t>□适用</w:t>
      </w:r>
      <w:r>
        <w:rPr>
          <w:spacing w:val="-2"/>
        </w:rPr>
        <w:t> </w:t>
      </w:r>
      <w:r>
        <w:rPr/>
        <w:t>√不适用</w:t>
      </w:r>
      <w:r>
        <w:rPr>
          <w:w w:val="100"/>
        </w:rPr>
        <w:t> </w:t>
      </w:r>
      <w:r>
        <w:rPr>
          <w:spacing w:val="-2"/>
        </w:rPr>
        <w:t>组合中，采用其他方法计提坏账准备的应收账款</w:t>
      </w:r>
    </w:p>
    <w:p>
      <w:pPr>
        <w:pStyle w:val="BodyText"/>
        <w:tabs>
          <w:tab w:pos="1546" w:val="left" w:leader="none"/>
        </w:tabs>
        <w:spacing w:line="240" w:lineRule="auto" w:before="20"/>
        <w:ind w:left="704" w:right="0"/>
        <w:jc w:val="left"/>
      </w:pPr>
      <w:r>
        <w:rPr/>
        <w:t>□适用</w:t>
        <w:tab/>
        <w:t>√不适用</w:t>
      </w:r>
    </w:p>
    <w:p>
      <w:pPr>
        <w:spacing w:after="0" w:line="240" w:lineRule="auto"/>
        <w:jc w:val="left"/>
        <w:sectPr>
          <w:type w:val="continuous"/>
          <w:pgSz w:w="16840" w:h="11910" w:orient="landscape"/>
          <w:pgMar w:top="1580" w:bottom="280" w:left="130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4"/>
        <w:spacing w:line="240" w:lineRule="auto"/>
        <w:ind w:left="237"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4"/>
        </w:rPr>
        <w:t> </w:t>
      </w:r>
      <w:r>
        <w:rPr/>
        <w:t>本期计提、收回或转回的坏账准备情况：</w:t>
      </w:r>
      <w:r>
        <w:rPr>
          <w:b w:val="0"/>
          <w:bCs w:val="0"/>
        </w:rPr>
      </w:r>
    </w:p>
    <w:p>
      <w:pPr>
        <w:pStyle w:val="BodyText"/>
        <w:spacing w:line="240" w:lineRule="auto" w:before="129"/>
        <w:ind w:left="657" w:right="0"/>
        <w:jc w:val="left"/>
      </w:pPr>
      <w:r>
        <w:rPr>
          <w:w w:val="100"/>
        </w:rPr>
        <w:t>本期</w:t>
      </w:r>
      <w:r>
        <w:rPr>
          <w:spacing w:val="-3"/>
          <w:w w:val="100"/>
        </w:rPr>
        <w:t>计</w:t>
      </w:r>
      <w:r>
        <w:rPr>
          <w:w w:val="100"/>
        </w:rPr>
        <w:t>提</w:t>
      </w:r>
      <w:r>
        <w:rPr>
          <w:spacing w:val="-3"/>
          <w:w w:val="100"/>
        </w:rPr>
        <w:t>坏</w:t>
      </w:r>
      <w:r>
        <w:rPr>
          <w:w w:val="100"/>
        </w:rPr>
        <w:t>账</w:t>
      </w:r>
      <w:r>
        <w:rPr>
          <w:spacing w:val="-3"/>
          <w:w w:val="100"/>
        </w:rPr>
        <w:t>准</w:t>
      </w:r>
      <w:r>
        <w:rPr>
          <w:w w:val="100"/>
        </w:rPr>
        <w:t>备</w:t>
      </w:r>
      <w:r>
        <w:rPr>
          <w:spacing w:val="-3"/>
          <w:w w:val="100"/>
        </w:rPr>
        <w:t>金</w:t>
      </w:r>
      <w:r>
        <w:rPr>
          <w:w w:val="100"/>
        </w:rPr>
        <w:t>额</w:t>
      </w:r>
      <w:r>
        <w:rPr>
          <w:spacing w:val="-52"/>
        </w:rPr>
        <w:t> </w:t>
      </w:r>
      <w:r>
        <w:rPr>
          <w:rFonts w:ascii="Times New Roman" w:hAnsi="Times New Roman" w:cs="Times New Roman" w:eastAsia="Times New Roman" w:hint="default"/>
          <w:spacing w:val="-52"/>
          <w:w w:val="100"/>
        </w:rPr>
      </w:r>
      <w:r>
        <w:rPr>
          <w:rFonts w:ascii="Times New Roman" w:hAnsi="Times New Roman" w:cs="Times New Roman" w:eastAsia="Times New Roman" w:hint="default"/>
          <w:w w:val="100"/>
          <w:u w:val="single" w:color="000000"/>
        </w:rPr>
        <w:t>9</w:t>
      </w:r>
      <w:r>
        <w:rPr>
          <w:rFonts w:ascii="Times New Roman" w:hAnsi="Times New Roman" w:cs="Times New Roman" w:eastAsia="Times New Roman" w:hint="default"/>
          <w:spacing w:val="-3"/>
          <w:w w:val="100"/>
          <w:u w:val="single" w:color="000000"/>
        </w:rPr>
        <w:t>,9</w:t>
      </w:r>
      <w:r>
        <w:rPr>
          <w:rFonts w:ascii="Times New Roman" w:hAnsi="Times New Roman" w:cs="Times New Roman" w:eastAsia="Times New Roman" w:hint="default"/>
          <w:w w:val="100"/>
          <w:u w:val="single" w:color="000000"/>
        </w:rPr>
        <w:t>83,474</w:t>
      </w:r>
      <w:r>
        <w:rPr>
          <w:rFonts w:ascii="Times New Roman" w:hAnsi="Times New Roman" w:cs="Times New Roman" w:eastAsia="Times New Roman" w:hint="default"/>
          <w:spacing w:val="-3"/>
          <w:w w:val="100"/>
          <w:u w:val="single" w:color="000000"/>
        </w:rPr>
        <w:t>.</w:t>
      </w:r>
      <w:r>
        <w:rPr>
          <w:rFonts w:ascii="Times New Roman" w:hAnsi="Times New Roman" w:cs="Times New Roman" w:eastAsia="Times New Roman" w:hint="default"/>
          <w:w w:val="100"/>
          <w:u w:val="single" w:color="000000"/>
        </w:rPr>
        <w:t>37</w:t>
      </w:r>
      <w:r>
        <w:rPr>
          <w:rFonts w:ascii="Times New Roman" w:hAnsi="Times New Roman" w:cs="Times New Roman" w:eastAsia="Times New Roman" w:hint="default"/>
          <w:w w:val="100"/>
        </w:rPr>
      </w:r>
      <w:r>
        <w:rPr>
          <w:rFonts w:ascii="Times New Roman" w:hAnsi="Times New Roman" w:cs="Times New Roman" w:eastAsia="Times New Roman" w:hint="default"/>
          <w:spacing w:val="-3"/>
        </w:rPr>
        <w:t> </w:t>
      </w:r>
      <w:r>
        <w:rPr>
          <w:w w:val="100"/>
        </w:rPr>
        <w:t>元</w:t>
      </w:r>
      <w:r>
        <w:rPr>
          <w:spacing w:val="-94"/>
          <w:w w:val="100"/>
        </w:rPr>
        <w:t>；</w:t>
      </w:r>
      <w:r>
        <w:rPr>
          <w:w w:val="100"/>
        </w:rPr>
        <w:t>因</w:t>
      </w:r>
      <w:r>
        <w:rPr>
          <w:spacing w:val="-3"/>
          <w:w w:val="100"/>
        </w:rPr>
        <w:t>合</w:t>
      </w:r>
      <w:r>
        <w:rPr>
          <w:w w:val="100"/>
        </w:rPr>
        <w:t>并</w:t>
      </w:r>
      <w:r>
        <w:rPr>
          <w:spacing w:val="-3"/>
          <w:w w:val="100"/>
        </w:rPr>
        <w:t>增</w:t>
      </w:r>
      <w:r>
        <w:rPr>
          <w:w w:val="100"/>
        </w:rPr>
        <w:t>加</w:t>
      </w:r>
      <w:r>
        <w:rPr>
          <w:spacing w:val="-52"/>
        </w:rPr>
        <w:t> </w:t>
      </w:r>
      <w:r>
        <w:rPr>
          <w:rFonts w:ascii="Times New Roman" w:hAnsi="Times New Roman" w:cs="Times New Roman" w:eastAsia="Times New Roman" w:hint="default"/>
          <w:spacing w:val="-52"/>
          <w:w w:val="100"/>
        </w:rPr>
      </w:r>
      <w:r>
        <w:rPr>
          <w:rFonts w:ascii="Times New Roman" w:hAnsi="Times New Roman" w:cs="Times New Roman" w:eastAsia="Times New Roman" w:hint="default"/>
          <w:spacing w:val="-3"/>
          <w:w w:val="100"/>
          <w:u w:val="single" w:color="000000"/>
        </w:rPr>
        <w:t>1</w:t>
      </w:r>
      <w:r>
        <w:rPr>
          <w:rFonts w:ascii="Times New Roman" w:hAnsi="Times New Roman" w:cs="Times New Roman" w:eastAsia="Times New Roman" w:hint="default"/>
          <w:w w:val="100"/>
          <w:u w:val="single" w:color="000000"/>
        </w:rPr>
        <w:t>5,218,</w:t>
      </w:r>
      <w:r>
        <w:rPr>
          <w:rFonts w:ascii="Times New Roman" w:hAnsi="Times New Roman" w:cs="Times New Roman" w:eastAsia="Times New Roman" w:hint="default"/>
          <w:spacing w:val="-3"/>
          <w:w w:val="100"/>
          <w:u w:val="single" w:color="000000"/>
        </w:rPr>
        <w:t>0</w:t>
      </w:r>
      <w:r>
        <w:rPr>
          <w:rFonts w:ascii="Times New Roman" w:hAnsi="Times New Roman" w:cs="Times New Roman" w:eastAsia="Times New Roman" w:hint="default"/>
          <w:w w:val="100"/>
          <w:u w:val="single" w:color="000000"/>
        </w:rPr>
        <w:t>86.</w:t>
      </w:r>
      <w:r>
        <w:rPr>
          <w:rFonts w:ascii="Times New Roman" w:hAnsi="Times New Roman" w:cs="Times New Roman" w:eastAsia="Times New Roman" w:hint="default"/>
          <w:spacing w:val="-3"/>
          <w:w w:val="100"/>
          <w:u w:val="single" w:color="000000"/>
        </w:rPr>
        <w:t>1</w:t>
      </w:r>
      <w:r>
        <w:rPr>
          <w:rFonts w:ascii="Times New Roman" w:hAnsi="Times New Roman" w:cs="Times New Roman" w:eastAsia="Times New Roman" w:hint="default"/>
          <w:w w:val="100"/>
          <w:u w:val="single" w:color="000000"/>
        </w:rPr>
        <w:t>2</w:t>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rPr>
      </w:r>
      <w:r>
        <w:rPr>
          <w:w w:val="100"/>
        </w:rPr>
        <w:t>元</w:t>
      </w:r>
      <w:r>
        <w:rPr>
          <w:rFonts w:ascii="宋体" w:hAnsi="宋体" w:cs="宋体" w:eastAsia="宋体" w:hint="default"/>
          <w:spacing w:val="-3"/>
          <w:w w:val="100"/>
        </w:rPr>
        <w:t>,</w:t>
      </w:r>
      <w:r>
        <w:rPr>
          <w:w w:val="100"/>
        </w:rPr>
        <w:t>本</w:t>
      </w:r>
      <w:r>
        <w:rPr>
          <w:spacing w:val="-3"/>
          <w:w w:val="100"/>
        </w:rPr>
        <w:t>期</w:t>
      </w:r>
      <w:r>
        <w:rPr>
          <w:w w:val="100"/>
        </w:rPr>
        <w:t>收</w:t>
      </w:r>
      <w:r>
        <w:rPr>
          <w:spacing w:val="-3"/>
          <w:w w:val="100"/>
        </w:rPr>
        <w:t>回</w:t>
      </w:r>
      <w:r>
        <w:rPr>
          <w:w w:val="100"/>
        </w:rPr>
        <w:t>或转</w:t>
      </w:r>
      <w:r>
        <w:rPr>
          <w:spacing w:val="-3"/>
          <w:w w:val="100"/>
        </w:rPr>
        <w:t>回</w:t>
      </w:r>
      <w:r>
        <w:rPr>
          <w:w w:val="100"/>
        </w:rPr>
        <w:t>坏</w:t>
      </w:r>
      <w:r>
        <w:rPr>
          <w:spacing w:val="-3"/>
          <w:w w:val="100"/>
        </w:rPr>
        <w:t>账</w:t>
      </w:r>
      <w:r>
        <w:rPr>
          <w:w w:val="100"/>
        </w:rPr>
        <w:t>准</w:t>
      </w:r>
    </w:p>
    <w:p>
      <w:pPr>
        <w:pStyle w:val="BodyText"/>
        <w:spacing w:line="297" w:lineRule="auto" w:before="69"/>
        <w:ind w:left="719" w:right="3044" w:hanging="483"/>
        <w:jc w:val="left"/>
      </w:pPr>
      <w:r>
        <w:rPr/>
        <w:t>备金额</w:t>
      </w:r>
      <w:r>
        <w:rPr>
          <w:spacing w:val="-53"/>
        </w:rPr>
        <w:t> </w:t>
      </w:r>
      <w:r>
        <w:rPr>
          <w:rFonts w:ascii="Times New Roman" w:hAnsi="Times New Roman" w:cs="Times New Roman" w:eastAsia="Times New Roman" w:hint="default"/>
          <w:spacing w:val="-53"/>
        </w:rPr>
      </w:r>
      <w:r>
        <w:rPr>
          <w:rFonts w:ascii="Times New Roman" w:hAnsi="Times New Roman" w:cs="Times New Roman" w:eastAsia="Times New Roman" w:hint="default"/>
          <w:u w:val="single" w:color="000000"/>
        </w:rPr>
        <w:t>357,048.20 </w:t>
      </w:r>
      <w:r>
        <w:rPr>
          <w:rFonts w:ascii="Times New Roman" w:hAnsi="Times New Roman" w:cs="Times New Roman" w:eastAsia="Times New Roman" w:hint="default"/>
        </w:rPr>
      </w:r>
      <w:r>
        <w:rPr>
          <w:spacing w:val="-3"/>
        </w:rPr>
        <w:t>元。</w:t>
      </w:r>
      <w:r>
        <w:rPr>
          <w:spacing w:val="-103"/>
        </w:rPr>
        <w:t> </w:t>
      </w:r>
      <w:r>
        <w:rPr>
          <w:spacing w:val="-2"/>
        </w:rPr>
        <w:t>其中本期坏账准备收回或转回金额重要的：</w:t>
      </w:r>
    </w:p>
    <w:p>
      <w:pPr>
        <w:pStyle w:val="BodyText"/>
        <w:spacing w:line="240" w:lineRule="auto" w:before="34"/>
        <w:ind w:left="717" w:right="0"/>
        <w:jc w:val="left"/>
      </w:pPr>
      <w:r>
        <w:rPr/>
        <w:t>□适用 √不适用</w:t>
      </w:r>
    </w:p>
    <w:p>
      <w:pPr>
        <w:pStyle w:val="Heading4"/>
        <w:spacing w:line="240" w:lineRule="auto" w:before="68"/>
        <w:ind w:left="237" w:right="0"/>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3"/>
        </w:rPr>
        <w:t> </w:t>
      </w:r>
      <w:r>
        <w:rPr/>
        <w:t>本期实际核销的应收账款情况</w:t>
      </w:r>
      <w:r>
        <w:rPr>
          <w:b w:val="0"/>
          <w:bCs w:val="0"/>
        </w:rPr>
      </w:r>
    </w:p>
    <w:p>
      <w:pPr>
        <w:pStyle w:val="BodyText"/>
        <w:spacing w:line="240" w:lineRule="auto" w:before="40"/>
        <w:ind w:left="717" w:right="0"/>
        <w:jc w:val="left"/>
      </w:pPr>
      <w:r>
        <w:rPr/>
        <w:t>√适用 □不适用</w:t>
      </w:r>
    </w:p>
    <w:p>
      <w:pPr>
        <w:pStyle w:val="BodyText"/>
        <w:tabs>
          <w:tab w:pos="1051" w:val="left" w:leader="none"/>
        </w:tabs>
        <w:spacing w:line="274" w:lineRule="exact"/>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273"/>
        <w:gridCol w:w="4777"/>
      </w:tblGrid>
      <w:tr>
        <w:trPr>
          <w:trHeight w:val="37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370"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46,563.94</w:t>
            </w:r>
          </w:p>
        </w:tc>
      </w:tr>
    </w:tbl>
    <w:p>
      <w:pPr>
        <w:spacing w:line="240" w:lineRule="auto" w:before="0"/>
        <w:rPr>
          <w:rFonts w:ascii="宋体" w:hAnsi="宋体" w:cs="宋体" w:eastAsia="宋体" w:hint="default"/>
          <w:sz w:val="28"/>
          <w:szCs w:val="28"/>
        </w:rPr>
      </w:pPr>
    </w:p>
    <w:p>
      <w:pPr>
        <w:pStyle w:val="BodyText"/>
        <w:spacing w:line="240" w:lineRule="auto" w:before="36"/>
        <w:ind w:left="220" w:right="6315"/>
        <w:jc w:val="center"/>
      </w:pPr>
      <w:r>
        <w:rPr/>
        <w:t>其中重要的应收账款核销情况</w:t>
      </w:r>
    </w:p>
    <w:p>
      <w:pPr>
        <w:pStyle w:val="BodyText"/>
        <w:spacing w:line="314" w:lineRule="auto" w:before="85"/>
        <w:ind w:left="237" w:right="6994" w:firstLine="480"/>
        <w:jc w:val="left"/>
      </w:pPr>
      <w:r>
        <w:rPr/>
        <w:t>□适用 √不适用</w:t>
      </w:r>
      <w:r>
        <w:rPr>
          <w:w w:val="100"/>
        </w:rPr>
        <w:t> </w:t>
      </w:r>
      <w:r>
        <w:rPr/>
        <w:t>应收账款核销说明：</w:t>
      </w:r>
    </w:p>
    <w:p>
      <w:pPr>
        <w:pStyle w:val="BodyText"/>
        <w:spacing w:line="240" w:lineRule="auto" w:before="20"/>
        <w:ind w:left="717" w:right="0"/>
        <w:jc w:val="left"/>
      </w:pPr>
      <w:r>
        <w:rPr/>
        <w:t>□适用 √不适用</w:t>
      </w:r>
    </w:p>
    <w:p>
      <w:pPr>
        <w:pStyle w:val="Heading4"/>
        <w:spacing w:line="240" w:lineRule="auto" w:before="145"/>
        <w:ind w:left="237" w:right="0"/>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2"/>
        </w:rPr>
        <w:t> </w:t>
      </w:r>
      <w:r>
        <w:rPr/>
        <w:t>按欠款方归集的期末余额前五名的应收账款情况</w:t>
      </w:r>
      <w:r>
        <w:rPr>
          <w:b w:val="0"/>
          <w:bCs w:val="0"/>
        </w:rPr>
      </w:r>
    </w:p>
    <w:p>
      <w:pPr>
        <w:pStyle w:val="BodyText"/>
        <w:tabs>
          <w:tab w:pos="1559" w:val="left" w:leader="none"/>
        </w:tabs>
        <w:spacing w:line="240" w:lineRule="auto" w:before="52"/>
        <w:ind w:left="717" w:right="0"/>
        <w:jc w:val="left"/>
      </w:pPr>
      <w:r>
        <w:rPr/>
        <w:t>√适用</w:t>
        <w:tab/>
        <w:t>□不适用</w:t>
      </w:r>
    </w:p>
    <w:p>
      <w:pPr>
        <w:spacing w:line="240" w:lineRule="auto" w:before="3"/>
        <w:rPr>
          <w:rFonts w:ascii="宋体" w:hAnsi="宋体" w:cs="宋体" w:eastAsia="宋体" w:hint="default"/>
          <w:sz w:val="23"/>
          <w:szCs w:val="23"/>
        </w:rPr>
      </w:pPr>
    </w:p>
    <w:tbl>
      <w:tblPr>
        <w:tblW w:w="0" w:type="auto"/>
        <w:jc w:val="left"/>
        <w:tblInd w:w="123" w:type="dxa"/>
        <w:tblLayout w:type="fixed"/>
        <w:tblCellMar>
          <w:top w:w="0" w:type="dxa"/>
          <w:left w:w="0" w:type="dxa"/>
          <w:bottom w:w="0" w:type="dxa"/>
          <w:right w:w="0" w:type="dxa"/>
        </w:tblCellMar>
        <w:tblLook w:val="01E0"/>
      </w:tblPr>
      <w:tblGrid>
        <w:gridCol w:w="2264"/>
        <w:gridCol w:w="2261"/>
        <w:gridCol w:w="2264"/>
        <w:gridCol w:w="2261"/>
      </w:tblGrid>
      <w:tr>
        <w:trPr>
          <w:trHeight w:val="7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06" w:right="0"/>
              <w:jc w:val="left"/>
              <w:rPr>
                <w:rFonts w:ascii="宋体" w:hAnsi="宋体" w:cs="宋体" w:eastAsia="宋体" w:hint="default"/>
                <w:sz w:val="21"/>
                <w:szCs w:val="21"/>
              </w:rPr>
            </w:pPr>
            <w:r>
              <w:rPr>
                <w:rFonts w:ascii="宋体" w:hAnsi="宋体" w:cs="宋体" w:eastAsia="宋体" w:hint="default"/>
                <w:color w:val="0000FF"/>
                <w:sz w:val="21"/>
                <w:szCs w:val="21"/>
              </w:rPr>
              <w:t>单位名称</w:t>
            </w:r>
            <w:r>
              <w:rPr>
                <w:rFonts w:ascii="宋体" w:hAnsi="宋体" w:cs="宋体" w:eastAsia="宋体" w:hint="default"/>
                <w:sz w:val="21"/>
                <w:szCs w:val="21"/>
              </w:rPr>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725" w:right="178" w:hanging="546"/>
              <w:jc w:val="left"/>
              <w:rPr>
                <w:rFonts w:ascii="宋体" w:hAnsi="宋体" w:cs="宋体" w:eastAsia="宋体" w:hint="default"/>
                <w:sz w:val="21"/>
                <w:szCs w:val="21"/>
              </w:rPr>
            </w:pPr>
            <w:r>
              <w:rPr>
                <w:rFonts w:ascii="宋体" w:hAnsi="宋体" w:cs="宋体" w:eastAsia="宋体" w:hint="default"/>
                <w:sz w:val="21"/>
                <w:szCs w:val="21"/>
              </w:rPr>
              <w:t>占应收账款余额的比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position w:val="1"/>
                <w:sz w:val="21"/>
                <w:szCs w:val="21"/>
              </w:rPr>
              <w:t>%</w:t>
            </w:r>
            <w:r>
              <w:rPr>
                <w:rFonts w:ascii="宋体" w:hAnsi="宋体" w:cs="宋体" w:eastAsia="宋体" w:hint="default"/>
                <w:sz w:val="21"/>
                <w:szCs w:val="21"/>
              </w:rPr>
              <w: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0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20,650,000.00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z w:val="21"/>
              </w:rPr>
              <w:t>6.68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2,065,000.00</w:t>
            </w: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14,647,286.35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z w:val="21"/>
              </w:rPr>
              <w:t>4.74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439,418.59</w:t>
            </w:r>
          </w:p>
        </w:tc>
      </w:tr>
      <w:tr>
        <w:trPr>
          <w:trHeight w:val="37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9,082,000.00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z w:val="21"/>
              </w:rPr>
              <w:t>2.94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272,460.00</w:t>
            </w: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8,842,885.82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z w:val="21"/>
              </w:rPr>
              <w:t>2.86</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446,073.76</w:t>
            </w: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8,451,859.75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z w:val="21"/>
              </w:rPr>
              <w:t>2.73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253,555.79</w:t>
            </w: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61,674,031.92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19.95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3,476,508.14</w:t>
            </w:r>
          </w:p>
        </w:tc>
      </w:tr>
    </w:tbl>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46"/>
          <w:footerReference w:type="default" r:id="rId47"/>
          <w:pgSz w:w="11910" w:h="16840"/>
          <w:pgMar w:header="857" w:footer="979" w:top="1120" w:bottom="1160" w:left="1040" w:right="1560"/>
          <w:pgNumType w:start="143"/>
        </w:sectPr>
      </w:pPr>
    </w:p>
    <w:p>
      <w:pPr>
        <w:pStyle w:val="Heading4"/>
        <w:spacing w:line="240" w:lineRule="auto"/>
        <w:ind w:left="237" w:right="-16"/>
        <w:jc w:val="left"/>
        <w:rPr>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24"/>
        </w:rPr>
        <w:t> </w:t>
      </w:r>
      <w:r>
        <w:rPr/>
        <w:t>因金融资产转移而终止确认的应收账款</w:t>
      </w:r>
      <w:r>
        <w:rPr>
          <w:b w:val="0"/>
          <w:bCs w:val="0"/>
        </w:rPr>
      </w:r>
    </w:p>
    <w:p>
      <w:pPr>
        <w:pStyle w:val="BodyText"/>
        <w:tabs>
          <w:tab w:pos="1559" w:val="left" w:leader="none"/>
        </w:tabs>
        <w:spacing w:line="240" w:lineRule="auto" w:before="43"/>
        <w:ind w:left="717" w:right="-16"/>
        <w:jc w:val="left"/>
      </w:pPr>
      <w:r>
        <w:rPr/>
        <w:t>□适用</w:t>
        <w:tab/>
        <w:t>√不适用</w:t>
      </w:r>
    </w:p>
    <w:p>
      <w:pPr>
        <w:pStyle w:val="Heading4"/>
        <w:spacing w:line="240" w:lineRule="auto" w:before="56"/>
        <w:ind w:left="237" w:right="-16"/>
        <w:jc w:val="left"/>
        <w:rPr>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22"/>
        </w:rPr>
        <w:t> </w:t>
      </w:r>
      <w:r>
        <w:rPr/>
        <w:t>转移应收账款且继续涉入形成的资产、负债金额</w:t>
      </w:r>
      <w:r>
        <w:rPr>
          <w:b w:val="0"/>
          <w:bCs w:val="0"/>
        </w:rPr>
      </w:r>
    </w:p>
    <w:p>
      <w:pPr>
        <w:pStyle w:val="BodyText"/>
        <w:tabs>
          <w:tab w:pos="1559" w:val="left" w:leader="none"/>
        </w:tabs>
        <w:spacing w:line="300" w:lineRule="exact" w:before="48"/>
        <w:ind w:left="237" w:right="2691" w:firstLine="480"/>
        <w:jc w:val="left"/>
        <w:rPr>
          <w:sz w:val="24"/>
          <w:szCs w:val="24"/>
        </w:rPr>
      </w:pPr>
      <w:r>
        <w:rPr/>
        <w:t>□适用</w:t>
        <w:tab/>
      </w:r>
      <w:r>
        <w:rPr>
          <w:spacing w:val="-2"/>
        </w:rPr>
        <w:t>√不适用</w:t>
      </w:r>
      <w:r>
        <w:rPr>
          <w:w w:val="100"/>
        </w:rPr>
        <w:t> </w:t>
      </w:r>
      <w:r>
        <w:rPr/>
        <w:t>其他说明</w:t>
      </w:r>
      <w:r>
        <w:rPr>
          <w:sz w:val="24"/>
          <w:szCs w:val="24"/>
        </w:rPr>
        <w:t>：</w:t>
      </w:r>
    </w:p>
    <w:p>
      <w:pPr>
        <w:pStyle w:val="BodyText"/>
        <w:tabs>
          <w:tab w:pos="1559" w:val="left" w:leader="none"/>
        </w:tabs>
        <w:spacing w:line="253" w:lineRule="exact"/>
        <w:ind w:left="717" w:right="-16"/>
        <w:jc w:val="left"/>
      </w:pPr>
      <w:r>
        <w:rPr/>
        <w:t>□适用</w:t>
        <w:tab/>
        <w:t>√不适用</w:t>
      </w:r>
    </w:p>
    <w:p>
      <w:pPr>
        <w:pStyle w:val="Heading4"/>
        <w:spacing w:line="240" w:lineRule="auto" w:before="56"/>
        <w:ind w:left="237" w:right="-16"/>
        <w:jc w:val="left"/>
        <w:rPr>
          <w:b w:val="0"/>
          <w:bCs w:val="0"/>
        </w:rPr>
      </w:pPr>
      <w:r>
        <w:rPr>
          <w:rFonts w:ascii="Times New Roman" w:hAnsi="Times New Roman" w:cs="Times New Roman" w:eastAsia="Times New Roman" w:hint="default"/>
        </w:rPr>
        <w:t>5</w:t>
      </w:r>
      <w:r>
        <w:rPr/>
        <w:t>、</w:t>
      </w:r>
      <w:r>
        <w:rPr>
          <w:spacing w:val="-1"/>
        </w:rPr>
        <w:t> </w:t>
      </w:r>
      <w:r>
        <w:rPr/>
        <w:t>预付款项</w:t>
      </w:r>
      <w:r>
        <w:rPr>
          <w:b w:val="0"/>
          <w:bCs w:val="0"/>
        </w:rPr>
      </w:r>
    </w:p>
    <w:p>
      <w:pPr>
        <w:pStyle w:val="Heading4"/>
        <w:spacing w:line="240" w:lineRule="auto" w:before="43"/>
        <w:ind w:left="237" w:right="-16"/>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7"/>
        </w:rPr>
        <w:t> </w:t>
      </w:r>
      <w:r>
        <w:rPr/>
        <w:t>预付款项按账龄列示</w:t>
      </w:r>
      <w:r>
        <w:rPr>
          <w:b w:val="0"/>
          <w:bCs w:val="0"/>
        </w:rPr>
      </w:r>
    </w:p>
    <w:p>
      <w:pPr>
        <w:pStyle w:val="BodyText"/>
        <w:tabs>
          <w:tab w:pos="1559" w:val="left" w:leader="none"/>
        </w:tabs>
        <w:spacing w:line="240" w:lineRule="auto" w:before="40"/>
        <w:ind w:left="717"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560"/>
          <w:cols w:num="2" w:equalWidth="0">
            <w:col w:w="5093" w:space="1429"/>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49"/>
        <w:gridCol w:w="3740"/>
        <w:gridCol w:w="3735"/>
      </w:tblGrid>
      <w:tr>
        <w:trPr>
          <w:trHeight w:val="372"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type w:val="continuous"/>
          <w:pgSz w:w="11910" w:h="16840"/>
          <w:pgMar w:top="1580" w:bottom="280" w:left="1040" w:right="1560"/>
        </w:sectPr>
      </w:pPr>
    </w:p>
    <w:p>
      <w:pPr>
        <w:spacing w:line="240" w:lineRule="auto" w:before="11"/>
        <w:rPr>
          <w:rFonts w:ascii="宋体" w:hAnsi="宋体" w:cs="宋体" w:eastAsia="宋体"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1349"/>
        <w:gridCol w:w="1877"/>
        <w:gridCol w:w="1862"/>
        <w:gridCol w:w="1860"/>
        <w:gridCol w:w="1875"/>
      </w:tblGrid>
      <w:tr>
        <w:trPr>
          <w:trHeight w:val="370" w:hRule="exact"/>
        </w:trPr>
        <w:tc>
          <w:tcPr>
            <w:tcW w:w="1349"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1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2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70"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39"/>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
              <w:jc w:val="right"/>
              <w:rPr>
                <w:rFonts w:ascii="Times New Roman" w:hAnsi="Times New Roman" w:cs="Times New Roman" w:eastAsia="Times New Roman" w:hint="default"/>
                <w:sz w:val="21"/>
                <w:szCs w:val="21"/>
              </w:rPr>
            </w:pPr>
            <w:r>
              <w:rPr>
                <w:rFonts w:ascii="Times New Roman"/>
                <w:spacing w:val="-1"/>
                <w:sz w:val="21"/>
              </w:rPr>
              <w:t>17,032,615.41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0"/>
              <w:jc w:val="right"/>
              <w:rPr>
                <w:rFonts w:ascii="Times New Roman" w:hAnsi="Times New Roman" w:cs="Times New Roman" w:eastAsia="Times New Roman" w:hint="default"/>
                <w:sz w:val="21"/>
                <w:szCs w:val="21"/>
              </w:rPr>
            </w:pPr>
            <w:r>
              <w:rPr>
                <w:rFonts w:ascii="Times New Roman"/>
                <w:sz w:val="21"/>
              </w:rPr>
              <w:t>97.15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0"/>
              <w:jc w:val="right"/>
              <w:rPr>
                <w:rFonts w:ascii="Times New Roman" w:hAnsi="Times New Roman" w:cs="Times New Roman" w:eastAsia="Times New Roman" w:hint="default"/>
                <w:sz w:val="21"/>
                <w:szCs w:val="21"/>
              </w:rPr>
            </w:pPr>
            <w:r>
              <w:rPr>
                <w:rFonts w:ascii="Times New Roman"/>
                <w:spacing w:val="-1"/>
                <w:sz w:val="21"/>
              </w:rPr>
              <w:t>11,897,058.65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0"/>
              <w:jc w:val="right"/>
              <w:rPr>
                <w:rFonts w:ascii="Times New Roman" w:hAnsi="Times New Roman" w:cs="Times New Roman" w:eastAsia="Times New Roman" w:hint="default"/>
                <w:sz w:val="21"/>
                <w:szCs w:val="21"/>
              </w:rPr>
            </w:pPr>
            <w:r>
              <w:rPr>
                <w:rFonts w:ascii="Times New Roman"/>
                <w:sz w:val="21"/>
              </w:rPr>
              <w:t>94.40</w:t>
            </w:r>
          </w:p>
        </w:tc>
      </w:tr>
      <w:tr>
        <w:trPr>
          <w:trHeight w:val="372"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39"/>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11"/>
              <w:jc w:val="right"/>
              <w:rPr>
                <w:rFonts w:ascii="Times New Roman" w:hAnsi="Times New Roman" w:cs="Times New Roman" w:eastAsia="Times New Roman" w:hint="default"/>
                <w:sz w:val="21"/>
                <w:szCs w:val="21"/>
              </w:rPr>
            </w:pPr>
            <w:r>
              <w:rPr>
                <w:rFonts w:ascii="Times New Roman"/>
                <w:spacing w:val="-1"/>
                <w:sz w:val="21"/>
              </w:rPr>
              <w:t>85,530.83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10"/>
              <w:jc w:val="right"/>
              <w:rPr>
                <w:rFonts w:ascii="Times New Roman" w:hAnsi="Times New Roman" w:cs="Times New Roman" w:eastAsia="Times New Roman" w:hint="default"/>
                <w:sz w:val="21"/>
                <w:szCs w:val="21"/>
              </w:rPr>
            </w:pPr>
            <w:r>
              <w:rPr>
                <w:rFonts w:ascii="Times New Roman"/>
                <w:sz w:val="21"/>
              </w:rPr>
              <w:t>0.49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10"/>
              <w:jc w:val="right"/>
              <w:rPr>
                <w:rFonts w:ascii="Times New Roman" w:hAnsi="Times New Roman" w:cs="Times New Roman" w:eastAsia="Times New Roman" w:hint="default"/>
                <w:sz w:val="21"/>
                <w:szCs w:val="21"/>
              </w:rPr>
            </w:pPr>
            <w:r>
              <w:rPr>
                <w:rFonts w:ascii="Times New Roman"/>
                <w:spacing w:val="-1"/>
                <w:sz w:val="21"/>
              </w:rPr>
              <w:t>547,131.75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10"/>
              <w:jc w:val="right"/>
              <w:rPr>
                <w:rFonts w:ascii="Times New Roman" w:hAnsi="Times New Roman" w:cs="Times New Roman" w:eastAsia="Times New Roman" w:hint="default"/>
                <w:sz w:val="21"/>
                <w:szCs w:val="21"/>
              </w:rPr>
            </w:pPr>
            <w:r>
              <w:rPr>
                <w:rFonts w:ascii="Times New Roman"/>
                <w:sz w:val="21"/>
              </w:rPr>
              <w:t>4.34</w:t>
            </w:r>
          </w:p>
        </w:tc>
      </w:tr>
      <w:tr>
        <w:trPr>
          <w:trHeight w:val="370"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39"/>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
              <w:jc w:val="right"/>
              <w:rPr>
                <w:rFonts w:ascii="Times New Roman" w:hAnsi="Times New Roman" w:cs="Times New Roman" w:eastAsia="Times New Roman" w:hint="default"/>
                <w:sz w:val="21"/>
                <w:szCs w:val="21"/>
              </w:rPr>
            </w:pPr>
            <w:r>
              <w:rPr>
                <w:rFonts w:ascii="Times New Roman"/>
                <w:spacing w:val="-1"/>
                <w:sz w:val="21"/>
              </w:rPr>
              <w:t>399,645.24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0"/>
              <w:jc w:val="right"/>
              <w:rPr>
                <w:rFonts w:ascii="Times New Roman" w:hAnsi="Times New Roman" w:cs="Times New Roman" w:eastAsia="Times New Roman" w:hint="default"/>
                <w:sz w:val="21"/>
                <w:szCs w:val="21"/>
              </w:rPr>
            </w:pPr>
            <w:r>
              <w:rPr>
                <w:rFonts w:ascii="Times New Roman"/>
                <w:sz w:val="21"/>
              </w:rPr>
              <w:t>2.28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0"/>
              <w:jc w:val="right"/>
              <w:rPr>
                <w:rFonts w:ascii="Times New Roman" w:hAnsi="Times New Roman" w:cs="Times New Roman" w:eastAsia="Times New Roman" w:hint="default"/>
                <w:sz w:val="21"/>
                <w:szCs w:val="21"/>
              </w:rPr>
            </w:pPr>
            <w:r>
              <w:rPr>
                <w:rFonts w:ascii="Times New Roman"/>
                <w:spacing w:val="-1"/>
                <w:sz w:val="21"/>
              </w:rPr>
              <w:t>88,971.77</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0"/>
              <w:jc w:val="right"/>
              <w:rPr>
                <w:rFonts w:ascii="Times New Roman" w:hAnsi="Times New Roman" w:cs="Times New Roman" w:eastAsia="Times New Roman" w:hint="default"/>
                <w:sz w:val="21"/>
                <w:szCs w:val="21"/>
              </w:rPr>
            </w:pPr>
            <w:r>
              <w:rPr>
                <w:rFonts w:ascii="Times New Roman"/>
                <w:sz w:val="21"/>
              </w:rPr>
              <w:t>0.71</w:t>
            </w:r>
          </w:p>
        </w:tc>
      </w:tr>
      <w:tr>
        <w:trPr>
          <w:trHeight w:val="370"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39"/>
              <w:jc w:val="righ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
              <w:jc w:val="right"/>
              <w:rPr>
                <w:rFonts w:ascii="Times New Roman" w:hAnsi="Times New Roman" w:cs="Times New Roman" w:eastAsia="Times New Roman" w:hint="default"/>
                <w:sz w:val="21"/>
                <w:szCs w:val="21"/>
              </w:rPr>
            </w:pPr>
            <w:r>
              <w:rPr>
                <w:rFonts w:ascii="Times New Roman"/>
                <w:spacing w:val="-1"/>
                <w:sz w:val="21"/>
              </w:rPr>
              <w:t>14,284.77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0"/>
              <w:jc w:val="right"/>
              <w:rPr>
                <w:rFonts w:ascii="Times New Roman" w:hAnsi="Times New Roman" w:cs="Times New Roman" w:eastAsia="Times New Roman" w:hint="default"/>
                <w:sz w:val="21"/>
                <w:szCs w:val="21"/>
              </w:rPr>
            </w:pPr>
            <w:r>
              <w:rPr>
                <w:rFonts w:ascii="Times New Roman"/>
                <w:sz w:val="21"/>
              </w:rPr>
              <w:t>0.08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0"/>
              <w:jc w:val="right"/>
              <w:rPr>
                <w:rFonts w:ascii="Times New Roman" w:hAnsi="Times New Roman" w:cs="Times New Roman" w:eastAsia="Times New Roman" w:hint="default"/>
                <w:sz w:val="21"/>
                <w:szCs w:val="21"/>
              </w:rPr>
            </w:pPr>
            <w:r>
              <w:rPr>
                <w:rFonts w:ascii="Times New Roman"/>
                <w:spacing w:val="-1"/>
                <w:sz w:val="21"/>
              </w:rPr>
              <w:t>69,522.90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0"/>
              <w:jc w:val="right"/>
              <w:rPr>
                <w:rFonts w:ascii="Times New Roman" w:hAnsi="Times New Roman" w:cs="Times New Roman" w:eastAsia="Times New Roman" w:hint="default"/>
                <w:sz w:val="21"/>
                <w:szCs w:val="21"/>
              </w:rPr>
            </w:pPr>
            <w:r>
              <w:rPr>
                <w:rFonts w:ascii="Times New Roman"/>
                <w:sz w:val="21"/>
              </w:rPr>
              <w:t>0.55</w:t>
            </w:r>
          </w:p>
        </w:tc>
      </w:tr>
      <w:tr>
        <w:trPr>
          <w:trHeight w:val="370"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58"/>
              <w:jc w:val="right"/>
              <w:rPr>
                <w:rFonts w:ascii="宋体" w:hAnsi="宋体" w:cs="宋体" w:eastAsia="宋体" w:hint="default"/>
                <w:sz w:val="21"/>
                <w:szCs w:val="21"/>
              </w:rPr>
            </w:pPr>
            <w:r>
              <w:rPr>
                <w:rFonts w:ascii="宋体" w:hAnsi="宋体" w:cs="宋体" w:eastAsia="宋体" w:hint="default"/>
                <w:sz w:val="21"/>
                <w:szCs w:val="21"/>
              </w:rPr>
              <w:t>合计</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
              <w:jc w:val="right"/>
              <w:rPr>
                <w:rFonts w:ascii="Times New Roman" w:hAnsi="Times New Roman" w:cs="Times New Roman" w:eastAsia="Times New Roman" w:hint="default"/>
                <w:sz w:val="21"/>
                <w:szCs w:val="21"/>
              </w:rPr>
            </w:pPr>
            <w:r>
              <w:rPr>
                <w:rFonts w:ascii="Times New Roman"/>
                <w:spacing w:val="-1"/>
                <w:sz w:val="21"/>
              </w:rPr>
              <w:t>17,532,076.25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0"/>
              <w:jc w:val="right"/>
              <w:rPr>
                <w:rFonts w:ascii="Times New Roman" w:hAnsi="Times New Roman" w:cs="Times New Roman" w:eastAsia="Times New Roman" w:hint="default"/>
                <w:sz w:val="21"/>
                <w:szCs w:val="21"/>
              </w:rPr>
            </w:pPr>
            <w:r>
              <w:rPr>
                <w:rFonts w:ascii="Times New Roman"/>
                <w:sz w:val="21"/>
              </w:rPr>
              <w:t>100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0"/>
              <w:jc w:val="right"/>
              <w:rPr>
                <w:rFonts w:ascii="Times New Roman" w:hAnsi="Times New Roman" w:cs="Times New Roman" w:eastAsia="Times New Roman" w:hint="default"/>
                <w:sz w:val="21"/>
                <w:szCs w:val="21"/>
              </w:rPr>
            </w:pPr>
            <w:r>
              <w:rPr>
                <w:rFonts w:ascii="Times New Roman"/>
                <w:spacing w:val="-1"/>
                <w:sz w:val="21"/>
              </w:rPr>
              <w:t>12,602,685.07</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0"/>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40" w:lineRule="auto" w:before="42"/>
        <w:ind w:left="237" w:right="0"/>
        <w:jc w:val="left"/>
      </w:pP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p>
    <w:p>
      <w:pPr>
        <w:pStyle w:val="Heading3"/>
        <w:spacing w:line="240" w:lineRule="auto" w:before="34"/>
        <w:ind w:left="237" w:right="0"/>
        <w:jc w:val="left"/>
      </w:pPr>
      <w:r>
        <w:rPr/>
        <w:t>无</w:t>
      </w:r>
    </w:p>
    <w:p>
      <w:pPr>
        <w:pStyle w:val="Heading4"/>
        <w:spacing w:line="240" w:lineRule="auto" w:before="64"/>
        <w:ind w:left="237"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2"/>
        </w:rPr>
        <w:t> </w:t>
      </w:r>
      <w:r>
        <w:rPr/>
        <w:t>按预付对象归集的期末余额前五名的预付款情况</w:t>
      </w:r>
      <w:r>
        <w:rPr>
          <w:b w:val="0"/>
          <w:bCs w:val="0"/>
        </w:rPr>
      </w:r>
    </w:p>
    <w:p>
      <w:pPr>
        <w:pStyle w:val="BodyText"/>
        <w:tabs>
          <w:tab w:pos="1559" w:val="left" w:leader="none"/>
        </w:tabs>
        <w:spacing w:line="240" w:lineRule="auto" w:before="43"/>
        <w:ind w:left="717" w:right="0"/>
        <w:jc w:val="left"/>
      </w:pPr>
      <w:r>
        <w:rPr/>
        <w:t>√适用</w:t>
        <w:tab/>
        <w:t>□不适用</w:t>
      </w:r>
    </w:p>
    <w:p>
      <w:pPr>
        <w:spacing w:line="240" w:lineRule="auto" w:before="2"/>
        <w:rPr>
          <w:rFonts w:ascii="宋体" w:hAnsi="宋体" w:cs="宋体" w:eastAsia="宋体" w:hint="default"/>
          <w:sz w:val="26"/>
          <w:szCs w:val="26"/>
        </w:rPr>
      </w:pPr>
    </w:p>
    <w:tbl>
      <w:tblPr>
        <w:tblW w:w="0" w:type="auto"/>
        <w:jc w:val="left"/>
        <w:tblInd w:w="181" w:type="dxa"/>
        <w:tblLayout w:type="fixed"/>
        <w:tblCellMar>
          <w:top w:w="0" w:type="dxa"/>
          <w:left w:w="0" w:type="dxa"/>
          <w:bottom w:w="0" w:type="dxa"/>
          <w:right w:w="0" w:type="dxa"/>
        </w:tblCellMar>
        <w:tblLook w:val="01E0"/>
      </w:tblPr>
      <w:tblGrid>
        <w:gridCol w:w="2984"/>
        <w:gridCol w:w="2895"/>
        <w:gridCol w:w="2936"/>
      </w:tblGrid>
      <w:tr>
        <w:trPr>
          <w:trHeight w:val="444" w:hRule="exact"/>
        </w:trPr>
        <w:tc>
          <w:tcPr>
            <w:tcW w:w="2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8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27"/>
              <w:jc w:val="right"/>
              <w:rPr>
                <w:rFonts w:ascii="宋体" w:hAnsi="宋体" w:cs="宋体" w:eastAsia="宋体" w:hint="default"/>
                <w:sz w:val="21"/>
                <w:szCs w:val="21"/>
              </w:rPr>
            </w:pPr>
            <w:r>
              <w:rPr>
                <w:rFonts w:ascii="宋体" w:hAnsi="宋体" w:cs="宋体" w:eastAsia="宋体" w:hint="default"/>
                <w:spacing w:val="-2"/>
                <w:sz w:val="21"/>
                <w:szCs w:val="21"/>
              </w:rPr>
              <w:t>占预付账款合计数的比例（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r>
      <w:tr>
        <w:trPr>
          <w:trHeight w:val="382" w:hRule="exact"/>
        </w:trPr>
        <w:tc>
          <w:tcPr>
            <w:tcW w:w="2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left="36" w:right="0"/>
              <w:jc w:val="left"/>
              <w:rPr>
                <w:rFonts w:ascii="宋体" w:hAnsi="宋体" w:cs="宋体" w:eastAsia="宋体" w:hint="default"/>
                <w:sz w:val="21"/>
                <w:szCs w:val="21"/>
              </w:rPr>
            </w:pPr>
            <w:r>
              <w:rPr>
                <w:rFonts w:ascii="宋体" w:hAnsi="宋体" w:cs="宋体" w:eastAsia="宋体" w:hint="default"/>
                <w:sz w:val="21"/>
                <w:szCs w:val="21"/>
              </w:rPr>
              <w:t>预付供应商一</w:t>
            </w:r>
          </w:p>
        </w:tc>
        <w:tc>
          <w:tcPr>
            <w:tcW w:w="28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31"/>
              <w:jc w:val="right"/>
              <w:rPr>
                <w:rFonts w:ascii="Times New Roman" w:hAnsi="Times New Roman" w:cs="Times New Roman" w:eastAsia="Times New Roman" w:hint="default"/>
                <w:sz w:val="21"/>
                <w:szCs w:val="21"/>
              </w:rPr>
            </w:pPr>
            <w:r>
              <w:rPr>
                <w:rFonts w:ascii="Times New Roman"/>
                <w:spacing w:val="-1"/>
                <w:sz w:val="21"/>
              </w:rPr>
              <w:t>2,718,016.48</w:t>
            </w:r>
          </w:p>
        </w:tc>
        <w:tc>
          <w:tcPr>
            <w:tcW w:w="29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31"/>
              <w:jc w:val="right"/>
              <w:rPr>
                <w:rFonts w:ascii="Times New Roman" w:hAnsi="Times New Roman" w:cs="Times New Roman" w:eastAsia="Times New Roman" w:hint="default"/>
                <w:sz w:val="21"/>
                <w:szCs w:val="21"/>
              </w:rPr>
            </w:pPr>
            <w:r>
              <w:rPr>
                <w:rFonts w:ascii="Times New Roman"/>
                <w:sz w:val="21"/>
              </w:rPr>
              <w:t>15.50</w:t>
            </w:r>
          </w:p>
        </w:tc>
      </w:tr>
      <w:tr>
        <w:trPr>
          <w:trHeight w:val="379" w:hRule="exact"/>
        </w:trPr>
        <w:tc>
          <w:tcPr>
            <w:tcW w:w="2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36" w:right="0"/>
              <w:jc w:val="left"/>
              <w:rPr>
                <w:rFonts w:ascii="宋体" w:hAnsi="宋体" w:cs="宋体" w:eastAsia="宋体" w:hint="default"/>
                <w:sz w:val="21"/>
                <w:szCs w:val="21"/>
              </w:rPr>
            </w:pPr>
            <w:r>
              <w:rPr>
                <w:rFonts w:ascii="宋体" w:hAnsi="宋体" w:cs="宋体" w:eastAsia="宋体" w:hint="default"/>
                <w:sz w:val="21"/>
                <w:szCs w:val="21"/>
              </w:rPr>
              <w:t>预付供应商二</w:t>
            </w:r>
          </w:p>
        </w:tc>
        <w:tc>
          <w:tcPr>
            <w:tcW w:w="28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31"/>
              <w:jc w:val="right"/>
              <w:rPr>
                <w:rFonts w:ascii="Times New Roman" w:hAnsi="Times New Roman" w:cs="Times New Roman" w:eastAsia="Times New Roman" w:hint="default"/>
                <w:sz w:val="21"/>
                <w:szCs w:val="21"/>
              </w:rPr>
            </w:pPr>
            <w:r>
              <w:rPr>
                <w:rFonts w:ascii="Times New Roman"/>
                <w:spacing w:val="-1"/>
                <w:sz w:val="21"/>
              </w:rPr>
              <w:t>2,534,482.75</w:t>
            </w:r>
          </w:p>
        </w:tc>
        <w:tc>
          <w:tcPr>
            <w:tcW w:w="29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31"/>
              <w:jc w:val="right"/>
              <w:rPr>
                <w:rFonts w:ascii="Times New Roman" w:hAnsi="Times New Roman" w:cs="Times New Roman" w:eastAsia="Times New Roman" w:hint="default"/>
                <w:sz w:val="21"/>
                <w:szCs w:val="21"/>
              </w:rPr>
            </w:pPr>
            <w:r>
              <w:rPr>
                <w:rFonts w:ascii="Times New Roman"/>
                <w:sz w:val="21"/>
              </w:rPr>
              <w:t>14.46</w:t>
            </w:r>
          </w:p>
        </w:tc>
      </w:tr>
      <w:tr>
        <w:trPr>
          <w:trHeight w:val="379" w:hRule="exact"/>
        </w:trPr>
        <w:tc>
          <w:tcPr>
            <w:tcW w:w="2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36" w:right="0"/>
              <w:jc w:val="left"/>
              <w:rPr>
                <w:rFonts w:ascii="宋体" w:hAnsi="宋体" w:cs="宋体" w:eastAsia="宋体" w:hint="default"/>
                <w:sz w:val="21"/>
                <w:szCs w:val="21"/>
              </w:rPr>
            </w:pPr>
            <w:r>
              <w:rPr>
                <w:rFonts w:ascii="宋体" w:hAnsi="宋体" w:cs="宋体" w:eastAsia="宋体" w:hint="default"/>
                <w:sz w:val="21"/>
                <w:szCs w:val="21"/>
              </w:rPr>
              <w:t>预付供应商三</w:t>
            </w:r>
          </w:p>
        </w:tc>
        <w:tc>
          <w:tcPr>
            <w:tcW w:w="28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31"/>
              <w:jc w:val="right"/>
              <w:rPr>
                <w:rFonts w:ascii="Times New Roman" w:hAnsi="Times New Roman" w:cs="Times New Roman" w:eastAsia="Times New Roman" w:hint="default"/>
                <w:sz w:val="21"/>
                <w:szCs w:val="21"/>
              </w:rPr>
            </w:pPr>
            <w:r>
              <w:rPr>
                <w:rFonts w:ascii="Times New Roman"/>
                <w:spacing w:val="-1"/>
                <w:sz w:val="21"/>
              </w:rPr>
              <w:t>1,867,931.00</w:t>
            </w:r>
          </w:p>
        </w:tc>
        <w:tc>
          <w:tcPr>
            <w:tcW w:w="29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31"/>
              <w:jc w:val="right"/>
              <w:rPr>
                <w:rFonts w:ascii="Times New Roman" w:hAnsi="Times New Roman" w:cs="Times New Roman" w:eastAsia="Times New Roman" w:hint="default"/>
                <w:sz w:val="21"/>
                <w:szCs w:val="21"/>
              </w:rPr>
            </w:pPr>
            <w:r>
              <w:rPr>
                <w:rFonts w:ascii="Times New Roman"/>
                <w:sz w:val="21"/>
              </w:rPr>
              <w:t>10.65</w:t>
            </w:r>
          </w:p>
        </w:tc>
      </w:tr>
      <w:tr>
        <w:trPr>
          <w:trHeight w:val="382" w:hRule="exact"/>
        </w:trPr>
        <w:tc>
          <w:tcPr>
            <w:tcW w:w="2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left="36" w:right="0"/>
              <w:jc w:val="left"/>
              <w:rPr>
                <w:rFonts w:ascii="宋体" w:hAnsi="宋体" w:cs="宋体" w:eastAsia="宋体" w:hint="default"/>
                <w:sz w:val="21"/>
                <w:szCs w:val="21"/>
              </w:rPr>
            </w:pPr>
            <w:r>
              <w:rPr>
                <w:rFonts w:ascii="宋体" w:hAnsi="宋体" w:cs="宋体" w:eastAsia="宋体" w:hint="default"/>
                <w:sz w:val="21"/>
                <w:szCs w:val="21"/>
              </w:rPr>
              <w:t>预付供应商四</w:t>
            </w:r>
          </w:p>
        </w:tc>
        <w:tc>
          <w:tcPr>
            <w:tcW w:w="28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31"/>
              <w:jc w:val="right"/>
              <w:rPr>
                <w:rFonts w:ascii="Times New Roman" w:hAnsi="Times New Roman" w:cs="Times New Roman" w:eastAsia="Times New Roman" w:hint="default"/>
                <w:sz w:val="21"/>
                <w:szCs w:val="21"/>
              </w:rPr>
            </w:pPr>
            <w:r>
              <w:rPr>
                <w:rFonts w:ascii="Times New Roman"/>
                <w:spacing w:val="-1"/>
                <w:sz w:val="21"/>
              </w:rPr>
              <w:t>1,040,086.22</w:t>
            </w:r>
          </w:p>
        </w:tc>
        <w:tc>
          <w:tcPr>
            <w:tcW w:w="29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31"/>
              <w:jc w:val="right"/>
              <w:rPr>
                <w:rFonts w:ascii="Times New Roman" w:hAnsi="Times New Roman" w:cs="Times New Roman" w:eastAsia="Times New Roman" w:hint="default"/>
                <w:sz w:val="21"/>
                <w:szCs w:val="21"/>
              </w:rPr>
            </w:pPr>
            <w:r>
              <w:rPr>
                <w:rFonts w:ascii="Times New Roman"/>
                <w:sz w:val="21"/>
              </w:rPr>
              <w:t>5.93</w:t>
            </w:r>
          </w:p>
        </w:tc>
      </w:tr>
      <w:tr>
        <w:trPr>
          <w:trHeight w:val="379" w:hRule="exact"/>
        </w:trPr>
        <w:tc>
          <w:tcPr>
            <w:tcW w:w="2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36" w:right="0"/>
              <w:jc w:val="left"/>
              <w:rPr>
                <w:rFonts w:ascii="宋体" w:hAnsi="宋体" w:cs="宋体" w:eastAsia="宋体" w:hint="default"/>
                <w:sz w:val="21"/>
                <w:szCs w:val="21"/>
              </w:rPr>
            </w:pPr>
            <w:r>
              <w:rPr>
                <w:rFonts w:ascii="宋体" w:hAnsi="宋体" w:cs="宋体" w:eastAsia="宋体" w:hint="default"/>
                <w:sz w:val="21"/>
                <w:szCs w:val="21"/>
              </w:rPr>
              <w:t>预付供应商五</w:t>
            </w:r>
          </w:p>
        </w:tc>
        <w:tc>
          <w:tcPr>
            <w:tcW w:w="28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31"/>
              <w:jc w:val="right"/>
              <w:rPr>
                <w:rFonts w:ascii="Times New Roman" w:hAnsi="Times New Roman" w:cs="Times New Roman" w:eastAsia="Times New Roman" w:hint="default"/>
                <w:sz w:val="21"/>
                <w:szCs w:val="21"/>
              </w:rPr>
            </w:pPr>
            <w:r>
              <w:rPr>
                <w:rFonts w:ascii="Times New Roman"/>
                <w:spacing w:val="-1"/>
                <w:sz w:val="21"/>
              </w:rPr>
              <w:t>968,857.75</w:t>
            </w:r>
          </w:p>
        </w:tc>
        <w:tc>
          <w:tcPr>
            <w:tcW w:w="29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31"/>
              <w:jc w:val="right"/>
              <w:rPr>
                <w:rFonts w:ascii="Times New Roman" w:hAnsi="Times New Roman" w:cs="Times New Roman" w:eastAsia="Times New Roman" w:hint="default"/>
                <w:sz w:val="21"/>
                <w:szCs w:val="21"/>
              </w:rPr>
            </w:pPr>
            <w:r>
              <w:rPr>
                <w:rFonts w:ascii="Times New Roman"/>
                <w:sz w:val="21"/>
              </w:rPr>
              <w:t>5.53</w:t>
            </w:r>
          </w:p>
        </w:tc>
      </w:tr>
      <w:tr>
        <w:trPr>
          <w:trHeight w:val="396" w:hRule="exact"/>
        </w:trPr>
        <w:tc>
          <w:tcPr>
            <w:tcW w:w="2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31"/>
              <w:jc w:val="right"/>
              <w:rPr>
                <w:rFonts w:ascii="Times New Roman" w:hAnsi="Times New Roman" w:cs="Times New Roman" w:eastAsia="Times New Roman" w:hint="default"/>
                <w:sz w:val="21"/>
                <w:szCs w:val="21"/>
              </w:rPr>
            </w:pPr>
            <w:r>
              <w:rPr>
                <w:rFonts w:ascii="Times New Roman"/>
                <w:spacing w:val="-1"/>
                <w:sz w:val="21"/>
              </w:rPr>
              <w:t>9,129,374.20</w:t>
            </w:r>
          </w:p>
        </w:tc>
        <w:tc>
          <w:tcPr>
            <w:tcW w:w="29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31"/>
              <w:jc w:val="right"/>
              <w:rPr>
                <w:rFonts w:ascii="Times New Roman" w:hAnsi="Times New Roman" w:cs="Times New Roman" w:eastAsia="Times New Roman" w:hint="default"/>
                <w:sz w:val="21"/>
                <w:szCs w:val="21"/>
              </w:rPr>
            </w:pPr>
            <w:r>
              <w:rPr>
                <w:rFonts w:ascii="Times New Roman"/>
                <w:sz w:val="21"/>
              </w:rPr>
              <w:t>52.07</w:t>
            </w:r>
          </w:p>
        </w:tc>
      </w:tr>
    </w:tbl>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57" w:footer="979" w:top="1120" w:bottom="1160" w:left="1040" w:right="1660"/>
        </w:sectPr>
      </w:pPr>
    </w:p>
    <w:p>
      <w:pPr>
        <w:pStyle w:val="BodyText"/>
        <w:spacing w:line="240" w:lineRule="auto" w:before="36"/>
        <w:ind w:left="237" w:right="0"/>
        <w:jc w:val="left"/>
      </w:pPr>
      <w:r>
        <w:rPr/>
        <w:t>其他说明</w:t>
      </w:r>
    </w:p>
    <w:p>
      <w:pPr>
        <w:tabs>
          <w:tab w:pos="1559" w:val="left" w:leader="none"/>
        </w:tabs>
        <w:spacing w:line="357" w:lineRule="auto" w:before="85"/>
        <w:ind w:left="237" w:right="0" w:firstLine="48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其他应收款</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总表情况</w:t>
      </w:r>
      <w:r>
        <w:rPr>
          <w:rFonts w:ascii="宋体" w:hAnsi="宋体" w:cs="宋体" w:eastAsia="宋体" w:hint="default"/>
          <w:sz w:val="21"/>
          <w:szCs w:val="21"/>
        </w:rPr>
      </w:r>
    </w:p>
    <w:p>
      <w:pPr>
        <w:pStyle w:val="Heading4"/>
        <w:spacing w:line="240" w:lineRule="auto" w:before="42"/>
        <w:ind w:left="237"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5"/>
        </w:rPr>
        <w:t> </w:t>
      </w:r>
      <w:r>
        <w:rPr/>
        <w:t>分类列示</w:t>
      </w:r>
      <w:r>
        <w:rPr>
          <w:b w:val="0"/>
          <w:bCs w:val="0"/>
        </w:rPr>
      </w:r>
    </w:p>
    <w:p>
      <w:pPr>
        <w:pStyle w:val="BodyText"/>
        <w:spacing w:line="240" w:lineRule="auto" w:before="129"/>
        <w:ind w:left="7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660"/>
          <w:cols w:num="2" w:equalWidth="0">
            <w:col w:w="2400" w:space="4122"/>
            <w:col w:w="2688"/>
          </w:cols>
        </w:sectPr>
      </w:pPr>
    </w:p>
    <w:p>
      <w:pPr>
        <w:spacing w:line="240" w:lineRule="auto" w:before="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114"/>
        <w:gridCol w:w="2864"/>
        <w:gridCol w:w="2847"/>
      </w:tblGrid>
      <w:tr>
        <w:trPr>
          <w:trHeight w:val="373"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
              <w:jc w:val="right"/>
              <w:rPr>
                <w:rFonts w:ascii="Times New Roman" w:hAnsi="Times New Roman" w:cs="Times New Roman" w:eastAsia="Times New Roman" w:hint="default"/>
                <w:sz w:val="21"/>
                <w:szCs w:val="21"/>
              </w:rPr>
            </w:pPr>
            <w:r>
              <w:rPr>
                <w:rFonts w:ascii="Times New Roman"/>
                <w:spacing w:val="-1"/>
                <w:sz w:val="21"/>
              </w:rPr>
              <w:t>183,156.53</w:t>
            </w:r>
          </w:p>
        </w:tc>
        <w:tc>
          <w:tcPr>
            <w:tcW w:w="284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4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
              <w:jc w:val="right"/>
              <w:rPr>
                <w:rFonts w:ascii="Times New Roman" w:hAnsi="Times New Roman" w:cs="Times New Roman" w:eastAsia="Times New Roman" w:hint="default"/>
                <w:sz w:val="21"/>
                <w:szCs w:val="21"/>
              </w:rPr>
            </w:pPr>
            <w:r>
              <w:rPr>
                <w:rFonts w:ascii="Times New Roman"/>
                <w:spacing w:val="-1"/>
                <w:sz w:val="21"/>
              </w:rPr>
              <w:t>46,355,318.42</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
              <w:jc w:val="right"/>
              <w:rPr>
                <w:rFonts w:ascii="Times New Roman" w:hAnsi="Times New Roman" w:cs="Times New Roman" w:eastAsia="Times New Roman" w:hint="default"/>
                <w:sz w:val="21"/>
                <w:szCs w:val="21"/>
              </w:rPr>
            </w:pPr>
            <w:r>
              <w:rPr>
                <w:rFonts w:ascii="Times New Roman"/>
                <w:spacing w:val="-1"/>
                <w:sz w:val="21"/>
              </w:rPr>
              <w:t>49,211,259.64</w:t>
            </w:r>
          </w:p>
        </w:tc>
      </w:tr>
      <w:tr>
        <w:trPr>
          <w:trHeight w:val="370"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46,538,474.95</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49,211,259.64</w:t>
            </w:r>
          </w:p>
        </w:tc>
      </w:tr>
    </w:tbl>
    <w:p>
      <w:pPr>
        <w:spacing w:line="240" w:lineRule="auto" w:before="0"/>
        <w:rPr>
          <w:rFonts w:ascii="宋体" w:hAnsi="宋体" w:cs="宋体" w:eastAsia="宋体" w:hint="default"/>
          <w:sz w:val="28"/>
          <w:szCs w:val="28"/>
        </w:rPr>
      </w:pPr>
    </w:p>
    <w:p>
      <w:pPr>
        <w:pStyle w:val="BodyText"/>
        <w:spacing w:line="240" w:lineRule="auto" w:before="36"/>
        <w:ind w:left="237" w:right="0"/>
        <w:jc w:val="left"/>
      </w:pPr>
      <w:r>
        <w:rPr/>
        <w:t>其他说明：</w:t>
      </w:r>
    </w:p>
    <w:p>
      <w:pPr>
        <w:pStyle w:val="BodyText"/>
        <w:tabs>
          <w:tab w:pos="1079" w:val="left" w:leader="none"/>
        </w:tabs>
        <w:spacing w:line="240" w:lineRule="auto" w:before="85"/>
        <w:ind w:left="237" w:right="0"/>
        <w:jc w:val="left"/>
      </w:pPr>
      <w:r>
        <w:rPr/>
        <w:t>□适用</w:t>
        <w:tab/>
        <w:t>√不适用</w:t>
      </w:r>
    </w:p>
    <w:p>
      <w:pPr>
        <w:spacing w:after="0" w:line="240" w:lineRule="auto"/>
        <w:jc w:val="left"/>
        <w:sectPr>
          <w:type w:val="continuous"/>
          <w:pgSz w:w="11910" w:h="16840"/>
          <w:pgMar w:top="1580" w:bottom="280" w:left="1040" w:right="1660"/>
        </w:sectPr>
      </w:pP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57" w:footer="979" w:top="1120" w:bottom="1160" w:left="1140" w:right="1660"/>
        </w:sectPr>
      </w:pPr>
    </w:p>
    <w:p>
      <w:pPr>
        <w:pStyle w:val="Heading4"/>
        <w:spacing w:line="240" w:lineRule="auto"/>
        <w:ind w:left="137" w:right="-18"/>
        <w:jc w:val="left"/>
        <w:rPr>
          <w:b w:val="0"/>
          <w:bCs w:val="0"/>
        </w:rPr>
      </w:pPr>
      <w:r>
        <w:rPr/>
        <w:t>应收利息</w:t>
      </w:r>
      <w:r>
        <w:rPr>
          <w:b w:val="0"/>
          <w:bCs w:val="0"/>
        </w:rPr>
      </w:r>
    </w:p>
    <w:p>
      <w:pPr>
        <w:pStyle w:val="Heading4"/>
        <w:spacing w:line="240" w:lineRule="auto" w:before="145"/>
        <w:ind w:left="137" w:right="-18"/>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5"/>
        </w:rPr>
        <w:t> </w:t>
      </w:r>
      <w:r>
        <w:rPr/>
        <w:t>应收利息分类</w:t>
      </w:r>
      <w:r>
        <w:rPr>
          <w:b w:val="0"/>
          <w:bCs w:val="0"/>
        </w:rPr>
      </w:r>
    </w:p>
    <w:p>
      <w:pPr>
        <w:pStyle w:val="BodyText"/>
        <w:spacing w:line="240" w:lineRule="auto" w:before="129"/>
        <w:ind w:left="6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1580" w:bottom="280" w:left="1140" w:right="1660"/>
          <w:cols w:num="2" w:equalWidth="0">
            <w:col w:w="2195" w:space="4327"/>
            <w:col w:w="258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759"/>
        <w:gridCol w:w="3024"/>
        <w:gridCol w:w="3044"/>
      </w:tblGrid>
      <w:tr>
        <w:trPr>
          <w:trHeight w:val="372"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160"/>
              <w:jc w:val="right"/>
              <w:rPr>
                <w:rFonts w:ascii="宋体" w:hAnsi="宋体" w:cs="宋体" w:eastAsia="宋体" w:hint="default"/>
                <w:sz w:val="21"/>
                <w:szCs w:val="21"/>
              </w:rPr>
            </w:pPr>
            <w:r>
              <w:rPr>
                <w:rFonts w:ascii="宋体" w:hAnsi="宋体" w:cs="宋体" w:eastAsia="宋体" w:hint="default"/>
                <w:sz w:val="21"/>
                <w:szCs w:val="21"/>
              </w:rPr>
              <w:t>项目</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5"/>
              <w:jc w:val="right"/>
              <w:rPr>
                <w:rFonts w:ascii="Times New Roman" w:hAnsi="Times New Roman" w:cs="Times New Roman" w:eastAsia="Times New Roman" w:hint="default"/>
                <w:sz w:val="21"/>
                <w:szCs w:val="21"/>
              </w:rPr>
            </w:pPr>
            <w:r>
              <w:rPr>
                <w:rFonts w:ascii="Times New Roman"/>
                <w:spacing w:val="-1"/>
                <w:sz w:val="21"/>
              </w:rPr>
              <w:t>183,156.53</w:t>
            </w:r>
          </w:p>
        </w:tc>
        <w:tc>
          <w:tcPr>
            <w:tcW w:w="304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24" w:type="dxa"/>
            <w:tcBorders>
              <w:top w:val="single" w:sz="4" w:space="0" w:color="000000"/>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24" w:type="dxa"/>
            <w:tcBorders>
              <w:top w:val="single" w:sz="4" w:space="0" w:color="000000"/>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60"/>
              <w:jc w:val="right"/>
              <w:rPr>
                <w:rFonts w:ascii="宋体" w:hAnsi="宋体" w:cs="宋体" w:eastAsia="宋体" w:hint="default"/>
                <w:sz w:val="21"/>
                <w:szCs w:val="21"/>
              </w:rPr>
            </w:pPr>
            <w:r>
              <w:rPr>
                <w:rFonts w:ascii="宋体" w:hAnsi="宋体" w:cs="宋体" w:eastAsia="宋体" w:hint="default"/>
                <w:sz w:val="21"/>
                <w:szCs w:val="21"/>
              </w:rPr>
              <w:t>合计</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5"/>
              <w:jc w:val="right"/>
              <w:rPr>
                <w:rFonts w:ascii="Times New Roman" w:hAnsi="Times New Roman" w:cs="Times New Roman" w:eastAsia="Times New Roman" w:hint="default"/>
                <w:sz w:val="21"/>
                <w:szCs w:val="21"/>
              </w:rPr>
            </w:pPr>
            <w:r>
              <w:rPr>
                <w:rFonts w:ascii="Times New Roman"/>
                <w:spacing w:val="-1"/>
                <w:sz w:val="21"/>
              </w:rPr>
              <w:t>183,156.53</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7"/>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13"/>
        <w:rPr>
          <w:rFonts w:ascii="宋体" w:hAnsi="宋体" w:cs="宋体" w:eastAsia="宋体" w:hint="default"/>
          <w:sz w:val="28"/>
          <w:szCs w:val="28"/>
        </w:rPr>
      </w:pPr>
    </w:p>
    <w:p>
      <w:pPr>
        <w:pStyle w:val="Heading4"/>
        <w:spacing w:line="240" w:lineRule="auto"/>
        <w:ind w:left="137" w:right="0"/>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5"/>
        </w:rPr>
        <w:t> </w:t>
      </w:r>
      <w:r>
        <w:rPr/>
        <w:t>重要逾期利息</w:t>
      </w:r>
      <w:r>
        <w:rPr>
          <w:b w:val="0"/>
          <w:bCs w:val="0"/>
        </w:rPr>
      </w:r>
    </w:p>
    <w:p>
      <w:pPr>
        <w:pStyle w:val="BodyText"/>
        <w:spacing w:line="314" w:lineRule="auto" w:before="129"/>
        <w:ind w:left="137" w:right="6894" w:firstLine="480"/>
        <w:jc w:val="left"/>
      </w:pPr>
      <w:r>
        <w:rPr/>
        <w:t>□适用 √不适用</w:t>
      </w:r>
      <w:r>
        <w:rPr>
          <w:w w:val="100"/>
        </w:rPr>
        <w:t> </w:t>
      </w:r>
      <w:r>
        <w:rPr/>
        <w:t>其他说明：</w:t>
      </w:r>
    </w:p>
    <w:p>
      <w:pPr>
        <w:pStyle w:val="BodyText"/>
        <w:tabs>
          <w:tab w:pos="1082" w:val="left" w:leader="none"/>
        </w:tabs>
        <w:spacing w:line="240" w:lineRule="auto" w:before="20"/>
        <w:ind w:left="137" w:right="0"/>
        <w:jc w:val="left"/>
      </w:pPr>
      <w:r>
        <w:rPr/>
        <w:t>□适用</w:t>
        <w:tab/>
        <w:t>√不适用</w:t>
      </w:r>
    </w:p>
    <w:p>
      <w:pPr>
        <w:pStyle w:val="Heading4"/>
        <w:spacing w:line="240" w:lineRule="auto" w:before="145"/>
        <w:ind w:left="137" w:right="0"/>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5"/>
        </w:rPr>
        <w:t> </w:t>
      </w:r>
      <w:r>
        <w:rPr/>
        <w:t>应收股利</w:t>
      </w:r>
      <w:r>
        <w:rPr>
          <w:b w:val="0"/>
          <w:bCs w:val="0"/>
        </w:rPr>
      </w:r>
    </w:p>
    <w:p>
      <w:pPr>
        <w:pStyle w:val="BodyText"/>
        <w:spacing w:line="240" w:lineRule="auto" w:before="129"/>
        <w:ind w:left="617" w:right="0"/>
        <w:jc w:val="left"/>
      </w:pPr>
      <w:r>
        <w:rPr/>
        <w:t>□适用 √不适用</w:t>
      </w:r>
    </w:p>
    <w:p>
      <w:pPr>
        <w:pStyle w:val="Heading4"/>
        <w:spacing w:line="240" w:lineRule="auto" w:before="145"/>
        <w:ind w:left="137" w:right="0"/>
        <w:jc w:val="left"/>
        <w:rPr>
          <w:b w:val="0"/>
          <w:bCs w:val="0"/>
        </w:rPr>
      </w:pPr>
      <w:r>
        <w:rPr>
          <w:rFonts w:ascii="Times New Roman" w:hAnsi="Times New Roman" w:cs="Times New Roman" w:eastAsia="Times New Roman" w:hint="default"/>
        </w:rPr>
        <w:t>(5).  </w:t>
      </w:r>
      <w:r>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年的应收股利</w:t>
      </w:r>
      <w:r>
        <w:rPr>
          <w:b w:val="0"/>
          <w:bCs w:val="0"/>
        </w:rPr>
      </w:r>
    </w:p>
    <w:p>
      <w:pPr>
        <w:pStyle w:val="BodyText"/>
        <w:spacing w:line="314" w:lineRule="auto" w:before="129"/>
        <w:ind w:left="137" w:right="6894" w:firstLine="480"/>
        <w:jc w:val="left"/>
      </w:pPr>
      <w:r>
        <w:rPr/>
        <w:t>□适用 √不适用</w:t>
      </w:r>
      <w:r>
        <w:rPr>
          <w:w w:val="100"/>
        </w:rPr>
        <w:t> </w:t>
      </w:r>
      <w:r>
        <w:rPr/>
        <w:t>其他说明：</w:t>
      </w:r>
    </w:p>
    <w:p>
      <w:pPr>
        <w:pStyle w:val="BodyText"/>
        <w:spacing w:line="240" w:lineRule="auto" w:before="20"/>
        <w:ind w:left="617" w:right="0"/>
        <w:jc w:val="left"/>
      </w:pPr>
      <w:r>
        <w:rPr/>
        <w:t>□适用 √不适用</w:t>
      </w:r>
    </w:p>
    <w:p>
      <w:pPr>
        <w:spacing w:after="0" w:line="240" w:lineRule="auto"/>
        <w:jc w:val="left"/>
        <w:sectPr>
          <w:type w:val="continuous"/>
          <w:pgSz w:w="11910" w:h="16840"/>
          <w:pgMar w:top="1580" w:bottom="280" w:left="1140" w:right="16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48"/>
          <w:footerReference w:type="default" r:id="rId49"/>
          <w:pgSz w:w="16840" w:h="11910" w:orient="landscape"/>
          <w:pgMar w:header="857" w:footer="980" w:top="1120" w:bottom="1160" w:left="1380" w:right="1320"/>
          <w:pgNumType w:start="146"/>
        </w:sectPr>
      </w:pPr>
    </w:p>
    <w:p>
      <w:pPr>
        <w:pStyle w:val="Heading4"/>
        <w:spacing w:line="240" w:lineRule="auto"/>
        <w:ind w:left="144" w:right="-19"/>
        <w:jc w:val="left"/>
        <w:rPr>
          <w:b w:val="0"/>
          <w:bCs w:val="0"/>
        </w:rPr>
      </w:pPr>
      <w:r>
        <w:rPr/>
        <w:t>其他应收款</w:t>
      </w:r>
      <w:r>
        <w:rPr>
          <w:b w:val="0"/>
          <w:bCs w:val="0"/>
        </w:rPr>
      </w:r>
    </w:p>
    <w:p>
      <w:pPr>
        <w:pStyle w:val="Heading4"/>
        <w:spacing w:line="240" w:lineRule="auto" w:before="58"/>
        <w:ind w:left="144" w:right="-19"/>
        <w:jc w:val="left"/>
        <w:rPr>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27"/>
        </w:rPr>
        <w:t> </w:t>
      </w:r>
      <w:r>
        <w:rPr/>
        <w:t>其他应收款分类披露</w:t>
      </w:r>
      <w:r>
        <w:rPr>
          <w:b w:val="0"/>
          <w:bCs w:val="0"/>
        </w:rPr>
      </w:r>
    </w:p>
    <w:p>
      <w:pPr>
        <w:pStyle w:val="BodyText"/>
        <w:spacing w:line="240" w:lineRule="auto" w:before="40"/>
        <w:ind w:left="62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95" w:val="left" w:leader="none"/>
        </w:tabs>
        <w:spacing w:line="240" w:lineRule="auto"/>
        <w:ind w:left="144" w:right="0"/>
        <w:jc w:val="left"/>
      </w:pPr>
      <w:r>
        <w:rPr>
          <w:spacing w:val="-1"/>
        </w:rPr>
        <w:t>单位：元</w:t>
        <w:tab/>
        <w:t>币种：人民币</w:t>
      </w:r>
    </w:p>
    <w:p>
      <w:pPr>
        <w:spacing w:after="0" w:line="240" w:lineRule="auto"/>
        <w:jc w:val="left"/>
        <w:sectPr>
          <w:type w:val="continuous"/>
          <w:pgSz w:w="16840" w:h="11910" w:orient="landscape"/>
          <w:pgMar w:top="1580" w:bottom="280" w:left="1380" w:right="1320"/>
          <w:cols w:num="2" w:equalWidth="0">
            <w:col w:w="2473" w:space="8987"/>
            <w:col w:w="2680"/>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839"/>
        <w:gridCol w:w="1277"/>
        <w:gridCol w:w="850"/>
        <w:gridCol w:w="1274"/>
        <w:gridCol w:w="994"/>
        <w:gridCol w:w="1702"/>
        <w:gridCol w:w="1416"/>
        <w:gridCol w:w="853"/>
        <w:gridCol w:w="1416"/>
        <w:gridCol w:w="852"/>
        <w:gridCol w:w="1275"/>
      </w:tblGrid>
      <w:tr>
        <w:trPr>
          <w:trHeight w:val="370" w:hRule="exact"/>
        </w:trPr>
        <w:tc>
          <w:tcPr>
            <w:tcW w:w="18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0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8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2" w:hRule="exact"/>
        </w:trPr>
        <w:tc>
          <w:tcPr>
            <w:tcW w:w="1839" w:type="dxa"/>
            <w:vMerge/>
            <w:tcBorders>
              <w:left w:val="single" w:sz="4" w:space="0" w:color="000000"/>
              <w:right w:val="single" w:sz="4" w:space="0" w:color="000000"/>
            </w:tcBorders>
          </w:tcPr>
          <w:p>
            <w:pP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14" w:lineRule="auto"/>
              <w:ind w:left="636" w:right="631"/>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14" w:lineRule="auto"/>
              <w:ind w:left="422" w:right="41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730" w:hRule="exact"/>
        </w:trPr>
        <w:tc>
          <w:tcPr>
            <w:tcW w:w="1839"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227" w:right="207" w:hanging="2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302" w:right="65" w:hanging="228"/>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02"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230" w:right="207" w:hanging="2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24" w:right="101" w:hanging="20"/>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75" w:type="dxa"/>
            <w:vMerge/>
            <w:tcBorders>
              <w:left w:val="single" w:sz="4" w:space="0" w:color="000000"/>
              <w:bottom w:val="single" w:sz="4" w:space="0" w:color="000000"/>
              <w:right w:val="single" w:sz="4" w:space="0" w:color="000000"/>
            </w:tcBorders>
          </w:tcPr>
          <w:p>
            <w:pPr/>
          </w:p>
        </w:tc>
      </w:tr>
      <w:tr>
        <w:trPr>
          <w:trHeight w:val="109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23"/>
              <w:jc w:val="both"/>
              <w:rPr>
                <w:rFonts w:ascii="宋体" w:hAnsi="宋体" w:cs="宋体" w:eastAsia="宋体" w:hint="default"/>
                <w:sz w:val="21"/>
                <w:szCs w:val="21"/>
              </w:rPr>
            </w:pPr>
            <w:r>
              <w:rPr>
                <w:rFonts w:ascii="宋体" w:hAnsi="宋体" w:cs="宋体" w:eastAsia="宋体" w:hint="default"/>
                <w:spacing w:val="9"/>
                <w:sz w:val="21"/>
                <w:szCs w:val="21"/>
              </w:rPr>
              <w:t>单项金额重大并单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独计提坏账准备的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其他应收款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109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23"/>
              <w:jc w:val="both"/>
              <w:rPr>
                <w:rFonts w:ascii="宋体" w:hAnsi="宋体" w:cs="宋体" w:eastAsia="宋体" w:hint="default"/>
                <w:sz w:val="21"/>
                <w:szCs w:val="21"/>
              </w:rPr>
            </w:pPr>
            <w:r>
              <w:rPr>
                <w:rFonts w:ascii="宋体" w:hAnsi="宋体" w:cs="宋体" w:eastAsia="宋体" w:hint="default"/>
                <w:spacing w:val="9"/>
                <w:sz w:val="21"/>
                <w:szCs w:val="21"/>
              </w:rPr>
              <w:t>按信用风险特征组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合计提坏账准备的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其他应收款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54,968,895.88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7" w:right="0"/>
              <w:jc w:val="center"/>
              <w:rPr>
                <w:rFonts w:ascii="Times New Roman" w:hAnsi="Times New Roman" w:cs="Times New Roman" w:eastAsia="Times New Roman" w:hint="default"/>
                <w:sz w:val="21"/>
                <w:szCs w:val="21"/>
              </w:rPr>
            </w:pPr>
            <w:r>
              <w:rPr>
                <w:rFonts w:ascii="Times New Roman"/>
                <w:sz w:val="21"/>
              </w:rPr>
              <w:t>8,613,577.46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15.67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46,355,318.42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54,934,992.35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5,723,732.71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10.42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49,211,259.64</w:t>
            </w:r>
          </w:p>
        </w:tc>
      </w:tr>
      <w:tr>
        <w:trPr>
          <w:trHeight w:val="37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1</w:t>
            </w:r>
            <w:r>
              <w:rPr>
                <w:rFonts w:ascii="宋体" w:hAnsi="宋体" w:cs="宋体" w:eastAsia="宋体" w:hint="default"/>
                <w:sz w:val="21"/>
                <w:szCs w:val="21"/>
              </w:rPr>
              <w:t>：账龄组合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center"/>
              <w:rPr>
                <w:rFonts w:ascii="Times New Roman" w:hAnsi="Times New Roman" w:cs="Times New Roman" w:eastAsia="Times New Roman" w:hint="default"/>
                <w:sz w:val="21"/>
                <w:szCs w:val="21"/>
              </w:rPr>
            </w:pPr>
            <w:r>
              <w:rPr>
                <w:rFonts w:ascii="Times New Roman"/>
                <w:sz w:val="21"/>
              </w:rPr>
              <w:t>54,968,895.88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21"/>
                <w:szCs w:val="21"/>
              </w:rPr>
            </w:pPr>
            <w:r>
              <w:rPr>
                <w:rFonts w:ascii="Times New Roman"/>
                <w:sz w:val="21"/>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center"/>
              <w:rPr>
                <w:rFonts w:ascii="Times New Roman" w:hAnsi="Times New Roman" w:cs="Times New Roman" w:eastAsia="Times New Roman" w:hint="default"/>
                <w:sz w:val="21"/>
                <w:szCs w:val="21"/>
              </w:rPr>
            </w:pPr>
            <w:r>
              <w:rPr>
                <w:rFonts w:ascii="Times New Roman"/>
                <w:sz w:val="21"/>
              </w:rPr>
              <w:t>8,613,577.46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5" w:right="0"/>
              <w:jc w:val="left"/>
              <w:rPr>
                <w:rFonts w:ascii="Times New Roman" w:hAnsi="Times New Roman" w:cs="Times New Roman" w:eastAsia="Times New Roman" w:hint="default"/>
                <w:sz w:val="21"/>
                <w:szCs w:val="21"/>
              </w:rPr>
            </w:pPr>
            <w:r>
              <w:rPr>
                <w:rFonts w:ascii="Times New Roman"/>
                <w:sz w:val="21"/>
              </w:rPr>
              <w:t>15.67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46,355,318.42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54,934,992.35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5,723,732.71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sz w:val="21"/>
              </w:rPr>
              <w:t>10.42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49,211,259.64</w:t>
            </w:r>
          </w:p>
        </w:tc>
      </w:tr>
      <w:tr>
        <w:trPr>
          <w:trHeight w:val="109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23"/>
              <w:jc w:val="both"/>
              <w:rPr>
                <w:rFonts w:ascii="宋体" w:hAnsi="宋体" w:cs="宋体" w:eastAsia="宋体" w:hint="default"/>
                <w:sz w:val="21"/>
                <w:szCs w:val="21"/>
              </w:rPr>
            </w:pPr>
            <w:r>
              <w:rPr>
                <w:rFonts w:ascii="宋体" w:hAnsi="宋体" w:cs="宋体" w:eastAsia="宋体" w:hint="default"/>
                <w:spacing w:val="9"/>
                <w:sz w:val="21"/>
                <w:szCs w:val="21"/>
              </w:rPr>
              <w:t>单项金额不重大但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单独计提坏账准备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的其他应收款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 w:right="0"/>
              <w:jc w:val="center"/>
              <w:rPr>
                <w:rFonts w:ascii="Times New Roman" w:hAnsi="Times New Roman" w:cs="Times New Roman" w:eastAsia="Times New Roman" w:hint="default"/>
                <w:sz w:val="21"/>
                <w:szCs w:val="21"/>
              </w:rPr>
            </w:pPr>
            <w:r>
              <w:rPr>
                <w:rFonts w:ascii="Times New Roman"/>
                <w:sz w:val="21"/>
              </w:rPr>
              <w:t>54,968,895.88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21"/>
                <w:szCs w:val="21"/>
              </w:rPr>
            </w:pPr>
            <w:r>
              <w:rPr>
                <w:rFonts w:ascii="Times New Roman"/>
                <w:sz w:val="21"/>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7" w:right="0"/>
              <w:jc w:val="center"/>
              <w:rPr>
                <w:rFonts w:ascii="Times New Roman" w:hAnsi="Times New Roman" w:cs="Times New Roman" w:eastAsia="Times New Roman" w:hint="default"/>
                <w:sz w:val="21"/>
                <w:szCs w:val="21"/>
              </w:rPr>
            </w:pPr>
            <w:r>
              <w:rPr>
                <w:rFonts w:ascii="Times New Roman"/>
                <w:sz w:val="21"/>
              </w:rPr>
              <w:t>8,613,577.46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z w:val="21"/>
              </w:rPr>
              <w:t>15.67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21"/>
                <w:szCs w:val="21"/>
              </w:rPr>
            </w:pPr>
            <w:r>
              <w:rPr>
                <w:rFonts w:ascii="Times New Roman"/>
                <w:spacing w:val="-1"/>
                <w:sz w:val="21"/>
              </w:rPr>
              <w:t>46,355,318.42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54,934,992.35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21"/>
                <w:szCs w:val="21"/>
              </w:rPr>
            </w:pPr>
            <w:r>
              <w:rPr>
                <w:rFonts w:ascii="Times New Roman"/>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5,723,732.71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21"/>
                <w:szCs w:val="21"/>
              </w:rPr>
            </w:pPr>
            <w:r>
              <w:rPr>
                <w:rFonts w:ascii="Times New Roman"/>
                <w:w w:val="100"/>
                <w:sz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49,211,259.64</w:t>
            </w:r>
          </w:p>
        </w:tc>
      </w:tr>
    </w:tbl>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6840" w:h="11910" w:orient="landscape"/>
          <w:pgMar w:top="1580" w:bottom="280" w:left="1380" w:right="1320"/>
        </w:sectPr>
      </w:pPr>
    </w:p>
    <w:p>
      <w:pPr>
        <w:pStyle w:val="BodyText"/>
        <w:spacing w:line="275" w:lineRule="exact" w:before="36"/>
        <w:ind w:left="144" w:right="0"/>
        <w:jc w:val="left"/>
      </w:pPr>
      <w:r>
        <w:rPr>
          <w:spacing w:val="-2"/>
        </w:rPr>
        <w:t>期末单项金额重大并单项计提坏账准备的其他应收款</w:t>
      </w:r>
    </w:p>
    <w:p>
      <w:pPr>
        <w:pStyle w:val="BodyText"/>
        <w:spacing w:line="272" w:lineRule="exact" w:before="27"/>
        <w:ind w:left="144" w:right="0" w:firstLine="48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9" w:lineRule="exact"/>
        <w:ind w:left="62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tabs>
          <w:tab w:pos="1195" w:val="left" w:leader="none"/>
        </w:tabs>
        <w:spacing w:line="240" w:lineRule="auto"/>
        <w:ind w:left="144" w:right="0"/>
        <w:jc w:val="left"/>
      </w:pPr>
      <w:r>
        <w:rPr>
          <w:spacing w:val="-1"/>
        </w:rPr>
        <w:t>单位：元</w:t>
        <w:tab/>
        <w:t>币种：人民币</w:t>
      </w:r>
    </w:p>
    <w:p>
      <w:pPr>
        <w:spacing w:after="0" w:line="240" w:lineRule="auto"/>
        <w:jc w:val="left"/>
        <w:sectPr>
          <w:type w:val="continuous"/>
          <w:pgSz w:w="16840" w:h="11910" w:orient="landscape"/>
          <w:pgMar w:top="1580" w:bottom="280" w:left="1380" w:right="1320"/>
          <w:cols w:num="2" w:equalWidth="0">
            <w:col w:w="4979" w:space="6584"/>
            <w:col w:w="2577"/>
          </w:cols>
        </w:sectPr>
      </w:pPr>
    </w:p>
    <w:p>
      <w:pPr>
        <w:spacing w:line="240" w:lineRule="auto" w:before="5"/>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972"/>
        <w:gridCol w:w="4112"/>
        <w:gridCol w:w="4395"/>
        <w:gridCol w:w="2268"/>
      </w:tblGrid>
      <w:tr>
        <w:trPr>
          <w:trHeight w:val="370" w:hRule="exact"/>
        </w:trPr>
        <w:tc>
          <w:tcPr>
            <w:tcW w:w="297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07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70" w:hRule="exact"/>
        </w:trPr>
        <w:tc>
          <w:tcPr>
            <w:tcW w:w="2972" w:type="dxa"/>
            <w:vMerge/>
            <w:tcBorders>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70"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28,623,082.16</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858,692.45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z w:val="21"/>
              </w:rPr>
              <w:t>3.00</w:t>
            </w:r>
          </w:p>
        </w:tc>
      </w:tr>
      <w:tr>
        <w:trPr>
          <w:trHeight w:val="370" w:hRule="exact"/>
        </w:trPr>
        <w:tc>
          <w:tcPr>
            <w:tcW w:w="137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年以内分项</w:t>
            </w:r>
          </w:p>
        </w:tc>
      </w:tr>
      <w:tr>
        <w:trPr>
          <w:trHeight w:val="37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28,623,082.16</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858,692.45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z w:val="21"/>
              </w:rPr>
              <w:t>3.00</w:t>
            </w:r>
          </w:p>
        </w:tc>
      </w:tr>
      <w:tr>
        <w:trPr>
          <w:trHeight w:val="370"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9,881,226.17</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988,122.62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z w:val="21"/>
              </w:rPr>
              <w:t>10.00</w:t>
            </w:r>
          </w:p>
        </w:tc>
      </w:tr>
      <w:tr>
        <w:trPr>
          <w:trHeight w:val="370"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9,107,351.81</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1,821,470.36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z w:val="21"/>
              </w:rPr>
              <w:t>20.00</w:t>
            </w:r>
          </w:p>
        </w:tc>
      </w:tr>
      <w:tr>
        <w:trPr>
          <w:trHeight w:val="370"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112"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4,042,394.54</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2,021,197.27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z w:val="21"/>
              </w:rPr>
              <w:t>50.00</w:t>
            </w:r>
          </w:p>
        </w:tc>
      </w:tr>
      <w:tr>
        <w:trPr>
          <w:trHeight w:val="370"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1,953,732.21</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1,562,985.77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z w:val="21"/>
              </w:rPr>
              <w:t>80.00</w:t>
            </w:r>
          </w:p>
        </w:tc>
      </w:tr>
      <w:tr>
        <w:trPr>
          <w:trHeight w:val="37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1,361,108.99</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1,361,108.99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21"/>
                <w:szCs w:val="21"/>
              </w:rPr>
            </w:pPr>
            <w:r>
              <w:rPr>
                <w:rFonts w:ascii="Times New Roman"/>
                <w:sz w:val="21"/>
              </w:rPr>
              <w:t>100.00</w:t>
            </w:r>
          </w:p>
        </w:tc>
      </w:tr>
      <w:tr>
        <w:trPr>
          <w:trHeight w:val="370"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54,968,895.88</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8,613,577.46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z w:val="21"/>
              </w:rPr>
              <w:t>15.67</w:t>
            </w:r>
          </w:p>
        </w:tc>
      </w:tr>
    </w:tbl>
    <w:p>
      <w:pPr>
        <w:pStyle w:val="BodyText"/>
        <w:spacing w:line="241" w:lineRule="exact"/>
        <w:ind w:left="224" w:right="0"/>
        <w:jc w:val="left"/>
      </w:pPr>
      <w:r>
        <w:rPr/>
        <w:t>确定该组合依据的说明：</w:t>
      </w:r>
    </w:p>
    <w:p>
      <w:pPr>
        <w:pStyle w:val="BodyText"/>
        <w:spacing w:line="314" w:lineRule="auto" w:before="73"/>
        <w:ind w:left="224" w:right="8332" w:firstLine="480"/>
        <w:jc w:val="left"/>
      </w:pPr>
      <w:r>
        <w:rPr/>
        <w:t>无</w:t>
      </w:r>
      <w:r>
        <w:rPr>
          <w:w w:val="100"/>
        </w:rPr>
        <w:t> </w:t>
      </w:r>
      <w:r>
        <w:rPr>
          <w:spacing w:val="-2"/>
        </w:rPr>
        <w:t>组合中，采用余额百分比法计提坏账准备的其他应收款</w:t>
      </w:r>
    </w:p>
    <w:p>
      <w:pPr>
        <w:pStyle w:val="BodyText"/>
        <w:spacing w:line="314" w:lineRule="auto" w:before="20"/>
        <w:ind w:left="224" w:right="7797" w:firstLine="480"/>
        <w:jc w:val="left"/>
      </w:pPr>
      <w:r>
        <w:rPr/>
        <w:t>□适用</w:t>
      </w:r>
      <w:r>
        <w:rPr>
          <w:spacing w:val="-2"/>
        </w:rPr>
        <w:t> </w:t>
      </w:r>
      <w:r>
        <w:rPr/>
        <w:t>√不适用</w:t>
      </w:r>
      <w:r>
        <w:rPr>
          <w:w w:val="100"/>
        </w:rPr>
        <w:t> </w:t>
      </w:r>
      <w:r>
        <w:rPr>
          <w:spacing w:val="-2"/>
        </w:rPr>
        <w:t>组合中，采用其他方法计提坏账准备的其他应收款</w:t>
      </w:r>
    </w:p>
    <w:p>
      <w:pPr>
        <w:pStyle w:val="BodyText"/>
        <w:spacing w:line="240" w:lineRule="auto" w:before="20"/>
        <w:ind w:left="704" w:right="0"/>
        <w:jc w:val="left"/>
      </w:pPr>
      <w:r>
        <w:rPr/>
        <w:t>□适用 √不适用</w:t>
      </w:r>
    </w:p>
    <w:p>
      <w:pPr>
        <w:spacing w:after="0" w:line="240" w:lineRule="auto"/>
        <w:jc w:val="left"/>
        <w:sectPr>
          <w:pgSz w:w="16840" w:h="11910" w:orient="landscape"/>
          <w:pgMar w:header="857" w:footer="980" w:top="1120" w:bottom="1160" w:left="1300" w:right="13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50"/>
          <w:footerReference w:type="default" r:id="rId51"/>
          <w:pgSz w:w="11910" w:h="16840"/>
          <w:pgMar w:header="857" w:footer="979" w:top="1120" w:bottom="1160" w:left="1060" w:right="1660"/>
          <w:pgNumType w:start="148"/>
        </w:sectPr>
      </w:pPr>
    </w:p>
    <w:p>
      <w:pPr>
        <w:pStyle w:val="Heading4"/>
        <w:spacing w:line="240" w:lineRule="auto"/>
        <w:ind w:left="217" w:right="-19"/>
        <w:jc w:val="left"/>
        <w:rPr>
          <w:b w:val="0"/>
          <w:bCs w:val="0"/>
        </w:rPr>
      </w:pPr>
      <w:r>
        <w:rPr>
          <w:rFonts w:ascii="Times New Roman" w:hAnsi="Times New Roman" w:cs="Times New Roman" w:eastAsia="Times New Roman" w:hint="default"/>
        </w:rPr>
        <w:t>(7). </w:t>
      </w:r>
      <w:r>
        <w:rPr>
          <w:rFonts w:ascii="Times New Roman" w:hAnsi="Times New Roman" w:cs="Times New Roman" w:eastAsia="Times New Roman" w:hint="default"/>
          <w:spacing w:val="27"/>
        </w:rPr>
        <w:t> </w:t>
      </w:r>
      <w:r>
        <w:rPr/>
        <w:t>按款项性质分类情况</w:t>
      </w:r>
      <w:r>
        <w:rPr>
          <w:b w:val="0"/>
          <w:bCs w:val="0"/>
        </w:rPr>
      </w:r>
    </w:p>
    <w:p>
      <w:pPr>
        <w:pStyle w:val="BodyText"/>
        <w:spacing w:line="240" w:lineRule="auto" w:before="40"/>
        <w:ind w:left="69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2546" w:space="3976"/>
            <w:col w:w="26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01"/>
        <w:gridCol w:w="2907"/>
        <w:gridCol w:w="2917"/>
      </w:tblGrid>
      <w:tr>
        <w:trPr>
          <w:trHeight w:val="370"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2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70"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26,645,163.44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31,276,219.4</w:t>
            </w:r>
          </w:p>
        </w:tc>
      </w:tr>
      <w:tr>
        <w:trPr>
          <w:trHeight w:val="37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招投标保证金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16,909,157.78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18,588,861.30</w:t>
            </w:r>
          </w:p>
        </w:tc>
      </w:tr>
      <w:tr>
        <w:trPr>
          <w:trHeight w:val="370"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日常业务暂付款及备用金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6,033,930.97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3,743,249.52</w:t>
            </w:r>
          </w:p>
        </w:tc>
      </w:tr>
      <w:tr>
        <w:trPr>
          <w:trHeight w:val="370"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2,380,643.69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1,326,662.13</w:t>
            </w:r>
          </w:p>
        </w:tc>
      </w:tr>
      <w:tr>
        <w:trPr>
          <w:trHeight w:val="370"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54,968,895.88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54,934,992.35</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before="0"/>
        <w:ind w:left="217" w:right="2631"/>
        <w:jc w:val="left"/>
        <w:rPr>
          <w:b w:val="0"/>
          <w:bCs w:val="0"/>
        </w:rPr>
      </w:pPr>
      <w:r>
        <w:rPr>
          <w:rFonts w:ascii="Times New Roman" w:hAnsi="Times New Roman" w:cs="Times New Roman" w:eastAsia="Times New Roman" w:hint="default"/>
        </w:rPr>
        <w:t>(8). </w:t>
      </w:r>
      <w:r>
        <w:rPr>
          <w:rFonts w:ascii="Times New Roman" w:hAnsi="Times New Roman" w:cs="Times New Roman" w:eastAsia="Times New Roman" w:hint="default"/>
          <w:spacing w:val="24"/>
        </w:rPr>
        <w:t> </w:t>
      </w:r>
      <w:r>
        <w:rPr/>
        <w:t>本期计提、收回或转回的坏账准备情况</w:t>
      </w:r>
      <w:r>
        <w:rPr>
          <w:b w:val="0"/>
          <w:bCs w:val="0"/>
        </w:rPr>
      </w:r>
    </w:p>
    <w:p>
      <w:pPr>
        <w:pStyle w:val="BodyText"/>
        <w:spacing w:line="297" w:lineRule="auto" w:before="129"/>
        <w:ind w:left="217" w:right="47" w:firstLine="420"/>
        <w:jc w:val="left"/>
      </w:pPr>
      <w:r>
        <w:rPr/>
        <w:t>本期计提坏账准备金额</w:t>
      </w:r>
      <w:r>
        <w:rPr>
          <w:spacing w:val="-43"/>
        </w:rPr>
        <w:t> </w:t>
      </w:r>
      <w:r>
        <w:rPr>
          <w:rFonts w:ascii="Times New Roman" w:hAnsi="Times New Roman" w:cs="Times New Roman" w:eastAsia="Times New Roman" w:hint="default"/>
        </w:rPr>
        <w:t>1,093,889.83</w:t>
      </w:r>
      <w:r>
        <w:rPr>
          <w:rFonts w:ascii="Times New Roman" w:hAnsi="Times New Roman" w:cs="Times New Roman" w:eastAsia="Times New Roman" w:hint="default"/>
          <w:spacing w:val="6"/>
        </w:rPr>
        <w:t> </w:t>
      </w:r>
      <w:r>
        <w:rPr>
          <w:spacing w:val="-8"/>
        </w:rPr>
        <w:t>元；本期合并增加坏准备金额为</w:t>
      </w:r>
      <w:r>
        <w:rPr>
          <w:spacing w:val="-57"/>
        </w:rPr>
        <w:t> </w:t>
      </w:r>
      <w:r>
        <w:rPr>
          <w:rFonts w:ascii="Times New Roman" w:hAnsi="Times New Roman" w:cs="Times New Roman" w:eastAsia="Times New Roman" w:hint="default"/>
          <w:spacing w:val="-5"/>
        </w:rPr>
        <w:t>2,012,516.16</w:t>
      </w:r>
      <w:r>
        <w:rPr>
          <w:rFonts w:ascii="Times New Roman" w:hAnsi="Times New Roman" w:cs="Times New Roman" w:eastAsia="Times New Roman" w:hint="default"/>
          <w:spacing w:val="1"/>
        </w:rPr>
        <w:t> </w:t>
      </w:r>
      <w:r>
        <w:rPr>
          <w:spacing w:val="-4"/>
        </w:rPr>
        <w:t>元，本期收</w:t>
      </w:r>
      <w:r>
        <w:rPr>
          <w:w w:val="100"/>
        </w:rPr>
        <w:t> </w:t>
      </w:r>
      <w:r>
        <w:rPr/>
        <w:t>回或转回坏账准备金额</w:t>
      </w:r>
      <w:r>
        <w:rPr>
          <w:spacing w:val="-54"/>
        </w:rPr>
        <w:t> </w:t>
      </w:r>
      <w:r>
        <w:rPr>
          <w:rFonts w:ascii="Times New Roman" w:hAnsi="Times New Roman" w:cs="Times New Roman" w:eastAsia="Times New Roman" w:hint="default"/>
        </w:rPr>
        <w:t>216,561.24</w:t>
      </w:r>
      <w:r>
        <w:rPr>
          <w:rFonts w:ascii="Times New Roman" w:hAnsi="Times New Roman" w:cs="Times New Roman" w:eastAsia="Times New Roman" w:hint="default"/>
          <w:spacing w:val="-1"/>
        </w:rPr>
        <w:t> </w:t>
      </w:r>
      <w:r>
        <w:rPr>
          <w:spacing w:val="-3"/>
        </w:rPr>
        <w:t>元。</w:t>
      </w:r>
      <w:r>
        <w:rPr/>
      </w:r>
    </w:p>
    <w:p>
      <w:pPr>
        <w:pStyle w:val="BodyText"/>
        <w:spacing w:line="240" w:lineRule="auto" w:before="13"/>
        <w:ind w:left="637" w:right="2631"/>
        <w:jc w:val="left"/>
      </w:pPr>
      <w:r>
        <w:rPr/>
        <w:t>其中本期坏账准备转回或收回金额重要的：</w:t>
      </w:r>
    </w:p>
    <w:p>
      <w:pPr>
        <w:pStyle w:val="BodyText"/>
        <w:spacing w:line="240" w:lineRule="auto" w:before="85"/>
        <w:ind w:left="697" w:right="2631"/>
        <w:jc w:val="left"/>
      </w:pPr>
      <w:r>
        <w:rPr/>
        <w:t>□适用 √不适用</w:t>
      </w:r>
    </w:p>
    <w:p>
      <w:pPr>
        <w:pStyle w:val="Heading4"/>
        <w:spacing w:line="240" w:lineRule="auto" w:before="145"/>
        <w:ind w:left="217" w:right="2631"/>
        <w:jc w:val="left"/>
        <w:rPr>
          <w:b w:val="0"/>
          <w:bCs w:val="0"/>
        </w:rPr>
      </w:pPr>
      <w:r>
        <w:rPr>
          <w:rFonts w:ascii="Times New Roman" w:hAnsi="Times New Roman" w:cs="Times New Roman" w:eastAsia="Times New Roman" w:hint="default"/>
        </w:rPr>
        <w:t>(9). </w:t>
      </w:r>
      <w:r>
        <w:rPr>
          <w:rFonts w:ascii="Times New Roman" w:hAnsi="Times New Roman" w:cs="Times New Roman" w:eastAsia="Times New Roman" w:hint="default"/>
          <w:spacing w:val="23"/>
        </w:rPr>
        <w:t> </w:t>
      </w:r>
      <w:r>
        <w:rPr/>
        <w:t>本期实际核销的其他应收款情况</w:t>
      </w:r>
      <w:r>
        <w:rPr>
          <w:b w:val="0"/>
          <w:bCs w:val="0"/>
        </w:rPr>
      </w:r>
    </w:p>
    <w:p>
      <w:pPr>
        <w:pStyle w:val="BodyText"/>
        <w:spacing w:line="240" w:lineRule="auto" w:before="53"/>
        <w:ind w:left="697" w:right="2631"/>
        <w:jc w:val="left"/>
      </w:pPr>
      <w:r>
        <w:rPr/>
        <w:t>□适用 √不适用</w:t>
      </w:r>
    </w:p>
    <w:p>
      <w:pPr>
        <w:pStyle w:val="Heading4"/>
        <w:spacing w:line="240" w:lineRule="auto" w:before="58"/>
        <w:ind w:left="217" w:right="2631"/>
        <w:jc w:val="left"/>
        <w:rPr>
          <w:b w:val="0"/>
          <w:bCs w:val="0"/>
        </w:rPr>
      </w:pPr>
      <w:r>
        <w:rPr>
          <w:rFonts w:ascii="Times New Roman" w:hAnsi="Times New Roman" w:cs="Times New Roman" w:eastAsia="Times New Roman" w:hint="default"/>
        </w:rPr>
        <w:t>(10).</w:t>
      </w:r>
      <w:r>
        <w:rPr>
          <w:rFonts w:ascii="Times New Roman" w:hAnsi="Times New Roman" w:cs="Times New Roman" w:eastAsia="Times New Roman" w:hint="default"/>
          <w:spacing w:val="-30"/>
        </w:rPr>
        <w:t> </w:t>
      </w:r>
      <w:r>
        <w:rPr/>
        <w:t>按欠款方归集的期末余额前五名的其他应收款情况</w:t>
      </w:r>
      <w:r>
        <w:rPr>
          <w:b w:val="0"/>
          <w:bCs w:val="0"/>
        </w:rPr>
      </w:r>
    </w:p>
    <w:p>
      <w:pPr>
        <w:pStyle w:val="BodyText"/>
        <w:spacing w:line="240" w:lineRule="auto" w:before="40"/>
        <w:ind w:left="697" w:right="2631"/>
        <w:jc w:val="left"/>
      </w:pPr>
      <w:r>
        <w:rPr/>
        <w:t>√适用 □不适用</w:t>
      </w:r>
    </w:p>
    <w:p>
      <w:pPr>
        <w:pStyle w:val="BodyText"/>
        <w:tabs>
          <w:tab w:pos="1051" w:val="left" w:leader="none"/>
        </w:tabs>
        <w:spacing w:line="274" w:lineRule="exact"/>
        <w:ind w:left="0" w:right="1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697"/>
        <w:gridCol w:w="1419"/>
        <w:gridCol w:w="1274"/>
        <w:gridCol w:w="1560"/>
        <w:gridCol w:w="1416"/>
        <w:gridCol w:w="1457"/>
      </w:tblGrid>
      <w:tr>
        <w:trPr>
          <w:trHeight w:val="109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39"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7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70"/>
              <w:jc w:val="center"/>
              <w:rPr>
                <w:rFonts w:ascii="宋体" w:hAnsi="宋体" w:cs="宋体" w:eastAsia="宋体" w:hint="default"/>
                <w:sz w:val="21"/>
                <w:szCs w:val="21"/>
              </w:rPr>
            </w:pPr>
            <w:r>
              <w:rPr>
                <w:rFonts w:ascii="宋体" w:hAnsi="宋体" w:cs="宋体" w:eastAsia="宋体" w:hint="default"/>
                <w:sz w:val="21"/>
                <w:szCs w:val="21"/>
              </w:rPr>
              <w:t>账龄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72" w:right="69"/>
              <w:jc w:val="both"/>
              <w:rPr>
                <w:rFonts w:ascii="宋体" w:hAnsi="宋体" w:cs="宋体" w:eastAsia="宋体" w:hint="default"/>
                <w:sz w:val="21"/>
                <w:szCs w:val="21"/>
              </w:rPr>
            </w:pPr>
            <w:r>
              <w:rPr>
                <w:rFonts w:ascii="宋体" w:hAnsi="宋体" w:cs="宋体" w:eastAsia="宋体" w:hint="default"/>
                <w:sz w:val="21"/>
                <w:szCs w:val="21"/>
              </w:rPr>
              <w:t>占其他应收款</w:t>
            </w:r>
            <w:r>
              <w:rPr>
                <w:rFonts w:ascii="宋体" w:hAnsi="宋体" w:cs="宋体" w:eastAsia="宋体" w:hint="default"/>
                <w:w w:val="100"/>
                <w:sz w:val="21"/>
                <w:szCs w:val="21"/>
              </w:rPr>
              <w:t> </w:t>
            </w: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302" w:right="30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73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129"/>
              <w:jc w:val="left"/>
              <w:rPr>
                <w:rFonts w:ascii="宋体" w:hAnsi="宋体" w:cs="宋体" w:eastAsia="宋体" w:hint="default"/>
                <w:sz w:val="21"/>
                <w:szCs w:val="21"/>
              </w:rPr>
            </w:pPr>
            <w:r>
              <w:rPr>
                <w:rFonts w:ascii="宋体" w:hAnsi="宋体" w:cs="宋体" w:eastAsia="宋体" w:hint="default"/>
                <w:spacing w:val="6"/>
                <w:sz w:val="21"/>
                <w:szCs w:val="21"/>
              </w:rPr>
              <w:t>其他应收款客户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4,703,654.00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年以内及</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至</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3</w:t>
            </w:r>
          </w:p>
          <w:p>
            <w:pPr>
              <w:pStyle w:val="TableParagraph"/>
              <w:spacing w:line="240" w:lineRule="auto" w:before="69"/>
              <w:ind w:left="26"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8.56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497,049.95</w:t>
            </w:r>
          </w:p>
        </w:tc>
      </w:tr>
      <w:tr>
        <w:trPr>
          <w:trHeight w:val="73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129"/>
              <w:jc w:val="left"/>
              <w:rPr>
                <w:rFonts w:ascii="宋体" w:hAnsi="宋体" w:cs="宋体" w:eastAsia="宋体" w:hint="default"/>
                <w:sz w:val="21"/>
                <w:szCs w:val="21"/>
              </w:rPr>
            </w:pPr>
            <w:r>
              <w:rPr>
                <w:rFonts w:ascii="宋体" w:hAnsi="宋体" w:cs="宋体" w:eastAsia="宋体" w:hint="default"/>
                <w:spacing w:val="6"/>
                <w:sz w:val="21"/>
                <w:szCs w:val="21"/>
              </w:rPr>
              <w:t>其他应收款客户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5.46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90,000</w:t>
            </w:r>
          </w:p>
        </w:tc>
      </w:tr>
      <w:tr>
        <w:trPr>
          <w:trHeight w:val="73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129"/>
              <w:jc w:val="left"/>
              <w:rPr>
                <w:rFonts w:ascii="宋体" w:hAnsi="宋体" w:cs="宋体" w:eastAsia="宋体" w:hint="default"/>
                <w:sz w:val="21"/>
                <w:szCs w:val="21"/>
              </w:rPr>
            </w:pPr>
            <w:r>
              <w:rPr>
                <w:rFonts w:ascii="宋体" w:hAnsi="宋体" w:cs="宋体" w:eastAsia="宋体" w:hint="default"/>
                <w:spacing w:val="6"/>
                <w:sz w:val="21"/>
                <w:szCs w:val="21"/>
              </w:rPr>
              <w:t>其他应收款客户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三</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2,748,860.50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549,772.10</w:t>
            </w:r>
          </w:p>
        </w:tc>
      </w:tr>
      <w:tr>
        <w:trPr>
          <w:trHeight w:val="73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129"/>
              <w:jc w:val="left"/>
              <w:rPr>
                <w:rFonts w:ascii="宋体" w:hAnsi="宋体" w:cs="宋体" w:eastAsia="宋体" w:hint="default"/>
                <w:sz w:val="21"/>
                <w:szCs w:val="21"/>
              </w:rPr>
            </w:pPr>
            <w:r>
              <w:rPr>
                <w:rFonts w:ascii="宋体" w:hAnsi="宋体" w:cs="宋体" w:eastAsia="宋体" w:hint="default"/>
                <w:spacing w:val="6"/>
                <w:sz w:val="21"/>
                <w:szCs w:val="21"/>
              </w:rPr>
              <w:t>其他应收款客户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四</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3.64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60,000.00</w:t>
            </w:r>
          </w:p>
        </w:tc>
      </w:tr>
      <w:tr>
        <w:trPr>
          <w:trHeight w:val="73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129"/>
              <w:jc w:val="left"/>
              <w:rPr>
                <w:rFonts w:ascii="宋体" w:hAnsi="宋体" w:cs="宋体" w:eastAsia="宋体" w:hint="default"/>
                <w:sz w:val="21"/>
                <w:szCs w:val="21"/>
              </w:rPr>
            </w:pPr>
            <w:r>
              <w:rPr>
                <w:rFonts w:ascii="宋体" w:hAnsi="宋体" w:cs="宋体" w:eastAsia="宋体" w:hint="default"/>
                <w:spacing w:val="6"/>
                <w:sz w:val="21"/>
                <w:szCs w:val="21"/>
              </w:rPr>
              <w:t>其他应收款客户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1,788,399.00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3.25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178,839.90</w:t>
            </w:r>
          </w:p>
        </w:tc>
      </w:tr>
      <w:tr>
        <w:trPr>
          <w:trHeight w:val="37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7"/>
              <w:jc w:val="center"/>
              <w:rPr>
                <w:rFonts w:ascii="宋体" w:hAnsi="宋体" w:cs="宋体" w:eastAsia="宋体" w:hint="default"/>
                <w:sz w:val="21"/>
                <w:szCs w:val="21"/>
              </w:rPr>
            </w:pPr>
            <w:r>
              <w:rPr>
                <w:rFonts w:ascii="宋体"/>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21"/>
                <w:szCs w:val="21"/>
              </w:rPr>
            </w:pPr>
            <w:r>
              <w:rPr>
                <w:rFonts w:ascii="Times New Roman"/>
                <w:spacing w:val="-1"/>
                <w:sz w:val="21"/>
              </w:rPr>
              <w:t>14,240,913.50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5"/>
              <w:jc w:val="center"/>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21"/>
                <w:szCs w:val="21"/>
              </w:rPr>
            </w:pPr>
            <w:r>
              <w:rPr>
                <w:rFonts w:ascii="Times New Roman"/>
                <w:sz w:val="21"/>
              </w:rPr>
              <w:t>25.91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21"/>
                <w:szCs w:val="21"/>
              </w:rPr>
            </w:pPr>
            <w:r>
              <w:rPr>
                <w:rFonts w:ascii="Times New Roman"/>
                <w:spacing w:val="-1"/>
                <w:sz w:val="21"/>
              </w:rPr>
              <w:t>1,375,661.95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60" w:right="1660"/>
        </w:sectPr>
      </w:pP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57" w:footer="979" w:top="1120" w:bottom="1160" w:left="1140" w:right="1640"/>
        </w:sectPr>
      </w:pPr>
    </w:p>
    <w:p>
      <w:pPr>
        <w:pStyle w:val="Heading4"/>
        <w:spacing w:line="240" w:lineRule="auto"/>
        <w:ind w:left="137" w:right="-16"/>
        <w:jc w:val="left"/>
        <w:rPr>
          <w:b w:val="0"/>
          <w:bCs w:val="0"/>
        </w:rPr>
      </w:pPr>
      <w:r>
        <w:rPr>
          <w:rFonts w:ascii="Times New Roman" w:hAnsi="Times New Roman" w:cs="Times New Roman" w:eastAsia="Times New Roman" w:hint="default"/>
        </w:rPr>
        <w:t>(11).</w:t>
      </w:r>
      <w:r>
        <w:rPr>
          <w:rFonts w:ascii="Times New Roman" w:hAnsi="Times New Roman" w:cs="Times New Roman" w:eastAsia="Times New Roman" w:hint="default"/>
          <w:spacing w:val="-28"/>
        </w:rPr>
        <w:t> </w:t>
      </w:r>
      <w:r>
        <w:rPr/>
        <w:t>涉及政府补助的应收款项</w:t>
      </w:r>
      <w:r>
        <w:rPr>
          <w:b w:val="0"/>
          <w:bCs w:val="0"/>
        </w:rPr>
      </w:r>
    </w:p>
    <w:p>
      <w:pPr>
        <w:pStyle w:val="BodyText"/>
        <w:spacing w:line="240" w:lineRule="auto" w:before="129"/>
        <w:ind w:left="617" w:right="-16"/>
        <w:jc w:val="left"/>
      </w:pPr>
      <w:r>
        <w:rPr/>
        <w:t>□适用 √不适用</w:t>
      </w:r>
    </w:p>
    <w:p>
      <w:pPr>
        <w:pStyle w:val="Heading4"/>
        <w:spacing w:line="240" w:lineRule="auto" w:before="145"/>
        <w:ind w:left="137" w:right="-16"/>
        <w:jc w:val="left"/>
        <w:rPr>
          <w:b w:val="0"/>
          <w:bCs w:val="0"/>
        </w:rPr>
      </w:pPr>
      <w:r>
        <w:rPr>
          <w:rFonts w:ascii="Times New Roman" w:hAnsi="Times New Roman" w:cs="Times New Roman" w:eastAsia="Times New Roman" w:hint="default"/>
        </w:rPr>
        <w:t>(12).</w:t>
      </w:r>
      <w:r>
        <w:rPr>
          <w:rFonts w:ascii="Times New Roman" w:hAnsi="Times New Roman" w:cs="Times New Roman" w:eastAsia="Times New Roman" w:hint="default"/>
          <w:spacing w:val="-28"/>
        </w:rPr>
        <w:t> </w:t>
      </w:r>
      <w:r>
        <w:rPr/>
        <w:t>因金融资产转移而终止确认的其他应收款</w:t>
      </w:r>
      <w:r>
        <w:rPr>
          <w:b w:val="0"/>
          <w:bCs w:val="0"/>
        </w:rPr>
      </w:r>
    </w:p>
    <w:p>
      <w:pPr>
        <w:pStyle w:val="BodyText"/>
        <w:tabs>
          <w:tab w:pos="1459" w:val="left" w:leader="none"/>
        </w:tabs>
        <w:spacing w:line="240" w:lineRule="auto" w:before="129"/>
        <w:ind w:left="617" w:right="-16"/>
        <w:jc w:val="left"/>
      </w:pPr>
      <w:r>
        <w:rPr/>
        <w:t>□适用</w:t>
        <w:tab/>
        <w:t>√不适用</w:t>
      </w:r>
    </w:p>
    <w:p>
      <w:pPr>
        <w:pStyle w:val="Heading4"/>
        <w:spacing w:line="240" w:lineRule="auto" w:before="145"/>
        <w:ind w:left="137" w:right="-16"/>
        <w:jc w:val="left"/>
        <w:rPr>
          <w:b w:val="0"/>
          <w:bCs w:val="0"/>
        </w:rPr>
      </w:pPr>
      <w:r>
        <w:rPr>
          <w:rFonts w:ascii="Times New Roman" w:hAnsi="Times New Roman" w:cs="Times New Roman" w:eastAsia="Times New Roman" w:hint="default"/>
        </w:rPr>
        <w:t>(13).</w:t>
      </w:r>
      <w:r>
        <w:rPr>
          <w:rFonts w:ascii="Times New Roman" w:hAnsi="Times New Roman" w:cs="Times New Roman" w:eastAsia="Times New Roman" w:hint="default"/>
          <w:spacing w:val="-32"/>
        </w:rPr>
        <w:t> </w:t>
      </w:r>
      <w:r>
        <w:rPr/>
        <w:t>转移其他应收款且继续涉入形成的资产、负债的金额</w:t>
      </w:r>
      <w:r>
        <w:rPr>
          <w:b w:val="0"/>
          <w:bCs w:val="0"/>
        </w:rPr>
      </w:r>
    </w:p>
    <w:p>
      <w:pPr>
        <w:pStyle w:val="BodyText"/>
        <w:tabs>
          <w:tab w:pos="1459" w:val="left" w:leader="none"/>
        </w:tabs>
        <w:spacing w:line="314" w:lineRule="auto" w:before="129"/>
        <w:ind w:left="619" w:right="3111" w:hanging="3"/>
        <w:jc w:val="left"/>
      </w:pPr>
      <w:r>
        <w:rPr/>
        <w:t>□适用</w:t>
        <w:tab/>
      </w:r>
      <w:r>
        <w:rPr>
          <w:spacing w:val="-2"/>
        </w:rPr>
        <w:t>√不适用</w:t>
      </w:r>
      <w:r>
        <w:rPr>
          <w:spacing w:val="-99"/>
        </w:rPr>
        <w:t> </w:t>
      </w:r>
      <w:r>
        <w:rPr>
          <w:spacing w:val="-99"/>
        </w:rPr>
      </w:r>
      <w:r>
        <w:rPr/>
        <w:t>其他说明：</w:t>
      </w:r>
    </w:p>
    <w:p>
      <w:pPr>
        <w:pStyle w:val="BodyText"/>
        <w:tabs>
          <w:tab w:pos="1459" w:val="left" w:leader="none"/>
        </w:tabs>
        <w:spacing w:line="240" w:lineRule="auto" w:before="20"/>
        <w:ind w:left="617" w:right="-16"/>
        <w:jc w:val="left"/>
      </w:pPr>
      <w:r>
        <w:rPr/>
        <w:t>□适用</w:t>
        <w:tab/>
        <w:t>√不适用</w:t>
      </w:r>
    </w:p>
    <w:p>
      <w:pPr>
        <w:pStyle w:val="Heading4"/>
        <w:spacing w:line="240" w:lineRule="auto" w:before="145"/>
        <w:ind w:left="137" w:right="-16"/>
        <w:jc w:val="left"/>
        <w:rPr>
          <w:b w:val="0"/>
          <w:bCs w:val="0"/>
        </w:rPr>
      </w:pPr>
      <w:r>
        <w:rPr>
          <w:rFonts w:ascii="Times New Roman" w:hAnsi="Times New Roman" w:cs="Times New Roman" w:eastAsia="Times New Roman" w:hint="default"/>
        </w:rPr>
        <w:t>7</w:t>
      </w:r>
      <w:r>
        <w:rPr/>
        <w:t>、</w:t>
      </w:r>
      <w:r>
        <w:rPr>
          <w:spacing w:val="-2"/>
        </w:rPr>
        <w:t> </w:t>
      </w:r>
      <w:r>
        <w:rPr/>
        <w:t>存货</w:t>
      </w:r>
      <w:r>
        <w:rPr>
          <w:b w:val="0"/>
          <w:bCs w:val="0"/>
        </w:rPr>
      </w:r>
    </w:p>
    <w:p>
      <w:pPr>
        <w:pStyle w:val="BodyText"/>
        <w:spacing w:line="240" w:lineRule="auto" w:before="129"/>
        <w:ind w:left="619" w:right="-16"/>
        <w:jc w:val="left"/>
      </w:pPr>
      <w:r>
        <w:rPr/>
        <w:t>存货分类</w:t>
      </w:r>
    </w:p>
    <w:p>
      <w:pPr>
        <w:pStyle w:val="BodyText"/>
        <w:tabs>
          <w:tab w:pos="1459" w:val="left" w:leader="none"/>
        </w:tabs>
        <w:spacing w:line="240" w:lineRule="auto" w:before="85"/>
        <w:ind w:left="617"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88" w:val="left" w:leader="none"/>
        </w:tabs>
        <w:spacing w:line="240" w:lineRule="auto" w:before="152"/>
        <w:ind w:left="137" w:right="0"/>
        <w:jc w:val="left"/>
      </w:pPr>
      <w:r>
        <w:rPr>
          <w:spacing w:val="-1"/>
        </w:rPr>
        <w:t>单位：元</w:t>
        <w:tab/>
        <w:t>币种：人民币</w:t>
      </w:r>
    </w:p>
    <w:p>
      <w:pPr>
        <w:spacing w:after="0" w:line="240" w:lineRule="auto"/>
        <w:jc w:val="left"/>
        <w:sectPr>
          <w:type w:val="continuous"/>
          <w:pgSz w:w="11910" w:h="16840"/>
          <w:pgMar w:top="1580" w:bottom="280" w:left="1140" w:right="1640"/>
          <w:cols w:num="2" w:equalWidth="0">
            <w:col w:w="5413" w:space="1108"/>
            <w:col w:w="260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42"/>
        <w:gridCol w:w="1393"/>
        <w:gridCol w:w="888"/>
        <w:gridCol w:w="1493"/>
        <w:gridCol w:w="1392"/>
        <w:gridCol w:w="862"/>
        <w:gridCol w:w="1393"/>
        <w:gridCol w:w="149"/>
      </w:tblGrid>
      <w:tr>
        <w:trPr>
          <w:trHeight w:val="372" w:hRule="exact"/>
        </w:trPr>
        <w:tc>
          <w:tcPr>
            <w:tcW w:w="13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9" w:type="dxa"/>
            <w:tcBorders>
              <w:top w:val="nil" w:sz="6" w:space="0" w:color="auto"/>
              <w:left w:val="single" w:sz="4" w:space="0" w:color="000000"/>
              <w:bottom w:val="nil" w:sz="6" w:space="0" w:color="auto"/>
              <w:right w:val="nil" w:sz="6" w:space="0" w:color="auto"/>
            </w:tcBorders>
          </w:tcPr>
          <w:p>
            <w:pPr/>
          </w:p>
        </w:tc>
      </w:tr>
      <w:tr>
        <w:trPr>
          <w:trHeight w:val="730" w:hRule="exact"/>
        </w:trPr>
        <w:tc>
          <w:tcPr>
            <w:tcW w:w="1342" w:type="dxa"/>
            <w:vMerge/>
            <w:tcBorders>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33" w:right="120" w:hanging="212"/>
              <w:jc w:val="left"/>
              <w:rPr>
                <w:rFonts w:ascii="宋体" w:hAnsi="宋体" w:cs="宋体" w:eastAsia="宋体" w:hint="default"/>
                <w:sz w:val="21"/>
                <w:szCs w:val="21"/>
              </w:rPr>
            </w:pPr>
            <w:r>
              <w:rPr>
                <w:rFonts w:ascii="宋体" w:hAnsi="宋体" w:cs="宋体" w:eastAsia="宋体" w:hint="default"/>
                <w:sz w:val="21"/>
                <w:szCs w:val="21"/>
              </w:rPr>
              <w:t>跌价准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19" w:right="107" w:hanging="209"/>
              <w:jc w:val="left"/>
              <w:rPr>
                <w:rFonts w:ascii="宋体" w:hAnsi="宋体" w:cs="宋体" w:eastAsia="宋体" w:hint="default"/>
                <w:sz w:val="21"/>
                <w:szCs w:val="21"/>
              </w:rPr>
            </w:pPr>
            <w:r>
              <w:rPr>
                <w:rFonts w:ascii="宋体" w:hAnsi="宋体" w:cs="宋体" w:eastAsia="宋体" w:hint="default"/>
                <w:sz w:val="21"/>
                <w:szCs w:val="21"/>
              </w:rPr>
              <w:t>跌价准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6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9" w:type="dxa"/>
            <w:tcBorders>
              <w:top w:val="nil" w:sz="6" w:space="0" w:color="auto"/>
              <w:left w:val="single" w:sz="4" w:space="0" w:color="000000"/>
              <w:bottom w:val="nil" w:sz="6" w:space="0" w:color="auto"/>
              <w:right w:val="nil" w:sz="6" w:space="0" w:color="auto"/>
            </w:tcBorders>
          </w:tcPr>
          <w:p>
            <w:pPr/>
          </w:p>
        </w:tc>
      </w:tr>
      <w:tr>
        <w:trPr>
          <w:trHeight w:val="370"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9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49" w:type="dxa"/>
            <w:tcBorders>
              <w:top w:val="nil" w:sz="6" w:space="0" w:color="auto"/>
              <w:left w:val="single" w:sz="4" w:space="0" w:color="000000"/>
              <w:bottom w:val="nil" w:sz="6" w:space="0" w:color="auto"/>
              <w:right w:val="nil" w:sz="6" w:space="0" w:color="auto"/>
            </w:tcBorders>
          </w:tcPr>
          <w:p>
            <w:pPr/>
          </w:p>
        </w:tc>
      </w:tr>
      <w:tr>
        <w:trPr>
          <w:trHeight w:val="370"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9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49" w:type="dxa"/>
            <w:tcBorders>
              <w:top w:val="nil" w:sz="6" w:space="0" w:color="auto"/>
              <w:left w:val="single" w:sz="4" w:space="0" w:color="000000"/>
              <w:bottom w:val="nil" w:sz="6" w:space="0" w:color="auto"/>
              <w:right w:val="nil" w:sz="6" w:space="0" w:color="auto"/>
            </w:tcBorders>
          </w:tcPr>
          <w:p>
            <w:pPr/>
          </w:p>
        </w:tc>
      </w:tr>
      <w:tr>
        <w:trPr>
          <w:trHeight w:val="370"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4" w:right="0"/>
              <w:jc w:val="center"/>
              <w:rPr>
                <w:rFonts w:ascii="Times New Roman" w:hAnsi="Times New Roman" w:cs="Times New Roman" w:eastAsia="Times New Roman" w:hint="default"/>
                <w:sz w:val="21"/>
                <w:szCs w:val="21"/>
              </w:rPr>
            </w:pPr>
            <w:r>
              <w:rPr>
                <w:rFonts w:ascii="Times New Roman"/>
                <w:sz w:val="21"/>
              </w:rPr>
              <w:t>18,086,887.24</w:t>
            </w:r>
          </w:p>
        </w:tc>
        <w:tc>
          <w:tcPr>
            <w:tcW w:w="88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18,086,887.24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33,022,515.86</w:t>
            </w:r>
          </w:p>
        </w:tc>
        <w:tc>
          <w:tcPr>
            <w:tcW w:w="86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33,022,515.86</w:t>
            </w:r>
          </w:p>
        </w:tc>
        <w:tc>
          <w:tcPr>
            <w:tcW w:w="149" w:type="dxa"/>
            <w:tcBorders>
              <w:top w:val="nil" w:sz="6" w:space="0" w:color="auto"/>
              <w:left w:val="single" w:sz="4" w:space="0" w:color="000000"/>
              <w:bottom w:val="nil" w:sz="6" w:space="0" w:color="auto"/>
              <w:right w:val="nil" w:sz="6" w:space="0" w:color="auto"/>
            </w:tcBorders>
          </w:tcPr>
          <w:p>
            <w:pPr/>
          </w:p>
        </w:tc>
      </w:tr>
      <w:tr>
        <w:trPr>
          <w:trHeight w:val="370"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39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49" w:type="dxa"/>
            <w:tcBorders>
              <w:top w:val="nil" w:sz="6" w:space="0" w:color="auto"/>
              <w:left w:val="single" w:sz="4" w:space="0" w:color="000000"/>
              <w:bottom w:val="nil" w:sz="6" w:space="0" w:color="auto"/>
              <w:right w:val="nil" w:sz="6" w:space="0" w:color="auto"/>
            </w:tcBorders>
          </w:tcPr>
          <w:p>
            <w:pPr/>
          </w:p>
        </w:tc>
      </w:tr>
      <w:tr>
        <w:trPr>
          <w:trHeight w:val="732"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26" w:right="23"/>
              <w:jc w:val="left"/>
              <w:rPr>
                <w:rFonts w:ascii="宋体" w:hAnsi="宋体" w:cs="宋体" w:eastAsia="宋体" w:hint="default"/>
                <w:sz w:val="21"/>
                <w:szCs w:val="21"/>
              </w:rPr>
            </w:pPr>
            <w:r>
              <w:rPr>
                <w:rFonts w:ascii="宋体" w:hAnsi="宋体" w:cs="宋体" w:eastAsia="宋体" w:hint="default"/>
                <w:sz w:val="21"/>
                <w:szCs w:val="21"/>
              </w:rPr>
              <w:t>消耗性生物资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产</w:t>
            </w:r>
          </w:p>
        </w:tc>
        <w:tc>
          <w:tcPr>
            <w:tcW w:w="139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49" w:type="dxa"/>
            <w:tcBorders>
              <w:top w:val="nil" w:sz="6" w:space="0" w:color="auto"/>
              <w:left w:val="single" w:sz="4" w:space="0" w:color="000000"/>
              <w:bottom w:val="nil" w:sz="6" w:space="0" w:color="auto"/>
              <w:right w:val="nil" w:sz="6" w:space="0" w:color="auto"/>
            </w:tcBorders>
          </w:tcPr>
          <w:p>
            <w:pPr/>
          </w:p>
        </w:tc>
      </w:tr>
      <w:tr>
        <w:trPr>
          <w:trHeight w:val="1090"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23"/>
              <w:jc w:val="both"/>
              <w:rPr>
                <w:rFonts w:ascii="宋体" w:hAnsi="宋体" w:cs="宋体" w:eastAsia="宋体" w:hint="default"/>
                <w:sz w:val="21"/>
                <w:szCs w:val="21"/>
              </w:rPr>
            </w:pPr>
            <w:r>
              <w:rPr>
                <w:rFonts w:ascii="宋体" w:hAnsi="宋体" w:cs="宋体" w:eastAsia="宋体" w:hint="default"/>
                <w:sz w:val="21"/>
                <w:szCs w:val="21"/>
              </w:rPr>
              <w:t>建造合同形成</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的已完工未结</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算资产</w:t>
            </w:r>
          </w:p>
        </w:tc>
        <w:tc>
          <w:tcPr>
            <w:tcW w:w="139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49" w:type="dxa"/>
            <w:tcBorders>
              <w:top w:val="nil" w:sz="6" w:space="0" w:color="auto"/>
              <w:left w:val="single" w:sz="4" w:space="0" w:color="000000"/>
              <w:bottom w:val="single" w:sz="4" w:space="0" w:color="000000"/>
              <w:right w:val="nil" w:sz="6" w:space="0" w:color="auto"/>
            </w:tcBorders>
          </w:tcPr>
          <w:p>
            <w:pPr/>
          </w:p>
        </w:tc>
      </w:tr>
      <w:tr>
        <w:trPr>
          <w:trHeight w:val="370"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在建系统集成</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center"/>
              <w:rPr>
                <w:rFonts w:ascii="Times New Roman" w:hAnsi="Times New Roman" w:cs="Times New Roman" w:eastAsia="Times New Roman" w:hint="default"/>
                <w:sz w:val="21"/>
                <w:szCs w:val="21"/>
              </w:rPr>
            </w:pPr>
            <w:r>
              <w:rPr>
                <w:rFonts w:ascii="Times New Roman"/>
                <w:sz w:val="21"/>
              </w:rPr>
              <w:t>464,069,921.44</w:t>
            </w:r>
          </w:p>
        </w:tc>
        <w:tc>
          <w:tcPr>
            <w:tcW w:w="88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21"/>
                <w:szCs w:val="21"/>
              </w:rPr>
            </w:pPr>
            <w:r>
              <w:rPr>
                <w:rFonts w:ascii="Times New Roman"/>
                <w:spacing w:val="-1"/>
                <w:sz w:val="21"/>
              </w:rPr>
              <w:t>464,069,921.44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21"/>
                <w:szCs w:val="21"/>
              </w:rPr>
            </w:pPr>
            <w:r>
              <w:rPr>
                <w:rFonts w:ascii="Times New Roman"/>
                <w:spacing w:val="-1"/>
                <w:sz w:val="21"/>
              </w:rPr>
              <w:t>258,685,123.88</w:t>
            </w:r>
          </w:p>
        </w:tc>
        <w:tc>
          <w:tcPr>
            <w:tcW w:w="86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31" w:space="0" w:color="000000"/>
            </w:tcBorders>
          </w:tcPr>
          <w:p>
            <w:pPr>
              <w:pStyle w:val="TableParagraph"/>
              <w:spacing w:line="240" w:lineRule="auto" w:before="92"/>
              <w:ind w:right="-2"/>
              <w:jc w:val="right"/>
              <w:rPr>
                <w:rFonts w:ascii="Times New Roman" w:hAnsi="Times New Roman" w:cs="Times New Roman" w:eastAsia="Times New Roman" w:hint="default"/>
                <w:sz w:val="21"/>
                <w:szCs w:val="21"/>
              </w:rPr>
            </w:pPr>
            <w:r>
              <w:rPr>
                <w:rFonts w:ascii="Times New Roman"/>
                <w:spacing w:val="-1"/>
                <w:sz w:val="21"/>
              </w:rPr>
              <w:t>258,685,123.88</w:t>
            </w:r>
          </w:p>
        </w:tc>
        <w:tc>
          <w:tcPr>
            <w:tcW w:w="149" w:type="dxa"/>
            <w:tcBorders>
              <w:top w:val="single" w:sz="4" w:space="0" w:color="000000"/>
              <w:left w:val="single" w:sz="31" w:space="0" w:color="000000"/>
              <w:bottom w:val="single" w:sz="4" w:space="0" w:color="000000"/>
              <w:right w:val="single" w:sz="4" w:space="0" w:color="000000"/>
            </w:tcBorders>
          </w:tcPr>
          <w:p>
            <w:pPr/>
          </w:p>
        </w:tc>
      </w:tr>
      <w:tr>
        <w:trPr>
          <w:trHeight w:val="370"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 w:right="0"/>
              <w:jc w:val="center"/>
              <w:rPr>
                <w:rFonts w:ascii="Times New Roman" w:hAnsi="Times New Roman" w:cs="Times New Roman" w:eastAsia="Times New Roman" w:hint="default"/>
                <w:sz w:val="21"/>
                <w:szCs w:val="21"/>
              </w:rPr>
            </w:pPr>
            <w:r>
              <w:rPr>
                <w:rFonts w:ascii="Times New Roman"/>
                <w:sz w:val="21"/>
              </w:rPr>
              <w:t>482,156,808.68</w:t>
            </w:r>
          </w:p>
        </w:tc>
        <w:tc>
          <w:tcPr>
            <w:tcW w:w="88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482,156,808.68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291,707,639.74</w:t>
            </w:r>
          </w:p>
        </w:tc>
        <w:tc>
          <w:tcPr>
            <w:tcW w:w="86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291,707,639.74</w:t>
            </w:r>
          </w:p>
        </w:tc>
        <w:tc>
          <w:tcPr>
            <w:tcW w:w="149" w:type="dxa"/>
            <w:tcBorders>
              <w:top w:val="single" w:sz="4" w:space="0" w:color="000000"/>
              <w:left w:val="single" w:sz="4" w:space="0" w:color="000000"/>
              <w:bottom w:val="nil" w:sz="6" w:space="0" w:color="auto"/>
              <w:right w:val="nil" w:sz="6" w:space="0" w:color="auto"/>
            </w:tcBorders>
          </w:tcPr>
          <w:p>
            <w:pPr/>
          </w:p>
        </w:tc>
      </w:tr>
    </w:tbl>
    <w:p>
      <w:pPr>
        <w:spacing w:line="240" w:lineRule="auto" w:before="2"/>
        <w:rPr>
          <w:rFonts w:ascii="宋体" w:hAnsi="宋体" w:cs="宋体" w:eastAsia="宋体" w:hint="default"/>
          <w:sz w:val="20"/>
          <w:szCs w:val="20"/>
        </w:rPr>
      </w:pPr>
    </w:p>
    <w:p>
      <w:pPr>
        <w:pStyle w:val="Heading4"/>
        <w:spacing w:line="240" w:lineRule="auto"/>
        <w:ind w:left="137" w:right="142"/>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5"/>
        </w:rPr>
        <w:t> </w:t>
      </w:r>
      <w:r>
        <w:rPr/>
        <w:t>存货跌价准备</w:t>
      </w:r>
      <w:r>
        <w:rPr>
          <w:b w:val="0"/>
          <w:bCs w:val="0"/>
        </w:rPr>
      </w:r>
    </w:p>
    <w:p>
      <w:pPr>
        <w:pStyle w:val="BodyText"/>
        <w:spacing w:line="240" w:lineRule="auto" w:before="40"/>
        <w:ind w:left="617" w:right="142"/>
        <w:jc w:val="left"/>
      </w:pPr>
      <w:r>
        <w:rPr/>
        <w:t>□适用 √不适用</w:t>
      </w:r>
    </w:p>
    <w:p>
      <w:pPr>
        <w:pStyle w:val="Heading4"/>
        <w:spacing w:line="240" w:lineRule="auto" w:before="58"/>
        <w:ind w:left="137" w:right="142"/>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5"/>
        </w:rPr>
        <w:t> </w:t>
      </w:r>
      <w:r>
        <w:rPr/>
        <w:t>存货期末余额含有借款费用资本化金额的说明</w:t>
      </w:r>
      <w:r>
        <w:rPr>
          <w:b w:val="0"/>
          <w:bCs w:val="0"/>
        </w:rPr>
      </w:r>
    </w:p>
    <w:p>
      <w:pPr>
        <w:pStyle w:val="BodyText"/>
        <w:tabs>
          <w:tab w:pos="1459" w:val="left" w:leader="none"/>
        </w:tabs>
        <w:spacing w:line="240" w:lineRule="auto" w:before="40"/>
        <w:ind w:left="617" w:right="142"/>
        <w:jc w:val="left"/>
      </w:pPr>
      <w:r>
        <w:rPr/>
        <w:t>□适用</w:t>
        <w:tab/>
        <w:t>√不适用</w:t>
      </w:r>
    </w:p>
    <w:p>
      <w:pPr>
        <w:pStyle w:val="Heading4"/>
        <w:spacing w:line="240" w:lineRule="auto" w:before="58"/>
        <w:ind w:left="137" w:right="142"/>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3"/>
        </w:rPr>
        <w:t> </w:t>
      </w:r>
      <w:r>
        <w:rPr/>
        <w:t>期末建造合同形成的已完工未结算资产情况</w:t>
      </w:r>
      <w:r>
        <w:rPr>
          <w:b w:val="0"/>
          <w:bCs w:val="0"/>
        </w:rPr>
      </w:r>
    </w:p>
    <w:p>
      <w:pPr>
        <w:pStyle w:val="BodyText"/>
        <w:spacing w:line="240" w:lineRule="auto" w:before="40"/>
        <w:ind w:left="617" w:right="6914"/>
        <w:jc w:val="left"/>
      </w:pPr>
      <w:r>
        <w:rPr/>
        <w:t>□适用 √不适用</w:t>
      </w:r>
      <w:r>
        <w:rPr>
          <w:w w:val="100"/>
        </w:rPr>
        <w:t> </w:t>
      </w:r>
      <w:r>
        <w:rPr/>
        <w:t>其他说明</w:t>
      </w:r>
    </w:p>
    <w:p>
      <w:pPr>
        <w:pStyle w:val="BodyText"/>
        <w:tabs>
          <w:tab w:pos="1459" w:val="left" w:leader="none"/>
        </w:tabs>
        <w:spacing w:line="271" w:lineRule="exact"/>
        <w:ind w:left="617" w:right="142"/>
        <w:jc w:val="left"/>
      </w:pPr>
      <w:r>
        <w:rPr/>
        <w:t>□适用</w:t>
        <w:tab/>
        <w:t>√不适用</w:t>
      </w:r>
    </w:p>
    <w:p>
      <w:pPr>
        <w:pStyle w:val="Heading4"/>
        <w:spacing w:line="240" w:lineRule="auto" w:before="58"/>
        <w:ind w:left="137" w:right="142"/>
        <w:jc w:val="left"/>
        <w:rPr>
          <w:b w:val="0"/>
          <w:bCs w:val="0"/>
        </w:rPr>
      </w:pPr>
      <w:r>
        <w:rPr>
          <w:rFonts w:ascii="Times New Roman" w:hAnsi="Times New Roman" w:cs="Times New Roman" w:eastAsia="Times New Roman" w:hint="default"/>
        </w:rPr>
        <w:t>8</w:t>
      </w:r>
      <w:r>
        <w:rPr/>
        <w:t>、 持有待售资产</w:t>
      </w:r>
      <w:r>
        <w:rPr>
          <w:b w:val="0"/>
          <w:bCs w:val="0"/>
        </w:rPr>
      </w:r>
    </w:p>
    <w:p>
      <w:pPr>
        <w:pStyle w:val="BodyText"/>
        <w:spacing w:line="240" w:lineRule="auto" w:before="41"/>
        <w:ind w:left="137" w:right="142"/>
        <w:jc w:val="left"/>
      </w:pPr>
      <w:r>
        <w:rPr/>
        <w:t>□适用 √不适用</w:t>
      </w:r>
    </w:p>
    <w:p>
      <w:pPr>
        <w:spacing w:after="0" w:line="240" w:lineRule="auto"/>
        <w:jc w:val="left"/>
        <w:sectPr>
          <w:type w:val="continuous"/>
          <w:pgSz w:w="11910" w:h="16840"/>
          <w:pgMar w:top="1580" w:bottom="280" w:left="1140" w:right="1640"/>
        </w:sectPr>
      </w:pPr>
    </w:p>
    <w:p>
      <w:pPr>
        <w:spacing w:line="240" w:lineRule="auto" w:before="7"/>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979" w:top="1120" w:bottom="1160" w:left="1040" w:right="1560"/>
        </w:sectPr>
      </w:pPr>
    </w:p>
    <w:p>
      <w:pPr>
        <w:pStyle w:val="Heading4"/>
        <w:spacing w:line="240" w:lineRule="auto"/>
        <w:ind w:left="237" w:right="-19"/>
        <w:jc w:val="left"/>
        <w:rPr>
          <w:b w:val="0"/>
          <w:bCs w:val="0"/>
        </w:rPr>
      </w:pPr>
      <w:r>
        <w:rPr>
          <w:rFonts w:ascii="Times New Roman" w:hAnsi="Times New Roman" w:cs="Times New Roman" w:eastAsia="Times New Roman" w:hint="default"/>
        </w:rPr>
        <w:t>9</w:t>
      </w:r>
      <w:r>
        <w:rPr/>
        <w:t>、</w:t>
      </w:r>
      <w:r>
        <w:rPr>
          <w:spacing w:val="-1"/>
        </w:rPr>
        <w:t> </w:t>
      </w:r>
      <w:r>
        <w:rPr/>
        <w:t>一年内到期的非流动资产</w:t>
      </w:r>
      <w:r>
        <w:rPr>
          <w:b w:val="0"/>
          <w:bCs w:val="0"/>
        </w:rPr>
      </w:r>
    </w:p>
    <w:p>
      <w:pPr>
        <w:pStyle w:val="BodyText"/>
        <w:spacing w:line="240" w:lineRule="auto" w:before="40"/>
        <w:ind w:left="237" w:right="666" w:firstLine="480"/>
        <w:jc w:val="left"/>
      </w:pPr>
      <w:r>
        <w:rPr/>
        <w:t>□适用 √不适用</w:t>
      </w:r>
      <w:r>
        <w:rPr>
          <w:w w:val="100"/>
        </w:rPr>
        <w:t> </w:t>
      </w:r>
      <w:r>
        <w:rPr/>
        <w:t>其他说明</w:t>
      </w:r>
    </w:p>
    <w:p>
      <w:pPr>
        <w:pStyle w:val="BodyText"/>
        <w:spacing w:line="271" w:lineRule="exact"/>
        <w:ind w:left="717" w:right="-19"/>
        <w:jc w:val="left"/>
      </w:pPr>
      <w:r>
        <w:rPr>
          <w:w w:val="100"/>
        </w:rPr>
        <w:t>无</w:t>
      </w:r>
    </w:p>
    <w:p>
      <w:pPr>
        <w:pStyle w:val="Heading4"/>
        <w:spacing w:line="240" w:lineRule="auto" w:before="58"/>
        <w:ind w:left="237" w:right="-19"/>
        <w:jc w:val="left"/>
        <w:rPr>
          <w:b w:val="0"/>
          <w:bCs w:val="0"/>
        </w:rPr>
      </w:pPr>
      <w:r>
        <w:rPr>
          <w:rFonts w:ascii="Times New Roman" w:hAnsi="Times New Roman" w:cs="Times New Roman" w:eastAsia="Times New Roman" w:hint="default"/>
        </w:rPr>
        <w:t>10</w:t>
      </w:r>
      <w:r>
        <w:rPr/>
        <w:t>、</w:t>
      </w:r>
      <w:r>
        <w:rPr>
          <w:spacing w:val="-22"/>
        </w:rPr>
        <w:t> </w:t>
      </w:r>
      <w:r>
        <w:rPr/>
        <w:t>其他流动资产</w:t>
      </w:r>
      <w:r>
        <w:rPr>
          <w:b w:val="0"/>
          <w:bCs w:val="0"/>
        </w:rPr>
      </w:r>
    </w:p>
    <w:p>
      <w:pPr>
        <w:pStyle w:val="BodyText"/>
        <w:tabs>
          <w:tab w:pos="1079" w:val="left" w:leader="none"/>
        </w:tabs>
        <w:spacing w:line="240" w:lineRule="auto" w:before="40"/>
        <w:ind w:left="237"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560"/>
          <w:cols w:num="2" w:equalWidth="0">
            <w:col w:w="2979" w:space="3543"/>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房租及物业费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1,960,901.78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1,115,278.47</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116,299,599.77</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预缴增值税及待抵扣进项税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75,289,990.25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43,277,943.56</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4,431,163.73</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1,279,559.67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81,487.06</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82,961,615.43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160,774,308.86</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580" w:bottom="280" w:left="1040" w:right="1560"/>
        </w:sectPr>
      </w:pPr>
    </w:p>
    <w:p>
      <w:pPr>
        <w:pStyle w:val="BodyText"/>
        <w:spacing w:line="239" w:lineRule="exact"/>
        <w:ind w:left="237" w:right="-18"/>
        <w:jc w:val="left"/>
      </w:pPr>
      <w:r>
        <w:rPr/>
        <w:t>其他说明</w:t>
      </w:r>
    </w:p>
    <w:p>
      <w:pPr>
        <w:pStyle w:val="BodyText"/>
        <w:spacing w:line="273" w:lineRule="exact"/>
        <w:ind w:left="237" w:right="-18"/>
        <w:jc w:val="left"/>
      </w:pPr>
      <w:r>
        <w:rPr>
          <w:w w:val="100"/>
        </w:rPr>
        <w:t>无</w:t>
      </w:r>
    </w:p>
    <w:p>
      <w:pPr>
        <w:pStyle w:val="Heading4"/>
        <w:spacing w:line="240" w:lineRule="auto" w:before="135"/>
        <w:ind w:left="237" w:right="-18"/>
        <w:jc w:val="left"/>
        <w:rPr>
          <w:b w:val="0"/>
          <w:bCs w:val="0"/>
        </w:rPr>
      </w:pPr>
      <w:r>
        <w:rPr>
          <w:rFonts w:ascii="Times New Roman" w:hAnsi="Times New Roman" w:cs="Times New Roman" w:eastAsia="Times New Roman" w:hint="default"/>
        </w:rPr>
        <w:t>11</w:t>
      </w:r>
      <w:r>
        <w:rPr/>
        <w:t>、</w:t>
      </w:r>
      <w:r>
        <w:rPr>
          <w:spacing w:val="-21"/>
        </w:rPr>
        <w:t> </w:t>
      </w:r>
      <w:r>
        <w:rPr/>
        <w:t>可供出售金融资产</w:t>
      </w:r>
      <w:r>
        <w:rPr>
          <w:b w:val="0"/>
          <w:bCs w:val="0"/>
        </w:rPr>
      </w:r>
    </w:p>
    <w:p>
      <w:pPr>
        <w:pStyle w:val="Heading4"/>
        <w:spacing w:line="240" w:lineRule="auto" w:before="52"/>
        <w:ind w:left="237" w:right="-18"/>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4"/>
        </w:rPr>
        <w:t> </w:t>
      </w:r>
      <w:r>
        <w:rPr/>
        <w:t>可供出售金融资产情况</w:t>
      </w:r>
      <w:r>
        <w:rPr>
          <w:b w:val="0"/>
          <w:bCs w:val="0"/>
        </w:rPr>
      </w:r>
    </w:p>
    <w:p>
      <w:pPr>
        <w:pStyle w:val="BodyText"/>
        <w:spacing w:line="240" w:lineRule="auto" w:before="40"/>
        <w:ind w:left="698" w:right="461"/>
        <w:jc w:val="center"/>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560"/>
          <w:cols w:num="2" w:equalWidth="0">
            <w:col w:w="2775" w:space="374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122"/>
        <w:gridCol w:w="1419"/>
        <w:gridCol w:w="991"/>
        <w:gridCol w:w="1419"/>
        <w:gridCol w:w="850"/>
        <w:gridCol w:w="912"/>
        <w:gridCol w:w="1112"/>
      </w:tblGrid>
      <w:tr>
        <w:trPr>
          <w:trHeight w:val="372" w:hRule="exact"/>
        </w:trPr>
        <w:tc>
          <w:tcPr>
            <w:tcW w:w="21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730" w:hRule="exact"/>
        </w:trPr>
        <w:tc>
          <w:tcPr>
            <w:tcW w:w="2122"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81" w:right="173" w:hanging="209"/>
              <w:jc w:val="left"/>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06" w:right="20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45" w:right="132" w:hanging="212"/>
              <w:jc w:val="left"/>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7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center"/>
              <w:rPr>
                <w:rFonts w:ascii="Times New Roman" w:hAnsi="Times New Roman" w:cs="Times New Roman" w:eastAsia="Times New Roman" w:hint="default"/>
                <w:sz w:val="21"/>
                <w:szCs w:val="21"/>
              </w:rPr>
            </w:pPr>
            <w:r>
              <w:rPr>
                <w:rFonts w:ascii="Times New Roman"/>
                <w:sz w:val="21"/>
              </w:rPr>
              <w:t>2,000,000.00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21"/>
                <w:szCs w:val="21"/>
              </w:rPr>
            </w:pPr>
            <w:r>
              <w:rPr>
                <w:rFonts w:ascii="Times New Roman"/>
                <w:sz w:val="21"/>
              </w:rPr>
              <w:t>2,000,000.00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center"/>
              <w:rPr>
                <w:rFonts w:ascii="Times New Roman" w:hAnsi="Times New Roman" w:cs="Times New Roman" w:eastAsia="Times New Roman" w:hint="default"/>
                <w:sz w:val="21"/>
                <w:szCs w:val="21"/>
              </w:rPr>
            </w:pPr>
            <w:r>
              <w:rPr>
                <w:rFonts w:ascii="Times New Roman"/>
                <w:sz w:val="21"/>
              </w:rPr>
              <w:t>2,000,000.00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21"/>
                <w:szCs w:val="21"/>
              </w:rPr>
            </w:pPr>
            <w:r>
              <w:rPr>
                <w:rFonts w:ascii="Times New Roman"/>
                <w:sz w:val="21"/>
              </w:rPr>
              <w:t>2,000,000.00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8" w:right="0"/>
              <w:jc w:val="center"/>
              <w:rPr>
                <w:rFonts w:ascii="Times New Roman" w:hAnsi="Times New Roman" w:cs="Times New Roman" w:eastAsia="Times New Roman" w:hint="default"/>
                <w:sz w:val="21"/>
                <w:szCs w:val="21"/>
              </w:rPr>
            </w:pPr>
            <w:r>
              <w:rPr>
                <w:rFonts w:ascii="Times New Roman"/>
                <w:sz w:val="21"/>
              </w:rPr>
              <w:t>2,000,000.00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 w:right="0"/>
              <w:jc w:val="center"/>
              <w:rPr>
                <w:rFonts w:ascii="Times New Roman" w:hAnsi="Times New Roman" w:cs="Times New Roman" w:eastAsia="Times New Roman" w:hint="default"/>
                <w:sz w:val="21"/>
                <w:szCs w:val="21"/>
              </w:rPr>
            </w:pPr>
            <w:r>
              <w:rPr>
                <w:rFonts w:ascii="Times New Roman"/>
                <w:sz w:val="21"/>
              </w:rPr>
              <w:t>2,000,000.00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280" w:left="1040" w:right="1560"/>
        </w:sectPr>
      </w:pPr>
    </w:p>
    <w:p>
      <w:pPr>
        <w:pStyle w:val="Heading4"/>
        <w:spacing w:line="240" w:lineRule="auto"/>
        <w:ind w:left="237" w:right="-17"/>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4"/>
        </w:rPr>
        <w:t> </w:t>
      </w:r>
      <w:r>
        <w:rPr/>
        <w:t>期末按公允价值计量的可供出售金融资产</w:t>
      </w:r>
      <w:r>
        <w:rPr>
          <w:b w:val="0"/>
          <w:bCs w:val="0"/>
        </w:rPr>
      </w:r>
    </w:p>
    <w:p>
      <w:pPr>
        <w:pStyle w:val="BodyText"/>
        <w:spacing w:line="314" w:lineRule="auto" w:before="130"/>
        <w:ind w:left="719" w:right="-17" w:hanging="3"/>
        <w:jc w:val="left"/>
      </w:pPr>
      <w:r>
        <w:rPr/>
        <w:t>□适用</w:t>
      </w:r>
      <w:r>
        <w:rPr>
          <w:spacing w:val="-2"/>
        </w:rPr>
        <w:t> </w:t>
      </w:r>
      <w:r>
        <w:rPr/>
        <w:t>√不适用</w:t>
      </w:r>
      <w:r>
        <w:rPr>
          <w:spacing w:val="-103"/>
        </w:rPr>
        <w:t> </w:t>
      </w:r>
      <w:r>
        <w:rPr>
          <w:spacing w:val="-103"/>
        </w:rPr>
      </w:r>
      <w:r>
        <w:rPr>
          <w:spacing w:val="-2"/>
        </w:rPr>
        <w:t>期末按成本计量的可供出售金融资产</w:t>
      </w:r>
    </w:p>
    <w:p>
      <w:pPr>
        <w:pStyle w:val="BodyText"/>
        <w:tabs>
          <w:tab w:pos="1559" w:val="left" w:leader="none"/>
        </w:tabs>
        <w:spacing w:line="240" w:lineRule="auto" w:before="20"/>
        <w:ind w:left="717"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88" w:val="left" w:leader="none"/>
        </w:tabs>
        <w:spacing w:line="240" w:lineRule="auto" w:before="151"/>
        <w:ind w:left="237" w:right="0"/>
        <w:jc w:val="left"/>
      </w:pPr>
      <w:r>
        <w:rPr>
          <w:spacing w:val="-1"/>
        </w:rPr>
        <w:t>单位：元</w:t>
        <w:tab/>
        <w:t>币种：人民币</w:t>
      </w:r>
    </w:p>
    <w:p>
      <w:pPr>
        <w:spacing w:after="0" w:line="240" w:lineRule="auto"/>
        <w:jc w:val="left"/>
        <w:sectPr>
          <w:type w:val="continuous"/>
          <w:pgSz w:w="11910" w:h="16840"/>
          <w:pgMar w:top="1580" w:bottom="280" w:left="1040" w:right="1560"/>
          <w:cols w:num="2" w:equalWidth="0">
            <w:col w:w="4462" w:space="2060"/>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304"/>
        <w:gridCol w:w="434"/>
        <w:gridCol w:w="1455"/>
        <w:gridCol w:w="437"/>
        <w:gridCol w:w="1454"/>
        <w:gridCol w:w="581"/>
        <w:gridCol w:w="727"/>
        <w:gridCol w:w="727"/>
        <w:gridCol w:w="583"/>
        <w:gridCol w:w="730"/>
        <w:gridCol w:w="617"/>
      </w:tblGrid>
      <w:tr>
        <w:trPr>
          <w:trHeight w:val="718" w:hRule="exact"/>
        </w:trPr>
        <w:tc>
          <w:tcPr>
            <w:tcW w:w="13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4" w:lineRule="auto"/>
              <w:ind w:left="437" w:right="326"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37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730" w:type="dxa"/>
            <w:vMerge w:val="restart"/>
            <w:tcBorders>
              <w:top w:val="single" w:sz="4" w:space="0" w:color="000000"/>
              <w:left w:val="single" w:sz="4" w:space="0" w:color="000000"/>
              <w:right w:val="single" w:sz="4" w:space="0" w:color="000000"/>
            </w:tcBorders>
          </w:tcPr>
          <w:p>
            <w:pPr>
              <w:pStyle w:val="TableParagraph"/>
              <w:spacing w:line="314" w:lineRule="auto" w:before="42"/>
              <w:ind w:left="149" w:right="146"/>
              <w:jc w:val="both"/>
              <w:rPr>
                <w:rFonts w:ascii="宋体" w:hAnsi="宋体" w:cs="宋体" w:eastAsia="宋体" w:hint="default"/>
                <w:sz w:val="21"/>
                <w:szCs w:val="21"/>
              </w:rPr>
            </w:pPr>
            <w:r>
              <w:rPr>
                <w:rFonts w:ascii="宋体" w:hAnsi="宋体" w:cs="宋体" w:eastAsia="宋体" w:hint="default"/>
                <w:sz w:val="21"/>
                <w:szCs w:val="21"/>
              </w:rPr>
              <w:t>在被</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617" w:type="dxa"/>
            <w:vMerge w:val="restart"/>
            <w:tcBorders>
              <w:top w:val="single" w:sz="4" w:space="0" w:color="000000"/>
              <w:left w:val="single" w:sz="4" w:space="0" w:color="000000"/>
              <w:right w:val="single" w:sz="4" w:space="0" w:color="000000"/>
            </w:tcBorders>
          </w:tcPr>
          <w:p>
            <w:pPr>
              <w:pStyle w:val="TableParagraph"/>
              <w:spacing w:line="314" w:lineRule="auto" w:before="42"/>
              <w:ind w:left="196" w:right="197"/>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红</w:t>
            </w:r>
            <w:r>
              <w:rPr>
                <w:rFonts w:ascii="宋体" w:hAnsi="宋体" w:cs="宋体" w:eastAsia="宋体" w:hint="default"/>
                <w:w w:val="100"/>
                <w:sz w:val="21"/>
                <w:szCs w:val="21"/>
              </w:rPr>
              <w:t> </w:t>
            </w:r>
            <w:r>
              <w:rPr>
                <w:rFonts w:ascii="宋体" w:hAnsi="宋体" w:cs="宋体" w:eastAsia="宋体" w:hint="default"/>
                <w:sz w:val="21"/>
                <w:szCs w:val="21"/>
              </w:rPr>
              <w:t>利</w:t>
            </w:r>
          </w:p>
        </w:tc>
      </w:tr>
      <w:tr>
        <w:trPr>
          <w:trHeight w:val="1452" w:hRule="exact"/>
        </w:trPr>
        <w:tc>
          <w:tcPr>
            <w:tcW w:w="1304" w:type="dxa"/>
            <w:vMerge/>
            <w:tcBorders>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3"/>
              <w:ind w:left="105" w:right="107"/>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3"/>
              <w:ind w:left="511" w:right="509"/>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5" w:right="108"/>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3"/>
              <w:ind w:left="180" w:right="179"/>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3"/>
              <w:ind w:left="148" w:right="14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3"/>
              <w:ind w:left="148" w:right="14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3"/>
              <w:ind w:left="180" w:right="18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p>
        </w:tc>
        <w:tc>
          <w:tcPr>
            <w:tcW w:w="730" w:type="dxa"/>
            <w:vMerge/>
            <w:tcBorders>
              <w:left w:val="single" w:sz="4" w:space="0" w:color="000000"/>
              <w:bottom w:val="single" w:sz="4" w:space="0" w:color="000000"/>
              <w:right w:val="single" w:sz="4" w:space="0" w:color="000000"/>
            </w:tcBorders>
          </w:tcPr>
          <w:p>
            <w:pPr/>
          </w:p>
        </w:tc>
        <w:tc>
          <w:tcPr>
            <w:tcW w:w="617" w:type="dxa"/>
            <w:vMerge/>
            <w:tcBorders>
              <w:left w:val="single" w:sz="4" w:space="0" w:color="000000"/>
              <w:bottom w:val="single" w:sz="4" w:space="0" w:color="000000"/>
              <w:right w:val="single" w:sz="4" w:space="0" w:color="000000"/>
            </w:tcBorders>
          </w:tcPr>
          <w:p>
            <w:pPr/>
          </w:p>
        </w:tc>
      </w:tr>
      <w:tr>
        <w:trPr>
          <w:trHeight w:val="370"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5"/>
                <w:sz w:val="21"/>
                <w:szCs w:val="21"/>
              </w:rPr>
              <w:t>嘉峪关市智</w:t>
            </w:r>
          </w:p>
        </w:tc>
        <w:tc>
          <w:tcPr>
            <w:tcW w:w="43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7" w:right="0"/>
              <w:jc w:val="left"/>
              <w:rPr>
                <w:rFonts w:ascii="Times New Roman" w:hAnsi="Times New Roman" w:cs="Times New Roman" w:eastAsia="Times New Roman" w:hint="default"/>
                <w:sz w:val="21"/>
                <w:szCs w:val="21"/>
              </w:rPr>
            </w:pPr>
            <w:r>
              <w:rPr>
                <w:rFonts w:ascii="Times New Roman"/>
                <w:sz w:val="21"/>
              </w:rPr>
              <w:t>2,000,000.00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9" w:right="0"/>
              <w:jc w:val="center"/>
              <w:rPr>
                <w:rFonts w:ascii="Times New Roman" w:hAnsi="Times New Roman" w:cs="Times New Roman" w:eastAsia="Times New Roman" w:hint="default"/>
                <w:sz w:val="21"/>
                <w:szCs w:val="21"/>
              </w:rPr>
            </w:pPr>
            <w:r>
              <w:rPr>
                <w:rFonts w:ascii="Times New Roman"/>
                <w:sz w:val="21"/>
              </w:rPr>
              <w:t>2,000,000.00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3" w:right="0"/>
              <w:jc w:val="left"/>
              <w:rPr>
                <w:rFonts w:ascii="Times New Roman" w:hAnsi="Times New Roman" w:cs="Times New Roman" w:eastAsia="Times New Roman" w:hint="default"/>
                <w:sz w:val="21"/>
                <w:szCs w:val="21"/>
              </w:rPr>
            </w:pPr>
            <w:r>
              <w:rPr>
                <w:rFonts w:ascii="Times New Roman"/>
                <w:sz w:val="21"/>
              </w:rPr>
              <w:t>10</w:t>
            </w:r>
          </w:p>
        </w:tc>
        <w:tc>
          <w:tcPr>
            <w:tcW w:w="6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040" w:right="1560"/>
        </w:sectPr>
      </w:pP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1304"/>
        <w:gridCol w:w="434"/>
        <w:gridCol w:w="1455"/>
        <w:gridCol w:w="437"/>
        <w:gridCol w:w="1454"/>
        <w:gridCol w:w="581"/>
        <w:gridCol w:w="727"/>
        <w:gridCol w:w="727"/>
        <w:gridCol w:w="583"/>
        <w:gridCol w:w="730"/>
        <w:gridCol w:w="617"/>
      </w:tblGrid>
      <w:tr>
        <w:trPr>
          <w:trHeight w:val="1090"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99"/>
              <w:jc w:val="both"/>
              <w:rPr>
                <w:rFonts w:ascii="宋体" w:hAnsi="宋体" w:cs="宋体" w:eastAsia="宋体" w:hint="default"/>
                <w:sz w:val="21"/>
                <w:szCs w:val="21"/>
              </w:rPr>
            </w:pPr>
            <w:r>
              <w:rPr>
                <w:rFonts w:ascii="宋体" w:hAnsi="宋体" w:cs="宋体" w:eastAsia="宋体" w:hint="default"/>
                <w:spacing w:val="5"/>
                <w:sz w:val="21"/>
                <w:szCs w:val="21"/>
              </w:rPr>
              <w:t>慧雄关信息</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5"/>
                <w:sz w:val="21"/>
                <w:szCs w:val="21"/>
              </w:rPr>
              <w:t>科技有限责</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任公司</w:t>
            </w:r>
          </w:p>
        </w:tc>
        <w:tc>
          <w:tcPr>
            <w:tcW w:w="43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3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7" w:right="0"/>
              <w:jc w:val="left"/>
              <w:rPr>
                <w:rFonts w:ascii="Times New Roman" w:hAnsi="Times New Roman" w:cs="Times New Roman" w:eastAsia="Times New Roman" w:hint="default"/>
                <w:sz w:val="21"/>
                <w:szCs w:val="21"/>
              </w:rPr>
            </w:pPr>
            <w:r>
              <w:rPr>
                <w:rFonts w:ascii="Times New Roman"/>
                <w:sz w:val="21"/>
              </w:rPr>
              <w:t>2,000,000.00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9" w:right="0"/>
              <w:jc w:val="left"/>
              <w:rPr>
                <w:rFonts w:ascii="Times New Roman" w:hAnsi="Times New Roman" w:cs="Times New Roman" w:eastAsia="Times New Roman" w:hint="default"/>
                <w:sz w:val="21"/>
                <w:szCs w:val="21"/>
              </w:rPr>
            </w:pPr>
            <w:r>
              <w:rPr>
                <w:rFonts w:ascii="Times New Roman"/>
                <w:sz w:val="21"/>
              </w:rPr>
              <w:t>2,000,000.00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w w:val="100"/>
                <w:sz w:val="21"/>
              </w:rPr>
              <w:t>/</w:t>
            </w:r>
          </w:p>
        </w:tc>
        <w:tc>
          <w:tcPr>
            <w:tcW w:w="6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8"/>
          <w:szCs w:val="28"/>
        </w:rPr>
      </w:pPr>
    </w:p>
    <w:p>
      <w:pPr>
        <w:pStyle w:val="Heading4"/>
        <w:spacing w:line="240" w:lineRule="auto"/>
        <w:ind w:left="217" w:right="0"/>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4"/>
        </w:rPr>
        <w:t> </w:t>
      </w:r>
      <w:r>
        <w:rPr/>
        <w:t>报告期内可供出售金融资产减值的变动情况</w:t>
      </w:r>
      <w:r>
        <w:rPr>
          <w:b w:val="0"/>
          <w:bCs w:val="0"/>
        </w:rPr>
      </w:r>
    </w:p>
    <w:p>
      <w:pPr>
        <w:pStyle w:val="BodyText"/>
        <w:spacing w:line="240" w:lineRule="auto" w:before="129"/>
        <w:ind w:left="697" w:right="0"/>
        <w:jc w:val="left"/>
      </w:pPr>
      <w:r>
        <w:rPr/>
        <w:t>□适用 √不适用</w:t>
      </w:r>
    </w:p>
    <w:p>
      <w:pPr>
        <w:pStyle w:val="Heading4"/>
        <w:spacing w:line="240" w:lineRule="auto" w:before="145"/>
        <w:ind w:left="217" w:right="0"/>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0"/>
        </w:rPr>
        <w:t> </w:t>
      </w:r>
      <w:r>
        <w:rPr/>
        <w:t>可供出售权益工具期末公允价值严重下跌或非暂时性下跌但未计提减值准备的相关说明</w:t>
      </w:r>
      <w:r>
        <w:rPr>
          <w:b w:val="0"/>
          <w:bCs w:val="0"/>
        </w:rPr>
      </w:r>
    </w:p>
    <w:p>
      <w:pPr>
        <w:pStyle w:val="BodyText"/>
        <w:spacing w:line="314" w:lineRule="auto" w:before="129"/>
        <w:ind w:left="699" w:right="6995" w:hanging="3"/>
        <w:jc w:val="left"/>
      </w:pPr>
      <w:r>
        <w:rPr/>
        <w:t>□适用 √不适用</w:t>
      </w:r>
      <w:r>
        <w:rPr>
          <w:w w:val="100"/>
        </w:rPr>
        <w:t> </w:t>
      </w:r>
      <w:r>
        <w:rPr/>
        <w:t>其他说明</w:t>
      </w:r>
    </w:p>
    <w:p>
      <w:pPr>
        <w:pStyle w:val="BodyText"/>
        <w:spacing w:line="240" w:lineRule="auto" w:before="20"/>
        <w:ind w:left="697" w:right="0"/>
        <w:jc w:val="left"/>
      </w:pPr>
      <w:r>
        <w:rPr/>
        <w:t>□适用 √不适用</w:t>
      </w:r>
    </w:p>
    <w:p>
      <w:pPr>
        <w:pStyle w:val="Heading4"/>
        <w:spacing w:line="240" w:lineRule="auto" w:before="145"/>
        <w:ind w:left="217" w:right="0"/>
        <w:jc w:val="left"/>
        <w:rPr>
          <w:b w:val="0"/>
          <w:bCs w:val="0"/>
        </w:rPr>
      </w:pPr>
      <w:r>
        <w:rPr>
          <w:rFonts w:ascii="Times New Roman" w:hAnsi="Times New Roman" w:cs="Times New Roman" w:eastAsia="Times New Roman" w:hint="default"/>
        </w:rPr>
        <w:t>12</w:t>
      </w:r>
      <w:r>
        <w:rPr/>
        <w:t>、</w:t>
      </w:r>
      <w:r>
        <w:rPr>
          <w:spacing w:val="-21"/>
        </w:rPr>
        <w:t> </w:t>
      </w:r>
      <w:r>
        <w:rPr/>
        <w:t>持有至到期投资</w:t>
      </w:r>
      <w:r>
        <w:rPr>
          <w:b w:val="0"/>
          <w:bCs w:val="0"/>
        </w:rPr>
      </w:r>
    </w:p>
    <w:p>
      <w:pPr>
        <w:pStyle w:val="Heading4"/>
        <w:spacing w:line="240" w:lineRule="auto" w:before="129"/>
        <w:ind w:left="217"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7"/>
        </w:rPr>
        <w:t> </w:t>
      </w:r>
      <w:r>
        <w:rPr/>
        <w:t>持有至到期投资情况</w:t>
      </w:r>
      <w:r>
        <w:rPr>
          <w:b w:val="0"/>
          <w:bCs w:val="0"/>
        </w:rPr>
      </w:r>
    </w:p>
    <w:p>
      <w:pPr>
        <w:pStyle w:val="BodyText"/>
        <w:spacing w:line="240" w:lineRule="auto" w:before="129"/>
        <w:ind w:left="697" w:right="0"/>
        <w:jc w:val="left"/>
      </w:pPr>
      <w:r>
        <w:rPr/>
        <w:t>□适用 √不适用</w:t>
      </w:r>
    </w:p>
    <w:p>
      <w:pPr>
        <w:pStyle w:val="Heading4"/>
        <w:spacing w:line="240" w:lineRule="auto" w:before="145"/>
        <w:ind w:left="217"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1"/>
        </w:rPr>
        <w:t> </w:t>
      </w:r>
      <w:r>
        <w:rPr/>
        <w:t>期末重要的持有至到期投资</w:t>
      </w:r>
      <w:r>
        <w:rPr>
          <w:b w:val="0"/>
          <w:bCs w:val="0"/>
        </w:rPr>
      </w:r>
    </w:p>
    <w:p>
      <w:pPr>
        <w:pStyle w:val="BodyText"/>
        <w:spacing w:line="240" w:lineRule="auto" w:before="129"/>
        <w:ind w:left="697" w:right="0"/>
        <w:jc w:val="left"/>
      </w:pPr>
      <w:r>
        <w:rPr/>
        <w:t>□适用 √不适用</w:t>
      </w:r>
    </w:p>
    <w:p>
      <w:pPr>
        <w:pStyle w:val="Heading4"/>
        <w:spacing w:line="240" w:lineRule="auto" w:before="145"/>
        <w:ind w:left="217" w:right="0"/>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1"/>
        </w:rPr>
        <w:t> </w:t>
      </w:r>
      <w:r>
        <w:rPr/>
        <w:t>本期重分类的持有至到期投资</w:t>
      </w:r>
      <w:r>
        <w:rPr>
          <w:b w:val="0"/>
          <w:bCs w:val="0"/>
        </w:rPr>
      </w:r>
    </w:p>
    <w:p>
      <w:pPr>
        <w:pStyle w:val="BodyText"/>
        <w:tabs>
          <w:tab w:pos="1539" w:val="left" w:leader="none"/>
        </w:tabs>
        <w:spacing w:line="240" w:lineRule="auto" w:before="129"/>
        <w:ind w:left="697" w:right="0"/>
        <w:jc w:val="left"/>
      </w:pPr>
      <w:r>
        <w:rPr/>
        <w:t>□适用</w:t>
        <w:tab/>
        <w:t>√不适用</w:t>
      </w:r>
    </w:p>
    <w:p>
      <w:pPr>
        <w:pStyle w:val="Heading3"/>
        <w:spacing w:line="240" w:lineRule="auto"/>
        <w:ind w:left="697" w:right="0"/>
        <w:jc w:val="left"/>
      </w:pPr>
      <w:r>
        <w:rPr/>
        <w:t>其他说明：</w:t>
      </w:r>
    </w:p>
    <w:p>
      <w:pPr>
        <w:pStyle w:val="BodyText"/>
        <w:spacing w:line="240" w:lineRule="auto" w:before="81"/>
        <w:ind w:left="697" w:right="0"/>
        <w:jc w:val="left"/>
      </w:pPr>
      <w:r>
        <w:rPr/>
        <w:t>□适用 √不适用</w:t>
      </w:r>
    </w:p>
    <w:p>
      <w:pPr>
        <w:pStyle w:val="Heading4"/>
        <w:spacing w:line="240" w:lineRule="auto" w:before="145"/>
        <w:ind w:left="217" w:right="0"/>
        <w:jc w:val="left"/>
        <w:rPr>
          <w:b w:val="0"/>
          <w:bCs w:val="0"/>
        </w:rPr>
      </w:pPr>
      <w:r>
        <w:rPr>
          <w:rFonts w:ascii="Times New Roman" w:hAnsi="Times New Roman" w:cs="Times New Roman" w:eastAsia="Times New Roman" w:hint="default"/>
        </w:rPr>
        <w:t>13</w:t>
      </w:r>
      <w:r>
        <w:rPr/>
        <w:t>、</w:t>
      </w:r>
      <w:r>
        <w:rPr>
          <w:spacing w:val="-22"/>
        </w:rPr>
        <w:t> </w:t>
      </w:r>
      <w:r>
        <w:rPr/>
        <w:t>长期应收款</w:t>
      </w:r>
      <w:r>
        <w:rPr>
          <w:b w:val="0"/>
          <w:bCs w:val="0"/>
        </w:rPr>
      </w:r>
    </w:p>
    <w:p>
      <w:pPr>
        <w:pStyle w:val="Heading4"/>
        <w:spacing w:line="240" w:lineRule="auto" w:before="129"/>
        <w:ind w:left="217"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6"/>
        </w:rPr>
        <w:t> </w:t>
      </w:r>
      <w:r>
        <w:rPr/>
        <w:t>长期应收款情况</w:t>
      </w:r>
      <w:r>
        <w:rPr>
          <w:b w:val="0"/>
          <w:bCs w:val="0"/>
        </w:rPr>
      </w:r>
    </w:p>
    <w:p>
      <w:pPr>
        <w:pStyle w:val="BodyText"/>
        <w:spacing w:line="240" w:lineRule="auto" w:before="129"/>
        <w:ind w:left="217" w:right="0"/>
        <w:jc w:val="left"/>
      </w:pPr>
      <w:r>
        <w:rPr/>
        <w:t>√适用 □不适用</w:t>
      </w:r>
    </w:p>
    <w:p>
      <w:pPr>
        <w:pStyle w:val="BodyText"/>
        <w:tabs>
          <w:tab w:pos="1051" w:val="left" w:leader="none"/>
        </w:tabs>
        <w:spacing w:line="240" w:lineRule="auto" w:before="85"/>
        <w:ind w:left="0" w:right="231"/>
        <w:jc w:val="right"/>
      </w:pPr>
      <w:r>
        <w:rPr>
          <w:spacing w:val="-1"/>
        </w:rPr>
        <w:t>单位：元</w:t>
        <w:tab/>
        <w:t>币种：人民币</w:t>
      </w:r>
    </w:p>
    <w:p>
      <w:pPr>
        <w:spacing w:line="240" w:lineRule="auto" w:before="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666"/>
        <w:gridCol w:w="1412"/>
        <w:gridCol w:w="607"/>
        <w:gridCol w:w="1409"/>
        <w:gridCol w:w="1412"/>
        <w:gridCol w:w="605"/>
        <w:gridCol w:w="1412"/>
        <w:gridCol w:w="528"/>
      </w:tblGrid>
      <w:tr>
        <w:trPr>
          <w:trHeight w:val="372" w:hRule="exact"/>
        </w:trPr>
        <w:tc>
          <w:tcPr>
            <w:tcW w:w="16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28"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auto" w:before="42"/>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28"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528" w:type="dxa"/>
            <w:vMerge w:val="restart"/>
            <w:tcBorders>
              <w:top w:val="single" w:sz="4" w:space="0" w:color="000000"/>
              <w:left w:val="single" w:sz="4" w:space="0" w:color="000000"/>
              <w:right w:val="single" w:sz="4" w:space="0" w:color="000000"/>
            </w:tcBorders>
          </w:tcPr>
          <w:p>
            <w:pPr>
              <w:pStyle w:val="TableParagraph"/>
              <w:spacing w:line="314" w:lineRule="auto" w:before="42"/>
              <w:ind w:left="151" w:right="155"/>
              <w:jc w:val="both"/>
              <w:rPr>
                <w:rFonts w:ascii="宋体" w:hAnsi="宋体" w:cs="宋体" w:eastAsia="宋体" w:hint="default"/>
                <w:sz w:val="21"/>
                <w:szCs w:val="21"/>
              </w:rPr>
            </w:pPr>
            <w:r>
              <w:rPr>
                <w:rFonts w:ascii="宋体" w:hAnsi="宋体" w:cs="宋体" w:eastAsia="宋体" w:hint="default"/>
                <w:sz w:val="21"/>
                <w:szCs w:val="21"/>
              </w:rPr>
              <w:t>折</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区</w:t>
            </w:r>
            <w:r>
              <w:rPr>
                <w:rFonts w:ascii="宋体" w:hAnsi="宋体" w:cs="宋体" w:eastAsia="宋体" w:hint="default"/>
                <w:w w:val="100"/>
                <w:sz w:val="21"/>
                <w:szCs w:val="21"/>
              </w:rPr>
              <w:t> </w:t>
            </w:r>
            <w:r>
              <w:rPr>
                <w:rFonts w:ascii="宋体" w:hAnsi="宋体" w:cs="宋体" w:eastAsia="宋体" w:hint="default"/>
                <w:sz w:val="21"/>
                <w:szCs w:val="21"/>
              </w:rPr>
              <w:t>间</w:t>
            </w:r>
          </w:p>
        </w:tc>
      </w:tr>
      <w:tr>
        <w:trPr>
          <w:trHeight w:val="1441" w:hRule="exact"/>
        </w:trPr>
        <w:tc>
          <w:tcPr>
            <w:tcW w:w="1666" w:type="dxa"/>
            <w:vMerge/>
            <w:tcBorders>
              <w:left w:val="single" w:sz="4" w:space="0" w:color="000000"/>
              <w:bottom w:val="single" w:sz="6" w:space="0" w:color="000000"/>
              <w:right w:val="single" w:sz="4" w:space="0" w:color="000000"/>
            </w:tcBorders>
          </w:tcPr>
          <w:p>
            <w:pPr/>
          </w:p>
        </w:tc>
        <w:tc>
          <w:tcPr>
            <w:tcW w:w="141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34"/>
              <w:ind w:left="86" w:right="83"/>
              <w:jc w:val="left"/>
              <w:rPr>
                <w:rFonts w:ascii="宋体" w:hAnsi="宋体" w:cs="宋体" w:eastAsia="宋体" w:hint="default"/>
                <w:sz w:val="21"/>
                <w:szCs w:val="21"/>
              </w:rPr>
            </w:pP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34"/>
              <w:ind w:left="83" w:right="83"/>
              <w:jc w:val="left"/>
              <w:rPr>
                <w:rFonts w:ascii="宋体" w:hAnsi="宋体" w:cs="宋体" w:eastAsia="宋体" w:hint="default"/>
                <w:sz w:val="21"/>
                <w:szCs w:val="21"/>
              </w:rPr>
            </w:pP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41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528" w:type="dxa"/>
            <w:vMerge/>
            <w:tcBorders>
              <w:left w:val="single" w:sz="4" w:space="0" w:color="000000"/>
              <w:bottom w:val="single" w:sz="6" w:space="0" w:color="000000"/>
              <w:right w:val="single" w:sz="4" w:space="0" w:color="000000"/>
            </w:tcBorders>
          </w:tcPr>
          <w:p>
            <w:pPr/>
          </w:p>
        </w:tc>
      </w:tr>
      <w:tr>
        <w:trPr>
          <w:trHeight w:val="377" w:hRule="exact"/>
        </w:trPr>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412"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154,810.00</w:t>
            </w:r>
          </w:p>
        </w:tc>
        <w:tc>
          <w:tcPr>
            <w:tcW w:w="605"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21"/>
                <w:szCs w:val="21"/>
              </w:rPr>
            </w:pPr>
            <w:r>
              <w:rPr>
                <w:rFonts w:ascii="Times New Roman"/>
                <w:spacing w:val="-1"/>
                <w:sz w:val="21"/>
              </w:rPr>
              <w:t>154,810.00</w:t>
            </w:r>
          </w:p>
        </w:tc>
        <w:tc>
          <w:tcPr>
            <w:tcW w:w="528" w:type="dxa"/>
            <w:tcBorders>
              <w:top w:val="single" w:sz="6" w:space="0" w:color="000000"/>
              <w:left w:val="single" w:sz="4" w:space="0" w:color="000000"/>
              <w:bottom w:val="single" w:sz="6" w:space="0" w:color="000000"/>
              <w:right w:val="single" w:sz="6" w:space="0" w:color="000000"/>
            </w:tcBorders>
          </w:tcPr>
          <w:p>
            <w:pPr/>
          </w:p>
        </w:tc>
      </w:tr>
      <w:tr>
        <w:trPr>
          <w:trHeight w:val="734" w:hRule="exact"/>
        </w:trPr>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24" w:right="19" w:firstLine="420"/>
              <w:jc w:val="left"/>
              <w:rPr>
                <w:rFonts w:ascii="宋体" w:hAnsi="宋体" w:cs="宋体" w:eastAsia="宋体" w:hint="default"/>
                <w:sz w:val="21"/>
                <w:szCs w:val="21"/>
              </w:rPr>
            </w:pPr>
            <w:r>
              <w:rPr>
                <w:rFonts w:ascii="宋体" w:hAnsi="宋体" w:cs="宋体" w:eastAsia="宋体" w:hint="default"/>
                <w:spacing w:val="-14"/>
                <w:sz w:val="21"/>
                <w:szCs w:val="21"/>
              </w:rPr>
              <w:t>其中：未实现</w:t>
            </w:r>
            <w:r>
              <w:rPr>
                <w:rFonts w:ascii="宋体" w:hAnsi="宋体" w:cs="宋体" w:eastAsia="宋体" w:hint="default"/>
                <w:w w:val="100"/>
                <w:sz w:val="21"/>
                <w:szCs w:val="21"/>
              </w:rPr>
              <w:t> </w:t>
            </w:r>
            <w:r>
              <w:rPr>
                <w:rFonts w:ascii="宋体" w:hAnsi="宋体" w:cs="宋体" w:eastAsia="宋体" w:hint="default"/>
                <w:sz w:val="21"/>
                <w:szCs w:val="21"/>
              </w:rPr>
              <w:t>融资收益</w:t>
            </w:r>
          </w:p>
        </w:tc>
        <w:tc>
          <w:tcPr>
            <w:tcW w:w="1412"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4" w:space="0" w:color="000000"/>
            </w:tcBorders>
          </w:tcPr>
          <w:p>
            <w:pPr/>
          </w:p>
        </w:tc>
        <w:tc>
          <w:tcPr>
            <w:tcW w:w="528" w:type="dxa"/>
            <w:tcBorders>
              <w:top w:val="single" w:sz="6" w:space="0" w:color="000000"/>
              <w:left w:val="single" w:sz="4" w:space="0" w:color="000000"/>
              <w:bottom w:val="single" w:sz="6" w:space="0" w:color="000000"/>
              <w:right w:val="single" w:sz="6" w:space="0" w:color="000000"/>
            </w:tcBorders>
          </w:tcPr>
          <w:p>
            <w:pPr/>
          </w:p>
        </w:tc>
      </w:tr>
      <w:tr>
        <w:trPr>
          <w:trHeight w:val="734" w:hRule="exact"/>
        </w:trPr>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24" w:right="21"/>
              <w:jc w:val="left"/>
              <w:rPr>
                <w:rFonts w:ascii="宋体" w:hAnsi="宋体" w:cs="宋体" w:eastAsia="宋体" w:hint="default"/>
                <w:sz w:val="21"/>
                <w:szCs w:val="21"/>
              </w:rPr>
            </w:pPr>
            <w:r>
              <w:rPr>
                <w:rFonts w:ascii="宋体" w:hAnsi="宋体" w:cs="宋体" w:eastAsia="宋体" w:hint="default"/>
                <w:spacing w:val="16"/>
                <w:sz w:val="21"/>
                <w:szCs w:val="21"/>
              </w:rPr>
              <w:t>分期收款销售商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品</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7" w:right="0"/>
              <w:jc w:val="center"/>
              <w:rPr>
                <w:rFonts w:ascii="Times New Roman" w:hAnsi="Times New Roman" w:cs="Times New Roman" w:eastAsia="Times New Roman" w:hint="default"/>
                <w:sz w:val="21"/>
                <w:szCs w:val="21"/>
              </w:rPr>
            </w:pPr>
            <w:r>
              <w:rPr>
                <w:rFonts w:ascii="Times New Roman"/>
                <w:sz w:val="21"/>
              </w:rPr>
              <w:t>702,889,910.08</w:t>
            </w:r>
          </w:p>
        </w:tc>
        <w:tc>
          <w:tcPr>
            <w:tcW w:w="60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702,889,910.08</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206,895,264.30</w:t>
            </w:r>
          </w:p>
        </w:tc>
        <w:tc>
          <w:tcPr>
            <w:tcW w:w="605"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206,895,264.30</w:t>
            </w:r>
          </w:p>
        </w:tc>
        <w:tc>
          <w:tcPr>
            <w:tcW w:w="528" w:type="dxa"/>
            <w:tcBorders>
              <w:top w:val="single" w:sz="6" w:space="0" w:color="000000"/>
              <w:left w:val="single" w:sz="4" w:space="0" w:color="000000"/>
              <w:bottom w:val="single" w:sz="6" w:space="0" w:color="000000"/>
              <w:right w:val="single" w:sz="6" w:space="0" w:color="000000"/>
            </w:tcBorders>
          </w:tcPr>
          <w:p>
            <w:pPr/>
          </w:p>
        </w:tc>
      </w:tr>
      <w:tr>
        <w:trPr>
          <w:trHeight w:val="737" w:hRule="exact"/>
        </w:trPr>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3"/>
              <w:ind w:left="24" w:right="19" w:firstLine="420"/>
              <w:jc w:val="left"/>
              <w:rPr>
                <w:rFonts w:ascii="宋体" w:hAnsi="宋体" w:cs="宋体" w:eastAsia="宋体" w:hint="default"/>
                <w:sz w:val="21"/>
                <w:szCs w:val="21"/>
              </w:rPr>
            </w:pPr>
            <w:r>
              <w:rPr>
                <w:rFonts w:ascii="宋体" w:hAnsi="宋体" w:cs="宋体" w:eastAsia="宋体" w:hint="default"/>
                <w:spacing w:val="-14"/>
                <w:sz w:val="21"/>
                <w:szCs w:val="21"/>
              </w:rPr>
              <w:t>其中：未实现</w:t>
            </w:r>
            <w:r>
              <w:rPr>
                <w:rFonts w:ascii="宋体" w:hAnsi="宋体" w:cs="宋体" w:eastAsia="宋体" w:hint="default"/>
                <w:w w:val="100"/>
                <w:sz w:val="21"/>
                <w:szCs w:val="21"/>
              </w:rPr>
              <w:t> </w:t>
            </w:r>
            <w:r>
              <w:rPr>
                <w:rFonts w:ascii="宋体" w:hAnsi="宋体" w:cs="宋体" w:eastAsia="宋体" w:hint="default"/>
                <w:sz w:val="21"/>
                <w:szCs w:val="21"/>
              </w:rPr>
              <w:t>融资收益</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7" w:right="0"/>
              <w:jc w:val="center"/>
              <w:rPr>
                <w:rFonts w:ascii="Times New Roman" w:hAnsi="Times New Roman" w:cs="Times New Roman" w:eastAsia="Times New Roman" w:hint="default"/>
                <w:sz w:val="21"/>
                <w:szCs w:val="21"/>
              </w:rPr>
            </w:pPr>
            <w:r>
              <w:rPr>
                <w:rFonts w:ascii="Times New Roman"/>
                <w:sz w:val="21"/>
              </w:rPr>
              <w:t>137,562,260.10</w:t>
            </w:r>
          </w:p>
        </w:tc>
        <w:tc>
          <w:tcPr>
            <w:tcW w:w="60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137,562,260.10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38,153,604.67</w:t>
            </w:r>
          </w:p>
        </w:tc>
        <w:tc>
          <w:tcPr>
            <w:tcW w:w="605"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38,153,604.67</w:t>
            </w:r>
          </w:p>
        </w:tc>
        <w:tc>
          <w:tcPr>
            <w:tcW w:w="528" w:type="dxa"/>
            <w:tcBorders>
              <w:top w:val="single" w:sz="6" w:space="0" w:color="000000"/>
              <w:left w:val="single" w:sz="4" w:space="0" w:color="000000"/>
              <w:bottom w:val="single" w:sz="6" w:space="0" w:color="000000"/>
              <w:right w:val="single" w:sz="6" w:space="0" w:color="000000"/>
            </w:tcBorders>
          </w:tcPr>
          <w:p>
            <w:pPr/>
          </w:p>
        </w:tc>
      </w:tr>
    </w:tbl>
    <w:p>
      <w:pPr>
        <w:spacing w:after="0"/>
        <w:sectPr>
          <w:pgSz w:w="11910" w:h="16840"/>
          <w:pgMar w:header="857" w:footer="979" w:top="1120" w:bottom="1160" w:left="1060" w:right="1560"/>
        </w:sectPr>
      </w:pPr>
    </w:p>
    <w:p>
      <w:pPr>
        <w:spacing w:line="240" w:lineRule="auto" w:before="11"/>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1666"/>
        <w:gridCol w:w="1412"/>
        <w:gridCol w:w="607"/>
        <w:gridCol w:w="1409"/>
        <w:gridCol w:w="1412"/>
        <w:gridCol w:w="605"/>
        <w:gridCol w:w="1412"/>
        <w:gridCol w:w="528"/>
      </w:tblGrid>
      <w:tr>
        <w:trPr>
          <w:trHeight w:val="377" w:hRule="exact"/>
        </w:trPr>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59" w:right="0"/>
              <w:jc w:val="left"/>
              <w:rPr>
                <w:rFonts w:ascii="Times New Roman" w:hAnsi="Times New Roman" w:cs="Times New Roman" w:eastAsia="Times New Roman" w:hint="default"/>
                <w:sz w:val="21"/>
                <w:szCs w:val="21"/>
              </w:rPr>
            </w:pPr>
            <w:r>
              <w:rPr>
                <w:rFonts w:ascii="Times New Roman"/>
                <w:sz w:val="21"/>
              </w:rPr>
              <w:t>702,889,910.08</w:t>
            </w:r>
          </w:p>
        </w:tc>
        <w:tc>
          <w:tcPr>
            <w:tcW w:w="60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57" w:right="0"/>
              <w:jc w:val="left"/>
              <w:rPr>
                <w:rFonts w:ascii="Times New Roman" w:hAnsi="Times New Roman" w:cs="Times New Roman" w:eastAsia="Times New Roman" w:hint="default"/>
                <w:sz w:val="21"/>
                <w:szCs w:val="21"/>
              </w:rPr>
            </w:pPr>
            <w:r>
              <w:rPr>
                <w:rFonts w:ascii="Times New Roman"/>
                <w:sz w:val="21"/>
              </w:rPr>
              <w:t>702,889,910.08</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60" w:right="0"/>
              <w:jc w:val="left"/>
              <w:rPr>
                <w:rFonts w:ascii="Times New Roman" w:hAnsi="Times New Roman" w:cs="Times New Roman" w:eastAsia="Times New Roman" w:hint="default"/>
                <w:sz w:val="21"/>
                <w:szCs w:val="21"/>
              </w:rPr>
            </w:pPr>
            <w:r>
              <w:rPr>
                <w:rFonts w:ascii="Times New Roman"/>
                <w:sz w:val="21"/>
              </w:rPr>
              <w:t>207,050,074.30</w:t>
            </w:r>
          </w:p>
        </w:tc>
        <w:tc>
          <w:tcPr>
            <w:tcW w:w="605"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21"/>
                <w:szCs w:val="21"/>
              </w:rPr>
            </w:pPr>
            <w:r>
              <w:rPr>
                <w:rFonts w:ascii="Times New Roman"/>
                <w:sz w:val="21"/>
              </w:rPr>
              <w:t>207,050,074.30</w:t>
            </w:r>
          </w:p>
        </w:tc>
        <w:tc>
          <w:tcPr>
            <w:tcW w:w="52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24"/>
                <w:szCs w:val="24"/>
              </w:rPr>
            </w:pPr>
            <w:r>
              <w:rPr>
                <w:rFonts w:ascii="宋体"/>
                <w:sz w:val="24"/>
              </w:rPr>
              <w:t>/</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before="0"/>
        <w:ind w:left="217"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4"/>
        </w:rPr>
        <w:t> </w:t>
      </w:r>
      <w:r>
        <w:rPr/>
        <w:t>因金融资产转移而终止确认的长期应收款</w:t>
      </w:r>
      <w:r>
        <w:rPr>
          <w:b w:val="0"/>
          <w:bCs w:val="0"/>
        </w:rPr>
      </w:r>
    </w:p>
    <w:p>
      <w:pPr>
        <w:pStyle w:val="BodyText"/>
        <w:tabs>
          <w:tab w:pos="1539" w:val="left" w:leader="none"/>
        </w:tabs>
        <w:spacing w:line="240" w:lineRule="auto" w:before="129"/>
        <w:ind w:left="697" w:right="0"/>
        <w:jc w:val="left"/>
      </w:pPr>
      <w:r>
        <w:rPr/>
        <w:t>□适用</w:t>
        <w:tab/>
        <w:t>√不适用</w:t>
      </w:r>
    </w:p>
    <w:p>
      <w:pPr>
        <w:pStyle w:val="Heading4"/>
        <w:spacing w:line="240" w:lineRule="auto" w:before="145"/>
        <w:ind w:left="217" w:right="0"/>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3"/>
        </w:rPr>
        <w:t> </w:t>
      </w:r>
      <w:r>
        <w:rPr/>
        <w:t>转移长期应收款且继续涉入形成的资产、负债金额</w:t>
      </w:r>
      <w:r>
        <w:rPr>
          <w:b w:val="0"/>
          <w:bCs w:val="0"/>
        </w:rPr>
      </w:r>
    </w:p>
    <w:p>
      <w:pPr>
        <w:pStyle w:val="BodyText"/>
        <w:tabs>
          <w:tab w:pos="1539" w:val="left" w:leader="none"/>
        </w:tabs>
        <w:spacing w:line="240" w:lineRule="auto" w:before="129"/>
        <w:ind w:left="697" w:right="0"/>
        <w:jc w:val="left"/>
      </w:pPr>
      <w:r>
        <w:rPr/>
        <w:t>□适用</w:t>
        <w:tab/>
        <w:t>√不适用</w:t>
      </w:r>
    </w:p>
    <w:p>
      <w:pPr>
        <w:pStyle w:val="Heading2"/>
        <w:spacing w:line="240" w:lineRule="auto" w:before="2"/>
        <w:ind w:left="1059" w:right="0"/>
        <w:jc w:val="left"/>
        <w:rPr>
          <w:b w:val="0"/>
          <w:bCs w:val="0"/>
        </w:rPr>
      </w:pPr>
      <w:r>
        <w:rPr>
          <w:rFonts w:ascii="宋体" w:hAnsi="宋体" w:cs="宋体" w:eastAsia="宋体" w:hint="default"/>
        </w:rPr>
        <w:t>(4)</w:t>
      </w:r>
      <w:r>
        <w:rPr>
          <w:rFonts w:ascii="宋体" w:hAnsi="宋体" w:cs="宋体" w:eastAsia="宋体" w:hint="default"/>
          <w:spacing w:val="-71"/>
        </w:rPr>
        <w:t> </w:t>
      </w:r>
      <w:r>
        <w:rPr>
          <w:rFonts w:ascii="宋体" w:hAnsi="宋体" w:cs="宋体" w:eastAsia="宋体" w:hint="default"/>
        </w:rPr>
        <w:t>.</w:t>
      </w:r>
      <w:r>
        <w:rPr/>
        <w:t>按欠款方归集的期末余额前五名的长期应收款情况</w:t>
      </w:r>
      <w:r>
        <w:rPr>
          <w:b w:val="0"/>
          <w:bCs w:val="0"/>
        </w:rPr>
      </w:r>
    </w:p>
    <w:p>
      <w:pPr>
        <w:spacing w:line="240" w:lineRule="auto" w:before="10"/>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2831"/>
        <w:gridCol w:w="3120"/>
        <w:gridCol w:w="2835"/>
      </w:tblGrid>
      <w:tr>
        <w:trPr>
          <w:trHeight w:val="37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60" w:right="0"/>
              <w:jc w:val="left"/>
              <w:rPr>
                <w:rFonts w:ascii="宋体" w:hAnsi="宋体" w:cs="宋体" w:eastAsia="宋体" w:hint="default"/>
                <w:sz w:val="21"/>
                <w:szCs w:val="21"/>
              </w:rPr>
            </w:pPr>
            <w:r>
              <w:rPr>
                <w:rFonts w:ascii="宋体" w:hAnsi="宋体" w:cs="宋体" w:eastAsia="宋体" w:hint="default"/>
                <w:sz w:val="21"/>
                <w:szCs w:val="21"/>
              </w:rPr>
              <w:t>其中：未确认融资收益</w:t>
            </w:r>
          </w:p>
        </w:tc>
      </w:tr>
      <w:tr>
        <w:trPr>
          <w:trHeight w:val="373"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应收客户一</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spacing w:val="-1"/>
                <w:sz w:val="21"/>
              </w:rPr>
              <w:t>442,966,476.57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103,845,025.42</w:t>
            </w:r>
          </w:p>
        </w:tc>
      </w:tr>
      <w:tr>
        <w:trPr>
          <w:trHeight w:val="37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应收客户二</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179,584,097.85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22,027,381.83</w:t>
            </w:r>
          </w:p>
        </w:tc>
      </w:tr>
      <w:tr>
        <w:trPr>
          <w:trHeight w:val="37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应收客户三</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40,371,569.32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Times New Roman" w:hAnsi="Times New Roman" w:cs="Times New Roman" w:eastAsia="Times New Roman" w:hint="default"/>
                <w:sz w:val="21"/>
                <w:szCs w:val="21"/>
              </w:rPr>
            </w:pPr>
            <w:r>
              <w:rPr>
                <w:rFonts w:ascii="Times New Roman"/>
                <w:spacing w:val="-1"/>
                <w:sz w:val="21"/>
              </w:rPr>
              <w:t>5,752,948.63</w:t>
            </w:r>
            <w:r>
              <w:rPr>
                <w:rFonts w:ascii="Times New Roman"/>
                <w:sz w:val="21"/>
              </w:rPr>
            </w:r>
          </w:p>
        </w:tc>
      </w:tr>
      <w:tr>
        <w:trPr>
          <w:trHeight w:val="37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应收客户四</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15,734,334.26</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2,552,708.30</w:t>
            </w:r>
          </w:p>
        </w:tc>
      </w:tr>
      <w:tr>
        <w:trPr>
          <w:trHeight w:val="37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应收客户五</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14,678,235.04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2,038,612.96</w:t>
            </w:r>
          </w:p>
        </w:tc>
      </w:tr>
      <w:tr>
        <w:trPr>
          <w:trHeight w:val="372"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693,334,713.04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136,216,677.14</w:t>
            </w:r>
          </w:p>
        </w:tc>
      </w:tr>
    </w:tbl>
    <w:p>
      <w:pPr>
        <w:spacing w:line="240" w:lineRule="auto" w:before="4"/>
        <w:rPr>
          <w:rFonts w:ascii="宋体" w:hAnsi="宋体" w:cs="宋体" w:eastAsia="宋体" w:hint="default"/>
          <w:b/>
          <w:bCs/>
          <w:sz w:val="18"/>
          <w:szCs w:val="18"/>
        </w:rPr>
      </w:pPr>
    </w:p>
    <w:p>
      <w:pPr>
        <w:pStyle w:val="BodyText"/>
        <w:spacing w:line="274" w:lineRule="exact" w:before="36"/>
        <w:ind w:left="217" w:right="0"/>
        <w:jc w:val="left"/>
      </w:pPr>
      <w:r>
        <w:rPr/>
        <w:t>其他说明</w:t>
      </w:r>
    </w:p>
    <w:p>
      <w:pPr>
        <w:pStyle w:val="BodyText"/>
        <w:spacing w:line="274" w:lineRule="exact"/>
        <w:ind w:left="697" w:right="0"/>
        <w:jc w:val="left"/>
      </w:pPr>
      <w:r>
        <w:rPr/>
        <w:t>□适用 √不适用</w:t>
      </w:r>
    </w:p>
    <w:p>
      <w:pPr>
        <w:spacing w:after="0" w:line="274" w:lineRule="exact"/>
        <w:jc w:val="left"/>
        <w:sectPr>
          <w:pgSz w:w="11910" w:h="16840"/>
          <w:pgMar w:header="857" w:footer="979" w:top="1120" w:bottom="1160" w:left="1060" w:right="15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52"/>
          <w:footerReference w:type="default" r:id="rId53"/>
          <w:pgSz w:w="16840" w:h="11910" w:orient="landscape"/>
          <w:pgMar w:header="857" w:footer="980" w:top="1120" w:bottom="1160" w:left="1300" w:right="1320"/>
          <w:pgNumType w:start="153"/>
        </w:sectPr>
      </w:pPr>
    </w:p>
    <w:p>
      <w:pPr>
        <w:pStyle w:val="Heading4"/>
        <w:spacing w:line="240" w:lineRule="auto"/>
        <w:ind w:left="224" w:right="-18"/>
        <w:jc w:val="left"/>
        <w:rPr>
          <w:b w:val="0"/>
          <w:bCs w:val="0"/>
        </w:rPr>
      </w:pPr>
      <w:r>
        <w:rPr>
          <w:rFonts w:ascii="Times New Roman" w:hAnsi="Times New Roman" w:cs="Times New Roman" w:eastAsia="Times New Roman" w:hint="default"/>
        </w:rPr>
        <w:t>14</w:t>
      </w:r>
      <w:r>
        <w:rPr/>
        <w:t>、</w:t>
      </w:r>
      <w:r>
        <w:rPr>
          <w:spacing w:val="-21"/>
        </w:rPr>
        <w:t> </w:t>
      </w:r>
      <w:r>
        <w:rPr/>
        <w:t>长期股权投资</w:t>
      </w:r>
      <w:r>
        <w:rPr>
          <w:b w:val="0"/>
          <w:bCs w:val="0"/>
        </w:rPr>
      </w:r>
    </w:p>
    <w:p>
      <w:pPr>
        <w:pStyle w:val="BodyText"/>
        <w:spacing w:line="240" w:lineRule="auto" w:before="43"/>
        <w:ind w:left="704"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580" w:bottom="280" w:left="1300" w:right="1320"/>
          <w:cols w:num="2" w:equalWidth="0">
            <w:col w:w="2282" w:space="9281"/>
            <w:col w:w="265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60"/>
        <w:gridCol w:w="1560"/>
        <w:gridCol w:w="1558"/>
        <w:gridCol w:w="710"/>
        <w:gridCol w:w="1416"/>
        <w:gridCol w:w="566"/>
        <w:gridCol w:w="1418"/>
        <w:gridCol w:w="708"/>
        <w:gridCol w:w="427"/>
        <w:gridCol w:w="1558"/>
        <w:gridCol w:w="1702"/>
        <w:gridCol w:w="708"/>
      </w:tblGrid>
      <w:tr>
        <w:trPr>
          <w:trHeight w:val="370"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250"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4" w:lineRule="auto"/>
              <w:ind w:left="563" w:right="563"/>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4" w:lineRule="auto"/>
              <w:ind w:left="636" w:right="631"/>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00" w:lineRule="auto" w:before="162"/>
              <w:ind w:left="108" w:right="108" w:firstLine="31"/>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w w:val="100"/>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4"/>
                <w:szCs w:val="24"/>
              </w:rPr>
              <w:t>期末</w:t>
            </w:r>
            <w:r>
              <w:rPr>
                <w:rFonts w:ascii="宋体" w:hAnsi="宋体" w:cs="宋体" w:eastAsia="宋体" w:hint="default"/>
                <w:sz w:val="24"/>
                <w:szCs w:val="24"/>
              </w:rPr>
              <w:t> </w:t>
            </w:r>
            <w:r>
              <w:rPr>
                <w:rFonts w:ascii="宋体" w:hAnsi="宋体" w:cs="宋体" w:eastAsia="宋体" w:hint="default"/>
                <w:sz w:val="21"/>
                <w:szCs w:val="21"/>
              </w:rPr>
              <w:t>余额</w:t>
            </w:r>
          </w:p>
        </w:tc>
      </w:tr>
      <w:tr>
        <w:trPr>
          <w:trHeight w:val="2890" w:hRule="exact"/>
        </w:trPr>
        <w:tc>
          <w:tcPr>
            <w:tcW w:w="156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4" w:lineRule="auto"/>
              <w:ind w:left="139" w:right="13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58"/>
              <w:ind w:left="177" w:right="173"/>
              <w:jc w:val="center"/>
              <w:rPr>
                <w:rFonts w:ascii="宋体" w:hAnsi="宋体" w:cs="宋体" w:eastAsia="宋体" w:hint="default"/>
                <w:sz w:val="21"/>
                <w:szCs w:val="21"/>
              </w:rPr>
            </w:pPr>
            <w:r>
              <w:rPr>
                <w:rFonts w:ascii="宋体" w:hAnsi="宋体" w:cs="宋体" w:eastAsia="宋体" w:hint="default"/>
                <w:sz w:val="21"/>
                <w:szCs w:val="21"/>
              </w:rPr>
              <w:t>权益法下确</w:t>
            </w:r>
            <w:r>
              <w:rPr>
                <w:rFonts w:ascii="宋体" w:hAnsi="宋体" w:cs="宋体" w:eastAsia="宋体" w:hint="default"/>
                <w:w w:val="100"/>
                <w:sz w:val="21"/>
                <w:szCs w:val="21"/>
              </w:rPr>
              <w:t> </w:t>
            </w:r>
            <w:r>
              <w:rPr>
                <w:rFonts w:ascii="宋体" w:hAnsi="宋体" w:cs="宋体" w:eastAsia="宋体" w:hint="default"/>
                <w:sz w:val="21"/>
                <w:szCs w:val="21"/>
              </w:rPr>
              <w:t>认的投资损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72" w:right="170"/>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调</w:t>
            </w:r>
            <w:r>
              <w:rPr>
                <w:rFonts w:ascii="宋体" w:hAnsi="宋体" w:cs="宋体" w:eastAsia="宋体" w:hint="default"/>
                <w:w w:val="100"/>
                <w:sz w:val="21"/>
                <w:szCs w:val="21"/>
              </w:rPr>
              <w:t> </w:t>
            </w:r>
            <w:r>
              <w:rPr>
                <w:rFonts w:ascii="宋体" w:hAnsi="宋体" w:cs="宋体" w:eastAsia="宋体" w:hint="default"/>
                <w:sz w:val="21"/>
                <w:szCs w:val="21"/>
              </w:rPr>
              <w:t>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4" w:lineRule="auto"/>
              <w:ind w:left="600" w:right="173" w:hanging="420"/>
              <w:jc w:val="left"/>
              <w:rPr>
                <w:rFonts w:ascii="宋体" w:hAnsi="宋体" w:cs="宋体" w:eastAsia="宋体" w:hint="default"/>
                <w:sz w:val="21"/>
                <w:szCs w:val="21"/>
              </w:rPr>
            </w:pPr>
            <w:r>
              <w:rPr>
                <w:rFonts w:ascii="宋体" w:hAnsi="宋体" w:cs="宋体" w:eastAsia="宋体" w:hint="default"/>
                <w:sz w:val="21"/>
                <w:szCs w:val="21"/>
              </w:rPr>
              <w:t>其他权益变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1"/>
              <w:ind w:left="139" w:right="134"/>
              <w:jc w:val="both"/>
              <w:rPr>
                <w:rFonts w:ascii="宋体" w:hAnsi="宋体" w:cs="宋体" w:eastAsia="宋体" w:hint="default"/>
                <w:sz w:val="21"/>
                <w:szCs w:val="21"/>
              </w:rPr>
            </w:pPr>
            <w:r>
              <w:rPr>
                <w:rFonts w:ascii="宋体" w:hAnsi="宋体" w:cs="宋体" w:eastAsia="宋体" w:hint="default"/>
                <w:sz w:val="21"/>
                <w:szCs w:val="21"/>
              </w:rPr>
              <w:t>宣告</w:t>
            </w:r>
            <w:r>
              <w:rPr>
                <w:rFonts w:ascii="宋体" w:hAnsi="宋体" w:cs="宋体" w:eastAsia="宋体" w:hint="default"/>
                <w:spacing w:val="-103"/>
                <w:sz w:val="21"/>
                <w:szCs w:val="21"/>
              </w:rPr>
              <w:t> </w:t>
            </w: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1"/>
              <w:ind w:left="105" w:right="98"/>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70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r>
      <w:tr>
        <w:trPr>
          <w:trHeight w:val="370" w:hRule="exact"/>
        </w:trPr>
        <w:tc>
          <w:tcPr>
            <w:tcW w:w="1389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389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09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both"/>
              <w:rPr>
                <w:rFonts w:ascii="宋体" w:hAnsi="宋体" w:cs="宋体" w:eastAsia="宋体" w:hint="default"/>
                <w:sz w:val="21"/>
                <w:szCs w:val="21"/>
              </w:rPr>
            </w:pPr>
            <w:r>
              <w:rPr>
                <w:rFonts w:ascii="宋体" w:hAnsi="宋体" w:cs="宋体" w:eastAsia="宋体" w:hint="default"/>
                <w:spacing w:val="11"/>
                <w:sz w:val="21"/>
                <w:szCs w:val="21"/>
              </w:rPr>
              <w:t>成都四方伟业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软件股份有限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80,000,000.00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980,312.87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-3,170,385.18</w:t>
            </w: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77,809,927.69</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both"/>
              <w:rPr>
                <w:rFonts w:ascii="宋体" w:hAnsi="宋体" w:cs="宋体" w:eastAsia="宋体" w:hint="default"/>
                <w:sz w:val="21"/>
                <w:szCs w:val="21"/>
              </w:rPr>
            </w:pPr>
            <w:r>
              <w:rPr>
                <w:rFonts w:ascii="宋体" w:hAnsi="宋体" w:cs="宋体" w:eastAsia="宋体" w:hint="default"/>
                <w:spacing w:val="11"/>
                <w:sz w:val="21"/>
                <w:szCs w:val="21"/>
              </w:rPr>
              <w:t>福建省应急通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信运营有限公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9" w:right="0"/>
              <w:jc w:val="left"/>
              <w:rPr>
                <w:rFonts w:ascii="Times New Roman" w:hAnsi="Times New Roman" w:cs="Times New Roman" w:eastAsia="Times New Roman" w:hint="default"/>
                <w:sz w:val="21"/>
                <w:szCs w:val="21"/>
              </w:rPr>
            </w:pPr>
            <w:r>
              <w:rPr>
                <w:rFonts w:ascii="Times New Roman"/>
                <w:sz w:val="21"/>
              </w:rPr>
              <w:t>80,736,392.98</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1,619,867.82</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82,356,260.80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11"/>
                <w:sz w:val="21"/>
                <w:szCs w:val="21"/>
              </w:rPr>
              <w:t>泉州市数字云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12,500,000.00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882,238.30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13,382,238.30</w:t>
            </w: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1300" w:right="1320"/>
        </w:sectPr>
      </w:pPr>
    </w:p>
    <w:p>
      <w:pPr>
        <w:spacing w:line="240" w:lineRule="auto" w:before="5"/>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560"/>
        <w:gridCol w:w="1560"/>
        <w:gridCol w:w="1558"/>
        <w:gridCol w:w="710"/>
        <w:gridCol w:w="1416"/>
        <w:gridCol w:w="566"/>
        <w:gridCol w:w="1418"/>
        <w:gridCol w:w="708"/>
        <w:gridCol w:w="427"/>
        <w:gridCol w:w="1558"/>
        <w:gridCol w:w="1702"/>
        <w:gridCol w:w="708"/>
      </w:tblGrid>
      <w:tr>
        <w:trPr>
          <w:trHeight w:val="73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left"/>
              <w:rPr>
                <w:rFonts w:ascii="宋体" w:hAnsi="宋体" w:cs="宋体" w:eastAsia="宋体" w:hint="default"/>
                <w:sz w:val="21"/>
                <w:szCs w:val="21"/>
              </w:rPr>
            </w:pPr>
            <w:r>
              <w:rPr>
                <w:rFonts w:ascii="宋体" w:hAnsi="宋体" w:cs="宋体" w:eastAsia="宋体" w:hint="default"/>
                <w:spacing w:val="11"/>
                <w:sz w:val="21"/>
                <w:szCs w:val="21"/>
              </w:rPr>
              <w:t>谷信息产业发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展有限公司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84"/>
              <w:jc w:val="both"/>
              <w:rPr>
                <w:rFonts w:ascii="宋体" w:hAnsi="宋体" w:cs="宋体" w:eastAsia="宋体" w:hint="default"/>
                <w:sz w:val="21"/>
                <w:szCs w:val="21"/>
              </w:rPr>
            </w:pPr>
            <w:r>
              <w:rPr>
                <w:rFonts w:ascii="宋体" w:hAnsi="宋体" w:cs="宋体" w:eastAsia="宋体" w:hint="default"/>
                <w:spacing w:val="14"/>
                <w:sz w:val="21"/>
                <w:szCs w:val="21"/>
              </w:rPr>
              <w:t>福建神威系统</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1"/>
                <w:sz w:val="21"/>
                <w:szCs w:val="21"/>
              </w:rPr>
              <w:t>集成有限责任</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-1,793,924.55</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15,155,135.34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13,361,210.79</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both"/>
              <w:rPr>
                <w:rFonts w:ascii="宋体" w:hAnsi="宋体" w:cs="宋体" w:eastAsia="宋体" w:hint="default"/>
                <w:sz w:val="21"/>
                <w:szCs w:val="21"/>
              </w:rPr>
            </w:pPr>
            <w:r>
              <w:rPr>
                <w:rFonts w:ascii="宋体" w:hAnsi="宋体" w:cs="宋体" w:eastAsia="宋体" w:hint="default"/>
                <w:spacing w:val="11"/>
                <w:sz w:val="21"/>
                <w:szCs w:val="21"/>
              </w:rPr>
              <w:t>厦门会同鼎盛</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股权投资合伙</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企业（有限合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7,306,559.74</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-676,766.39</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6,629,793.35</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84"/>
              <w:jc w:val="both"/>
              <w:rPr>
                <w:rFonts w:ascii="宋体" w:hAnsi="宋体" w:cs="宋体" w:eastAsia="宋体" w:hint="default"/>
                <w:sz w:val="21"/>
                <w:szCs w:val="21"/>
              </w:rPr>
            </w:pPr>
            <w:r>
              <w:rPr>
                <w:rFonts w:ascii="宋体" w:hAnsi="宋体" w:cs="宋体" w:eastAsia="宋体" w:hint="default"/>
                <w:spacing w:val="14"/>
                <w:sz w:val="21"/>
                <w:szCs w:val="21"/>
              </w:rPr>
              <w:t>泉州市搏浪信</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1"/>
                <w:sz w:val="21"/>
                <w:szCs w:val="21"/>
              </w:rPr>
              <w:t>息科技有限公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1,609,600.00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198,827.75</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1,808,427.75</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0"/>
              <w:jc w:val="left"/>
              <w:rPr>
                <w:rFonts w:ascii="宋体" w:hAnsi="宋体" w:cs="宋体" w:eastAsia="宋体" w:hint="default"/>
                <w:sz w:val="21"/>
                <w:szCs w:val="21"/>
              </w:rPr>
            </w:pPr>
            <w:r>
              <w:rPr>
                <w:rFonts w:ascii="宋体" w:hAnsi="宋体" w:cs="宋体" w:eastAsia="宋体" w:hint="default"/>
                <w:spacing w:val="11"/>
                <w:sz w:val="21"/>
                <w:szCs w:val="21"/>
              </w:rPr>
              <w:t>南京伍安信息</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154,631.56</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2,106.07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156,737.63</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8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84"/>
              <w:jc w:val="both"/>
              <w:rPr>
                <w:rFonts w:ascii="宋体" w:hAnsi="宋体" w:cs="宋体" w:eastAsia="宋体" w:hint="default"/>
                <w:sz w:val="21"/>
                <w:szCs w:val="21"/>
              </w:rPr>
            </w:pPr>
            <w:r>
              <w:rPr>
                <w:rFonts w:ascii="宋体" w:hAnsi="宋体" w:cs="宋体" w:eastAsia="宋体" w:hint="default"/>
                <w:spacing w:val="14"/>
                <w:sz w:val="21"/>
                <w:szCs w:val="21"/>
              </w:rPr>
              <w:t>宁波梅山保税</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1"/>
                <w:sz w:val="21"/>
                <w:szCs w:val="21"/>
              </w:rPr>
              <w:t>港区南威道高</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投资管理合伙</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企业（有限合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1,001,524.96</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-983,973.66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17,551.30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89,199,109.24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94,109,600.00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228,688.21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21"/>
                <w:szCs w:val="21"/>
              </w:rPr>
            </w:pPr>
            <w:r>
              <w:rPr>
                <w:rFonts w:ascii="Times New Roman"/>
                <w:sz w:val="21"/>
              </w:rPr>
              <w:t>-3,170,385.18</w:t>
            </w: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15,155,135.34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195,522,147.61</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89,199,109.24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94,109,600.00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228,688.21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21"/>
                <w:szCs w:val="21"/>
              </w:rPr>
            </w:pPr>
            <w:r>
              <w:rPr>
                <w:rFonts w:ascii="Times New Roman"/>
                <w:sz w:val="21"/>
              </w:rPr>
              <w:t>-3,170,385.18</w:t>
            </w: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15,155,135.34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195,522,147.61</w:t>
            </w:r>
          </w:p>
        </w:tc>
        <w:tc>
          <w:tcPr>
            <w:tcW w:w="70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24" w:right="0"/>
        <w:jc w:val="left"/>
      </w:pPr>
      <w:r>
        <w:rPr/>
        <w:t>其他说明</w:t>
      </w:r>
    </w:p>
    <w:p>
      <w:pPr>
        <w:pStyle w:val="BodyText"/>
        <w:spacing w:line="240" w:lineRule="auto" w:before="75"/>
        <w:ind w:left="704" w:right="0"/>
        <w:jc w:val="left"/>
      </w:pPr>
      <w:r>
        <w:rPr>
          <w:w w:val="100"/>
        </w:rPr>
        <w:t>无</w:t>
      </w:r>
    </w:p>
    <w:p>
      <w:pPr>
        <w:spacing w:after="0" w:line="240" w:lineRule="auto"/>
        <w:jc w:val="left"/>
        <w:sectPr>
          <w:pgSz w:w="16840" w:h="11910" w:orient="landscape"/>
          <w:pgMar w:header="857" w:footer="980" w:top="1120" w:bottom="1160" w:left="1300" w:right="13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4"/>
        <w:spacing w:line="240" w:lineRule="auto"/>
        <w:ind w:left="224" w:right="0"/>
        <w:jc w:val="left"/>
        <w:rPr>
          <w:b w:val="0"/>
          <w:bCs w:val="0"/>
        </w:rPr>
      </w:pPr>
      <w:r>
        <w:rPr>
          <w:rFonts w:ascii="Times New Roman" w:hAnsi="Times New Roman" w:cs="Times New Roman" w:eastAsia="Times New Roman" w:hint="default"/>
        </w:rPr>
        <w:t>15</w:t>
      </w:r>
      <w:r>
        <w:rPr/>
        <w:t>、</w:t>
      </w:r>
      <w:r>
        <w:rPr>
          <w:spacing w:val="-21"/>
        </w:rPr>
        <w:t> </w:t>
      </w:r>
      <w:r>
        <w:rPr/>
        <w:t>投资性房地产</w:t>
      </w:r>
      <w:r>
        <w:rPr>
          <w:b w:val="0"/>
          <w:bCs w:val="0"/>
        </w:rPr>
      </w:r>
    </w:p>
    <w:p>
      <w:pPr>
        <w:pStyle w:val="Heading3"/>
        <w:spacing w:line="240" w:lineRule="auto" w:before="36"/>
        <w:ind w:left="704" w:right="0"/>
        <w:jc w:val="left"/>
      </w:pPr>
      <w:r>
        <w:rPr/>
        <w:t>投资性房地产计量模式</w:t>
      </w:r>
    </w:p>
    <w:p>
      <w:pPr>
        <w:tabs>
          <w:tab w:pos="1275" w:val="left" w:leader="none"/>
        </w:tabs>
        <w:spacing w:line="273" w:lineRule="auto" w:before="64"/>
        <w:ind w:left="224" w:right="104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3"/>
          <w:sz w:val="21"/>
          <w:szCs w:val="21"/>
        </w:rPr>
        <w:t> </w:t>
      </w:r>
      <w:r>
        <w:rPr>
          <w:rFonts w:ascii="宋体" w:hAnsi="宋体" w:cs="宋体" w:eastAsia="宋体" w:hint="default"/>
          <w:b/>
          <w:bCs/>
          <w:sz w:val="21"/>
          <w:szCs w:val="21"/>
        </w:rPr>
        <w:t>采用成本计量模式的投资性房地产</w:t>
      </w:r>
      <w:r>
        <w:rPr>
          <w:rFonts w:ascii="宋体" w:hAnsi="宋体" w:cs="宋体" w:eastAsia="宋体" w:hint="default"/>
          <w:b/>
          <w:bCs/>
          <w:w w:val="100"/>
          <w:sz w:val="21"/>
          <w:szCs w:val="21"/>
        </w:rPr>
        <w:t> </w:t>
      </w: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tbl>
      <w:tblPr>
        <w:tblW w:w="0" w:type="auto"/>
        <w:jc w:val="left"/>
        <w:tblInd w:w="111" w:type="dxa"/>
        <w:tblLayout w:type="fixed"/>
        <w:tblCellMar>
          <w:top w:w="0" w:type="dxa"/>
          <w:left w:w="0" w:type="dxa"/>
          <w:bottom w:w="0" w:type="dxa"/>
          <w:right w:w="0" w:type="dxa"/>
        </w:tblCellMar>
        <w:tblLook w:val="01E0"/>
      </w:tblPr>
      <w:tblGrid>
        <w:gridCol w:w="2264"/>
        <w:gridCol w:w="1561"/>
        <w:gridCol w:w="1075"/>
        <w:gridCol w:w="1430"/>
        <w:gridCol w:w="1037"/>
        <w:gridCol w:w="1457"/>
      </w:tblGrid>
      <w:tr>
        <w:trPr>
          <w:trHeight w:val="73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42"/>
              <w:jc w:val="right"/>
              <w:rPr>
                <w:rFonts w:ascii="宋体" w:hAnsi="宋体" w:cs="宋体" w:eastAsia="宋体" w:hint="default"/>
                <w:sz w:val="21"/>
                <w:szCs w:val="21"/>
              </w:rPr>
            </w:pPr>
            <w:r>
              <w:rPr>
                <w:rFonts w:ascii="宋体" w:hAnsi="宋体" w:cs="宋体" w:eastAsia="宋体" w:hint="default"/>
                <w:spacing w:val="-1"/>
                <w:sz w:val="21"/>
                <w:szCs w:val="21"/>
              </w:rPr>
              <w:t>房屋、建筑物</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427" w:right="108" w:hanging="315"/>
              <w:jc w:val="left"/>
              <w:rPr>
                <w:rFonts w:ascii="宋体" w:hAnsi="宋体" w:cs="宋体" w:eastAsia="宋体" w:hint="default"/>
                <w:sz w:val="21"/>
                <w:szCs w:val="21"/>
              </w:rPr>
            </w:pPr>
            <w:r>
              <w:rPr>
                <w:rFonts w:ascii="宋体" w:hAnsi="宋体" w:cs="宋体" w:eastAsia="宋体" w:hint="default"/>
                <w:sz w:val="21"/>
                <w:szCs w:val="21"/>
              </w:rPr>
              <w:t>土地使用</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393" w:right="180" w:hanging="209"/>
              <w:jc w:val="left"/>
              <w:rPr>
                <w:rFonts w:ascii="宋体" w:hAnsi="宋体" w:cs="宋体" w:eastAsia="宋体" w:hint="default"/>
                <w:sz w:val="21"/>
                <w:szCs w:val="21"/>
              </w:rPr>
            </w:pPr>
            <w:r>
              <w:rPr>
                <w:rFonts w:ascii="宋体" w:hAnsi="宋体" w:cs="宋体" w:eastAsia="宋体" w:hint="default"/>
                <w:sz w:val="21"/>
                <w:szCs w:val="21"/>
              </w:rPr>
              <w:t>投资性房地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产改良</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408" w:right="192" w:hanging="210"/>
              <w:jc w:val="left"/>
              <w:rPr>
                <w:rFonts w:ascii="宋体" w:hAnsi="宋体" w:cs="宋体" w:eastAsia="宋体" w:hint="default"/>
                <w:sz w:val="21"/>
                <w:szCs w:val="21"/>
              </w:rPr>
            </w:pPr>
            <w:r>
              <w:rPr>
                <w:rFonts w:ascii="宋体" w:hAnsi="宋体" w:cs="宋体" w:eastAsia="宋体" w:hint="default"/>
                <w:sz w:val="21"/>
                <w:szCs w:val="21"/>
              </w:rPr>
              <w:t>在建工</w:t>
            </w:r>
            <w:r>
              <w:rPr>
                <w:rFonts w:ascii="宋体" w:hAnsi="宋体" w:cs="宋体" w:eastAsia="宋体" w:hint="default"/>
                <w:spacing w:val="-102"/>
                <w:sz w:val="21"/>
                <w:szCs w:val="21"/>
              </w:rPr>
              <w:t> </w:t>
            </w:r>
            <w:r>
              <w:rPr>
                <w:rFonts w:ascii="宋体" w:hAnsi="宋体" w:cs="宋体" w:eastAsia="宋体" w:hint="default"/>
                <w:sz w:val="21"/>
                <w:szCs w:val="21"/>
              </w:rPr>
              <w:t>程</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33,694,810.00</w:t>
            </w: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957,908.21</w:t>
            </w: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34,652,718.21</w:t>
            </w: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）外购</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244"/>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）存货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固定资产</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在建工程转入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33,694,810.00</w:t>
            </w: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957,908.21</w:t>
            </w:r>
          </w:p>
        </w:tc>
        <w:tc>
          <w:tcPr>
            <w:tcW w:w="1037" w:type="dxa"/>
            <w:tcBorders>
              <w:top w:val="single" w:sz="4" w:space="0" w:color="000000"/>
              <w:left w:val="single" w:sz="8" w:space="0" w:color="000000"/>
              <w:bottom w:val="single" w:sz="8" w:space="0" w:color="000000"/>
              <w:right w:val="single" w:sz="8" w:space="0" w:color="000000"/>
            </w:tcBorders>
          </w:tcPr>
          <w:p>
            <w:pPr/>
          </w:p>
        </w:tc>
        <w:tc>
          <w:tcPr>
            <w:tcW w:w="145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1"/>
              <w:jc w:val="right"/>
              <w:rPr>
                <w:rFonts w:ascii="Times New Roman" w:hAnsi="Times New Roman" w:cs="Times New Roman" w:eastAsia="Times New Roman" w:hint="default"/>
                <w:sz w:val="21"/>
                <w:szCs w:val="21"/>
              </w:rPr>
            </w:pPr>
            <w:r>
              <w:rPr>
                <w:rFonts w:ascii="Times New Roman"/>
                <w:spacing w:val="-1"/>
                <w:sz w:val="21"/>
              </w:rPr>
              <w:t>34,652,718.21</w:t>
            </w:r>
          </w:p>
        </w:tc>
      </w:tr>
      <w:tr>
        <w:trPr>
          <w:trHeight w:val="7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103" w:right="98"/>
              <w:jc w:val="left"/>
              <w:rPr>
                <w:rFonts w:ascii="宋体" w:hAnsi="宋体" w:cs="宋体" w:eastAsia="宋体" w:hint="default"/>
                <w:sz w:val="21"/>
                <w:szCs w:val="21"/>
              </w:rPr>
            </w:pPr>
            <w:r>
              <w:rPr>
                <w:rFonts w:ascii="宋体" w:hAnsi="宋体" w:cs="宋体" w:eastAsia="宋体" w:hint="default"/>
                <w:spacing w:val="-7"/>
                <w:sz w:val="21"/>
                <w:szCs w:val="21"/>
              </w:rPr>
              <w:t>二、累计折旧和累计摊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销</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8" w:space="0" w:color="000000"/>
              <w:left w:val="single" w:sz="4" w:space="0" w:color="000000"/>
              <w:bottom w:val="single" w:sz="4" w:space="0" w:color="000000"/>
              <w:right w:val="single" w:sz="4" w:space="0" w:color="000000"/>
            </w:tcBorders>
          </w:tcPr>
          <w:p>
            <w:pPr/>
          </w:p>
        </w:tc>
        <w:tc>
          <w:tcPr>
            <w:tcW w:w="1037" w:type="dxa"/>
            <w:tcBorders>
              <w:top w:val="single" w:sz="8" w:space="0" w:color="000000"/>
              <w:left w:val="single" w:sz="4" w:space="0" w:color="000000"/>
              <w:bottom w:val="single" w:sz="4" w:space="0" w:color="000000"/>
              <w:right w:val="single" w:sz="4" w:space="0" w:color="000000"/>
            </w:tcBorders>
          </w:tcPr>
          <w:p>
            <w:pPr/>
          </w:p>
        </w:tc>
        <w:tc>
          <w:tcPr>
            <w:tcW w:w="1457" w:type="dxa"/>
            <w:tcBorders>
              <w:top w:val="single" w:sz="8"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3,565,102.34</w:t>
            </w: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15,166.88</w:t>
            </w:r>
          </w:p>
        </w:tc>
        <w:tc>
          <w:tcPr>
            <w:tcW w:w="1037" w:type="dxa"/>
            <w:tcBorders>
              <w:top w:val="single" w:sz="4" w:space="0" w:color="000000"/>
              <w:left w:val="single" w:sz="8" w:space="0" w:color="000000"/>
              <w:bottom w:val="single" w:sz="8" w:space="0" w:color="000000"/>
              <w:right w:val="single" w:sz="8" w:space="0" w:color="000000"/>
            </w:tcBorders>
          </w:tcPr>
          <w:p>
            <w:pPr/>
          </w:p>
        </w:tc>
        <w:tc>
          <w:tcPr>
            <w:tcW w:w="14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3,580,269.22</w:t>
            </w:r>
          </w:p>
        </w:tc>
      </w:tr>
      <w:tr>
        <w:trPr>
          <w:trHeight w:val="38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61"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02"/>
              <w:ind w:right="94"/>
              <w:jc w:val="right"/>
              <w:rPr>
                <w:rFonts w:ascii="Times New Roman" w:hAnsi="Times New Roman" w:cs="Times New Roman" w:eastAsia="Times New Roman" w:hint="default"/>
                <w:sz w:val="21"/>
                <w:szCs w:val="21"/>
              </w:rPr>
            </w:pPr>
            <w:r>
              <w:rPr>
                <w:rFonts w:ascii="Times New Roman"/>
                <w:spacing w:val="-1"/>
                <w:sz w:val="21"/>
              </w:rPr>
              <w:t>910,238.88</w:t>
            </w:r>
          </w:p>
        </w:tc>
        <w:tc>
          <w:tcPr>
            <w:tcW w:w="1075" w:type="dxa"/>
            <w:tcBorders>
              <w:top w:val="single" w:sz="4" w:space="0" w:color="000000"/>
              <w:left w:val="single" w:sz="8" w:space="0" w:color="000000"/>
              <w:bottom w:val="single" w:sz="4" w:space="0" w:color="000000"/>
              <w:right w:val="single" w:sz="4" w:space="0" w:color="000000"/>
            </w:tcBorders>
          </w:tcPr>
          <w:p>
            <w:pPr/>
          </w:p>
        </w:tc>
        <w:tc>
          <w:tcPr>
            <w:tcW w:w="143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7"/>
              <w:ind w:right="93"/>
              <w:jc w:val="right"/>
              <w:rPr>
                <w:rFonts w:ascii="Times New Roman" w:hAnsi="Times New Roman" w:cs="Times New Roman" w:eastAsia="Times New Roman" w:hint="default"/>
                <w:sz w:val="21"/>
                <w:szCs w:val="21"/>
              </w:rPr>
            </w:pPr>
            <w:r>
              <w:rPr>
                <w:rFonts w:ascii="Times New Roman"/>
                <w:spacing w:val="-1"/>
                <w:sz w:val="21"/>
              </w:rPr>
              <w:t>182,002.56</w:t>
            </w:r>
          </w:p>
        </w:tc>
        <w:tc>
          <w:tcPr>
            <w:tcW w:w="1037" w:type="dxa"/>
            <w:tcBorders>
              <w:top w:val="single" w:sz="8" w:space="0" w:color="000000"/>
              <w:left w:val="single" w:sz="8" w:space="0" w:color="000000"/>
              <w:bottom w:val="single" w:sz="8" w:space="0" w:color="000000"/>
              <w:right w:val="single" w:sz="8" w:space="0" w:color="000000"/>
            </w:tcBorders>
          </w:tcPr>
          <w:p>
            <w:pPr/>
          </w:p>
        </w:tc>
        <w:tc>
          <w:tcPr>
            <w:tcW w:w="145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2"/>
              <w:ind w:right="91"/>
              <w:jc w:val="right"/>
              <w:rPr>
                <w:rFonts w:ascii="Times New Roman" w:hAnsi="Times New Roman" w:cs="Times New Roman" w:eastAsia="Times New Roman" w:hint="default"/>
                <w:sz w:val="21"/>
                <w:szCs w:val="21"/>
              </w:rPr>
            </w:pPr>
            <w:r>
              <w:rPr>
                <w:rFonts w:ascii="Times New Roman"/>
                <w:spacing w:val="-1"/>
                <w:sz w:val="21"/>
              </w:rPr>
              <w:t>1,092,241.44</w:t>
            </w:r>
          </w:p>
        </w:tc>
      </w:tr>
      <w:tr>
        <w:trPr>
          <w:trHeight w:val="379"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）计提或摊销</w:t>
            </w:r>
          </w:p>
        </w:tc>
        <w:tc>
          <w:tcPr>
            <w:tcW w:w="156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2"/>
              <w:ind w:right="94"/>
              <w:jc w:val="right"/>
              <w:rPr>
                <w:rFonts w:ascii="Times New Roman" w:hAnsi="Times New Roman" w:cs="Times New Roman" w:eastAsia="Times New Roman" w:hint="default"/>
                <w:sz w:val="21"/>
                <w:szCs w:val="21"/>
              </w:rPr>
            </w:pPr>
            <w:r>
              <w:rPr>
                <w:rFonts w:ascii="Times New Roman"/>
                <w:spacing w:val="-1"/>
                <w:sz w:val="21"/>
              </w:rPr>
              <w:t>910,238.88</w:t>
            </w:r>
          </w:p>
        </w:tc>
        <w:tc>
          <w:tcPr>
            <w:tcW w:w="1075" w:type="dxa"/>
            <w:tcBorders>
              <w:top w:val="single" w:sz="4" w:space="0" w:color="000000"/>
              <w:left w:val="single" w:sz="8" w:space="0" w:color="000000"/>
              <w:bottom w:val="single" w:sz="4" w:space="0" w:color="000000"/>
              <w:right w:val="single" w:sz="4" w:space="0" w:color="000000"/>
            </w:tcBorders>
          </w:tcPr>
          <w:p>
            <w:pPr/>
          </w:p>
        </w:tc>
        <w:tc>
          <w:tcPr>
            <w:tcW w:w="143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182,002.56</w:t>
            </w:r>
          </w:p>
        </w:tc>
        <w:tc>
          <w:tcPr>
            <w:tcW w:w="1037" w:type="dxa"/>
            <w:tcBorders>
              <w:top w:val="single" w:sz="8" w:space="0" w:color="000000"/>
              <w:left w:val="single" w:sz="8" w:space="0" w:color="000000"/>
              <w:bottom w:val="single" w:sz="8" w:space="0" w:color="000000"/>
              <w:right w:val="single" w:sz="8" w:space="0" w:color="000000"/>
            </w:tcBorders>
          </w:tcPr>
          <w:p>
            <w:pPr/>
          </w:p>
        </w:tc>
        <w:tc>
          <w:tcPr>
            <w:tcW w:w="14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1"/>
              <w:jc w:val="right"/>
              <w:rPr>
                <w:rFonts w:ascii="Times New Roman" w:hAnsi="Times New Roman" w:cs="Times New Roman" w:eastAsia="Times New Roman" w:hint="default"/>
                <w:sz w:val="21"/>
                <w:szCs w:val="21"/>
              </w:rPr>
            </w:pPr>
            <w:r>
              <w:rPr>
                <w:rFonts w:ascii="Times New Roman"/>
                <w:spacing w:val="-1"/>
                <w:sz w:val="21"/>
              </w:rPr>
              <w:t>1,092,241.44</w:t>
            </w:r>
          </w:p>
        </w:tc>
      </w:tr>
      <w:tr>
        <w:trPr>
          <w:trHeight w:val="37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61" w:type="dxa"/>
            <w:tcBorders>
              <w:top w:val="single" w:sz="8"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8" w:space="0" w:color="000000"/>
              <w:left w:val="single" w:sz="4" w:space="0" w:color="000000"/>
              <w:bottom w:val="single" w:sz="4" w:space="0" w:color="000000"/>
              <w:right w:val="single" w:sz="4" w:space="0" w:color="000000"/>
            </w:tcBorders>
          </w:tcPr>
          <w:p>
            <w:pPr/>
          </w:p>
        </w:tc>
        <w:tc>
          <w:tcPr>
            <w:tcW w:w="1037" w:type="dxa"/>
            <w:tcBorders>
              <w:top w:val="single" w:sz="8" w:space="0" w:color="000000"/>
              <w:left w:val="single" w:sz="4" w:space="0" w:color="000000"/>
              <w:bottom w:val="single" w:sz="4" w:space="0" w:color="000000"/>
              <w:right w:val="single" w:sz="4" w:space="0" w:color="000000"/>
            </w:tcBorders>
          </w:tcPr>
          <w:p>
            <w:pPr/>
          </w:p>
        </w:tc>
        <w:tc>
          <w:tcPr>
            <w:tcW w:w="1457" w:type="dxa"/>
            <w:tcBorders>
              <w:top w:val="single" w:sz="8"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7" w:footer="980" w:top="1120" w:bottom="1160" w:left="1300" w:right="1320"/>
        </w:sectPr>
      </w:pPr>
    </w:p>
    <w:p>
      <w:pPr>
        <w:spacing w:line="240" w:lineRule="auto" w:before="5"/>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264"/>
        <w:gridCol w:w="1561"/>
        <w:gridCol w:w="1075"/>
        <w:gridCol w:w="1430"/>
        <w:gridCol w:w="1037"/>
        <w:gridCol w:w="1457"/>
      </w:tblGrid>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4,475,341.22</w:t>
            </w: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197,169.44</w:t>
            </w:r>
          </w:p>
        </w:tc>
        <w:tc>
          <w:tcPr>
            <w:tcW w:w="1037" w:type="dxa"/>
            <w:tcBorders>
              <w:top w:val="single" w:sz="4" w:space="0" w:color="000000"/>
              <w:left w:val="single" w:sz="8" w:space="0" w:color="000000"/>
              <w:bottom w:val="single" w:sz="8" w:space="0" w:color="000000"/>
              <w:right w:val="single" w:sz="8" w:space="0" w:color="000000"/>
            </w:tcBorders>
          </w:tcPr>
          <w:p>
            <w:pPr/>
          </w:p>
        </w:tc>
        <w:tc>
          <w:tcPr>
            <w:tcW w:w="145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1"/>
              <w:jc w:val="right"/>
              <w:rPr>
                <w:rFonts w:ascii="Times New Roman" w:hAnsi="Times New Roman" w:cs="Times New Roman" w:eastAsia="Times New Roman" w:hint="default"/>
                <w:sz w:val="21"/>
                <w:szCs w:val="21"/>
              </w:rPr>
            </w:pPr>
            <w:r>
              <w:rPr>
                <w:rFonts w:ascii="Times New Roman"/>
                <w:spacing w:val="-1"/>
                <w:sz w:val="21"/>
              </w:rPr>
              <w:t>4,672,510.66</w:t>
            </w:r>
          </w:p>
        </w:tc>
      </w:tr>
      <w:tr>
        <w:trPr>
          <w:trHeight w:val="38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8" w:space="0" w:color="000000"/>
              <w:left w:val="single" w:sz="4" w:space="0" w:color="000000"/>
              <w:bottom w:val="single" w:sz="4" w:space="0" w:color="000000"/>
              <w:right w:val="single" w:sz="4" w:space="0" w:color="000000"/>
            </w:tcBorders>
          </w:tcPr>
          <w:p>
            <w:pPr/>
          </w:p>
        </w:tc>
        <w:tc>
          <w:tcPr>
            <w:tcW w:w="1037" w:type="dxa"/>
            <w:tcBorders>
              <w:top w:val="single" w:sz="8" w:space="0" w:color="000000"/>
              <w:left w:val="single" w:sz="4" w:space="0" w:color="000000"/>
              <w:bottom w:val="single" w:sz="4" w:space="0" w:color="000000"/>
              <w:right w:val="single" w:sz="4" w:space="0" w:color="000000"/>
            </w:tcBorders>
          </w:tcPr>
          <w:p>
            <w:pPr/>
          </w:p>
        </w:tc>
        <w:tc>
          <w:tcPr>
            <w:tcW w:w="1457" w:type="dxa"/>
            <w:tcBorders>
              <w:top w:val="single" w:sz="8"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29,219,468.78</w:t>
            </w: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760,738.77</w:t>
            </w:r>
          </w:p>
        </w:tc>
        <w:tc>
          <w:tcPr>
            <w:tcW w:w="1037" w:type="dxa"/>
            <w:tcBorders>
              <w:top w:val="single" w:sz="4" w:space="0" w:color="000000"/>
              <w:left w:val="single" w:sz="8" w:space="0" w:color="000000"/>
              <w:bottom w:val="single" w:sz="8" w:space="0" w:color="000000"/>
              <w:right w:val="single" w:sz="8" w:space="0" w:color="000000"/>
            </w:tcBorders>
          </w:tcPr>
          <w:p>
            <w:pPr/>
          </w:p>
        </w:tc>
        <w:tc>
          <w:tcPr>
            <w:tcW w:w="145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1"/>
              <w:jc w:val="right"/>
              <w:rPr>
                <w:rFonts w:ascii="Times New Roman" w:hAnsi="Times New Roman" w:cs="Times New Roman" w:eastAsia="Times New Roman" w:hint="default"/>
                <w:sz w:val="21"/>
                <w:szCs w:val="21"/>
              </w:rPr>
            </w:pPr>
            <w:r>
              <w:rPr>
                <w:rFonts w:ascii="Times New Roman"/>
                <w:spacing w:val="-1"/>
                <w:sz w:val="21"/>
              </w:rPr>
              <w:t>29,980,207.55</w:t>
            </w:r>
          </w:p>
        </w:tc>
      </w:tr>
      <w:tr>
        <w:trPr>
          <w:trHeight w:val="38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21"/>
                <w:szCs w:val="21"/>
              </w:rPr>
            </w:pPr>
            <w:r>
              <w:rPr>
                <w:rFonts w:ascii="Times New Roman"/>
                <w:spacing w:val="-1"/>
                <w:sz w:val="21"/>
              </w:rPr>
              <w:t>30,129,707.66</w:t>
            </w:r>
          </w:p>
        </w:tc>
        <w:tc>
          <w:tcPr>
            <w:tcW w:w="10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Times New Roman" w:hAnsi="Times New Roman" w:cs="Times New Roman" w:eastAsia="Times New Roman" w:hint="default"/>
                <w:sz w:val="21"/>
                <w:szCs w:val="21"/>
              </w:rPr>
            </w:pPr>
            <w:r>
              <w:rPr>
                <w:rFonts w:ascii="Times New Roman"/>
                <w:spacing w:val="-1"/>
                <w:sz w:val="21"/>
              </w:rPr>
              <w:t>942,741.33</w:t>
            </w:r>
          </w:p>
        </w:tc>
        <w:tc>
          <w:tcPr>
            <w:tcW w:w="1037" w:type="dxa"/>
            <w:tcBorders>
              <w:top w:val="single" w:sz="8" w:space="0" w:color="000000"/>
              <w:left w:val="single" w:sz="4" w:space="0" w:color="000000"/>
              <w:bottom w:val="single" w:sz="4" w:space="0" w:color="000000"/>
              <w:right w:val="single" w:sz="4" w:space="0" w:color="000000"/>
            </w:tcBorders>
          </w:tcPr>
          <w:p>
            <w:pPr/>
          </w:p>
        </w:tc>
        <w:tc>
          <w:tcPr>
            <w:tcW w:w="145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7"/>
              <w:ind w:right="96"/>
              <w:jc w:val="right"/>
              <w:rPr>
                <w:rFonts w:ascii="Times New Roman" w:hAnsi="Times New Roman" w:cs="Times New Roman" w:eastAsia="Times New Roman" w:hint="default"/>
                <w:sz w:val="21"/>
                <w:szCs w:val="21"/>
              </w:rPr>
            </w:pPr>
            <w:r>
              <w:rPr>
                <w:rFonts w:ascii="Times New Roman"/>
                <w:spacing w:val="-1"/>
                <w:sz w:val="21"/>
              </w:rPr>
              <w:t>31,072,448.99</w:t>
            </w:r>
          </w:p>
        </w:tc>
      </w:tr>
    </w:tbl>
    <w:p>
      <w:pPr>
        <w:spacing w:line="240" w:lineRule="auto" w:before="12"/>
        <w:rPr>
          <w:rFonts w:ascii="宋体" w:hAnsi="宋体" w:cs="宋体" w:eastAsia="宋体" w:hint="default"/>
          <w:sz w:val="19"/>
          <w:szCs w:val="19"/>
        </w:rPr>
      </w:pPr>
    </w:p>
    <w:p>
      <w:pPr>
        <w:pStyle w:val="Heading4"/>
        <w:spacing w:line="240" w:lineRule="auto"/>
        <w:ind w:left="224"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3"/>
        </w:rPr>
        <w:t> </w:t>
      </w:r>
      <w:r>
        <w:rPr/>
        <w:t>未办妥产权证书的投资性房地产情况</w:t>
      </w:r>
      <w:r>
        <w:rPr>
          <w:b w:val="0"/>
          <w:bCs w:val="0"/>
        </w:rPr>
      </w:r>
    </w:p>
    <w:p>
      <w:pPr>
        <w:pStyle w:val="BodyText"/>
        <w:spacing w:line="240" w:lineRule="auto" w:before="40"/>
        <w:ind w:left="180" w:right="12400" w:firstLine="43"/>
        <w:jc w:val="left"/>
      </w:pPr>
      <w:r>
        <w:rPr/>
        <w:t>□适用 √不适用</w:t>
      </w:r>
      <w:r>
        <w:rPr>
          <w:w w:val="100"/>
        </w:rPr>
        <w:t> </w:t>
      </w:r>
      <w:r>
        <w:rPr/>
        <w:t>其他说明</w:t>
      </w:r>
    </w:p>
    <w:p>
      <w:pPr>
        <w:pStyle w:val="BodyText"/>
        <w:spacing w:line="271" w:lineRule="exact"/>
        <w:ind w:left="704" w:right="0"/>
        <w:jc w:val="left"/>
      </w:pPr>
      <w:r>
        <w:rPr/>
        <w:t>□适用 √不适用</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6840" w:h="11910" w:orient="landscape"/>
          <w:pgMar w:header="857" w:footer="980" w:top="1120" w:bottom="1160" w:left="1300" w:right="1320"/>
        </w:sectPr>
      </w:pPr>
    </w:p>
    <w:p>
      <w:pPr>
        <w:pStyle w:val="Heading4"/>
        <w:spacing w:line="273" w:lineRule="auto"/>
        <w:ind w:left="224" w:right="688"/>
        <w:jc w:val="left"/>
        <w:rPr>
          <w:b w:val="0"/>
          <w:bCs w:val="0"/>
        </w:rPr>
      </w:pPr>
      <w:r>
        <w:rPr>
          <w:rFonts w:ascii="Times New Roman" w:hAnsi="Times New Roman" w:cs="Times New Roman" w:eastAsia="Times New Roman" w:hint="default"/>
        </w:rPr>
        <w:t>16</w:t>
      </w:r>
      <w:r>
        <w:rPr/>
        <w:t>、</w:t>
      </w:r>
      <w:r>
        <w:rPr>
          <w:spacing w:val="-21"/>
        </w:rPr>
        <w:t> </w:t>
      </w:r>
      <w:r>
        <w:rPr/>
        <w:t>固定资产</w:t>
      </w:r>
      <w:r>
        <w:rPr>
          <w:w w:val="100"/>
        </w:rPr>
        <w:t> </w:t>
      </w:r>
      <w:r>
        <w:rPr/>
        <w:t>总表情况</w:t>
      </w:r>
      <w:r>
        <w:rPr>
          <w:b w:val="0"/>
          <w:bCs w:val="0"/>
        </w:rPr>
      </w:r>
    </w:p>
    <w:p>
      <w:pPr>
        <w:pStyle w:val="Heading4"/>
        <w:spacing w:line="240" w:lineRule="auto" w:before="29"/>
        <w:ind w:left="224" w:right="-18"/>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5"/>
        </w:rPr>
        <w:t> </w:t>
      </w:r>
      <w:r>
        <w:rPr/>
        <w:t>分类列示</w:t>
      </w:r>
      <w:r>
        <w:rPr>
          <w:b w:val="0"/>
          <w:bCs w:val="0"/>
        </w:rPr>
      </w:r>
    </w:p>
    <w:p>
      <w:pPr>
        <w:pStyle w:val="BodyText"/>
        <w:spacing w:line="240" w:lineRule="auto" w:before="40"/>
        <w:ind w:left="704"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580" w:bottom="280" w:left="1300" w:right="1320"/>
          <w:cols w:num="2" w:equalWidth="0">
            <w:col w:w="2282" w:space="9281"/>
            <w:col w:w="2657"/>
          </w:cols>
        </w:sectPr>
      </w:pPr>
    </w:p>
    <w:p>
      <w:pPr>
        <w:spacing w:line="240" w:lineRule="auto" w:before="5"/>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5151"/>
        <w:gridCol w:w="4460"/>
        <w:gridCol w:w="4479"/>
      </w:tblGrid>
      <w:tr>
        <w:trPr>
          <w:trHeight w:val="370"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357"/>
              <w:jc w:val="right"/>
              <w:rPr>
                <w:rFonts w:ascii="宋体" w:hAnsi="宋体" w:cs="宋体" w:eastAsia="宋体" w:hint="default"/>
                <w:sz w:val="21"/>
                <w:szCs w:val="21"/>
              </w:rPr>
            </w:pPr>
            <w:r>
              <w:rPr>
                <w:rFonts w:ascii="宋体" w:hAnsi="宋体" w:cs="宋体" w:eastAsia="宋体" w:hint="default"/>
                <w:sz w:val="21"/>
                <w:szCs w:val="21"/>
              </w:rPr>
              <w:t>项目</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178,738,710.34</w:t>
            </w:r>
          </w:p>
        </w:tc>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161,404,754.24</w:t>
            </w:r>
          </w:p>
        </w:tc>
      </w:tr>
      <w:tr>
        <w:trPr>
          <w:trHeight w:val="370"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4460" w:type="dxa"/>
            <w:tcBorders>
              <w:top w:val="single" w:sz="4" w:space="0" w:color="000000"/>
              <w:left w:val="single" w:sz="4" w:space="0" w:color="000000"/>
              <w:bottom w:val="single" w:sz="4" w:space="0" w:color="000000"/>
              <w:right w:val="single" w:sz="4" w:space="0" w:color="000000"/>
            </w:tcBorders>
          </w:tcPr>
          <w:p>
            <w:pPr/>
          </w:p>
        </w:tc>
        <w:tc>
          <w:tcPr>
            <w:tcW w:w="4479"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357"/>
              <w:jc w:val="right"/>
              <w:rPr>
                <w:rFonts w:ascii="宋体" w:hAnsi="宋体" w:cs="宋体" w:eastAsia="宋体" w:hint="default"/>
                <w:sz w:val="21"/>
                <w:szCs w:val="21"/>
              </w:rPr>
            </w:pPr>
            <w:r>
              <w:rPr>
                <w:rFonts w:ascii="宋体" w:hAnsi="宋体" w:cs="宋体" w:eastAsia="宋体" w:hint="default"/>
                <w:sz w:val="21"/>
                <w:szCs w:val="21"/>
              </w:rPr>
              <w:t>合计</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178,738,710.34</w:t>
            </w:r>
          </w:p>
        </w:tc>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161,404,754.24</w:t>
            </w:r>
          </w:p>
        </w:tc>
      </w:tr>
    </w:tbl>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57" w:footer="980" w:top="1120" w:bottom="1160" w:left="1300" w:right="1220"/>
        </w:sectPr>
      </w:pPr>
    </w:p>
    <w:p>
      <w:pPr>
        <w:pStyle w:val="BodyText"/>
        <w:spacing w:line="274" w:lineRule="exact" w:before="36"/>
        <w:ind w:left="224" w:right="-18"/>
        <w:jc w:val="left"/>
      </w:pPr>
      <w:r>
        <w:rPr/>
        <w:t>其他说明：</w:t>
      </w:r>
    </w:p>
    <w:p>
      <w:pPr>
        <w:spacing w:line="290" w:lineRule="auto" w:before="0"/>
        <w:ind w:left="224" w:right="-18" w:firstLine="48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sz w:val="21"/>
          <w:szCs w:val="21"/>
        </w:rPr>
      </w:r>
    </w:p>
    <w:p>
      <w:pPr>
        <w:pStyle w:val="Heading4"/>
        <w:spacing w:line="240" w:lineRule="auto" w:before="14"/>
        <w:ind w:left="224" w:right="-18"/>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5"/>
        </w:rPr>
        <w:t> </w:t>
      </w:r>
      <w:r>
        <w:rPr/>
        <w:t>固定资产情况</w:t>
      </w:r>
      <w:r>
        <w:rPr>
          <w:b w:val="0"/>
          <w:bCs w:val="0"/>
        </w:rPr>
      </w:r>
    </w:p>
    <w:p>
      <w:pPr>
        <w:pStyle w:val="BodyText"/>
        <w:spacing w:line="240" w:lineRule="auto" w:before="40"/>
        <w:ind w:left="704"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580" w:bottom="280" w:left="1300" w:right="1220"/>
          <w:cols w:num="2" w:equalWidth="0">
            <w:col w:w="2282" w:space="9281"/>
            <w:col w:w="275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405"/>
        <w:gridCol w:w="1561"/>
        <w:gridCol w:w="1699"/>
        <w:gridCol w:w="1985"/>
        <w:gridCol w:w="1702"/>
        <w:gridCol w:w="994"/>
        <w:gridCol w:w="1699"/>
        <w:gridCol w:w="1702"/>
      </w:tblGrid>
      <w:tr>
        <w:trPr>
          <w:trHeight w:val="370"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40"/>
              <w:jc w:val="right"/>
              <w:rPr>
                <w:rFonts w:ascii="宋体" w:hAnsi="宋体" w:cs="宋体" w:eastAsia="宋体" w:hint="default"/>
                <w:sz w:val="21"/>
                <w:szCs w:val="21"/>
              </w:rPr>
            </w:pPr>
            <w:r>
              <w:rPr>
                <w:rFonts w:ascii="宋体" w:hAnsi="宋体" w:cs="宋体" w:eastAsia="宋体" w:hint="default"/>
                <w:spacing w:val="-1"/>
                <w:sz w:val="21"/>
                <w:szCs w:val="21"/>
              </w:rPr>
              <w:t>房屋及建筑物</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5" w:right="0"/>
              <w:jc w:val="left"/>
              <w:rPr>
                <w:rFonts w:ascii="宋体" w:hAnsi="宋体" w:cs="宋体" w:eastAsia="宋体" w:hint="default"/>
                <w:sz w:val="21"/>
                <w:szCs w:val="21"/>
              </w:rPr>
            </w:pPr>
            <w:r>
              <w:rPr>
                <w:rFonts w:ascii="宋体" w:hAnsi="宋体" w:cs="宋体" w:eastAsia="宋体" w:hint="default"/>
                <w:sz w:val="21"/>
                <w:szCs w:val="21"/>
              </w:rPr>
              <w:t>软件开发设备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4"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27"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6" w:right="0"/>
              <w:jc w:val="left"/>
              <w:rPr>
                <w:rFonts w:ascii="宋体" w:hAnsi="宋体" w:cs="宋体" w:eastAsia="宋体" w:hint="default"/>
                <w:sz w:val="21"/>
                <w:szCs w:val="21"/>
              </w:rPr>
            </w:pPr>
            <w:r>
              <w:rPr>
                <w:rFonts w:ascii="宋体" w:hAnsi="宋体" w:cs="宋体" w:eastAsia="宋体" w:hint="default"/>
                <w:sz w:val="21"/>
                <w:szCs w:val="21"/>
              </w:rPr>
              <w:t>固定资产改良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70"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21"/>
                <w:szCs w:val="21"/>
              </w:rPr>
            </w:pPr>
            <w:r>
              <w:rPr>
                <w:rFonts w:ascii="Times New Roman"/>
                <w:spacing w:val="-1"/>
                <w:sz w:val="21"/>
              </w:rPr>
              <w:t>134,683,015.57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14,605,317.28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18,639,688.41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10,697,950.59</w:t>
            </w: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13,125,875.52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191,751,847.37</w:t>
            </w:r>
          </w:p>
        </w:tc>
      </w:tr>
      <w:tr>
        <w:trPr>
          <w:trHeight w:val="375"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61"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5,174,191.51</w:t>
            </w:r>
          </w:p>
        </w:tc>
        <w:tc>
          <w:tcPr>
            <w:tcW w:w="169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20,152,865.13</w:t>
            </w:r>
          </w:p>
        </w:tc>
        <w:tc>
          <w:tcPr>
            <w:tcW w:w="198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13,040,004.95</w:t>
            </w:r>
          </w:p>
        </w:tc>
        <w:tc>
          <w:tcPr>
            <w:tcW w:w="170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2,578,897.60</w:t>
            </w:r>
          </w:p>
        </w:tc>
        <w:tc>
          <w:tcPr>
            <w:tcW w:w="994" w:type="dxa"/>
            <w:tcBorders>
              <w:top w:val="single" w:sz="4" w:space="0" w:color="000000"/>
              <w:left w:val="single" w:sz="8"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9,887,622.81</w:t>
            </w:r>
          </w:p>
        </w:tc>
        <w:tc>
          <w:tcPr>
            <w:tcW w:w="170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50,833,582.00</w:t>
            </w:r>
          </w:p>
        </w:tc>
      </w:tr>
      <w:tr>
        <w:trPr>
          <w:trHeight w:val="379"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56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5,174,191.51</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6,229,641.12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3,238,043.27</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1,207,062.48</w:t>
            </w:r>
          </w:p>
        </w:tc>
        <w:tc>
          <w:tcPr>
            <w:tcW w:w="994" w:type="dxa"/>
            <w:tcBorders>
              <w:top w:val="single" w:sz="4" w:space="0" w:color="000000"/>
              <w:left w:val="single" w:sz="8" w:space="0" w:color="000000"/>
              <w:bottom w:val="single" w:sz="4" w:space="0" w:color="000000"/>
              <w:right w:val="single" w:sz="4" w:space="0" w:color="000000"/>
            </w:tcBorders>
          </w:tcPr>
          <w:p>
            <w:pPr/>
          </w:p>
        </w:tc>
        <w:tc>
          <w:tcPr>
            <w:tcW w:w="1699" w:type="dxa"/>
            <w:tcBorders>
              <w:top w:val="single" w:sz="8" w:space="0" w:color="000000"/>
              <w:left w:val="single" w:sz="4"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15,848,938.38</w:t>
            </w:r>
          </w:p>
        </w:tc>
      </w:tr>
      <w:tr>
        <w:trPr>
          <w:trHeight w:val="37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）在建工程转入</w:t>
            </w:r>
          </w:p>
        </w:tc>
        <w:tc>
          <w:tcPr>
            <w:tcW w:w="1561" w:type="dxa"/>
            <w:tcBorders>
              <w:top w:val="single" w:sz="8" w:space="0" w:color="000000"/>
              <w:left w:val="single" w:sz="4" w:space="0" w:color="000000"/>
              <w:bottom w:val="single" w:sz="4" w:space="0" w:color="000000"/>
              <w:right w:val="single" w:sz="4" w:space="0" w:color="000000"/>
            </w:tcBorders>
          </w:tcPr>
          <w:p>
            <w:pPr/>
          </w:p>
        </w:tc>
        <w:tc>
          <w:tcPr>
            <w:tcW w:w="169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5,379,891.07</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684,142.72</w:t>
            </w:r>
          </w:p>
        </w:tc>
        <w:tc>
          <w:tcPr>
            <w:tcW w:w="1702" w:type="dxa"/>
            <w:tcBorders>
              <w:top w:val="single" w:sz="8" w:space="0" w:color="000000"/>
              <w:left w:val="single" w:sz="8"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9,887,622.81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15,951,656.60</w:t>
            </w:r>
          </w:p>
        </w:tc>
      </w:tr>
      <w:tr>
        <w:trPr>
          <w:trHeight w:val="38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8,543,332.94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9,117,818.96</w:t>
            </w:r>
          </w:p>
        </w:tc>
        <w:tc>
          <w:tcPr>
            <w:tcW w:w="170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4"/>
              <w:ind w:right="96"/>
              <w:jc w:val="right"/>
              <w:rPr>
                <w:rFonts w:ascii="Times New Roman" w:hAnsi="Times New Roman" w:cs="Times New Roman" w:eastAsia="Times New Roman" w:hint="default"/>
                <w:sz w:val="21"/>
                <w:szCs w:val="21"/>
              </w:rPr>
            </w:pPr>
            <w:r>
              <w:rPr>
                <w:rFonts w:ascii="Times New Roman"/>
                <w:spacing w:val="-1"/>
                <w:sz w:val="21"/>
              </w:rPr>
              <w:t>1,371,835.12</w:t>
            </w:r>
          </w:p>
        </w:tc>
        <w:tc>
          <w:tcPr>
            <w:tcW w:w="994" w:type="dxa"/>
            <w:tcBorders>
              <w:top w:val="single" w:sz="4" w:space="0" w:color="000000"/>
              <w:left w:val="single" w:sz="8" w:space="0" w:color="000000"/>
              <w:bottom w:val="single" w:sz="4" w:space="0" w:color="000000"/>
              <w:right w:val="single" w:sz="4" w:space="0" w:color="000000"/>
            </w:tcBorders>
          </w:tcPr>
          <w:p>
            <w:pPr/>
          </w:p>
        </w:tc>
        <w:tc>
          <w:tcPr>
            <w:tcW w:w="1699" w:type="dxa"/>
            <w:tcBorders>
              <w:top w:val="single" w:sz="8" w:space="0" w:color="000000"/>
              <w:left w:val="single" w:sz="4" w:space="0" w:color="000000"/>
              <w:bottom w:val="single" w:sz="4" w:space="0" w:color="000000"/>
              <w:right w:val="single" w:sz="4" w:space="0" w:color="000000"/>
            </w:tcBorders>
          </w:tcPr>
          <w:p>
            <w:pPr/>
          </w:p>
        </w:tc>
        <w:tc>
          <w:tcPr>
            <w:tcW w:w="170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19,032,987.02</w:t>
            </w:r>
          </w:p>
        </w:tc>
      </w:tr>
      <w:tr>
        <w:trPr>
          <w:trHeight w:val="379"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1,908,248.27</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843,709.13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373,965.81</w:t>
            </w:r>
          </w:p>
        </w:tc>
        <w:tc>
          <w:tcPr>
            <w:tcW w:w="994" w:type="dxa"/>
            <w:tcBorders>
              <w:top w:val="single" w:sz="4" w:space="0" w:color="000000"/>
              <w:left w:val="single" w:sz="8"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pacing w:val="-1"/>
                <w:sz w:val="21"/>
              </w:rPr>
              <w:t>4,879,907.71</w:t>
            </w:r>
          </w:p>
        </w:tc>
        <w:tc>
          <w:tcPr>
            <w:tcW w:w="170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pacing w:val="-1"/>
                <w:sz w:val="21"/>
              </w:rPr>
              <w:t>8,005,830.92</w:t>
            </w:r>
          </w:p>
        </w:tc>
      </w:tr>
      <w:tr>
        <w:trPr>
          <w:trHeight w:val="379"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1,908,248.27</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843,709.13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373,965.81</w:t>
            </w:r>
          </w:p>
        </w:tc>
        <w:tc>
          <w:tcPr>
            <w:tcW w:w="994" w:type="dxa"/>
            <w:tcBorders>
              <w:top w:val="single" w:sz="4" w:space="0" w:color="000000"/>
              <w:left w:val="single" w:sz="8" w:space="0" w:color="000000"/>
              <w:bottom w:val="single" w:sz="4" w:space="0" w:color="000000"/>
              <w:right w:val="single" w:sz="4" w:space="0" w:color="000000"/>
            </w:tcBorders>
          </w:tcPr>
          <w:p>
            <w:pPr/>
          </w:p>
        </w:tc>
        <w:tc>
          <w:tcPr>
            <w:tcW w:w="169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4,879,907.71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8,005,830.92</w:t>
            </w:r>
          </w:p>
        </w:tc>
      </w:tr>
      <w:tr>
        <w:trPr>
          <w:trHeight w:val="38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7"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）投资性房地产转入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8" w:space="0" w:color="000000"/>
              <w:left w:val="single" w:sz="4" w:space="0" w:color="000000"/>
              <w:bottom w:val="single" w:sz="4" w:space="0" w:color="000000"/>
              <w:right w:val="single" w:sz="4" w:space="0" w:color="000000"/>
            </w:tcBorders>
          </w:tcPr>
          <w:p>
            <w:pPr/>
          </w:p>
        </w:tc>
        <w:tc>
          <w:tcPr>
            <w:tcW w:w="1985" w:type="dxa"/>
            <w:tcBorders>
              <w:top w:val="single" w:sz="8" w:space="0" w:color="000000"/>
              <w:left w:val="single" w:sz="4" w:space="0" w:color="000000"/>
              <w:bottom w:val="single" w:sz="4" w:space="0" w:color="000000"/>
              <w:right w:val="single" w:sz="4" w:space="0" w:color="000000"/>
            </w:tcBorders>
          </w:tcPr>
          <w:p>
            <w:pPr/>
          </w:p>
        </w:tc>
        <w:tc>
          <w:tcPr>
            <w:tcW w:w="1702" w:type="dxa"/>
            <w:tcBorders>
              <w:top w:val="single" w:sz="8"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8" w:space="0" w:color="000000"/>
              <w:left w:val="single" w:sz="4" w:space="0" w:color="000000"/>
              <w:bottom w:val="single" w:sz="4" w:space="0" w:color="000000"/>
              <w:right w:val="single" w:sz="4" w:space="0" w:color="000000"/>
            </w:tcBorders>
          </w:tcPr>
          <w:p>
            <w:pPr/>
          </w:p>
        </w:tc>
        <w:tc>
          <w:tcPr>
            <w:tcW w:w="1702" w:type="dxa"/>
            <w:tcBorders>
              <w:top w:val="single" w:sz="8" w:space="0" w:color="000000"/>
              <w:left w:val="single" w:sz="4" w:space="0" w:color="000000"/>
              <w:bottom w:val="single" w:sz="4" w:space="0" w:color="000000"/>
              <w:right w:val="single" w:sz="4" w:space="0" w:color="000000"/>
            </w:tcBorders>
          </w:tcPr>
          <w:p>
            <w:pPr/>
          </w:p>
        </w:tc>
      </w:tr>
      <w:tr>
        <w:trPr>
          <w:trHeight w:val="370"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7"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）转至持有待售资产</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139,857,207.08</w:t>
            </w:r>
          </w:p>
        </w:tc>
        <w:tc>
          <w:tcPr>
            <w:tcW w:w="1699"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32,849,934.14</w:t>
            </w:r>
          </w:p>
        </w:tc>
        <w:tc>
          <w:tcPr>
            <w:tcW w:w="198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30,835,984.23</w:t>
            </w:r>
          </w:p>
        </w:tc>
        <w:tc>
          <w:tcPr>
            <w:tcW w:w="170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12,902,882.38</w:t>
            </w:r>
          </w:p>
        </w:tc>
        <w:tc>
          <w:tcPr>
            <w:tcW w:w="994" w:type="dxa"/>
            <w:tcBorders>
              <w:top w:val="single" w:sz="4" w:space="0" w:color="000000"/>
              <w:left w:val="single" w:sz="8"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18,133,590.62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234,579,598.45</w:t>
            </w:r>
          </w:p>
        </w:tc>
      </w:tr>
      <w:tr>
        <w:trPr>
          <w:trHeight w:val="38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8" w:space="0" w:color="000000"/>
              <w:left w:val="single" w:sz="4" w:space="0" w:color="000000"/>
              <w:bottom w:val="single" w:sz="4" w:space="0" w:color="000000"/>
              <w:right w:val="single" w:sz="4" w:space="0" w:color="000000"/>
            </w:tcBorders>
          </w:tcPr>
          <w:p>
            <w:pPr/>
          </w:p>
        </w:tc>
        <w:tc>
          <w:tcPr>
            <w:tcW w:w="1985" w:type="dxa"/>
            <w:tcBorders>
              <w:top w:val="single" w:sz="8" w:space="0" w:color="000000"/>
              <w:left w:val="single" w:sz="4" w:space="0" w:color="000000"/>
              <w:bottom w:val="single" w:sz="4" w:space="0" w:color="000000"/>
              <w:right w:val="single" w:sz="4" w:space="0" w:color="000000"/>
            </w:tcBorders>
          </w:tcPr>
          <w:p>
            <w:pPr/>
          </w:p>
        </w:tc>
        <w:tc>
          <w:tcPr>
            <w:tcW w:w="1702" w:type="dxa"/>
            <w:tcBorders>
              <w:top w:val="single" w:sz="8"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1300" w:right="1220"/>
        </w:sectPr>
      </w:pPr>
    </w:p>
    <w:p>
      <w:pPr>
        <w:spacing w:line="240" w:lineRule="auto" w:before="11"/>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405"/>
        <w:gridCol w:w="1561"/>
        <w:gridCol w:w="1699"/>
        <w:gridCol w:w="1985"/>
        <w:gridCol w:w="1702"/>
        <w:gridCol w:w="994"/>
        <w:gridCol w:w="1699"/>
        <w:gridCol w:w="1702"/>
      </w:tblGrid>
      <w:tr>
        <w:trPr>
          <w:trHeight w:val="370"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4" w:right="0"/>
              <w:jc w:val="center"/>
              <w:rPr>
                <w:rFonts w:ascii="Times New Roman" w:hAnsi="Times New Roman" w:cs="Times New Roman" w:eastAsia="Times New Roman" w:hint="default"/>
                <w:sz w:val="21"/>
                <w:szCs w:val="21"/>
              </w:rPr>
            </w:pPr>
            <w:r>
              <w:rPr>
                <w:rFonts w:ascii="Times New Roman"/>
                <w:sz w:val="21"/>
              </w:rPr>
              <w:t>8,685,413.94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6,746,344.97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9,674,927.36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4,126,613.65</w:t>
            </w: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1,113,793.21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30,347,093.13</w:t>
            </w:r>
          </w:p>
        </w:tc>
      </w:tr>
      <w:tr>
        <w:trPr>
          <w:trHeight w:val="37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61"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left="239" w:right="0"/>
              <w:jc w:val="center"/>
              <w:rPr>
                <w:rFonts w:ascii="Times New Roman" w:hAnsi="Times New Roman" w:cs="Times New Roman" w:eastAsia="Times New Roman" w:hint="default"/>
                <w:sz w:val="21"/>
                <w:szCs w:val="21"/>
              </w:rPr>
            </w:pPr>
            <w:r>
              <w:rPr>
                <w:rFonts w:ascii="Times New Roman"/>
                <w:sz w:val="21"/>
              </w:rPr>
              <w:t>3,475,195.89</w:t>
            </w:r>
          </w:p>
        </w:tc>
        <w:tc>
          <w:tcPr>
            <w:tcW w:w="169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7,894,232.59</w:t>
            </w:r>
          </w:p>
        </w:tc>
        <w:tc>
          <w:tcPr>
            <w:tcW w:w="198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10,811,460.98</w:t>
            </w:r>
          </w:p>
        </w:tc>
        <w:tc>
          <w:tcPr>
            <w:tcW w:w="170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2,566,898.32</w:t>
            </w:r>
          </w:p>
        </w:tc>
        <w:tc>
          <w:tcPr>
            <w:tcW w:w="994" w:type="dxa"/>
            <w:tcBorders>
              <w:top w:val="single" w:sz="4" w:space="0" w:color="000000"/>
              <w:left w:val="single" w:sz="8"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6,654,086.11</w:t>
            </w:r>
          </w:p>
        </w:tc>
        <w:tc>
          <w:tcPr>
            <w:tcW w:w="170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31,401,873.89</w:t>
            </w:r>
          </w:p>
        </w:tc>
      </w:tr>
      <w:tr>
        <w:trPr>
          <w:trHeight w:val="379"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56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2"/>
              <w:ind w:left="239" w:right="0"/>
              <w:jc w:val="center"/>
              <w:rPr>
                <w:rFonts w:ascii="Times New Roman" w:hAnsi="Times New Roman" w:cs="Times New Roman" w:eastAsia="Times New Roman" w:hint="default"/>
                <w:sz w:val="21"/>
                <w:szCs w:val="21"/>
              </w:rPr>
            </w:pPr>
            <w:r>
              <w:rPr>
                <w:rFonts w:ascii="Times New Roman"/>
                <w:sz w:val="21"/>
              </w:rPr>
              <w:t>3,475,195.89</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2,643,295.31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3,253,077.73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1,266,501.05</w:t>
            </w:r>
          </w:p>
        </w:tc>
        <w:tc>
          <w:tcPr>
            <w:tcW w:w="994" w:type="dxa"/>
            <w:tcBorders>
              <w:top w:val="single" w:sz="4" w:space="0" w:color="000000"/>
              <w:left w:val="single" w:sz="8" w:space="0" w:color="000000"/>
              <w:bottom w:val="single" w:sz="4" w:space="0" w:color="000000"/>
              <w:right w:val="single" w:sz="4" w:space="0" w:color="000000"/>
            </w:tcBorders>
          </w:tcPr>
          <w:p>
            <w:pPr/>
          </w:p>
        </w:tc>
        <w:tc>
          <w:tcPr>
            <w:tcW w:w="169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6,654,086.11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17,292,156.09</w:t>
            </w:r>
          </w:p>
        </w:tc>
      </w:tr>
      <w:tr>
        <w:trPr>
          <w:trHeight w:val="377"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）企业合并增加</w:t>
            </w:r>
          </w:p>
        </w:tc>
        <w:tc>
          <w:tcPr>
            <w:tcW w:w="1561" w:type="dxa"/>
            <w:tcBorders>
              <w:top w:val="single" w:sz="8" w:space="0" w:color="000000"/>
              <w:left w:val="single" w:sz="4" w:space="0" w:color="000000"/>
              <w:bottom w:val="single" w:sz="4" w:space="0" w:color="000000"/>
              <w:right w:val="single" w:sz="4" w:space="0" w:color="000000"/>
            </w:tcBorders>
          </w:tcPr>
          <w:p>
            <w:pPr/>
          </w:p>
        </w:tc>
        <w:tc>
          <w:tcPr>
            <w:tcW w:w="169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5,250,937.28</w:t>
            </w:r>
          </w:p>
        </w:tc>
        <w:tc>
          <w:tcPr>
            <w:tcW w:w="198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7,558,383.25</w:t>
            </w:r>
          </w:p>
        </w:tc>
        <w:tc>
          <w:tcPr>
            <w:tcW w:w="170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1,300,397.27</w:t>
            </w: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8" w:space="0" w:color="000000"/>
              <w:left w:val="single" w:sz="4" w:space="0" w:color="000000"/>
              <w:bottom w:val="single" w:sz="4" w:space="0" w:color="000000"/>
              <w:right w:val="single" w:sz="4" w:space="0" w:color="000000"/>
            </w:tcBorders>
          </w:tcPr>
          <w:p>
            <w:pPr/>
          </w:p>
        </w:tc>
        <w:tc>
          <w:tcPr>
            <w:tcW w:w="170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14,109,717.80</w:t>
            </w:r>
          </w:p>
        </w:tc>
      </w:tr>
      <w:tr>
        <w:trPr>
          <w:trHeight w:val="370"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79,001.43</w:t>
            </w:r>
          </w:p>
        </w:tc>
        <w:tc>
          <w:tcPr>
            <w:tcW w:w="198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605,657.66</w:t>
            </w:r>
          </w:p>
        </w:tc>
        <w:tc>
          <w:tcPr>
            <w:tcW w:w="170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343,512.11</w:t>
            </w:r>
          </w:p>
        </w:tc>
        <w:tc>
          <w:tcPr>
            <w:tcW w:w="994" w:type="dxa"/>
            <w:tcBorders>
              <w:top w:val="single" w:sz="4" w:space="0" w:color="000000"/>
              <w:left w:val="single" w:sz="8"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4,879,907.71</w:t>
            </w:r>
          </w:p>
        </w:tc>
        <w:tc>
          <w:tcPr>
            <w:tcW w:w="170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5,908,078.91</w:t>
            </w:r>
          </w:p>
        </w:tc>
      </w:tr>
      <w:tr>
        <w:trPr>
          <w:trHeight w:val="379"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79,001.43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605,657.66</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343,512.11</w:t>
            </w:r>
          </w:p>
        </w:tc>
        <w:tc>
          <w:tcPr>
            <w:tcW w:w="994" w:type="dxa"/>
            <w:tcBorders>
              <w:top w:val="single" w:sz="4" w:space="0" w:color="000000"/>
              <w:left w:val="single" w:sz="8" w:space="0" w:color="000000"/>
              <w:bottom w:val="single" w:sz="4" w:space="0" w:color="000000"/>
              <w:right w:val="single" w:sz="4" w:space="0" w:color="000000"/>
            </w:tcBorders>
          </w:tcPr>
          <w:p>
            <w:pPr/>
          </w:p>
        </w:tc>
        <w:tc>
          <w:tcPr>
            <w:tcW w:w="169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4,879,907.71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5,908,078.91</w:t>
            </w:r>
          </w:p>
        </w:tc>
      </w:tr>
      <w:tr>
        <w:trPr>
          <w:trHeight w:val="38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）转至持有待售资产</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8" w:space="0" w:color="000000"/>
              <w:left w:val="single" w:sz="4" w:space="0" w:color="000000"/>
              <w:bottom w:val="single" w:sz="4" w:space="0" w:color="000000"/>
              <w:right w:val="single" w:sz="4" w:space="0" w:color="000000"/>
            </w:tcBorders>
          </w:tcPr>
          <w:p>
            <w:pPr/>
          </w:p>
        </w:tc>
        <w:tc>
          <w:tcPr>
            <w:tcW w:w="1985" w:type="dxa"/>
            <w:tcBorders>
              <w:top w:val="single" w:sz="8" w:space="0" w:color="000000"/>
              <w:left w:val="single" w:sz="4" w:space="0" w:color="000000"/>
              <w:bottom w:val="single" w:sz="4" w:space="0" w:color="000000"/>
              <w:right w:val="single" w:sz="4" w:space="0" w:color="000000"/>
            </w:tcBorders>
          </w:tcPr>
          <w:p>
            <w:pPr/>
          </w:p>
        </w:tc>
        <w:tc>
          <w:tcPr>
            <w:tcW w:w="1702" w:type="dxa"/>
            <w:tcBorders>
              <w:top w:val="single" w:sz="8"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8" w:space="0" w:color="000000"/>
              <w:left w:val="single" w:sz="4" w:space="0" w:color="000000"/>
              <w:bottom w:val="single" w:sz="4" w:space="0" w:color="000000"/>
              <w:right w:val="single" w:sz="4" w:space="0" w:color="000000"/>
            </w:tcBorders>
          </w:tcPr>
          <w:p>
            <w:pPr/>
          </w:p>
        </w:tc>
        <w:tc>
          <w:tcPr>
            <w:tcW w:w="1702" w:type="dxa"/>
            <w:tcBorders>
              <w:top w:val="single" w:sz="8" w:space="0" w:color="000000"/>
              <w:left w:val="single" w:sz="4" w:space="0" w:color="000000"/>
              <w:bottom w:val="single" w:sz="4" w:space="0" w:color="000000"/>
              <w:right w:val="single" w:sz="4" w:space="0" w:color="000000"/>
            </w:tcBorders>
          </w:tcPr>
          <w:p>
            <w:pPr/>
          </w:p>
        </w:tc>
      </w:tr>
      <w:tr>
        <w:trPr>
          <w:trHeight w:val="370"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9" w:right="0"/>
              <w:jc w:val="center"/>
              <w:rPr>
                <w:rFonts w:ascii="Times New Roman" w:hAnsi="Times New Roman" w:cs="Times New Roman" w:eastAsia="Times New Roman" w:hint="default"/>
                <w:sz w:val="21"/>
                <w:szCs w:val="21"/>
              </w:rPr>
            </w:pPr>
            <w:r>
              <w:rPr>
                <w:rFonts w:ascii="Times New Roman"/>
                <w:sz w:val="21"/>
              </w:rPr>
              <w:t>12,160,609.83</w:t>
            </w:r>
          </w:p>
        </w:tc>
        <w:tc>
          <w:tcPr>
            <w:tcW w:w="1699"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14,561,576.13</w:t>
            </w:r>
          </w:p>
        </w:tc>
        <w:tc>
          <w:tcPr>
            <w:tcW w:w="198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19,880,730.68</w:t>
            </w:r>
          </w:p>
        </w:tc>
        <w:tc>
          <w:tcPr>
            <w:tcW w:w="170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6,349,999.86</w:t>
            </w:r>
          </w:p>
        </w:tc>
        <w:tc>
          <w:tcPr>
            <w:tcW w:w="994" w:type="dxa"/>
            <w:tcBorders>
              <w:top w:val="single" w:sz="4" w:space="0" w:color="000000"/>
              <w:left w:val="single" w:sz="8"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2,887,971.61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55,840,888.11</w:t>
            </w:r>
          </w:p>
        </w:tc>
      </w:tr>
      <w:tr>
        <w:trPr>
          <w:trHeight w:val="379"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8" w:space="0" w:color="000000"/>
              <w:left w:val="single" w:sz="4" w:space="0" w:color="000000"/>
              <w:bottom w:val="single" w:sz="4" w:space="0" w:color="000000"/>
              <w:right w:val="single" w:sz="4" w:space="0" w:color="000000"/>
            </w:tcBorders>
          </w:tcPr>
          <w:p>
            <w:pPr/>
          </w:p>
        </w:tc>
        <w:tc>
          <w:tcPr>
            <w:tcW w:w="1985" w:type="dxa"/>
            <w:tcBorders>
              <w:top w:val="single" w:sz="8" w:space="0" w:color="000000"/>
              <w:left w:val="single" w:sz="4" w:space="0" w:color="000000"/>
              <w:bottom w:val="single" w:sz="4" w:space="0" w:color="000000"/>
              <w:right w:val="single" w:sz="4" w:space="0" w:color="000000"/>
            </w:tcBorders>
          </w:tcPr>
          <w:p>
            <w:pPr/>
          </w:p>
        </w:tc>
        <w:tc>
          <w:tcPr>
            <w:tcW w:w="1702" w:type="dxa"/>
            <w:tcBorders>
              <w:top w:val="single" w:sz="8"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）转入持有待售资产</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center"/>
              <w:rPr>
                <w:rFonts w:ascii="Times New Roman" w:hAnsi="Times New Roman" w:cs="Times New Roman" w:eastAsia="Times New Roman" w:hint="default"/>
                <w:sz w:val="21"/>
                <w:szCs w:val="21"/>
              </w:rPr>
            </w:pPr>
            <w:r>
              <w:rPr>
                <w:rFonts w:ascii="Times New Roman"/>
                <w:sz w:val="21"/>
              </w:rPr>
              <w:t>127,696,597.25</w:t>
            </w:r>
          </w:p>
        </w:tc>
        <w:tc>
          <w:tcPr>
            <w:tcW w:w="1699"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18,288,358.01</w:t>
            </w:r>
          </w:p>
        </w:tc>
        <w:tc>
          <w:tcPr>
            <w:tcW w:w="198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10,955,253.55</w:t>
            </w:r>
          </w:p>
        </w:tc>
        <w:tc>
          <w:tcPr>
            <w:tcW w:w="170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6,552,882.52</w:t>
            </w:r>
          </w:p>
        </w:tc>
        <w:tc>
          <w:tcPr>
            <w:tcW w:w="994" w:type="dxa"/>
            <w:tcBorders>
              <w:top w:val="single" w:sz="4" w:space="0" w:color="000000"/>
              <w:left w:val="single" w:sz="8"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15,245,619.01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178,738,710.34</w:t>
            </w:r>
          </w:p>
        </w:tc>
      </w:tr>
      <w:tr>
        <w:trPr>
          <w:trHeight w:val="379"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center"/>
              <w:rPr>
                <w:rFonts w:ascii="Times New Roman" w:hAnsi="Times New Roman" w:cs="Times New Roman" w:eastAsia="Times New Roman" w:hint="default"/>
                <w:sz w:val="21"/>
                <w:szCs w:val="21"/>
              </w:rPr>
            </w:pPr>
            <w:r>
              <w:rPr>
                <w:rFonts w:ascii="Times New Roman"/>
                <w:sz w:val="21"/>
              </w:rPr>
              <w:t>125,997,601.63</w:t>
            </w:r>
          </w:p>
        </w:tc>
        <w:tc>
          <w:tcPr>
            <w:tcW w:w="169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7,858,972.31</w:t>
            </w:r>
          </w:p>
        </w:tc>
        <w:tc>
          <w:tcPr>
            <w:tcW w:w="198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8,964,761.05</w:t>
            </w:r>
          </w:p>
        </w:tc>
        <w:tc>
          <w:tcPr>
            <w:tcW w:w="170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6,571,336.94</w:t>
            </w: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12,012,082.31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161,404,754.24</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57" w:footer="980" w:top="1120" w:bottom="1160" w:left="130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54"/>
          <w:footerReference w:type="default" r:id="rId55"/>
          <w:pgSz w:w="11910" w:h="16840"/>
          <w:pgMar w:header="857" w:footer="979" w:top="1120" w:bottom="1160" w:left="1040" w:right="1560"/>
          <w:pgNumType w:start="159"/>
        </w:sectPr>
      </w:pPr>
    </w:p>
    <w:p>
      <w:pPr>
        <w:pStyle w:val="Heading4"/>
        <w:spacing w:line="240" w:lineRule="auto" w:before="190"/>
        <w:ind w:left="237" w:right="-17"/>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4"/>
        </w:rPr>
        <w:t> </w:t>
      </w:r>
      <w:r>
        <w:rPr/>
        <w:t>暂时闲置的固定资产情况</w:t>
      </w:r>
      <w:r>
        <w:rPr>
          <w:b w:val="0"/>
          <w:bCs w:val="0"/>
        </w:rPr>
      </w:r>
    </w:p>
    <w:p>
      <w:pPr>
        <w:pStyle w:val="BodyText"/>
        <w:spacing w:line="240" w:lineRule="auto" w:before="40"/>
        <w:ind w:left="237" w:right="-17"/>
        <w:jc w:val="left"/>
      </w:pPr>
      <w:r>
        <w:rPr/>
        <w:t>□适用 √不适用</w:t>
      </w:r>
    </w:p>
    <w:p>
      <w:pPr>
        <w:pStyle w:val="Heading4"/>
        <w:spacing w:line="240" w:lineRule="auto" w:before="58"/>
        <w:ind w:left="237" w:right="-17"/>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3"/>
        </w:rPr>
        <w:t> </w:t>
      </w:r>
      <w:r>
        <w:rPr/>
        <w:t>通过融资租赁租入的固定资产情况</w:t>
      </w:r>
      <w:r>
        <w:rPr>
          <w:b w:val="0"/>
          <w:bCs w:val="0"/>
        </w:rPr>
      </w:r>
    </w:p>
    <w:p>
      <w:pPr>
        <w:pStyle w:val="BodyText"/>
        <w:spacing w:line="240" w:lineRule="auto" w:before="40"/>
        <w:ind w:left="717" w:right="-17"/>
        <w:jc w:val="left"/>
      </w:pPr>
      <w:r>
        <w:rPr/>
        <w:t>□适用 √不适用</w:t>
      </w:r>
    </w:p>
    <w:p>
      <w:pPr>
        <w:pStyle w:val="Heading4"/>
        <w:spacing w:line="240" w:lineRule="auto" w:before="58"/>
        <w:ind w:left="237" w:right="-17"/>
        <w:jc w:val="left"/>
        <w:rPr>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22"/>
        </w:rPr>
        <w:t> </w:t>
      </w:r>
      <w:r>
        <w:rPr/>
        <w:t>通过经营租赁租出的固定资产</w:t>
      </w:r>
      <w:r>
        <w:rPr>
          <w:b w:val="0"/>
          <w:bCs w:val="0"/>
        </w:rPr>
      </w:r>
    </w:p>
    <w:p>
      <w:pPr>
        <w:pStyle w:val="BodyText"/>
        <w:spacing w:line="240" w:lineRule="auto" w:before="40"/>
        <w:ind w:left="717" w:right="-17"/>
        <w:jc w:val="left"/>
      </w:pPr>
      <w:r>
        <w:rPr/>
        <w:t>□适用 √不适用</w:t>
      </w:r>
    </w:p>
    <w:p>
      <w:pPr>
        <w:pStyle w:val="Heading4"/>
        <w:spacing w:line="240" w:lineRule="auto" w:before="58"/>
        <w:ind w:left="237" w:right="-17"/>
        <w:jc w:val="left"/>
        <w:rPr>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23"/>
        </w:rPr>
        <w:t> </w:t>
      </w:r>
      <w:r>
        <w:rPr/>
        <w:t>未办妥产权证书的固定资产情况</w:t>
      </w:r>
      <w:r>
        <w:rPr>
          <w:b w:val="0"/>
          <w:bCs w:val="0"/>
        </w:rPr>
      </w:r>
    </w:p>
    <w:p>
      <w:pPr>
        <w:pStyle w:val="BodyText"/>
        <w:spacing w:line="240" w:lineRule="auto" w:before="40"/>
        <w:ind w:left="7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88" w:val="left" w:leader="none"/>
        </w:tabs>
        <w:spacing w:line="240" w:lineRule="auto" w:before="172"/>
        <w:ind w:left="237" w:right="0"/>
        <w:jc w:val="left"/>
      </w:pPr>
      <w:r>
        <w:rPr>
          <w:spacing w:val="-1"/>
        </w:rPr>
        <w:t>单位：元</w:t>
        <w:tab/>
        <w:t>币种：人民币</w:t>
      </w:r>
    </w:p>
    <w:p>
      <w:pPr>
        <w:spacing w:after="0" w:line="240" w:lineRule="auto"/>
        <w:jc w:val="left"/>
        <w:sectPr>
          <w:type w:val="continuous"/>
          <w:pgSz w:w="11910" w:h="16840"/>
          <w:pgMar w:top="1580" w:bottom="280" w:left="1040" w:right="1560"/>
          <w:cols w:num="2" w:equalWidth="0">
            <w:col w:w="3828" w:space="2693"/>
            <w:col w:w="2789"/>
          </w:cols>
        </w:sectPr>
      </w:pP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948"/>
        <w:gridCol w:w="3044"/>
        <w:gridCol w:w="3058"/>
      </w:tblGrid>
      <w:tr>
        <w:trPr>
          <w:trHeight w:val="286" w:hRule="exact"/>
        </w:trPr>
        <w:tc>
          <w:tcPr>
            <w:tcW w:w="2948"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1256"/>
              <w:jc w:val="right"/>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6" w:hRule="exact"/>
        </w:trPr>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25,841,769.80</w:t>
            </w:r>
          </w:p>
        </w:tc>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产权证办理中</w:t>
            </w:r>
          </w:p>
        </w:tc>
      </w:tr>
      <w:tr>
        <w:trPr>
          <w:trHeight w:val="288" w:hRule="exact"/>
        </w:trPr>
        <w:tc>
          <w:tcPr>
            <w:tcW w:w="2948"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36,493,401.76</w:t>
            </w:r>
          </w:p>
        </w:tc>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未达到办证时间及条件</w:t>
            </w:r>
          </w:p>
        </w:tc>
      </w:tr>
      <w:tr>
        <w:trPr>
          <w:trHeight w:val="32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56"/>
              <w:jc w:val="right"/>
              <w:rPr>
                <w:rFonts w:ascii="宋体" w:hAnsi="宋体" w:cs="宋体" w:eastAsia="宋体" w:hint="default"/>
                <w:sz w:val="21"/>
                <w:szCs w:val="21"/>
              </w:rPr>
            </w:pPr>
            <w:r>
              <w:rPr>
                <w:rFonts w:ascii="宋体" w:hAnsi="宋体" w:cs="宋体" w:eastAsia="宋体" w:hint="default"/>
                <w:sz w:val="21"/>
                <w:szCs w:val="21"/>
              </w:rPr>
              <w:t>合计</w:t>
            </w:r>
          </w:p>
        </w:tc>
        <w:tc>
          <w:tcPr>
            <w:tcW w:w="304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122,572,082.35</w:t>
            </w:r>
          </w:p>
        </w:tc>
        <w:tc>
          <w:tcPr>
            <w:tcW w:w="3058" w:type="dxa"/>
            <w:tcBorders>
              <w:top w:val="single" w:sz="6" w:space="0" w:color="000000"/>
              <w:left w:val="single" w:sz="4" w:space="0" w:color="000000"/>
              <w:bottom w:val="single" w:sz="4" w:space="0" w:color="000000"/>
              <w:right w:val="single" w:sz="4" w:space="0" w:color="000000"/>
            </w:tcBorders>
          </w:tcPr>
          <w:p>
            <w:pPr/>
          </w:p>
        </w:tc>
      </w:tr>
    </w:tbl>
    <w:p>
      <w:pPr>
        <w:pStyle w:val="BodyText"/>
        <w:spacing w:line="240" w:lineRule="exact"/>
        <w:ind w:left="702" w:right="0"/>
        <w:jc w:val="left"/>
      </w:pPr>
      <w:r>
        <w:rPr/>
        <w:t>未办妥产权证书原因详见附注七、（七十）“所有权或使用权受到限制的资产”。</w:t>
      </w:r>
    </w:p>
    <w:p>
      <w:pPr>
        <w:pStyle w:val="BodyText"/>
        <w:spacing w:line="272" w:lineRule="exact"/>
        <w:ind w:left="237" w:right="0"/>
        <w:jc w:val="left"/>
      </w:pPr>
      <w:r>
        <w:rPr/>
        <w:t>其他说明：</w:t>
      </w:r>
    </w:p>
    <w:p>
      <w:pPr>
        <w:spacing w:line="290" w:lineRule="auto" w:before="0"/>
        <w:ind w:left="237" w:right="747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83" w:lineRule="auto" w:before="12"/>
        <w:ind w:left="237" w:right="6994" w:firstLine="48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w:t>
      </w:r>
      <w:r>
        <w:rPr>
          <w:rFonts w:ascii="宋体" w:hAnsi="宋体" w:cs="宋体" w:eastAsia="宋体" w:hint="default"/>
          <w:b/>
          <w:bCs/>
          <w:spacing w:val="-22"/>
          <w:sz w:val="21"/>
          <w:szCs w:val="21"/>
        </w:rPr>
        <w:t> </w:t>
      </w:r>
      <w:r>
        <w:rPr>
          <w:rFonts w:ascii="宋体" w:hAnsi="宋体" w:cs="宋体" w:eastAsia="宋体" w:hint="default"/>
          <w:b/>
          <w:bCs/>
          <w:sz w:val="21"/>
          <w:szCs w:val="21"/>
        </w:rPr>
        <w:t>在建工程</w:t>
      </w:r>
      <w:r>
        <w:rPr>
          <w:rFonts w:ascii="宋体" w:hAnsi="宋体" w:cs="宋体" w:eastAsia="宋体" w:hint="default"/>
          <w:b/>
          <w:bCs/>
          <w:w w:val="100"/>
          <w:sz w:val="21"/>
          <w:szCs w:val="21"/>
        </w:rPr>
        <w:t> </w:t>
      </w:r>
      <w:r>
        <w:rPr>
          <w:rFonts w:ascii="宋体" w:hAnsi="宋体" w:cs="宋体" w:eastAsia="宋体" w:hint="default"/>
          <w:b/>
          <w:bCs/>
          <w:sz w:val="21"/>
          <w:szCs w:val="21"/>
        </w:rPr>
        <w:t>总表情况</w:t>
      </w:r>
      <w:r>
        <w:rPr>
          <w:rFonts w:ascii="宋体" w:hAnsi="宋体" w:cs="宋体" w:eastAsia="宋体" w:hint="default"/>
          <w:sz w:val="21"/>
          <w:szCs w:val="21"/>
        </w:rPr>
      </w:r>
    </w:p>
    <w:p>
      <w:pPr>
        <w:pStyle w:val="Heading4"/>
        <w:spacing w:line="240" w:lineRule="auto" w:before="21"/>
        <w:ind w:left="237"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5"/>
        </w:rPr>
        <w:t> </w:t>
      </w:r>
      <w:r>
        <w:rPr/>
        <w:t>分类列示</w:t>
      </w:r>
      <w:r>
        <w:rPr>
          <w:b w:val="0"/>
          <w:bCs w:val="0"/>
        </w:rPr>
      </w:r>
    </w:p>
    <w:p>
      <w:pPr>
        <w:pStyle w:val="BodyText"/>
        <w:spacing w:line="240" w:lineRule="auto" w:before="40"/>
        <w:ind w:left="717" w:right="0"/>
        <w:jc w:val="left"/>
      </w:pPr>
      <w:r>
        <w:rPr/>
        <w:t>√适用 □不适用</w:t>
      </w:r>
    </w:p>
    <w:p>
      <w:pPr>
        <w:pStyle w:val="BodyText"/>
        <w:tabs>
          <w:tab w:pos="1051" w:val="left" w:leader="none"/>
        </w:tabs>
        <w:spacing w:line="271" w:lineRule="exact"/>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14"/>
        <w:gridCol w:w="2864"/>
        <w:gridCol w:w="2847"/>
      </w:tblGrid>
      <w:tr>
        <w:trPr>
          <w:trHeight w:val="370"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37"/>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
              <w:jc w:val="right"/>
              <w:rPr>
                <w:rFonts w:ascii="Times New Roman" w:hAnsi="Times New Roman" w:cs="Times New Roman" w:eastAsia="Times New Roman" w:hint="default"/>
                <w:sz w:val="21"/>
                <w:szCs w:val="21"/>
              </w:rPr>
            </w:pPr>
            <w:r>
              <w:rPr>
                <w:rFonts w:ascii="Times New Roman"/>
                <w:spacing w:val="-1"/>
                <w:sz w:val="21"/>
              </w:rPr>
              <w:t>9,376,590.56</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
              <w:jc w:val="right"/>
              <w:rPr>
                <w:rFonts w:ascii="Times New Roman" w:hAnsi="Times New Roman" w:cs="Times New Roman" w:eastAsia="Times New Roman" w:hint="default"/>
                <w:sz w:val="21"/>
                <w:szCs w:val="21"/>
              </w:rPr>
            </w:pPr>
            <w:r>
              <w:rPr>
                <w:rFonts w:ascii="Times New Roman"/>
                <w:spacing w:val="-1"/>
                <w:sz w:val="21"/>
              </w:rPr>
              <w:t>4,411,849.92</w:t>
            </w:r>
          </w:p>
        </w:tc>
      </w:tr>
      <w:tr>
        <w:trPr>
          <w:trHeight w:val="370"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47"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337"/>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21"/>
                <w:szCs w:val="21"/>
              </w:rPr>
            </w:pPr>
            <w:r>
              <w:rPr>
                <w:rFonts w:ascii="Times New Roman"/>
                <w:spacing w:val="-1"/>
                <w:sz w:val="21"/>
              </w:rPr>
              <w:t>9,376,590.56</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11"/>
              <w:jc w:val="right"/>
              <w:rPr>
                <w:rFonts w:ascii="Times New Roman" w:hAnsi="Times New Roman" w:cs="Times New Roman" w:eastAsia="Times New Roman" w:hint="default"/>
                <w:sz w:val="21"/>
                <w:szCs w:val="21"/>
              </w:rPr>
            </w:pPr>
            <w:r>
              <w:rPr>
                <w:rFonts w:ascii="Times New Roman"/>
                <w:spacing w:val="-1"/>
                <w:sz w:val="21"/>
              </w:rPr>
              <w:t>4,411,849.92</w:t>
            </w:r>
          </w:p>
        </w:tc>
      </w:tr>
    </w:tbl>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280" w:left="1040" w:right="1560"/>
        </w:sectPr>
      </w:pPr>
    </w:p>
    <w:p>
      <w:pPr>
        <w:pStyle w:val="BodyText"/>
        <w:spacing w:line="274" w:lineRule="exact" w:before="36"/>
        <w:ind w:left="237" w:right="-18"/>
        <w:jc w:val="left"/>
      </w:pPr>
      <w:r>
        <w:rPr/>
        <w:t>其他说明：</w:t>
      </w:r>
    </w:p>
    <w:p>
      <w:pPr>
        <w:spacing w:line="290" w:lineRule="auto" w:before="0"/>
        <w:ind w:left="237" w:right="-18" w:firstLine="48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pStyle w:val="Heading4"/>
        <w:spacing w:line="240" w:lineRule="auto" w:before="14"/>
        <w:ind w:left="237" w:right="-18"/>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5"/>
        </w:rPr>
        <w:t> </w:t>
      </w:r>
      <w:r>
        <w:rPr/>
        <w:t>在建工程情况</w:t>
      </w:r>
      <w:r>
        <w:rPr>
          <w:b w:val="0"/>
          <w:bCs w:val="0"/>
        </w:rPr>
      </w:r>
    </w:p>
    <w:p>
      <w:pPr>
        <w:pStyle w:val="BodyText"/>
        <w:spacing w:line="240" w:lineRule="auto" w:before="40"/>
        <w:ind w:left="7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560"/>
          <w:cols w:num="2" w:equalWidth="0">
            <w:col w:w="2295" w:space="4227"/>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839"/>
        <w:gridCol w:w="1277"/>
        <w:gridCol w:w="991"/>
        <w:gridCol w:w="1277"/>
        <w:gridCol w:w="1274"/>
        <w:gridCol w:w="985"/>
        <w:gridCol w:w="1181"/>
      </w:tblGrid>
      <w:tr>
        <w:trPr>
          <w:trHeight w:val="370" w:hRule="exact"/>
        </w:trPr>
        <w:tc>
          <w:tcPr>
            <w:tcW w:w="183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2" w:hRule="exact"/>
        </w:trPr>
        <w:tc>
          <w:tcPr>
            <w:tcW w:w="1839"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6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3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23"/>
              <w:jc w:val="left"/>
              <w:rPr>
                <w:rFonts w:ascii="宋体" w:hAnsi="宋体" w:cs="宋体" w:eastAsia="宋体" w:hint="default"/>
                <w:sz w:val="21"/>
                <w:szCs w:val="21"/>
              </w:rPr>
            </w:pPr>
            <w:r>
              <w:rPr>
                <w:rFonts w:ascii="宋体" w:hAnsi="宋体" w:cs="宋体" w:eastAsia="宋体" w:hint="default"/>
                <w:spacing w:val="9"/>
                <w:sz w:val="21"/>
                <w:szCs w:val="21"/>
              </w:rPr>
              <w:t>福州软件产业园</w:t>
            </w:r>
            <w:r>
              <w:rPr>
                <w:rFonts w:ascii="宋体" w:hAnsi="宋体" w:cs="宋体" w:eastAsia="宋体" w:hint="default"/>
                <w:spacing w:val="28"/>
                <w:sz w:val="21"/>
                <w:szCs w:val="21"/>
              </w:rPr>
              <w:t> </w:t>
            </w:r>
            <w:r>
              <w:rPr>
                <w:rFonts w:ascii="宋体" w:hAnsi="宋体" w:cs="宋体" w:eastAsia="宋体" w:hint="default"/>
                <w:sz w:val="21"/>
                <w:szCs w:val="21"/>
              </w:rPr>
              <w:t>G</w:t>
            </w:r>
            <w:r>
              <w:rPr>
                <w:rFonts w:ascii="宋体" w:hAnsi="宋体" w:cs="宋体" w:eastAsia="宋体" w:hint="default"/>
                <w:spacing w:val="-103"/>
                <w:sz w:val="21"/>
                <w:szCs w:val="21"/>
              </w:rPr>
              <w:t> </w:t>
            </w:r>
            <w:r>
              <w:rPr>
                <w:rFonts w:ascii="宋体" w:hAnsi="宋体" w:cs="宋体" w:eastAsia="宋体" w:hint="default"/>
                <w:sz w:val="21"/>
                <w:szCs w:val="21"/>
              </w:rPr>
              <w:t>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号楼</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3,853,708.49</w:t>
            </w:r>
          </w:p>
        </w:tc>
        <w:tc>
          <w:tcPr>
            <w:tcW w:w="991" w:type="dxa"/>
            <w:tcBorders>
              <w:top w:val="single" w:sz="4" w:space="0" w:color="000000"/>
              <w:left w:val="single" w:sz="8"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3,853,708.49</w:t>
            </w:r>
          </w:p>
        </w:tc>
        <w:tc>
          <w:tcPr>
            <w:tcW w:w="1274" w:type="dxa"/>
            <w:tcBorders>
              <w:top w:val="single" w:sz="4" w:space="0" w:color="000000"/>
              <w:left w:val="single" w:sz="8" w:space="0" w:color="000000"/>
              <w:bottom w:val="single" w:sz="4" w:space="0" w:color="000000"/>
              <w:right w:val="single" w:sz="8" w:space="0" w:color="000000"/>
            </w:tcBorders>
          </w:tcPr>
          <w:p>
            <w:pPr/>
          </w:p>
        </w:tc>
        <w:tc>
          <w:tcPr>
            <w:tcW w:w="985" w:type="dxa"/>
            <w:tcBorders>
              <w:top w:val="single" w:sz="4" w:space="0" w:color="000000"/>
              <w:left w:val="single" w:sz="8"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24"/>
              <w:jc w:val="left"/>
              <w:rPr>
                <w:rFonts w:ascii="宋体" w:hAnsi="宋体" w:cs="宋体" w:eastAsia="宋体" w:hint="default"/>
                <w:sz w:val="21"/>
                <w:szCs w:val="21"/>
              </w:rPr>
            </w:pPr>
            <w:r>
              <w:rPr>
                <w:rFonts w:ascii="宋体" w:hAnsi="宋体" w:cs="宋体" w:eastAsia="宋体" w:hint="default"/>
                <w:sz w:val="21"/>
                <w:szCs w:val="21"/>
              </w:rPr>
              <w:t>小电卫士</w:t>
            </w:r>
            <w:r>
              <w:rPr>
                <w:rFonts w:ascii="宋体" w:hAnsi="宋体" w:cs="宋体" w:eastAsia="宋体" w:hint="default"/>
                <w:spacing w:val="-57"/>
                <w:sz w:val="21"/>
                <w:szCs w:val="21"/>
              </w:rPr>
              <w:t> </w:t>
            </w:r>
            <w:r>
              <w:rPr>
                <w:rFonts w:ascii="宋体" w:hAnsi="宋体" w:cs="宋体" w:eastAsia="宋体" w:hint="default"/>
                <w:sz w:val="21"/>
                <w:szCs w:val="21"/>
              </w:rPr>
              <w:t>RFID</w:t>
            </w:r>
            <w:r>
              <w:rPr>
                <w:rFonts w:ascii="宋体" w:hAnsi="宋体" w:cs="宋体" w:eastAsia="宋体" w:hint="default"/>
                <w:spacing w:val="-57"/>
                <w:sz w:val="21"/>
                <w:szCs w:val="21"/>
              </w:rPr>
              <w:t> </w:t>
            </w:r>
            <w:r>
              <w:rPr>
                <w:rFonts w:ascii="宋体" w:hAnsi="宋体" w:cs="宋体" w:eastAsia="宋体" w:hint="default"/>
                <w:spacing w:val="-3"/>
                <w:sz w:val="21"/>
                <w:szCs w:val="21"/>
              </w:rPr>
              <w:t>物联</w:t>
            </w:r>
            <w:r>
              <w:rPr>
                <w:rFonts w:ascii="宋体" w:hAnsi="宋体" w:cs="宋体" w:eastAsia="宋体" w:hint="default"/>
                <w:spacing w:val="-3"/>
                <w:w w:val="100"/>
                <w:sz w:val="21"/>
                <w:szCs w:val="21"/>
              </w:rPr>
              <w:t> </w:t>
            </w:r>
            <w:r>
              <w:rPr>
                <w:rFonts w:ascii="宋体" w:hAnsi="宋体" w:cs="宋体" w:eastAsia="宋体" w:hint="default"/>
                <w:sz w:val="21"/>
                <w:szCs w:val="21"/>
              </w:rPr>
              <w:t>网基站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639,993.82</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639,993.82</w:t>
            </w:r>
          </w:p>
        </w:tc>
        <w:tc>
          <w:tcPr>
            <w:tcW w:w="1274"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040" w:right="1560"/>
        </w:sectPr>
      </w:pPr>
    </w:p>
    <w:p>
      <w:pPr>
        <w:spacing w:line="240" w:lineRule="auto" w:before="2"/>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839"/>
        <w:gridCol w:w="1277"/>
        <w:gridCol w:w="991"/>
        <w:gridCol w:w="1277"/>
        <w:gridCol w:w="1274"/>
        <w:gridCol w:w="985"/>
        <w:gridCol w:w="1181"/>
      </w:tblGrid>
      <w:tr>
        <w:trPr>
          <w:trHeight w:val="735"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26" w:right="23"/>
              <w:jc w:val="left"/>
              <w:rPr>
                <w:rFonts w:ascii="宋体" w:hAnsi="宋体" w:cs="宋体" w:eastAsia="宋体" w:hint="default"/>
                <w:sz w:val="21"/>
                <w:szCs w:val="21"/>
              </w:rPr>
            </w:pPr>
            <w:r>
              <w:rPr>
                <w:rFonts w:ascii="宋体" w:hAnsi="宋体" w:cs="宋体" w:eastAsia="宋体" w:hint="default"/>
                <w:spacing w:val="9"/>
                <w:sz w:val="21"/>
                <w:szCs w:val="21"/>
              </w:rPr>
              <w:t>南威软件大厦装修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工程</w:t>
            </w:r>
          </w:p>
        </w:tc>
        <w:tc>
          <w:tcPr>
            <w:tcW w:w="127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19" w:right="0"/>
              <w:jc w:val="center"/>
              <w:rPr>
                <w:rFonts w:ascii="Times New Roman" w:hAnsi="Times New Roman" w:cs="Times New Roman" w:eastAsia="Times New Roman" w:hint="default"/>
                <w:sz w:val="21"/>
                <w:szCs w:val="21"/>
              </w:rPr>
            </w:pPr>
            <w:r>
              <w:rPr>
                <w:rFonts w:ascii="Times New Roman"/>
                <w:sz w:val="21"/>
              </w:rPr>
              <w:t>2,293,812.12</w:t>
            </w:r>
          </w:p>
        </w:tc>
        <w:tc>
          <w:tcPr>
            <w:tcW w:w="991" w:type="dxa"/>
            <w:tcBorders>
              <w:top w:val="single" w:sz="4" w:space="0" w:color="000000"/>
              <w:left w:val="single" w:sz="8"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2,293,812.12</w:t>
            </w:r>
          </w:p>
        </w:tc>
        <w:tc>
          <w:tcPr>
            <w:tcW w:w="1274" w:type="dxa"/>
            <w:tcBorders>
              <w:top w:val="single" w:sz="4" w:space="0" w:color="000000"/>
              <w:left w:val="single" w:sz="8" w:space="0" w:color="000000"/>
              <w:bottom w:val="single" w:sz="8" w:space="0" w:color="000000"/>
              <w:right w:val="single" w:sz="8" w:space="0" w:color="000000"/>
            </w:tcBorders>
          </w:tcPr>
          <w:p>
            <w:pPr/>
          </w:p>
        </w:tc>
        <w:tc>
          <w:tcPr>
            <w:tcW w:w="985" w:type="dxa"/>
            <w:tcBorders>
              <w:top w:val="single" w:sz="4" w:space="0" w:color="000000"/>
              <w:left w:val="single" w:sz="8"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42"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6" w:right="23"/>
              <w:jc w:val="left"/>
              <w:rPr>
                <w:rFonts w:ascii="宋体" w:hAnsi="宋体" w:cs="宋体" w:eastAsia="宋体" w:hint="default"/>
                <w:sz w:val="21"/>
                <w:szCs w:val="21"/>
              </w:rPr>
            </w:pPr>
            <w:r>
              <w:rPr>
                <w:rFonts w:ascii="宋体" w:hAnsi="宋体" w:cs="宋体" w:eastAsia="宋体" w:hint="default"/>
                <w:spacing w:val="9"/>
                <w:sz w:val="21"/>
                <w:szCs w:val="21"/>
              </w:rPr>
              <w:t>空调智能化控制系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统</w:t>
            </w:r>
          </w:p>
        </w:tc>
        <w:tc>
          <w:tcPr>
            <w:tcW w:w="127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19" w:right="0"/>
              <w:jc w:val="center"/>
              <w:rPr>
                <w:rFonts w:ascii="Times New Roman" w:hAnsi="Times New Roman" w:cs="Times New Roman" w:eastAsia="Times New Roman" w:hint="default"/>
                <w:sz w:val="21"/>
                <w:szCs w:val="21"/>
              </w:rPr>
            </w:pPr>
            <w:r>
              <w:rPr>
                <w:rFonts w:ascii="Times New Roman"/>
                <w:sz w:val="21"/>
              </w:rPr>
              <w:t>1,081,081.09</w:t>
            </w:r>
          </w:p>
        </w:tc>
        <w:tc>
          <w:tcPr>
            <w:tcW w:w="991" w:type="dxa"/>
            <w:tcBorders>
              <w:top w:val="single" w:sz="4" w:space="0" w:color="000000"/>
              <w:left w:val="single" w:sz="8" w:space="0" w:color="000000"/>
              <w:bottom w:val="single" w:sz="4" w:space="0" w:color="000000"/>
              <w:right w:val="single" w:sz="4" w:space="0" w:color="000000"/>
            </w:tcBorders>
          </w:tcPr>
          <w:p>
            <w:pPr/>
          </w:p>
        </w:tc>
        <w:tc>
          <w:tcPr>
            <w:tcW w:w="127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1,081,081.09</w:t>
            </w:r>
          </w:p>
        </w:tc>
        <w:tc>
          <w:tcPr>
            <w:tcW w:w="1274" w:type="dxa"/>
            <w:tcBorders>
              <w:top w:val="single" w:sz="8" w:space="0" w:color="000000"/>
              <w:left w:val="single" w:sz="8" w:space="0" w:color="000000"/>
              <w:bottom w:val="single" w:sz="8" w:space="0" w:color="000000"/>
              <w:right w:val="single" w:sz="8" w:space="0" w:color="000000"/>
            </w:tcBorders>
          </w:tcPr>
          <w:p>
            <w:pPr/>
          </w:p>
        </w:tc>
        <w:tc>
          <w:tcPr>
            <w:tcW w:w="985" w:type="dxa"/>
            <w:tcBorders>
              <w:top w:val="single" w:sz="4" w:space="0" w:color="000000"/>
              <w:left w:val="single" w:sz="8"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7"/>
              <w:ind w:left="26" w:right="21"/>
              <w:jc w:val="both"/>
              <w:rPr>
                <w:rFonts w:ascii="宋体" w:hAnsi="宋体" w:cs="宋体" w:eastAsia="宋体" w:hint="default"/>
                <w:sz w:val="21"/>
                <w:szCs w:val="21"/>
              </w:rPr>
            </w:pPr>
            <w:r>
              <w:rPr>
                <w:rFonts w:ascii="宋体" w:hAnsi="宋体" w:cs="宋体" w:eastAsia="宋体" w:hint="default"/>
                <w:spacing w:val="9"/>
                <w:sz w:val="21"/>
                <w:szCs w:val="21"/>
              </w:rPr>
              <w:t>福州软件产业园</w:t>
            </w:r>
            <w:r>
              <w:rPr>
                <w:rFonts w:ascii="宋体" w:hAnsi="宋体" w:cs="宋体" w:eastAsia="宋体" w:hint="default"/>
                <w:spacing w:val="28"/>
                <w:sz w:val="21"/>
                <w:szCs w:val="21"/>
              </w:rPr>
              <w:t> </w:t>
            </w:r>
            <w:r>
              <w:rPr>
                <w:rFonts w:ascii="宋体" w:hAnsi="宋体" w:cs="宋体" w:eastAsia="宋体" w:hint="default"/>
                <w:sz w:val="21"/>
                <w:szCs w:val="21"/>
              </w:rPr>
              <w:t>G</w:t>
            </w:r>
            <w:r>
              <w:rPr>
                <w:rFonts w:ascii="宋体" w:hAnsi="宋体" w:cs="宋体" w:eastAsia="宋体" w:hint="default"/>
                <w:spacing w:val="-103"/>
                <w:sz w:val="21"/>
                <w:szCs w:val="21"/>
              </w:rPr>
              <w:t> </w:t>
            </w:r>
            <w:r>
              <w:rPr>
                <w:rFonts w:ascii="宋体" w:hAnsi="宋体" w:cs="宋体" w:eastAsia="宋体" w:hint="default"/>
                <w:sz w:val="21"/>
                <w:szCs w:val="21"/>
              </w:rPr>
              <w:t>区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号楼展厅装修</w:t>
            </w:r>
            <w:r>
              <w:rPr>
                <w:rFonts w:ascii="宋体" w:hAnsi="宋体" w:cs="宋体" w:eastAsia="宋体" w:hint="default"/>
                <w:w w:val="100"/>
                <w:sz w:val="21"/>
                <w:szCs w:val="21"/>
              </w:rPr>
              <w:t> </w:t>
            </w:r>
            <w:r>
              <w:rPr>
                <w:rFonts w:ascii="宋体" w:hAnsi="宋体" w:cs="宋体" w:eastAsia="宋体" w:hint="default"/>
                <w:sz w:val="21"/>
                <w:szCs w:val="21"/>
              </w:rPr>
              <w:t>工程</w:t>
            </w:r>
          </w:p>
        </w:tc>
        <w:tc>
          <w:tcPr>
            <w:tcW w:w="1277" w:type="dxa"/>
            <w:tcBorders>
              <w:top w:val="single" w:sz="8" w:space="0" w:color="000000"/>
              <w:left w:val="single" w:sz="4" w:space="0" w:color="000000"/>
              <w:bottom w:val="single" w:sz="8" w:space="0" w:color="000000"/>
              <w:right w:val="single" w:sz="8" w:space="0" w:color="000000"/>
            </w:tcBorders>
          </w:tcPr>
          <w:p>
            <w:pPr/>
          </w:p>
        </w:tc>
        <w:tc>
          <w:tcPr>
            <w:tcW w:w="991" w:type="dxa"/>
            <w:tcBorders>
              <w:top w:val="single" w:sz="4" w:space="0" w:color="000000"/>
              <w:left w:val="single" w:sz="8" w:space="0" w:color="000000"/>
              <w:bottom w:val="single" w:sz="4" w:space="0" w:color="000000"/>
              <w:right w:val="single" w:sz="4" w:space="0" w:color="000000"/>
            </w:tcBorders>
          </w:tcPr>
          <w:p>
            <w:pPr/>
          </w:p>
        </w:tc>
        <w:tc>
          <w:tcPr>
            <w:tcW w:w="1277" w:type="dxa"/>
            <w:tcBorders>
              <w:top w:val="single" w:sz="8" w:space="0" w:color="000000"/>
              <w:left w:val="single" w:sz="4"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1,641,979.33</w:t>
            </w:r>
          </w:p>
        </w:tc>
        <w:tc>
          <w:tcPr>
            <w:tcW w:w="985" w:type="dxa"/>
            <w:tcBorders>
              <w:top w:val="single" w:sz="4" w:space="0" w:color="000000"/>
              <w:left w:val="single" w:sz="8"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1,641,979.33</w:t>
            </w:r>
          </w:p>
        </w:tc>
      </w:tr>
      <w:tr>
        <w:trPr>
          <w:trHeight w:val="739"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7"/>
              <w:ind w:left="26" w:right="23"/>
              <w:jc w:val="left"/>
              <w:rPr>
                <w:rFonts w:ascii="宋体" w:hAnsi="宋体" w:cs="宋体" w:eastAsia="宋体" w:hint="default"/>
                <w:sz w:val="21"/>
                <w:szCs w:val="21"/>
              </w:rPr>
            </w:pPr>
            <w:r>
              <w:rPr>
                <w:rFonts w:ascii="宋体" w:hAnsi="宋体" w:cs="宋体" w:eastAsia="宋体" w:hint="default"/>
                <w:spacing w:val="9"/>
                <w:sz w:val="21"/>
                <w:szCs w:val="21"/>
              </w:rPr>
              <w:t>福州软件产业园</w:t>
            </w:r>
            <w:r>
              <w:rPr>
                <w:rFonts w:ascii="宋体" w:hAnsi="宋体" w:cs="宋体" w:eastAsia="宋体" w:hint="default"/>
                <w:spacing w:val="28"/>
                <w:sz w:val="21"/>
                <w:szCs w:val="21"/>
              </w:rPr>
              <w:t> </w:t>
            </w:r>
            <w:r>
              <w:rPr>
                <w:rFonts w:ascii="宋体" w:hAnsi="宋体" w:cs="宋体" w:eastAsia="宋体" w:hint="default"/>
                <w:sz w:val="21"/>
                <w:szCs w:val="21"/>
              </w:rPr>
              <w:t>F</w:t>
            </w:r>
            <w:r>
              <w:rPr>
                <w:rFonts w:ascii="宋体" w:hAnsi="宋体" w:cs="宋体" w:eastAsia="宋体" w:hint="default"/>
                <w:spacing w:val="-103"/>
                <w:sz w:val="21"/>
                <w:szCs w:val="21"/>
              </w:rPr>
              <w:t> </w:t>
            </w:r>
            <w:r>
              <w:rPr>
                <w:rFonts w:ascii="宋体" w:hAnsi="宋体" w:cs="宋体" w:eastAsia="宋体" w:hint="default"/>
                <w:sz w:val="21"/>
                <w:szCs w:val="21"/>
              </w:rPr>
              <w:t>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号楼装修工程</w:t>
            </w:r>
          </w:p>
        </w:tc>
        <w:tc>
          <w:tcPr>
            <w:tcW w:w="1277" w:type="dxa"/>
            <w:tcBorders>
              <w:top w:val="single" w:sz="8" w:space="0" w:color="000000"/>
              <w:left w:val="single" w:sz="4" w:space="0" w:color="000000"/>
              <w:bottom w:val="single" w:sz="8" w:space="0" w:color="000000"/>
              <w:right w:val="single" w:sz="8" w:space="0" w:color="000000"/>
            </w:tcBorders>
          </w:tcPr>
          <w:p>
            <w:pPr/>
          </w:p>
        </w:tc>
        <w:tc>
          <w:tcPr>
            <w:tcW w:w="991" w:type="dxa"/>
            <w:tcBorders>
              <w:top w:val="single" w:sz="4" w:space="0" w:color="000000"/>
              <w:left w:val="single" w:sz="8" w:space="0" w:color="000000"/>
              <w:bottom w:val="single" w:sz="4" w:space="0" w:color="000000"/>
              <w:right w:val="single" w:sz="4" w:space="0" w:color="000000"/>
            </w:tcBorders>
          </w:tcPr>
          <w:p>
            <w:pPr/>
          </w:p>
        </w:tc>
        <w:tc>
          <w:tcPr>
            <w:tcW w:w="1277" w:type="dxa"/>
            <w:tcBorders>
              <w:top w:val="single" w:sz="8" w:space="0" w:color="000000"/>
              <w:left w:val="single" w:sz="4"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52,318.87</w:t>
            </w:r>
          </w:p>
        </w:tc>
        <w:tc>
          <w:tcPr>
            <w:tcW w:w="985" w:type="dxa"/>
            <w:tcBorders>
              <w:top w:val="single" w:sz="4" w:space="0" w:color="000000"/>
              <w:left w:val="single" w:sz="8"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52,318.87</w:t>
            </w:r>
          </w:p>
        </w:tc>
      </w:tr>
      <w:tr>
        <w:trPr>
          <w:trHeight w:val="382"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5"/>
              <w:ind w:left="119" w:right="0"/>
              <w:jc w:val="center"/>
              <w:rPr>
                <w:rFonts w:ascii="Times New Roman" w:hAnsi="Times New Roman" w:cs="Times New Roman" w:eastAsia="Times New Roman" w:hint="default"/>
                <w:sz w:val="21"/>
                <w:szCs w:val="21"/>
              </w:rPr>
            </w:pPr>
            <w:r>
              <w:rPr>
                <w:rFonts w:ascii="Times New Roman"/>
                <w:sz w:val="21"/>
              </w:rPr>
              <w:t>1,507,995.04</w:t>
            </w:r>
          </w:p>
        </w:tc>
        <w:tc>
          <w:tcPr>
            <w:tcW w:w="991" w:type="dxa"/>
            <w:tcBorders>
              <w:top w:val="single" w:sz="4" w:space="0" w:color="000000"/>
              <w:left w:val="single" w:sz="8" w:space="0" w:color="000000"/>
              <w:bottom w:val="single" w:sz="4" w:space="0" w:color="000000"/>
              <w:right w:val="single" w:sz="4" w:space="0" w:color="000000"/>
            </w:tcBorders>
          </w:tcPr>
          <w:p>
            <w:pPr/>
          </w:p>
        </w:tc>
        <w:tc>
          <w:tcPr>
            <w:tcW w:w="127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5"/>
              <w:ind w:right="17"/>
              <w:jc w:val="right"/>
              <w:rPr>
                <w:rFonts w:ascii="Times New Roman" w:hAnsi="Times New Roman" w:cs="Times New Roman" w:eastAsia="Times New Roman" w:hint="default"/>
                <w:sz w:val="21"/>
                <w:szCs w:val="21"/>
              </w:rPr>
            </w:pPr>
            <w:r>
              <w:rPr>
                <w:rFonts w:ascii="Times New Roman"/>
                <w:spacing w:val="-1"/>
                <w:sz w:val="21"/>
              </w:rPr>
              <w:t>1,507,995.04</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17"/>
              <w:jc w:val="right"/>
              <w:rPr>
                <w:rFonts w:ascii="Times New Roman" w:hAnsi="Times New Roman" w:cs="Times New Roman" w:eastAsia="Times New Roman" w:hint="default"/>
                <w:sz w:val="21"/>
                <w:szCs w:val="21"/>
              </w:rPr>
            </w:pPr>
            <w:r>
              <w:rPr>
                <w:rFonts w:ascii="Times New Roman"/>
                <w:spacing w:val="-1"/>
                <w:sz w:val="21"/>
              </w:rPr>
              <w:t>2,717,551.72</w:t>
            </w:r>
          </w:p>
        </w:tc>
        <w:tc>
          <w:tcPr>
            <w:tcW w:w="985" w:type="dxa"/>
            <w:tcBorders>
              <w:top w:val="single" w:sz="4" w:space="0" w:color="000000"/>
              <w:left w:val="single" w:sz="8"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2,717,551.72</w:t>
            </w:r>
          </w:p>
        </w:tc>
      </w:tr>
      <w:tr>
        <w:trPr>
          <w:trHeight w:val="379"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2"/>
              <w:ind w:left="119" w:right="0"/>
              <w:jc w:val="center"/>
              <w:rPr>
                <w:rFonts w:ascii="Times New Roman" w:hAnsi="Times New Roman" w:cs="Times New Roman" w:eastAsia="Times New Roman" w:hint="default"/>
                <w:sz w:val="21"/>
                <w:szCs w:val="21"/>
              </w:rPr>
            </w:pPr>
            <w:r>
              <w:rPr>
                <w:rFonts w:ascii="Times New Roman"/>
                <w:sz w:val="21"/>
              </w:rPr>
              <w:t>9,376,590.56</w:t>
            </w:r>
          </w:p>
        </w:tc>
        <w:tc>
          <w:tcPr>
            <w:tcW w:w="991" w:type="dxa"/>
            <w:tcBorders>
              <w:top w:val="single" w:sz="4" w:space="0" w:color="000000"/>
              <w:left w:val="single" w:sz="8" w:space="0" w:color="000000"/>
              <w:bottom w:val="single" w:sz="4" w:space="0" w:color="000000"/>
              <w:right w:val="single" w:sz="4" w:space="0" w:color="000000"/>
            </w:tcBorders>
          </w:tcPr>
          <w:p>
            <w:pPr/>
          </w:p>
        </w:tc>
        <w:tc>
          <w:tcPr>
            <w:tcW w:w="127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spacing w:val="-1"/>
                <w:sz w:val="21"/>
              </w:rPr>
              <w:t>9,376,590.56</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spacing w:val="-1"/>
                <w:sz w:val="21"/>
              </w:rPr>
              <w:t>4,411,849.92</w:t>
            </w:r>
          </w:p>
        </w:tc>
        <w:tc>
          <w:tcPr>
            <w:tcW w:w="985" w:type="dxa"/>
            <w:tcBorders>
              <w:top w:val="single" w:sz="4" w:space="0" w:color="000000"/>
              <w:left w:val="single" w:sz="8"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21"/>
                <w:szCs w:val="21"/>
              </w:rPr>
            </w:pPr>
            <w:r>
              <w:rPr>
                <w:rFonts w:ascii="Times New Roman"/>
                <w:spacing w:val="-1"/>
                <w:sz w:val="21"/>
              </w:rPr>
              <w:t>4,411,849.92</w:t>
            </w:r>
          </w:p>
        </w:tc>
      </w:tr>
    </w:tbl>
    <w:p>
      <w:pPr>
        <w:spacing w:after="0" w:line="240" w:lineRule="auto"/>
        <w:jc w:val="right"/>
        <w:rPr>
          <w:rFonts w:ascii="Times New Roman" w:hAnsi="Times New Roman" w:cs="Times New Roman" w:eastAsia="Times New Roman" w:hint="default"/>
          <w:sz w:val="21"/>
          <w:szCs w:val="21"/>
        </w:rPr>
        <w:sectPr>
          <w:pgSz w:w="11910" w:h="16840"/>
          <w:pgMar w:header="857" w:footer="979" w:top="1120" w:bottom="1160" w:left="1140" w:right="1660"/>
        </w:sectPr>
      </w:pPr>
    </w:p>
    <w:p>
      <w:pPr>
        <w:tabs>
          <w:tab w:pos="9694" w:val="left" w:leader="none"/>
        </w:tabs>
        <w:spacing w:before="45"/>
        <w:ind w:left="2814" w:right="0" w:firstLine="0"/>
        <w:jc w:val="left"/>
        <w:rPr>
          <w:rFonts w:ascii="宋体" w:hAnsi="宋体" w:cs="宋体" w:eastAsia="宋体" w:hint="default"/>
          <w:sz w:val="18"/>
          <w:szCs w:val="18"/>
        </w:rPr>
      </w:pPr>
      <w:r>
        <w:rPr/>
        <w:drawing>
          <wp:inline distT="0" distB="0" distL="0" distR="0">
            <wp:extent cx="655243" cy="116839"/>
            <wp:effectExtent l="0" t="0" r="0" b="0"/>
            <wp:docPr id="9" name="image2.jpeg" descr=""/>
            <wp:cNvGraphicFramePr>
              <a:graphicFrameLocks noChangeAspect="1"/>
            </wp:cNvGraphicFramePr>
            <a:graphic>
              <a:graphicData uri="http://schemas.openxmlformats.org/drawingml/2006/picture">
                <pic:pic>
                  <pic:nvPicPr>
                    <pic:cNvPr id="10" name="image2.jpeg"/>
                    <pic:cNvPicPr/>
                  </pic:nvPicPr>
                  <pic:blipFill>
                    <a:blip r:embed="rId26" cstate="print"/>
                    <a:stretch>
                      <a:fillRect/>
                    </a:stretch>
                  </pic:blipFill>
                  <pic:spPr>
                    <a:xfrm>
                      <a:off x="0" y="0"/>
                      <a:ext cx="655243" cy="116839"/>
                    </a:xfrm>
                    <a:prstGeom prst="rect">
                      <a:avLst/>
                    </a:prstGeom>
                  </pic:spPr>
                </pic:pic>
              </a:graphicData>
            </a:graphic>
          </wp:inline>
        </w:drawing>
      </w:r>
      <w:r>
        <w:rPr/>
      </w:r>
      <w:r>
        <w:rPr>
          <w:rFonts w:ascii="Times New Roman" w:hAnsi="Times New Roman" w:cs="Times New Roman" w:eastAsia="Times New Roman" w:hint="default"/>
          <w:sz w:val="20"/>
          <w:szCs w:val="20"/>
        </w:rPr>
        <w:t> </w:t>
      </w:r>
      <w:r>
        <w:rPr>
          <w:rFonts w:ascii="宋体" w:hAnsi="宋体" w:cs="宋体" w:eastAsia="宋体" w:hint="default"/>
          <w:sz w:val="18"/>
          <w:szCs w:val="18"/>
        </w:rPr>
        <w:t>南威软件股份有限公司</w:t>
        <w:tab/>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4"/>
        <w:spacing w:line="240" w:lineRule="auto"/>
        <w:ind w:left="144" w:right="0"/>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3"/>
        </w:rPr>
        <w:t> </w:t>
      </w:r>
      <w:r>
        <w:rPr/>
        <w:t>重要在建工程项目本期变动情况</w:t>
      </w:r>
      <w:r>
        <w:rPr>
          <w:b w:val="0"/>
          <w:bCs w:val="0"/>
        </w:rPr>
      </w:r>
    </w:p>
    <w:p>
      <w:pPr>
        <w:pStyle w:val="BodyText"/>
        <w:tabs>
          <w:tab w:pos="11665" w:val="left" w:leader="none"/>
        </w:tabs>
        <w:spacing w:line="240" w:lineRule="auto" w:before="43"/>
        <w:ind w:left="624" w:right="0"/>
        <w:jc w:val="left"/>
      </w:pPr>
      <w:r>
        <w:rPr/>
        <w:t>√适用 □不适用</w:t>
        <w:tab/>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272"/>
        <w:gridCol w:w="1558"/>
        <w:gridCol w:w="1277"/>
        <w:gridCol w:w="1418"/>
        <w:gridCol w:w="1275"/>
        <w:gridCol w:w="708"/>
        <w:gridCol w:w="1418"/>
        <w:gridCol w:w="850"/>
        <w:gridCol w:w="853"/>
        <w:gridCol w:w="708"/>
        <w:gridCol w:w="852"/>
        <w:gridCol w:w="708"/>
        <w:gridCol w:w="850"/>
      </w:tblGrid>
      <w:tr>
        <w:trPr>
          <w:trHeight w:val="181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4" w:lineRule="auto"/>
              <w:ind w:left="371" w:right="47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4" w:lineRule="auto"/>
              <w:ind w:left="544" w:right="228" w:hanging="420"/>
              <w:jc w:val="left"/>
              <w:rPr>
                <w:rFonts w:ascii="宋体" w:hAnsi="宋体" w:cs="宋体" w:eastAsia="宋体" w:hint="default"/>
                <w:sz w:val="21"/>
                <w:szCs w:val="21"/>
              </w:rPr>
            </w:pPr>
            <w:r>
              <w:rPr>
                <w:rFonts w:ascii="宋体" w:hAnsi="宋体" w:cs="宋体" w:eastAsia="宋体" w:hint="default"/>
                <w:sz w:val="21"/>
                <w:szCs w:val="21"/>
              </w:rPr>
              <w:t>本期增加金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4" w:lineRule="auto"/>
              <w:ind w:left="69" w:right="139"/>
              <w:jc w:val="left"/>
              <w:rPr>
                <w:rFonts w:ascii="宋体" w:hAnsi="宋体" w:cs="宋体" w:eastAsia="宋体" w:hint="default"/>
                <w:sz w:val="21"/>
                <w:szCs w:val="21"/>
              </w:rPr>
            </w:pPr>
            <w:r>
              <w:rPr>
                <w:rFonts w:ascii="宋体" w:hAnsi="宋体" w:cs="宋体" w:eastAsia="宋体" w:hint="default"/>
                <w:sz w:val="21"/>
                <w:szCs w:val="21"/>
              </w:rPr>
              <w:t>本期转入固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定资产金额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03" w:right="170"/>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4" w:lineRule="auto"/>
              <w:ind w:left="496" w:right="487"/>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5" w:right="98"/>
              <w:jc w:val="center"/>
              <w:rPr>
                <w:rFonts w:ascii="宋体" w:hAnsi="宋体" w:cs="宋体" w:eastAsia="宋体" w:hint="default"/>
                <w:sz w:val="21"/>
                <w:szCs w:val="21"/>
              </w:rPr>
            </w:pPr>
            <w:r>
              <w:rPr>
                <w:rFonts w:ascii="宋体" w:hAnsi="宋体" w:cs="宋体" w:eastAsia="宋体" w:hint="default"/>
                <w:sz w:val="21"/>
                <w:szCs w:val="21"/>
              </w:rPr>
              <w:t>工程累</w:t>
            </w:r>
            <w:r>
              <w:rPr>
                <w:rFonts w:ascii="宋体" w:hAnsi="宋体" w:cs="宋体" w:eastAsia="宋体" w:hint="default"/>
                <w:w w:val="100"/>
                <w:sz w:val="21"/>
                <w:szCs w:val="21"/>
              </w:rPr>
              <w:t> </w:t>
            </w:r>
            <w:r>
              <w:rPr>
                <w:rFonts w:ascii="宋体" w:hAnsi="宋体" w:cs="宋体" w:eastAsia="宋体" w:hint="default"/>
                <w:sz w:val="21"/>
                <w:szCs w:val="21"/>
              </w:rPr>
              <w:t>计投入</w:t>
            </w:r>
            <w:r>
              <w:rPr>
                <w:rFonts w:ascii="宋体" w:hAnsi="宋体" w:cs="宋体" w:eastAsia="宋体" w:hint="default"/>
                <w:w w:val="100"/>
                <w:sz w:val="21"/>
                <w:szCs w:val="21"/>
              </w:rPr>
              <w:t> </w:t>
            </w:r>
            <w:r>
              <w:rPr>
                <w:rFonts w:ascii="宋体" w:hAnsi="宋体" w:cs="宋体" w:eastAsia="宋体" w:hint="default"/>
                <w:sz w:val="21"/>
                <w:szCs w:val="21"/>
              </w:rPr>
              <w:t>占预算</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4" w:lineRule="auto"/>
              <w:ind w:left="317" w:right="99" w:hanging="210"/>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1"/>
              <w:ind w:left="33" w:right="29"/>
              <w:jc w:val="both"/>
              <w:rPr>
                <w:rFonts w:ascii="宋体" w:hAnsi="宋体" w:cs="宋体" w:eastAsia="宋体" w:hint="default"/>
                <w:sz w:val="21"/>
                <w:szCs w:val="21"/>
              </w:rPr>
            </w:pPr>
            <w:r>
              <w:rPr>
                <w:rFonts w:ascii="宋体" w:hAnsi="宋体" w:cs="宋体" w:eastAsia="宋体" w:hint="default"/>
                <w:sz w:val="21"/>
                <w:szCs w:val="21"/>
              </w:rPr>
              <w:t>利息资</w:t>
            </w:r>
            <w:r>
              <w:rPr>
                <w:rFonts w:ascii="宋体" w:hAnsi="宋体" w:cs="宋体" w:eastAsia="宋体" w:hint="default"/>
                <w:spacing w:val="-102"/>
                <w:sz w:val="21"/>
                <w:szCs w:val="21"/>
              </w:rPr>
              <w:t> </w:t>
            </w:r>
            <w:r>
              <w:rPr>
                <w:rFonts w:ascii="宋体" w:hAnsi="宋体" w:cs="宋体" w:eastAsia="宋体" w:hint="default"/>
                <w:sz w:val="21"/>
                <w:szCs w:val="21"/>
              </w:rPr>
              <w:t>本化累</w:t>
            </w:r>
            <w:r>
              <w:rPr>
                <w:rFonts w:ascii="宋体" w:hAnsi="宋体" w:cs="宋体" w:eastAsia="宋体" w:hint="default"/>
                <w:spacing w:val="-102"/>
                <w:sz w:val="21"/>
                <w:szCs w:val="21"/>
              </w:rPr>
              <w:t> </w:t>
            </w:r>
            <w:r>
              <w:rPr>
                <w:rFonts w:ascii="宋体" w:hAnsi="宋体" w:cs="宋体" w:eastAsia="宋体" w:hint="default"/>
                <w:sz w:val="21"/>
                <w:szCs w:val="21"/>
              </w:rPr>
              <w:t>计金额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26" w:right="23"/>
              <w:jc w:val="center"/>
              <w:rPr>
                <w:rFonts w:ascii="宋体" w:hAnsi="宋体" w:cs="宋体" w:eastAsia="宋体" w:hint="default"/>
                <w:sz w:val="21"/>
                <w:szCs w:val="21"/>
              </w:rPr>
            </w:pPr>
            <w:r>
              <w:rPr>
                <w:rFonts w:ascii="宋体" w:hAnsi="宋体" w:cs="宋体" w:eastAsia="宋体" w:hint="default"/>
                <w:spacing w:val="-14"/>
                <w:sz w:val="21"/>
                <w:szCs w:val="21"/>
              </w:rPr>
              <w:t>其中：本</w:t>
            </w:r>
            <w:r>
              <w:rPr>
                <w:rFonts w:ascii="宋体" w:hAnsi="宋体" w:cs="宋体" w:eastAsia="宋体" w:hint="default"/>
                <w:w w:val="100"/>
                <w:sz w:val="21"/>
                <w:szCs w:val="21"/>
              </w:rPr>
              <w:t> </w:t>
            </w:r>
            <w:r>
              <w:rPr>
                <w:rFonts w:ascii="宋体" w:hAnsi="宋体" w:cs="宋体" w:eastAsia="宋体" w:hint="default"/>
                <w:sz w:val="21"/>
                <w:szCs w:val="21"/>
              </w:rPr>
              <w:t>期利息</w:t>
            </w:r>
            <w:r>
              <w:rPr>
                <w:rFonts w:ascii="宋体" w:hAnsi="宋体" w:cs="宋体" w:eastAsia="宋体" w:hint="default"/>
                <w:w w:val="100"/>
                <w:sz w:val="21"/>
                <w:szCs w:val="21"/>
              </w:rPr>
              <w:t> </w:t>
            </w:r>
            <w:r>
              <w:rPr>
                <w:rFonts w:ascii="宋体" w:hAnsi="宋体" w:cs="宋体" w:eastAsia="宋体" w:hint="default"/>
                <w:sz w:val="21"/>
                <w:szCs w:val="21"/>
              </w:rPr>
              <w:t>资本化</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33" w:right="29"/>
              <w:jc w:val="center"/>
              <w:rPr>
                <w:rFonts w:ascii="宋体" w:hAnsi="宋体" w:cs="宋体" w:eastAsia="宋体" w:hint="default"/>
                <w:sz w:val="21"/>
                <w:szCs w:val="21"/>
              </w:rPr>
            </w:pPr>
            <w:r>
              <w:rPr>
                <w:rFonts w:ascii="宋体" w:hAnsi="宋体" w:cs="宋体" w:eastAsia="宋体" w:hint="default"/>
                <w:sz w:val="21"/>
                <w:szCs w:val="21"/>
              </w:rPr>
              <w:t>本期利</w:t>
            </w:r>
            <w:r>
              <w:rPr>
                <w:rFonts w:ascii="宋体" w:hAnsi="宋体" w:cs="宋体" w:eastAsia="宋体" w:hint="default"/>
                <w:w w:val="100"/>
                <w:sz w:val="21"/>
                <w:szCs w:val="21"/>
              </w:rPr>
              <w:t> </w:t>
            </w:r>
            <w:r>
              <w:rPr>
                <w:rFonts w:ascii="宋体" w:hAnsi="宋体" w:cs="宋体" w:eastAsia="宋体" w:hint="default"/>
                <w:sz w:val="21"/>
                <w:szCs w:val="21"/>
              </w:rPr>
              <w:t>息资本</w:t>
            </w:r>
            <w:r>
              <w:rPr>
                <w:rFonts w:ascii="宋体" w:hAnsi="宋体" w:cs="宋体" w:eastAsia="宋体" w:hint="default"/>
                <w:w w:val="100"/>
                <w:sz w:val="21"/>
                <w:szCs w:val="21"/>
              </w:rPr>
              <w:t> </w:t>
            </w:r>
            <w:r>
              <w:rPr>
                <w:rFonts w:ascii="宋体" w:hAnsi="宋体" w:cs="宋体" w:eastAsia="宋体" w:hint="default"/>
                <w:sz w:val="21"/>
                <w:szCs w:val="21"/>
              </w:rPr>
              <w:t>化率</w:t>
            </w:r>
            <w:r>
              <w:rPr>
                <w:rFonts w:ascii="宋体" w:hAnsi="宋体" w:cs="宋体" w:eastAsia="宋体" w:hint="default"/>
                <w:w w:val="100"/>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4" w:lineRule="auto"/>
              <w:ind w:left="314" w:right="101" w:hanging="212"/>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p>
        </w:tc>
      </w:tr>
      <w:tr>
        <w:trPr>
          <w:trHeight w:val="1097"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5"/>
              <w:ind w:left="26" w:right="180"/>
              <w:jc w:val="both"/>
              <w:rPr>
                <w:rFonts w:ascii="宋体" w:hAnsi="宋体" w:cs="宋体" w:eastAsia="宋体" w:hint="default"/>
                <w:sz w:val="21"/>
                <w:szCs w:val="21"/>
              </w:rPr>
            </w:pPr>
            <w:r>
              <w:rPr>
                <w:rFonts w:ascii="宋体" w:hAnsi="宋体" w:cs="宋体" w:eastAsia="宋体" w:hint="default"/>
                <w:sz w:val="21"/>
                <w:szCs w:val="21"/>
              </w:rPr>
              <w:t>福州软件产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业园</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G</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号楼</w:t>
            </w:r>
          </w:p>
        </w:tc>
        <w:tc>
          <w:tcPr>
            <w:tcW w:w="155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0"/>
              <w:jc w:val="right"/>
              <w:rPr>
                <w:rFonts w:ascii="Times New Roman" w:hAnsi="Times New Roman" w:cs="Times New Roman" w:eastAsia="Times New Roman" w:hint="default"/>
                <w:sz w:val="21"/>
                <w:szCs w:val="21"/>
              </w:rPr>
            </w:pPr>
            <w:r>
              <w:rPr>
                <w:rFonts w:ascii="Times New Roman"/>
                <w:spacing w:val="-1"/>
                <w:sz w:val="21"/>
              </w:rPr>
              <w:t>5,350,000.00</w:t>
            </w:r>
          </w:p>
        </w:tc>
        <w:tc>
          <w:tcPr>
            <w:tcW w:w="1277" w:type="dxa"/>
            <w:tcBorders>
              <w:top w:val="single" w:sz="4" w:space="0" w:color="000000"/>
              <w:left w:val="single" w:sz="8"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3,853,708.49</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3,853,708.49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21" w:right="0"/>
              <w:jc w:val="center"/>
              <w:rPr>
                <w:rFonts w:ascii="Times New Roman" w:hAnsi="Times New Roman" w:cs="Times New Roman" w:eastAsia="Times New Roman" w:hint="default"/>
                <w:sz w:val="21"/>
                <w:szCs w:val="21"/>
              </w:rPr>
            </w:pPr>
            <w:r>
              <w:rPr>
                <w:rFonts w:ascii="Times New Roman"/>
                <w:sz w:val="21"/>
              </w:rPr>
              <w:t>72.03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72.03</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26" w:right="178"/>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r>
      <w:tr>
        <w:trPr>
          <w:trHeight w:val="739"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7"/>
              <w:ind w:left="26" w:right="180"/>
              <w:jc w:val="left"/>
              <w:rPr>
                <w:rFonts w:ascii="宋体" w:hAnsi="宋体" w:cs="宋体" w:eastAsia="宋体" w:hint="default"/>
                <w:sz w:val="21"/>
                <w:szCs w:val="21"/>
              </w:rPr>
            </w:pPr>
            <w:r>
              <w:rPr>
                <w:rFonts w:ascii="宋体" w:hAnsi="宋体" w:cs="宋体" w:eastAsia="宋体" w:hint="default"/>
                <w:sz w:val="21"/>
                <w:szCs w:val="21"/>
              </w:rPr>
              <w:t>南威软件大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厦装修工程</w:t>
            </w:r>
          </w:p>
        </w:tc>
        <w:tc>
          <w:tcPr>
            <w:tcW w:w="155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20"/>
              <w:jc w:val="right"/>
              <w:rPr>
                <w:rFonts w:ascii="Times New Roman" w:hAnsi="Times New Roman" w:cs="Times New Roman" w:eastAsia="Times New Roman" w:hint="default"/>
                <w:sz w:val="21"/>
                <w:szCs w:val="21"/>
              </w:rPr>
            </w:pPr>
            <w:r>
              <w:rPr>
                <w:rFonts w:ascii="Times New Roman"/>
                <w:spacing w:val="-1"/>
                <w:sz w:val="21"/>
              </w:rPr>
              <w:t>3,103,405.00</w:t>
            </w:r>
          </w:p>
        </w:tc>
        <w:tc>
          <w:tcPr>
            <w:tcW w:w="1277" w:type="dxa"/>
            <w:tcBorders>
              <w:top w:val="single" w:sz="4" w:space="0" w:color="000000"/>
              <w:left w:val="single" w:sz="8"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2,293,812.12</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2,293,812.12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21" w:right="0"/>
              <w:jc w:val="center"/>
              <w:rPr>
                <w:rFonts w:ascii="Times New Roman" w:hAnsi="Times New Roman" w:cs="Times New Roman" w:eastAsia="Times New Roman" w:hint="default"/>
                <w:sz w:val="21"/>
                <w:szCs w:val="21"/>
              </w:rPr>
            </w:pPr>
            <w:r>
              <w:rPr>
                <w:rFonts w:ascii="Times New Roman"/>
                <w:sz w:val="21"/>
              </w:rPr>
              <w:t>73.91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73.91</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7"/>
              <w:ind w:left="26" w:right="178"/>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r>
      <w:tr>
        <w:trPr>
          <w:trHeight w:val="74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7"/>
              <w:ind w:left="26" w:right="180"/>
              <w:jc w:val="left"/>
              <w:rPr>
                <w:rFonts w:ascii="宋体" w:hAnsi="宋体" w:cs="宋体" w:eastAsia="宋体" w:hint="default"/>
                <w:sz w:val="21"/>
                <w:szCs w:val="21"/>
              </w:rPr>
            </w:pPr>
            <w:r>
              <w:rPr>
                <w:rFonts w:ascii="宋体" w:hAnsi="宋体" w:cs="宋体" w:eastAsia="宋体" w:hint="default"/>
                <w:sz w:val="21"/>
                <w:szCs w:val="21"/>
              </w:rPr>
              <w:t>空调智能化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控制系统</w:t>
            </w:r>
          </w:p>
        </w:tc>
        <w:tc>
          <w:tcPr>
            <w:tcW w:w="155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20"/>
              <w:jc w:val="right"/>
              <w:rPr>
                <w:rFonts w:ascii="Times New Roman" w:hAnsi="Times New Roman" w:cs="Times New Roman" w:eastAsia="Times New Roman" w:hint="default"/>
                <w:sz w:val="21"/>
                <w:szCs w:val="21"/>
              </w:rPr>
            </w:pPr>
            <w:r>
              <w:rPr>
                <w:rFonts w:ascii="Times New Roman"/>
                <w:spacing w:val="-1"/>
                <w:sz w:val="21"/>
              </w:rPr>
              <w:t>1,200,000.00</w:t>
            </w:r>
          </w:p>
        </w:tc>
        <w:tc>
          <w:tcPr>
            <w:tcW w:w="1277" w:type="dxa"/>
            <w:tcBorders>
              <w:top w:val="single" w:sz="4" w:space="0" w:color="000000"/>
              <w:left w:val="single" w:sz="8"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1,081,081.09</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1,081,081.09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21" w:right="0"/>
              <w:jc w:val="center"/>
              <w:rPr>
                <w:rFonts w:ascii="Times New Roman" w:hAnsi="Times New Roman" w:cs="Times New Roman" w:eastAsia="Times New Roman" w:hint="default"/>
                <w:sz w:val="21"/>
                <w:szCs w:val="21"/>
              </w:rPr>
            </w:pPr>
            <w:r>
              <w:rPr>
                <w:rFonts w:ascii="Times New Roman"/>
                <w:sz w:val="21"/>
              </w:rPr>
              <w:t>90.09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90.09</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7"/>
              <w:ind w:left="26" w:right="178"/>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r>
      <w:tr>
        <w:trPr>
          <w:trHeight w:val="1457"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6" w:right="180"/>
              <w:jc w:val="both"/>
              <w:rPr>
                <w:rFonts w:ascii="宋体" w:hAnsi="宋体" w:cs="宋体" w:eastAsia="宋体" w:hint="default"/>
                <w:sz w:val="21"/>
                <w:szCs w:val="21"/>
              </w:rPr>
            </w:pPr>
            <w:r>
              <w:rPr>
                <w:rFonts w:ascii="宋体" w:hAnsi="宋体" w:cs="宋体" w:eastAsia="宋体" w:hint="default"/>
                <w:sz w:val="21"/>
                <w:szCs w:val="21"/>
              </w:rPr>
              <w:t>福州软件产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业园</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G</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号楼展厅装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修工程</w:t>
            </w:r>
          </w:p>
        </w:tc>
        <w:tc>
          <w:tcPr>
            <w:tcW w:w="1558"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20"/>
              <w:jc w:val="right"/>
              <w:rPr>
                <w:rFonts w:ascii="Times New Roman" w:hAnsi="Times New Roman" w:cs="Times New Roman" w:eastAsia="Times New Roman" w:hint="default"/>
                <w:sz w:val="21"/>
                <w:szCs w:val="21"/>
              </w:rPr>
            </w:pPr>
            <w:r>
              <w:rPr>
                <w:rFonts w:ascii="Times New Roman"/>
                <w:spacing w:val="-1"/>
                <w:sz w:val="21"/>
              </w:rPr>
              <w:t>2,000,000.00</w:t>
            </w:r>
          </w:p>
        </w:tc>
        <w:tc>
          <w:tcPr>
            <w:tcW w:w="127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1,641,979.33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203,370.87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64" w:right="0"/>
              <w:jc w:val="left"/>
              <w:rPr>
                <w:rFonts w:ascii="Times New Roman" w:hAnsi="Times New Roman" w:cs="Times New Roman" w:eastAsia="Times New Roman" w:hint="default"/>
                <w:sz w:val="21"/>
                <w:szCs w:val="21"/>
              </w:rPr>
            </w:pPr>
            <w:r>
              <w:rPr>
                <w:rFonts w:ascii="Times New Roman"/>
                <w:sz w:val="21"/>
              </w:rPr>
              <w:t>1,845,350.20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321" w:right="0"/>
              <w:jc w:val="center"/>
              <w:rPr>
                <w:rFonts w:ascii="Times New Roman" w:hAnsi="Times New Roman" w:cs="Times New Roman" w:eastAsia="Times New Roman" w:hint="default"/>
                <w:sz w:val="21"/>
                <w:szCs w:val="21"/>
              </w:rPr>
            </w:pPr>
            <w:r>
              <w:rPr>
                <w:rFonts w:ascii="Times New Roman"/>
                <w:sz w:val="21"/>
              </w:rPr>
              <w:t>92.27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sz w:val="21"/>
                <w:szCs w:val="21"/>
              </w:rPr>
              <w:t>已完工</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8"/>
              <w:ind w:left="26" w:right="178"/>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r>
      <w:tr>
        <w:trPr>
          <w:trHeight w:val="145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2"/>
              <w:ind w:left="26" w:right="180"/>
              <w:jc w:val="both"/>
              <w:rPr>
                <w:rFonts w:ascii="宋体" w:hAnsi="宋体" w:cs="宋体" w:eastAsia="宋体" w:hint="default"/>
                <w:sz w:val="21"/>
                <w:szCs w:val="21"/>
              </w:rPr>
            </w:pPr>
            <w:r>
              <w:rPr>
                <w:rFonts w:ascii="宋体" w:hAnsi="宋体" w:cs="宋体" w:eastAsia="宋体" w:hint="default"/>
                <w:sz w:val="21"/>
                <w:szCs w:val="21"/>
              </w:rPr>
              <w:t>福州软件产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业园</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F</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号楼装修工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125"/>
              <w:jc w:val="right"/>
              <w:rPr>
                <w:rFonts w:ascii="Times New Roman" w:hAnsi="Times New Roman" w:cs="Times New Roman" w:eastAsia="Times New Roman" w:hint="default"/>
                <w:sz w:val="21"/>
                <w:szCs w:val="21"/>
              </w:rPr>
            </w:pPr>
            <w:r>
              <w:rPr>
                <w:rFonts w:ascii="Times New Roman"/>
                <w:spacing w:val="-1"/>
                <w:sz w:val="21"/>
              </w:rPr>
              <w:t>6,500,000.00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52,318.87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5,828,962.78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64" w:right="0"/>
              <w:jc w:val="left"/>
              <w:rPr>
                <w:rFonts w:ascii="Times New Roman" w:hAnsi="Times New Roman" w:cs="Times New Roman" w:eastAsia="Times New Roman" w:hint="default"/>
                <w:sz w:val="21"/>
                <w:szCs w:val="21"/>
              </w:rPr>
            </w:pPr>
            <w:r>
              <w:rPr>
                <w:rFonts w:ascii="Times New Roman"/>
                <w:sz w:val="21"/>
              </w:rPr>
              <w:t>5,881,281.65</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321" w:right="0"/>
              <w:jc w:val="center"/>
              <w:rPr>
                <w:rFonts w:ascii="Times New Roman" w:hAnsi="Times New Roman" w:cs="Times New Roman" w:eastAsia="Times New Roman" w:hint="default"/>
                <w:sz w:val="21"/>
                <w:szCs w:val="21"/>
              </w:rPr>
            </w:pPr>
            <w:r>
              <w:rPr>
                <w:rFonts w:ascii="Times New Roman"/>
                <w:sz w:val="21"/>
              </w:rPr>
              <w:t>90.48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sz w:val="21"/>
                <w:szCs w:val="21"/>
              </w:rPr>
              <w:t>已完工</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1"/>
              <w:ind w:left="26" w:right="178"/>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r>
      <w:tr>
        <w:trPr>
          <w:trHeight w:val="37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120"/>
              <w:jc w:val="right"/>
              <w:rPr>
                <w:rFonts w:ascii="Times New Roman" w:hAnsi="Times New Roman" w:cs="Times New Roman" w:eastAsia="Times New Roman" w:hint="default"/>
                <w:sz w:val="21"/>
                <w:szCs w:val="21"/>
              </w:rPr>
            </w:pPr>
            <w:r>
              <w:rPr>
                <w:rFonts w:ascii="Times New Roman"/>
                <w:spacing w:val="-1"/>
                <w:sz w:val="21"/>
              </w:rPr>
              <w:t>18,153,405.00</w:t>
            </w:r>
          </w:p>
        </w:tc>
        <w:tc>
          <w:tcPr>
            <w:tcW w:w="127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21"/>
                <w:szCs w:val="21"/>
              </w:rPr>
            </w:pPr>
            <w:r>
              <w:rPr>
                <w:rFonts w:ascii="Times New Roman"/>
                <w:spacing w:val="-1"/>
                <w:sz w:val="21"/>
              </w:rPr>
              <w:t>1,694,298.20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13,260,935.35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21"/>
                <w:szCs w:val="21"/>
              </w:rPr>
            </w:pPr>
            <w:r>
              <w:rPr>
                <w:rFonts w:ascii="Times New Roman"/>
                <w:sz w:val="21"/>
              </w:rPr>
              <w:t>7,726,631.85</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7,228,601.70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center"/>
              <w:rPr>
                <w:rFonts w:ascii="Times New Roman" w:hAnsi="Times New Roman" w:cs="Times New Roman" w:eastAsia="Times New Roman" w:hint="default"/>
                <w:sz w:val="21"/>
                <w:szCs w:val="21"/>
              </w:rPr>
            </w:pPr>
            <w:r>
              <w:rPr>
                <w:rFonts w:ascii="Times New Roman"/>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6"/>
              <w:jc w:val="right"/>
              <w:rPr>
                <w:rFonts w:ascii="Times New Roman" w:hAnsi="Times New Roman" w:cs="Times New Roman" w:eastAsia="Times New Roman" w:hint="default"/>
                <w:sz w:val="21"/>
                <w:szCs w:val="21"/>
              </w:rPr>
            </w:pPr>
            <w:r>
              <w:rPr>
                <w:rFonts w:ascii="Times New Roman"/>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1" w:right="0"/>
              <w:jc w:val="left"/>
              <w:rPr>
                <w:rFonts w:ascii="Times New Roman" w:hAnsi="Times New Roman" w:cs="Times New Roman" w:eastAsia="Times New Roman" w:hint="default"/>
                <w:sz w:val="21"/>
                <w:szCs w:val="21"/>
              </w:rPr>
            </w:pPr>
            <w:r>
              <w:rPr>
                <w:rFonts w:ascii="Times New Roman"/>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7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0"/>
        <w:ind w:left="6721" w:right="6699" w:firstLine="0"/>
        <w:jc w:val="center"/>
        <w:rPr>
          <w:rFonts w:ascii="Times New Roman" w:hAnsi="Times New Roman" w:cs="Times New Roman" w:eastAsia="Times New Roman" w:hint="default"/>
          <w:sz w:val="18"/>
          <w:szCs w:val="18"/>
        </w:rPr>
      </w:pPr>
      <w:r>
        <w:rPr>
          <w:rFonts w:ascii="Times New Roman"/>
          <w:b/>
          <w:sz w:val="18"/>
        </w:rPr>
        <w:t>161 </w:t>
      </w:r>
      <w:r>
        <w:rPr>
          <w:rFonts w:ascii="Times New Roman"/>
          <w:sz w:val="18"/>
        </w:rPr>
        <w:t>/</w:t>
      </w:r>
      <w:r>
        <w:rPr>
          <w:rFonts w:ascii="Times New Roman"/>
          <w:spacing w:val="-2"/>
          <w:sz w:val="18"/>
        </w:rPr>
        <w:t> </w:t>
      </w:r>
      <w:r>
        <w:rPr>
          <w:rFonts w:ascii="Times New Roman"/>
          <w:b/>
          <w:sz w:val="18"/>
        </w:rPr>
        <w:t>238</w:t>
      </w:r>
      <w:r>
        <w:rPr>
          <w:rFonts w:ascii="Times New Roman"/>
          <w:sz w:val="18"/>
        </w:rPr>
      </w:r>
    </w:p>
    <w:p>
      <w:pPr>
        <w:spacing w:after="0"/>
        <w:jc w:val="center"/>
        <w:rPr>
          <w:rFonts w:ascii="Times New Roman" w:hAnsi="Times New Roman" w:cs="Times New Roman" w:eastAsia="Times New Roman" w:hint="default"/>
          <w:sz w:val="18"/>
          <w:szCs w:val="18"/>
        </w:rPr>
        <w:sectPr>
          <w:headerReference w:type="default" r:id="rId56"/>
          <w:footerReference w:type="default" r:id="rId57"/>
          <w:pgSz w:w="16840" w:h="11910" w:orient="landscape"/>
          <w:pgMar w:header="0" w:footer="0" w:top="780" w:bottom="280" w:left="1380" w:right="1320"/>
        </w:sect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24"/>
          <w:szCs w:val="24"/>
        </w:rPr>
      </w:pPr>
    </w:p>
    <w:p>
      <w:pPr>
        <w:spacing w:after="0" w:line="240" w:lineRule="auto"/>
        <w:rPr>
          <w:rFonts w:ascii="Times New Roman" w:hAnsi="Times New Roman" w:cs="Times New Roman" w:eastAsia="Times New Roman" w:hint="default"/>
          <w:sz w:val="24"/>
          <w:szCs w:val="24"/>
        </w:rPr>
        <w:sectPr>
          <w:footerReference w:type="default" r:id="rId58"/>
          <w:pgSz w:w="11910" w:h="16840"/>
          <w:pgMar w:footer="979" w:header="0" w:top="1120" w:bottom="1160" w:left="1060" w:right="1660"/>
          <w:pgNumType w:start="162"/>
        </w:sectPr>
      </w:pPr>
    </w:p>
    <w:p>
      <w:pPr>
        <w:pStyle w:val="Heading4"/>
        <w:spacing w:line="240" w:lineRule="auto"/>
        <w:ind w:left="217" w:right="-17"/>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3"/>
        </w:rPr>
        <w:t> </w:t>
      </w:r>
      <w:r>
        <w:rPr/>
        <w:t>本期计提在建工程减值准备情况</w:t>
      </w:r>
      <w:r>
        <w:rPr>
          <w:b w:val="0"/>
          <w:bCs w:val="0"/>
        </w:rPr>
      </w:r>
    </w:p>
    <w:p>
      <w:pPr>
        <w:pStyle w:val="BodyText"/>
        <w:spacing w:line="240" w:lineRule="auto" w:before="129"/>
        <w:ind w:left="697" w:right="-17"/>
        <w:jc w:val="left"/>
      </w:pPr>
      <w:r>
        <w:rPr/>
        <w:t>□适用 √不适用</w:t>
      </w:r>
    </w:p>
    <w:p>
      <w:pPr>
        <w:pStyle w:val="Heading3"/>
        <w:spacing w:line="240" w:lineRule="auto"/>
        <w:ind w:left="697" w:right="-17"/>
        <w:jc w:val="left"/>
      </w:pPr>
      <w:r>
        <w:rPr/>
        <w:t>其他说明</w:t>
      </w:r>
    </w:p>
    <w:p>
      <w:pPr>
        <w:spacing w:line="367" w:lineRule="auto" w:before="81"/>
        <w:ind w:left="217" w:right="2149" w:firstLine="48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工程物资</w:t>
      </w:r>
      <w:r>
        <w:rPr>
          <w:rFonts w:ascii="宋体" w:hAnsi="宋体" w:cs="宋体" w:eastAsia="宋体" w:hint="default"/>
          <w:sz w:val="21"/>
          <w:szCs w:val="21"/>
        </w:rPr>
      </w:r>
    </w:p>
    <w:p>
      <w:pPr>
        <w:pStyle w:val="Heading4"/>
        <w:spacing w:line="240" w:lineRule="auto" w:before="34"/>
        <w:ind w:left="217" w:right="-17"/>
        <w:jc w:val="left"/>
        <w:rPr>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25"/>
        </w:rPr>
        <w:t> </w:t>
      </w:r>
      <w:r>
        <w:rPr/>
        <w:t>工程物资情况</w:t>
      </w:r>
      <w:r>
        <w:rPr>
          <w:b w:val="0"/>
          <w:bCs w:val="0"/>
        </w:rPr>
      </w:r>
    </w:p>
    <w:p>
      <w:pPr>
        <w:pStyle w:val="BodyText"/>
        <w:spacing w:line="240" w:lineRule="auto" w:before="129"/>
        <w:ind w:left="697" w:right="-17"/>
        <w:jc w:val="left"/>
      </w:pPr>
      <w:r>
        <w:rPr/>
        <w:t>□适用 √不适用</w:t>
      </w:r>
    </w:p>
    <w:p>
      <w:pPr>
        <w:pStyle w:val="Heading4"/>
        <w:spacing w:line="240" w:lineRule="auto" w:before="145"/>
        <w:ind w:left="217" w:right="-17"/>
        <w:jc w:val="left"/>
        <w:rPr>
          <w:b w:val="0"/>
          <w:bCs w:val="0"/>
        </w:rPr>
      </w:pPr>
      <w:r>
        <w:rPr>
          <w:rFonts w:ascii="Times New Roman" w:hAnsi="Times New Roman" w:cs="Times New Roman" w:eastAsia="Times New Roman" w:hint="default"/>
        </w:rPr>
        <w:t>18</w:t>
      </w:r>
      <w:r>
        <w:rPr/>
        <w:t>、</w:t>
      </w:r>
      <w:r>
        <w:rPr>
          <w:spacing w:val="-21"/>
        </w:rPr>
        <w:t> </w:t>
      </w:r>
      <w:r>
        <w:rPr/>
        <w:t>生产性生物资产</w:t>
      </w:r>
      <w:r>
        <w:rPr>
          <w:b w:val="0"/>
          <w:bCs w:val="0"/>
        </w:rPr>
      </w:r>
    </w:p>
    <w:p>
      <w:pPr>
        <w:pStyle w:val="Heading4"/>
        <w:spacing w:line="240" w:lineRule="auto" w:before="129"/>
        <w:ind w:left="217" w:right="-17"/>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3"/>
        </w:rPr>
        <w:t> </w:t>
      </w:r>
      <w:r>
        <w:rPr/>
        <w:t>采用成本计量模式的生产性生物资产</w:t>
      </w:r>
      <w:r>
        <w:rPr>
          <w:b w:val="0"/>
          <w:bCs w:val="0"/>
        </w:rPr>
      </w:r>
    </w:p>
    <w:p>
      <w:pPr>
        <w:pStyle w:val="BodyText"/>
        <w:spacing w:line="240" w:lineRule="auto" w:before="129"/>
        <w:ind w:left="697" w:right="-17"/>
        <w:jc w:val="left"/>
      </w:pPr>
      <w:r>
        <w:rPr/>
        <w:t>□适用 √不适用</w:t>
      </w:r>
    </w:p>
    <w:p>
      <w:pPr>
        <w:pStyle w:val="Heading4"/>
        <w:spacing w:line="240" w:lineRule="auto" w:before="145"/>
        <w:ind w:left="217" w:right="-17"/>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4"/>
        </w:rPr>
        <w:t> </w:t>
      </w:r>
      <w:r>
        <w:rPr/>
        <w:t>采用公允价值计量模式的生产性生物资产</w:t>
      </w:r>
      <w:r>
        <w:rPr>
          <w:b w:val="0"/>
          <w:bCs w:val="0"/>
        </w:rPr>
      </w:r>
    </w:p>
    <w:p>
      <w:pPr>
        <w:pStyle w:val="BodyText"/>
        <w:spacing w:line="240" w:lineRule="auto" w:before="129"/>
        <w:ind w:left="697" w:right="-17"/>
        <w:jc w:val="left"/>
      </w:pPr>
      <w:r>
        <w:rPr/>
        <w:t>□适用 √不适用</w:t>
      </w:r>
    </w:p>
    <w:p>
      <w:pPr>
        <w:pStyle w:val="Heading3"/>
        <w:spacing w:line="240" w:lineRule="auto"/>
        <w:ind w:left="697" w:right="-17"/>
        <w:jc w:val="left"/>
      </w:pPr>
      <w:r>
        <w:rPr/>
        <w:t>其他说明</w:t>
      </w:r>
    </w:p>
    <w:p>
      <w:pPr>
        <w:pStyle w:val="BodyText"/>
        <w:spacing w:line="240" w:lineRule="auto" w:before="81"/>
        <w:ind w:left="697" w:right="-17"/>
        <w:jc w:val="left"/>
      </w:pPr>
      <w:r>
        <w:rPr/>
        <w:t>□适用 √不适用</w:t>
      </w:r>
    </w:p>
    <w:p>
      <w:pPr>
        <w:pStyle w:val="Heading4"/>
        <w:spacing w:line="240" w:lineRule="auto" w:before="145"/>
        <w:ind w:left="217" w:right="-17"/>
        <w:jc w:val="left"/>
        <w:rPr>
          <w:b w:val="0"/>
          <w:bCs w:val="0"/>
        </w:rPr>
      </w:pPr>
      <w:r>
        <w:rPr>
          <w:rFonts w:ascii="Times New Roman" w:hAnsi="Times New Roman" w:cs="Times New Roman" w:eastAsia="Times New Roman" w:hint="default"/>
        </w:rPr>
        <w:t>19</w:t>
      </w:r>
      <w:r>
        <w:rPr/>
        <w:t>、</w:t>
      </w:r>
      <w:r>
        <w:rPr>
          <w:spacing w:val="-22"/>
        </w:rPr>
        <w:t> </w:t>
      </w:r>
      <w:r>
        <w:rPr/>
        <w:t>油气资产</w:t>
      </w:r>
      <w:r>
        <w:rPr>
          <w:b w:val="0"/>
          <w:bCs w:val="0"/>
        </w:rPr>
      </w:r>
    </w:p>
    <w:p>
      <w:pPr>
        <w:pStyle w:val="BodyText"/>
        <w:spacing w:line="240" w:lineRule="auto" w:before="129"/>
        <w:ind w:left="697" w:right="-17"/>
        <w:jc w:val="left"/>
      </w:pPr>
      <w:r>
        <w:rPr/>
        <w:t>□适用 √不适用</w:t>
      </w:r>
    </w:p>
    <w:p>
      <w:pPr>
        <w:pStyle w:val="Heading4"/>
        <w:spacing w:line="240" w:lineRule="auto" w:before="68"/>
        <w:ind w:left="217" w:right="-17"/>
        <w:jc w:val="left"/>
        <w:rPr>
          <w:b w:val="0"/>
          <w:bCs w:val="0"/>
        </w:rPr>
      </w:pPr>
      <w:r>
        <w:rPr>
          <w:rFonts w:ascii="Times New Roman" w:hAnsi="Times New Roman" w:cs="Times New Roman" w:eastAsia="Times New Roman" w:hint="default"/>
        </w:rPr>
        <w:t>20</w:t>
      </w:r>
      <w:r>
        <w:rPr/>
        <w:t>、</w:t>
      </w:r>
      <w:r>
        <w:rPr>
          <w:spacing w:val="-22"/>
        </w:rPr>
        <w:t> </w:t>
      </w:r>
      <w:r>
        <w:rPr/>
        <w:t>无形资产</w:t>
      </w:r>
      <w:r>
        <w:rPr>
          <w:b w:val="0"/>
          <w:bCs w:val="0"/>
        </w:rPr>
      </w:r>
    </w:p>
    <w:p>
      <w:pPr>
        <w:pStyle w:val="Heading4"/>
        <w:spacing w:line="240" w:lineRule="auto" w:before="40"/>
        <w:ind w:left="217" w:right="-17"/>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5"/>
        </w:rPr>
        <w:t> </w:t>
      </w:r>
      <w:r>
        <w:rPr/>
        <w:t>无形资产情况</w:t>
      </w:r>
      <w:r>
        <w:rPr>
          <w:b w:val="0"/>
          <w:bCs w:val="0"/>
        </w:rPr>
      </w:r>
    </w:p>
    <w:p>
      <w:pPr>
        <w:pStyle w:val="BodyText"/>
        <w:tabs>
          <w:tab w:pos="1539" w:val="left" w:leader="none"/>
        </w:tabs>
        <w:spacing w:line="240" w:lineRule="auto" w:before="43"/>
        <w:ind w:left="697"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4442" w:space="2080"/>
            <w:col w:w="26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39"/>
        <w:gridCol w:w="1558"/>
        <w:gridCol w:w="994"/>
        <w:gridCol w:w="1061"/>
        <w:gridCol w:w="1687"/>
        <w:gridCol w:w="1685"/>
      </w:tblGrid>
      <w:tr>
        <w:trPr>
          <w:trHeight w:val="73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419" w:right="101" w:hanging="315"/>
              <w:jc w:val="left"/>
              <w:rPr>
                <w:rFonts w:ascii="宋体" w:hAnsi="宋体" w:cs="宋体" w:eastAsia="宋体" w:hint="default"/>
                <w:sz w:val="21"/>
                <w:szCs w:val="21"/>
              </w:rPr>
            </w:pPr>
            <w:r>
              <w:rPr>
                <w:rFonts w:ascii="宋体" w:hAnsi="宋体" w:cs="宋体" w:eastAsia="宋体" w:hint="default"/>
                <w:sz w:val="21"/>
                <w:szCs w:val="21"/>
              </w:rPr>
              <w:t>非专利技</w:t>
            </w:r>
            <w:r>
              <w:rPr>
                <w:rFonts w:ascii="宋体" w:hAnsi="宋体" w:cs="宋体" w:eastAsia="宋体" w:hint="default"/>
                <w:w w:val="100"/>
                <w:sz w:val="21"/>
                <w:szCs w:val="21"/>
              </w:rPr>
              <w:t> </w:t>
            </w:r>
            <w:r>
              <w:rPr>
                <w:rFonts w:ascii="宋体" w:hAnsi="宋体" w:cs="宋体" w:eastAsia="宋体" w:hint="default"/>
                <w:sz w:val="21"/>
                <w:szCs w:val="21"/>
              </w:rPr>
              <w:t>术</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7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25,603,390.27</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145,980,548.08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171,583,938.35</w:t>
            </w:r>
          </w:p>
        </w:tc>
      </w:tr>
      <w:tr>
        <w:trPr>
          <w:trHeight w:val="372"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86,880,302.57</w:t>
            </w:r>
          </w:p>
        </w:tc>
        <w:tc>
          <w:tcPr>
            <w:tcW w:w="168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4"/>
              <w:ind w:right="94"/>
              <w:jc w:val="right"/>
              <w:rPr>
                <w:rFonts w:ascii="Times New Roman" w:hAnsi="Times New Roman" w:cs="Times New Roman" w:eastAsia="Times New Roman" w:hint="default"/>
                <w:sz w:val="21"/>
                <w:szCs w:val="21"/>
              </w:rPr>
            </w:pPr>
            <w:r>
              <w:rPr>
                <w:rFonts w:ascii="Times New Roman"/>
                <w:spacing w:val="-1"/>
                <w:sz w:val="21"/>
              </w:rPr>
              <w:t>86,880,302.57</w:t>
            </w:r>
          </w:p>
        </w:tc>
      </w:tr>
      <w:tr>
        <w:trPr>
          <w:trHeight w:val="379"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21"/>
                <w:szCs w:val="21"/>
              </w:rPr>
            </w:pPr>
            <w:r>
              <w:rPr>
                <w:rFonts w:ascii="Times New Roman"/>
                <w:spacing w:val="-1"/>
                <w:sz w:val="21"/>
              </w:rPr>
              <w:t>25,862.07</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21"/>
                <w:szCs w:val="21"/>
              </w:rPr>
            </w:pPr>
            <w:r>
              <w:rPr>
                <w:rFonts w:ascii="Times New Roman"/>
                <w:spacing w:val="-1"/>
                <w:sz w:val="21"/>
              </w:rPr>
              <w:t>25,862.07</w:t>
            </w:r>
          </w:p>
        </w:tc>
      </w:tr>
      <w:tr>
        <w:trPr>
          <w:trHeight w:val="379"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内部研发</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21"/>
                <w:szCs w:val="21"/>
              </w:rPr>
            </w:pPr>
            <w:r>
              <w:rPr>
                <w:rFonts w:ascii="Times New Roman"/>
                <w:spacing w:val="-1"/>
                <w:sz w:val="21"/>
              </w:rPr>
              <w:t>22,949,207.62</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4"/>
              <w:jc w:val="right"/>
              <w:rPr>
                <w:rFonts w:ascii="Times New Roman" w:hAnsi="Times New Roman" w:cs="Times New Roman" w:eastAsia="Times New Roman" w:hint="default"/>
                <w:sz w:val="21"/>
                <w:szCs w:val="21"/>
              </w:rPr>
            </w:pPr>
            <w:r>
              <w:rPr>
                <w:rFonts w:ascii="Times New Roman"/>
                <w:spacing w:val="-1"/>
                <w:sz w:val="21"/>
              </w:rPr>
              <w:t>22,949,207.62</w:t>
            </w:r>
          </w:p>
        </w:tc>
      </w:tr>
      <w:tr>
        <w:trPr>
          <w:trHeight w:val="382"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9"/>
              <w:ind w:right="93"/>
              <w:jc w:val="right"/>
              <w:rPr>
                <w:rFonts w:ascii="Times New Roman" w:hAnsi="Times New Roman" w:cs="Times New Roman" w:eastAsia="Times New Roman" w:hint="default"/>
                <w:sz w:val="21"/>
                <w:szCs w:val="21"/>
              </w:rPr>
            </w:pPr>
            <w:r>
              <w:rPr>
                <w:rFonts w:ascii="Times New Roman"/>
                <w:spacing w:val="-1"/>
                <w:sz w:val="21"/>
              </w:rPr>
              <w:t>63,905,232.88</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4"/>
              <w:jc w:val="right"/>
              <w:rPr>
                <w:rFonts w:ascii="Times New Roman" w:hAnsi="Times New Roman" w:cs="Times New Roman" w:eastAsia="Times New Roman" w:hint="default"/>
                <w:sz w:val="21"/>
                <w:szCs w:val="21"/>
              </w:rPr>
            </w:pPr>
            <w:r>
              <w:rPr>
                <w:rFonts w:ascii="Times New Roman"/>
                <w:spacing w:val="-1"/>
                <w:sz w:val="21"/>
              </w:rPr>
              <w:t>63,905,232.88</w:t>
            </w:r>
          </w:p>
        </w:tc>
      </w:tr>
      <w:tr>
        <w:trPr>
          <w:trHeight w:val="379"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8" w:space="0" w:color="000000"/>
              <w:left w:val="single" w:sz="4" w:space="0" w:color="000000"/>
              <w:bottom w:val="single" w:sz="4" w:space="0" w:color="000000"/>
              <w:right w:val="single" w:sz="4" w:space="0" w:color="000000"/>
            </w:tcBorders>
          </w:tcPr>
          <w:p>
            <w:pPr/>
          </w:p>
        </w:tc>
        <w:tc>
          <w:tcPr>
            <w:tcW w:w="1685" w:type="dxa"/>
            <w:tcBorders>
              <w:top w:val="single" w:sz="8" w:space="0" w:color="000000"/>
              <w:left w:val="single" w:sz="4" w:space="0" w:color="000000"/>
              <w:bottom w:val="single" w:sz="4" w:space="0" w:color="000000"/>
              <w:right w:val="single" w:sz="4" w:space="0" w:color="000000"/>
            </w:tcBorders>
          </w:tcPr>
          <w:p>
            <w:pPr/>
          </w:p>
        </w:tc>
      </w:tr>
      <w:tr>
        <w:trPr>
          <w:trHeight w:val="37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转至持有待售</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25,603,390.27</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232,860,850.65</w:t>
            </w:r>
          </w:p>
        </w:tc>
        <w:tc>
          <w:tcPr>
            <w:tcW w:w="168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4"/>
              <w:jc w:val="right"/>
              <w:rPr>
                <w:rFonts w:ascii="Times New Roman" w:hAnsi="Times New Roman" w:cs="Times New Roman" w:eastAsia="Times New Roman" w:hint="default"/>
                <w:sz w:val="21"/>
                <w:szCs w:val="21"/>
              </w:rPr>
            </w:pPr>
            <w:r>
              <w:rPr>
                <w:rFonts w:ascii="Times New Roman"/>
                <w:spacing w:val="-1"/>
                <w:sz w:val="21"/>
              </w:rPr>
              <w:t>258,464,240.92</w:t>
            </w:r>
          </w:p>
        </w:tc>
      </w:tr>
      <w:tr>
        <w:trPr>
          <w:trHeight w:val="382"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8" w:space="0" w:color="000000"/>
              <w:left w:val="single" w:sz="4" w:space="0" w:color="000000"/>
              <w:bottom w:val="single" w:sz="4" w:space="0" w:color="000000"/>
              <w:right w:val="single" w:sz="4" w:space="0" w:color="000000"/>
            </w:tcBorders>
          </w:tcPr>
          <w:p>
            <w:pPr/>
          </w:p>
        </w:tc>
        <w:tc>
          <w:tcPr>
            <w:tcW w:w="1685" w:type="dxa"/>
            <w:tcBorders>
              <w:top w:val="single" w:sz="8" w:space="0" w:color="000000"/>
              <w:left w:val="single" w:sz="4" w:space="0" w:color="000000"/>
              <w:bottom w:val="single" w:sz="4" w:space="0" w:color="000000"/>
              <w:right w:val="single" w:sz="4" w:space="0" w:color="000000"/>
            </w:tcBorders>
          </w:tcPr>
          <w:p>
            <w:pPr/>
          </w:p>
        </w:tc>
      </w:tr>
      <w:tr>
        <w:trPr>
          <w:trHeight w:val="37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5,767,059.68</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52,792,377.99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58,559,437.67</w:t>
            </w:r>
          </w:p>
        </w:tc>
      </w:tr>
      <w:tr>
        <w:trPr>
          <w:trHeight w:val="37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5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4"/>
              <w:jc w:val="right"/>
              <w:rPr>
                <w:rFonts w:ascii="Times New Roman" w:hAnsi="Times New Roman" w:cs="Times New Roman" w:eastAsia="Times New Roman" w:hint="default"/>
                <w:sz w:val="21"/>
                <w:szCs w:val="21"/>
              </w:rPr>
            </w:pPr>
            <w:r>
              <w:rPr>
                <w:rFonts w:ascii="Times New Roman"/>
                <w:spacing w:val="-1"/>
                <w:sz w:val="21"/>
              </w:rPr>
              <w:t>636,459.84</w:t>
            </w:r>
          </w:p>
        </w:tc>
        <w:tc>
          <w:tcPr>
            <w:tcW w:w="994" w:type="dxa"/>
            <w:tcBorders>
              <w:top w:val="single" w:sz="4" w:space="0" w:color="000000"/>
              <w:left w:val="single" w:sz="8"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58,239,267.12</w:t>
            </w:r>
          </w:p>
        </w:tc>
        <w:tc>
          <w:tcPr>
            <w:tcW w:w="168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4"/>
              <w:jc w:val="right"/>
              <w:rPr>
                <w:rFonts w:ascii="Times New Roman" w:hAnsi="Times New Roman" w:cs="Times New Roman" w:eastAsia="Times New Roman" w:hint="default"/>
                <w:sz w:val="21"/>
                <w:szCs w:val="21"/>
              </w:rPr>
            </w:pPr>
            <w:r>
              <w:rPr>
                <w:rFonts w:ascii="Times New Roman"/>
                <w:spacing w:val="-1"/>
                <w:sz w:val="21"/>
              </w:rPr>
              <w:t>58,875,726.96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60" w:right="1660"/>
        </w:sectPr>
      </w:pP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1839"/>
        <w:gridCol w:w="1558"/>
        <w:gridCol w:w="994"/>
        <w:gridCol w:w="1061"/>
        <w:gridCol w:w="1687"/>
        <w:gridCol w:w="1685"/>
      </w:tblGrid>
      <w:tr>
        <w:trPr>
          <w:trHeight w:val="375"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558" w:type="dxa"/>
            <w:tcBorders>
              <w:top w:val="nil" w:sz="6" w:space="0" w:color="auto"/>
              <w:left w:val="single" w:sz="4" w:space="0" w:color="000000"/>
              <w:bottom w:val="single" w:sz="8" w:space="0" w:color="000000"/>
              <w:right w:val="single" w:sz="8" w:space="0" w:color="000000"/>
            </w:tcBorders>
          </w:tcPr>
          <w:p>
            <w:pPr>
              <w:pStyle w:val="TableParagraph"/>
              <w:spacing w:line="240" w:lineRule="auto" w:before="97"/>
              <w:ind w:right="94"/>
              <w:jc w:val="right"/>
              <w:rPr>
                <w:rFonts w:ascii="Times New Roman" w:hAnsi="Times New Roman" w:cs="Times New Roman" w:eastAsia="Times New Roman" w:hint="default"/>
                <w:sz w:val="21"/>
                <w:szCs w:val="21"/>
              </w:rPr>
            </w:pPr>
            <w:r>
              <w:rPr>
                <w:rFonts w:ascii="Times New Roman"/>
                <w:spacing w:val="-1"/>
                <w:sz w:val="21"/>
              </w:rPr>
              <w:t>636,459.84</w:t>
            </w:r>
          </w:p>
        </w:tc>
        <w:tc>
          <w:tcPr>
            <w:tcW w:w="994" w:type="dxa"/>
            <w:tcBorders>
              <w:top w:val="single" w:sz="4" w:space="0" w:color="000000"/>
              <w:left w:val="single" w:sz="8"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nil" w:sz="6" w:space="0" w:color="auto"/>
              <w:left w:val="single" w:sz="4" w:space="0" w:color="000000"/>
              <w:bottom w:val="single" w:sz="8" w:space="0" w:color="000000"/>
              <w:right w:val="single" w:sz="8" w:space="0" w:color="000000"/>
            </w:tcBorders>
          </w:tcPr>
          <w:p>
            <w:pPr>
              <w:pStyle w:val="TableParagraph"/>
              <w:spacing w:line="240" w:lineRule="auto" w:before="97"/>
              <w:ind w:right="93"/>
              <w:jc w:val="right"/>
              <w:rPr>
                <w:rFonts w:ascii="Times New Roman" w:hAnsi="Times New Roman" w:cs="Times New Roman" w:eastAsia="Times New Roman" w:hint="default"/>
                <w:sz w:val="21"/>
                <w:szCs w:val="21"/>
              </w:rPr>
            </w:pPr>
            <w:r>
              <w:rPr>
                <w:rFonts w:ascii="Times New Roman"/>
                <w:spacing w:val="-1"/>
                <w:sz w:val="21"/>
              </w:rPr>
              <w:t>27,504,356.50</w:t>
            </w:r>
          </w:p>
        </w:tc>
        <w:tc>
          <w:tcPr>
            <w:tcW w:w="168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7"/>
              <w:ind w:right="94"/>
              <w:jc w:val="right"/>
              <w:rPr>
                <w:rFonts w:ascii="Times New Roman" w:hAnsi="Times New Roman" w:cs="Times New Roman" w:eastAsia="Times New Roman" w:hint="default"/>
                <w:sz w:val="21"/>
                <w:szCs w:val="21"/>
              </w:rPr>
            </w:pPr>
            <w:r>
              <w:rPr>
                <w:rFonts w:ascii="Times New Roman"/>
                <w:spacing w:val="-1"/>
                <w:sz w:val="21"/>
              </w:rPr>
              <w:t>28,140,816.34</w:t>
            </w:r>
          </w:p>
        </w:tc>
      </w:tr>
      <w:tr>
        <w:trPr>
          <w:trHeight w:val="377"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企业合并增加</w:t>
            </w:r>
          </w:p>
        </w:tc>
        <w:tc>
          <w:tcPr>
            <w:tcW w:w="1558" w:type="dxa"/>
            <w:tcBorders>
              <w:top w:val="single" w:sz="8"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30,734,910.62</w:t>
            </w:r>
          </w:p>
        </w:tc>
        <w:tc>
          <w:tcPr>
            <w:tcW w:w="168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30,734,910.62</w:t>
            </w:r>
          </w:p>
        </w:tc>
      </w:tr>
      <w:tr>
        <w:trPr>
          <w:trHeight w:val="37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转至持有待售</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6,403,519.52</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111,031,645.11</w:t>
            </w:r>
          </w:p>
        </w:tc>
        <w:tc>
          <w:tcPr>
            <w:tcW w:w="168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4"/>
              <w:jc w:val="right"/>
              <w:rPr>
                <w:rFonts w:ascii="Times New Roman" w:hAnsi="Times New Roman" w:cs="Times New Roman" w:eastAsia="Times New Roman" w:hint="default"/>
                <w:sz w:val="21"/>
                <w:szCs w:val="21"/>
              </w:rPr>
            </w:pPr>
            <w:r>
              <w:rPr>
                <w:rFonts w:ascii="Times New Roman"/>
                <w:spacing w:val="-1"/>
                <w:sz w:val="21"/>
              </w:rPr>
              <w:t>117,435,164.63</w:t>
            </w:r>
          </w:p>
        </w:tc>
      </w:tr>
      <w:tr>
        <w:trPr>
          <w:trHeight w:val="382"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8" w:space="0" w:color="000000"/>
              <w:left w:val="single" w:sz="4" w:space="0" w:color="000000"/>
              <w:bottom w:val="single" w:sz="4" w:space="0" w:color="000000"/>
              <w:right w:val="single" w:sz="4" w:space="0" w:color="000000"/>
            </w:tcBorders>
          </w:tcPr>
          <w:p>
            <w:pPr/>
          </w:p>
        </w:tc>
        <w:tc>
          <w:tcPr>
            <w:tcW w:w="1685" w:type="dxa"/>
            <w:tcBorders>
              <w:top w:val="single" w:sz="8" w:space="0" w:color="000000"/>
              <w:left w:val="single" w:sz="4" w:space="0" w:color="000000"/>
              <w:bottom w:val="single" w:sz="4" w:space="0" w:color="000000"/>
              <w:right w:val="single" w:sz="4" w:space="0" w:color="000000"/>
            </w:tcBorders>
          </w:tcPr>
          <w:p>
            <w:pPr/>
          </w:p>
        </w:tc>
      </w:tr>
      <w:tr>
        <w:trPr>
          <w:trHeight w:val="37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7,488,495.46</w:t>
            </w:r>
          </w:p>
        </w:tc>
        <w:tc>
          <w:tcPr>
            <w:tcW w:w="168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4"/>
              <w:jc w:val="right"/>
              <w:rPr>
                <w:rFonts w:ascii="Times New Roman" w:hAnsi="Times New Roman" w:cs="Times New Roman" w:eastAsia="Times New Roman" w:hint="default"/>
                <w:sz w:val="21"/>
                <w:szCs w:val="21"/>
              </w:rPr>
            </w:pPr>
            <w:r>
              <w:rPr>
                <w:rFonts w:ascii="Times New Roman"/>
                <w:spacing w:val="-1"/>
                <w:sz w:val="21"/>
              </w:rPr>
              <w:t>7,488,495.46</w:t>
            </w:r>
          </w:p>
        </w:tc>
      </w:tr>
      <w:tr>
        <w:trPr>
          <w:trHeight w:val="38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7"/>
              <w:ind w:right="93"/>
              <w:jc w:val="right"/>
              <w:rPr>
                <w:rFonts w:ascii="Times New Roman" w:hAnsi="Times New Roman" w:cs="Times New Roman" w:eastAsia="Times New Roman" w:hint="default"/>
                <w:sz w:val="21"/>
                <w:szCs w:val="21"/>
              </w:rPr>
            </w:pPr>
            <w:r>
              <w:rPr>
                <w:rFonts w:ascii="Times New Roman"/>
                <w:spacing w:val="-1"/>
                <w:sz w:val="21"/>
              </w:rPr>
              <w:t>7,256,157.74</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4"/>
              <w:jc w:val="right"/>
              <w:rPr>
                <w:rFonts w:ascii="Times New Roman" w:hAnsi="Times New Roman" w:cs="Times New Roman" w:eastAsia="Times New Roman" w:hint="default"/>
                <w:sz w:val="21"/>
                <w:szCs w:val="21"/>
              </w:rPr>
            </w:pPr>
            <w:r>
              <w:rPr>
                <w:rFonts w:ascii="Times New Roman"/>
                <w:spacing w:val="-1"/>
                <w:sz w:val="21"/>
              </w:rPr>
              <w:t>7,256,157.74</w:t>
            </w:r>
          </w:p>
        </w:tc>
      </w:tr>
      <w:tr>
        <w:trPr>
          <w:trHeight w:val="382"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企业合并增加</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232,337.72</w:t>
            </w:r>
          </w:p>
        </w:tc>
        <w:tc>
          <w:tcPr>
            <w:tcW w:w="168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232,337.72</w:t>
            </w:r>
          </w:p>
        </w:tc>
      </w:tr>
      <w:tr>
        <w:trPr>
          <w:trHeight w:val="37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7,488,495.46</w:t>
            </w:r>
          </w:p>
        </w:tc>
        <w:tc>
          <w:tcPr>
            <w:tcW w:w="168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4"/>
              <w:jc w:val="right"/>
              <w:rPr>
                <w:rFonts w:ascii="Times New Roman" w:hAnsi="Times New Roman" w:cs="Times New Roman" w:eastAsia="Times New Roman" w:hint="default"/>
                <w:sz w:val="21"/>
                <w:szCs w:val="21"/>
              </w:rPr>
            </w:pPr>
            <w:r>
              <w:rPr>
                <w:rFonts w:ascii="Times New Roman"/>
                <w:spacing w:val="-1"/>
                <w:sz w:val="21"/>
              </w:rPr>
              <w:t>7,488,495.46</w:t>
            </w:r>
          </w:p>
        </w:tc>
      </w:tr>
      <w:tr>
        <w:trPr>
          <w:trHeight w:val="379"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8" w:space="0" w:color="000000"/>
              <w:left w:val="single" w:sz="4" w:space="0" w:color="000000"/>
              <w:bottom w:val="single" w:sz="4" w:space="0" w:color="000000"/>
              <w:right w:val="single" w:sz="4" w:space="0" w:color="000000"/>
            </w:tcBorders>
          </w:tcPr>
          <w:p>
            <w:pPr/>
          </w:p>
        </w:tc>
        <w:tc>
          <w:tcPr>
            <w:tcW w:w="1685" w:type="dxa"/>
            <w:tcBorders>
              <w:top w:val="single" w:sz="8" w:space="0" w:color="000000"/>
              <w:left w:val="single" w:sz="4" w:space="0" w:color="000000"/>
              <w:bottom w:val="single" w:sz="4" w:space="0" w:color="000000"/>
              <w:right w:val="single" w:sz="4" w:space="0" w:color="000000"/>
            </w:tcBorders>
          </w:tcPr>
          <w:p>
            <w:pPr/>
          </w:p>
        </w:tc>
      </w:tr>
      <w:tr>
        <w:trPr>
          <w:trHeight w:val="372"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19,199,870.75</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114,340,710.08</w:t>
            </w:r>
          </w:p>
        </w:tc>
        <w:tc>
          <w:tcPr>
            <w:tcW w:w="168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4"/>
              <w:ind w:right="94"/>
              <w:jc w:val="right"/>
              <w:rPr>
                <w:rFonts w:ascii="Times New Roman" w:hAnsi="Times New Roman" w:cs="Times New Roman" w:eastAsia="Times New Roman" w:hint="default"/>
                <w:sz w:val="21"/>
                <w:szCs w:val="21"/>
              </w:rPr>
            </w:pPr>
            <w:r>
              <w:rPr>
                <w:rFonts w:ascii="Times New Roman"/>
                <w:spacing w:val="-1"/>
                <w:sz w:val="21"/>
              </w:rPr>
              <w:t>133,540,580.83</w:t>
            </w:r>
          </w:p>
        </w:tc>
      </w:tr>
      <w:tr>
        <w:trPr>
          <w:trHeight w:val="379"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spacing w:val="-1"/>
                <w:sz w:val="21"/>
              </w:rPr>
              <w:t>19,836,330.59</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21"/>
                <w:szCs w:val="21"/>
              </w:rPr>
            </w:pPr>
            <w:r>
              <w:rPr>
                <w:rFonts w:ascii="Times New Roman"/>
                <w:spacing w:val="-1"/>
                <w:sz w:val="21"/>
              </w:rPr>
              <w:t>93,188,170.09</w:t>
            </w:r>
          </w:p>
        </w:tc>
        <w:tc>
          <w:tcPr>
            <w:tcW w:w="168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113,024,500.68</w:t>
            </w:r>
          </w:p>
        </w:tc>
      </w:tr>
    </w:tbl>
    <w:p>
      <w:pPr>
        <w:pStyle w:val="BodyText"/>
        <w:spacing w:line="257" w:lineRule="exact"/>
        <w:ind w:left="637" w:right="47"/>
        <w:jc w:val="left"/>
        <w:rPr>
          <w:rFonts w:ascii="Times New Roman" w:hAnsi="Times New Roman" w:cs="Times New Roman" w:eastAsia="Times New Roman" w:hint="default"/>
        </w:rPr>
      </w:pPr>
      <w:r>
        <w:rPr>
          <w:spacing w:val="-2"/>
        </w:rPr>
        <w:t>本期末通过公司内部研发形成的无形资产占无形资产余额的比例</w:t>
      </w:r>
      <w:r>
        <w:rPr>
          <w:spacing w:val="7"/>
        </w:rPr>
        <w:t> </w:t>
      </w:r>
      <w:r>
        <w:rPr>
          <w:rFonts w:ascii="Times New Roman" w:hAnsi="Times New Roman" w:cs="Times New Roman" w:eastAsia="Times New Roman" w:hint="default"/>
          <w:spacing w:val="-1"/>
        </w:rPr>
        <w:t>85.34%</w:t>
      </w:r>
    </w:p>
    <w:p>
      <w:pPr>
        <w:pStyle w:val="Heading4"/>
        <w:spacing w:line="240" w:lineRule="auto" w:before="41"/>
        <w:ind w:left="217" w:right="2631"/>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3"/>
        </w:rPr>
        <w:t> </w:t>
      </w:r>
      <w:r>
        <w:rPr/>
        <w:t>未办妥产权证书的土地使用权情况</w:t>
      </w:r>
      <w:r>
        <w:rPr>
          <w:b w:val="0"/>
          <w:bCs w:val="0"/>
        </w:rPr>
      </w:r>
    </w:p>
    <w:p>
      <w:pPr>
        <w:pStyle w:val="BodyText"/>
        <w:spacing w:line="240" w:lineRule="auto" w:before="43"/>
        <w:ind w:left="217" w:right="2631"/>
        <w:jc w:val="left"/>
      </w:pPr>
      <w:r>
        <w:rPr/>
        <w:t>□适用 √不适用</w:t>
      </w:r>
    </w:p>
    <w:p>
      <w:pPr>
        <w:spacing w:line="240" w:lineRule="auto" w:before="2"/>
        <w:rPr>
          <w:rFonts w:ascii="宋体" w:hAnsi="宋体" w:cs="宋体" w:eastAsia="宋体" w:hint="default"/>
          <w:sz w:val="20"/>
          <w:szCs w:val="20"/>
        </w:rPr>
      </w:pPr>
    </w:p>
    <w:p>
      <w:pPr>
        <w:pStyle w:val="BodyText"/>
        <w:spacing w:line="240" w:lineRule="auto"/>
        <w:ind w:left="217" w:right="2631"/>
        <w:jc w:val="left"/>
        <w:rPr>
          <w:sz w:val="24"/>
          <w:szCs w:val="24"/>
        </w:rPr>
      </w:pPr>
      <w:r>
        <w:rPr/>
        <w:t>其他说明</w:t>
      </w:r>
      <w:r>
        <w:rPr>
          <w:sz w:val="24"/>
          <w:szCs w:val="24"/>
        </w:rPr>
        <w:t>：</w:t>
      </w:r>
    </w:p>
    <w:p>
      <w:pPr>
        <w:pStyle w:val="BodyText"/>
        <w:spacing w:line="240" w:lineRule="auto" w:before="4"/>
        <w:ind w:left="697" w:right="2631"/>
        <w:jc w:val="left"/>
      </w:pPr>
      <w:r>
        <w:rPr/>
        <w:t>□适用 √不适用</w:t>
      </w:r>
    </w:p>
    <w:p>
      <w:pPr>
        <w:spacing w:after="0" w:line="240" w:lineRule="auto"/>
        <w:jc w:val="left"/>
        <w:sectPr>
          <w:pgSz w:w="11910" w:h="16840"/>
          <w:pgMar w:header="0" w:footer="979" w:top="1120" w:bottom="1160" w:left="1060" w:right="16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59"/>
          <w:footerReference w:type="default" r:id="rId60"/>
          <w:pgSz w:w="16840" w:h="11910" w:orient="landscape"/>
          <w:pgMar w:header="857" w:footer="980" w:top="1120" w:bottom="1160" w:left="1300" w:right="1320"/>
          <w:pgNumType w:start="164"/>
        </w:sectPr>
      </w:pPr>
    </w:p>
    <w:p>
      <w:pPr>
        <w:pStyle w:val="Heading4"/>
        <w:spacing w:line="240" w:lineRule="auto"/>
        <w:ind w:left="224" w:right="-18"/>
        <w:jc w:val="left"/>
        <w:rPr>
          <w:b w:val="0"/>
          <w:bCs w:val="0"/>
        </w:rPr>
      </w:pPr>
      <w:r>
        <w:rPr>
          <w:rFonts w:ascii="Times New Roman" w:hAnsi="Times New Roman" w:cs="Times New Roman" w:eastAsia="Times New Roman" w:hint="default"/>
        </w:rPr>
        <w:t>21</w:t>
      </w:r>
      <w:r>
        <w:rPr/>
        <w:t>、</w:t>
      </w:r>
      <w:r>
        <w:rPr>
          <w:spacing w:val="-21"/>
        </w:rPr>
        <w:t> </w:t>
      </w:r>
      <w:r>
        <w:rPr/>
        <w:t>开发支出</w:t>
      </w:r>
      <w:r>
        <w:rPr>
          <w:b w:val="0"/>
          <w:bCs w:val="0"/>
        </w:rPr>
      </w:r>
    </w:p>
    <w:p>
      <w:pPr>
        <w:pStyle w:val="BodyText"/>
        <w:spacing w:line="240" w:lineRule="auto" w:before="43"/>
        <w:ind w:left="704"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580" w:bottom="280" w:left="1300" w:right="1320"/>
          <w:cols w:num="2" w:equalWidth="0">
            <w:col w:w="2282" w:space="9281"/>
            <w:col w:w="265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257"/>
        <w:gridCol w:w="1700"/>
        <w:gridCol w:w="1560"/>
        <w:gridCol w:w="1416"/>
        <w:gridCol w:w="427"/>
        <w:gridCol w:w="1841"/>
        <w:gridCol w:w="1560"/>
        <w:gridCol w:w="569"/>
        <w:gridCol w:w="1558"/>
      </w:tblGrid>
      <w:tr>
        <w:trPr>
          <w:trHeight w:val="370" w:hRule="exact"/>
        </w:trPr>
        <w:tc>
          <w:tcPr>
            <w:tcW w:w="325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vMerge w:val="restart"/>
            <w:tcBorders>
              <w:top w:val="single" w:sz="4" w:space="0" w:color="000000"/>
              <w:left w:val="single" w:sz="4" w:space="0" w:color="000000"/>
              <w:right w:val="single" w:sz="4" w:space="0" w:color="000000"/>
            </w:tcBorders>
          </w:tcPr>
          <w:p>
            <w:pPr>
              <w:pStyle w:val="TableParagraph"/>
              <w:spacing w:line="314" w:lineRule="auto" w:before="47"/>
              <w:ind w:left="636" w:right="629"/>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68"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315"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558" w:type="dxa"/>
            <w:vMerge w:val="restart"/>
            <w:tcBorders>
              <w:top w:val="single" w:sz="4" w:space="0" w:color="000000"/>
              <w:left w:val="single" w:sz="4" w:space="0" w:color="000000"/>
              <w:right w:val="single" w:sz="4" w:space="0" w:color="000000"/>
            </w:tcBorders>
          </w:tcPr>
          <w:p>
            <w:pPr>
              <w:pStyle w:val="TableParagraph"/>
              <w:spacing w:line="314" w:lineRule="auto" w:before="47"/>
              <w:ind w:left="564" w:right="561"/>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370" w:hRule="exact"/>
        </w:trPr>
        <w:tc>
          <w:tcPr>
            <w:tcW w:w="3257"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9"/>
              <w:jc w:val="right"/>
              <w:rPr>
                <w:rFonts w:ascii="宋体" w:hAnsi="宋体" w:cs="宋体" w:eastAsia="宋体" w:hint="default"/>
                <w:sz w:val="21"/>
                <w:szCs w:val="21"/>
              </w:rPr>
            </w:pPr>
            <w:r>
              <w:rPr>
                <w:rFonts w:ascii="宋体" w:hAnsi="宋体" w:cs="宋体" w:eastAsia="宋体" w:hint="default"/>
                <w:spacing w:val="-1"/>
                <w:sz w:val="21"/>
                <w:szCs w:val="21"/>
              </w:rPr>
              <w:t>内部开发支出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42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80" w:right="0"/>
              <w:jc w:val="left"/>
              <w:rPr>
                <w:rFonts w:ascii="宋体" w:hAnsi="宋体" w:cs="宋体" w:eastAsia="宋体" w:hint="default"/>
                <w:sz w:val="21"/>
                <w:szCs w:val="21"/>
              </w:rPr>
            </w:pPr>
            <w:r>
              <w:rPr>
                <w:rFonts w:ascii="宋体" w:hAnsi="宋体" w:cs="宋体" w:eastAsia="宋体" w:hint="default"/>
                <w:sz w:val="21"/>
                <w:szCs w:val="21"/>
              </w:rPr>
              <w:t>确认为无形资产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9"/>
              <w:jc w:val="right"/>
              <w:rPr>
                <w:rFonts w:ascii="宋体" w:hAnsi="宋体" w:cs="宋体" w:eastAsia="宋体" w:hint="default"/>
                <w:sz w:val="21"/>
                <w:szCs w:val="21"/>
              </w:rPr>
            </w:pPr>
            <w:r>
              <w:rPr>
                <w:rFonts w:ascii="宋体" w:hAnsi="宋体" w:cs="宋体" w:eastAsia="宋体" w:hint="default"/>
                <w:spacing w:val="-1"/>
                <w:sz w:val="21"/>
                <w:szCs w:val="21"/>
              </w:rPr>
              <w:t>转入当期损益</w:t>
            </w: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r>
      <w:tr>
        <w:trPr>
          <w:trHeight w:val="37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电子证照共享服务平台</w:t>
            </w:r>
          </w:p>
        </w:tc>
        <w:tc>
          <w:tcPr>
            <w:tcW w:w="170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1"/>
              <w:jc w:val="right"/>
              <w:rPr>
                <w:rFonts w:ascii="Times New Roman" w:hAnsi="Times New Roman" w:cs="Times New Roman" w:eastAsia="Times New Roman" w:hint="default"/>
                <w:sz w:val="21"/>
                <w:szCs w:val="21"/>
              </w:rPr>
            </w:pPr>
            <w:r>
              <w:rPr>
                <w:rFonts w:ascii="Times New Roman"/>
                <w:spacing w:val="-1"/>
                <w:sz w:val="21"/>
              </w:rPr>
              <w:t>10,761,688.69</w:t>
            </w:r>
          </w:p>
        </w:tc>
        <w:tc>
          <w:tcPr>
            <w:tcW w:w="156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1"/>
              <w:jc w:val="right"/>
              <w:rPr>
                <w:rFonts w:ascii="Times New Roman" w:hAnsi="Times New Roman" w:cs="Times New Roman" w:eastAsia="Times New Roman" w:hint="default"/>
                <w:sz w:val="21"/>
                <w:szCs w:val="21"/>
              </w:rPr>
            </w:pPr>
            <w:r>
              <w:rPr>
                <w:rFonts w:ascii="Times New Roman"/>
                <w:spacing w:val="-1"/>
                <w:sz w:val="21"/>
              </w:rPr>
              <w:t>15,021,106.63</w:t>
            </w:r>
          </w:p>
        </w:tc>
        <w:tc>
          <w:tcPr>
            <w:tcW w:w="1416" w:type="dxa"/>
            <w:tcBorders>
              <w:top w:val="single" w:sz="4" w:space="0" w:color="000000"/>
              <w:left w:val="single" w:sz="8"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8" w:space="0" w:color="000000"/>
              <w:right w:val="single" w:sz="8" w:space="0" w:color="000000"/>
            </w:tcBorders>
          </w:tcPr>
          <w:p>
            <w:pPr/>
          </w:p>
        </w:tc>
        <w:tc>
          <w:tcPr>
            <w:tcW w:w="1560" w:type="dxa"/>
            <w:tcBorders>
              <w:top w:val="single" w:sz="4" w:space="0" w:color="000000"/>
              <w:left w:val="single" w:sz="8" w:space="0" w:color="000000"/>
              <w:bottom w:val="single" w:sz="8" w:space="0" w:color="000000"/>
              <w:right w:val="single" w:sz="8" w:space="0" w:color="000000"/>
            </w:tcBorders>
          </w:tcPr>
          <w:p>
            <w:pPr/>
          </w:p>
        </w:tc>
        <w:tc>
          <w:tcPr>
            <w:tcW w:w="569" w:type="dxa"/>
            <w:tcBorders>
              <w:top w:val="single" w:sz="4" w:space="0" w:color="000000"/>
              <w:left w:val="single" w:sz="8"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25,782,795.32</w:t>
            </w:r>
          </w:p>
        </w:tc>
      </w:tr>
      <w:tr>
        <w:trPr>
          <w:trHeight w:val="38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1"/>
                <w:szCs w:val="21"/>
              </w:rPr>
            </w:pPr>
            <w:r>
              <w:rPr>
                <w:rFonts w:ascii="宋体" w:hAnsi="宋体" w:cs="宋体" w:eastAsia="宋体" w:hint="default"/>
                <w:sz w:val="21"/>
                <w:szCs w:val="21"/>
              </w:rPr>
              <w:t>智慧城市综合管理平台研发项目</w:t>
            </w:r>
          </w:p>
        </w:tc>
        <w:tc>
          <w:tcPr>
            <w:tcW w:w="170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9"/>
              <w:ind w:right="91"/>
              <w:jc w:val="right"/>
              <w:rPr>
                <w:rFonts w:ascii="Times New Roman" w:hAnsi="Times New Roman" w:cs="Times New Roman" w:eastAsia="Times New Roman" w:hint="default"/>
                <w:sz w:val="21"/>
                <w:szCs w:val="21"/>
              </w:rPr>
            </w:pPr>
            <w:r>
              <w:rPr>
                <w:rFonts w:ascii="Times New Roman"/>
                <w:spacing w:val="-1"/>
                <w:sz w:val="21"/>
              </w:rPr>
              <w:t>11,958,052.39</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1"/>
              <w:jc w:val="right"/>
              <w:rPr>
                <w:rFonts w:ascii="Times New Roman" w:hAnsi="Times New Roman" w:cs="Times New Roman" w:eastAsia="Times New Roman" w:hint="default"/>
                <w:sz w:val="21"/>
                <w:szCs w:val="21"/>
              </w:rPr>
            </w:pPr>
            <w:r>
              <w:rPr>
                <w:rFonts w:ascii="Times New Roman"/>
                <w:spacing w:val="-1"/>
                <w:sz w:val="21"/>
              </w:rPr>
              <w:t>26,229,764.79</w:t>
            </w:r>
          </w:p>
        </w:tc>
        <w:tc>
          <w:tcPr>
            <w:tcW w:w="1416" w:type="dxa"/>
            <w:tcBorders>
              <w:top w:val="single" w:sz="4" w:space="0" w:color="000000"/>
              <w:left w:val="single" w:sz="8"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9"/>
              <w:ind w:right="92"/>
              <w:jc w:val="right"/>
              <w:rPr>
                <w:rFonts w:ascii="Times New Roman" w:hAnsi="Times New Roman" w:cs="Times New Roman" w:eastAsia="Times New Roman" w:hint="default"/>
                <w:sz w:val="21"/>
                <w:szCs w:val="21"/>
              </w:rPr>
            </w:pPr>
            <w:r>
              <w:rPr>
                <w:rFonts w:ascii="Times New Roman"/>
                <w:spacing w:val="-1"/>
                <w:sz w:val="21"/>
              </w:rPr>
              <w:t>13,546,366.79</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1"/>
              <w:jc w:val="right"/>
              <w:rPr>
                <w:rFonts w:ascii="Times New Roman" w:hAnsi="Times New Roman" w:cs="Times New Roman" w:eastAsia="Times New Roman" w:hint="default"/>
                <w:sz w:val="21"/>
                <w:szCs w:val="21"/>
              </w:rPr>
            </w:pPr>
            <w:r>
              <w:rPr>
                <w:rFonts w:ascii="Times New Roman"/>
                <w:spacing w:val="-1"/>
                <w:sz w:val="21"/>
              </w:rPr>
              <w:t>5,549,966.25</w:t>
            </w:r>
          </w:p>
        </w:tc>
        <w:tc>
          <w:tcPr>
            <w:tcW w:w="569" w:type="dxa"/>
            <w:tcBorders>
              <w:top w:val="single" w:sz="4" w:space="0" w:color="000000"/>
              <w:left w:val="single" w:sz="8"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6"/>
              <w:jc w:val="right"/>
              <w:rPr>
                <w:rFonts w:ascii="Times New Roman" w:hAnsi="Times New Roman" w:cs="Times New Roman" w:eastAsia="Times New Roman" w:hint="default"/>
                <w:sz w:val="21"/>
                <w:szCs w:val="21"/>
              </w:rPr>
            </w:pPr>
            <w:r>
              <w:rPr>
                <w:rFonts w:ascii="Times New Roman"/>
                <w:spacing w:val="-1"/>
                <w:sz w:val="21"/>
              </w:rPr>
              <w:t>19,091,484.14</w:t>
            </w:r>
          </w:p>
        </w:tc>
      </w:tr>
      <w:tr>
        <w:trPr>
          <w:trHeight w:val="379"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大数据处理与开发平台</w:t>
            </w:r>
          </w:p>
        </w:tc>
        <w:tc>
          <w:tcPr>
            <w:tcW w:w="170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6"/>
              <w:ind w:right="91"/>
              <w:jc w:val="right"/>
              <w:rPr>
                <w:rFonts w:ascii="Times New Roman" w:hAnsi="Times New Roman" w:cs="Times New Roman" w:eastAsia="Times New Roman" w:hint="default"/>
                <w:sz w:val="21"/>
                <w:szCs w:val="21"/>
              </w:rPr>
            </w:pPr>
            <w:r>
              <w:rPr>
                <w:rFonts w:ascii="Times New Roman"/>
                <w:spacing w:val="-1"/>
                <w:sz w:val="21"/>
              </w:rPr>
              <w:t>4,331,244.54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1"/>
              <w:jc w:val="right"/>
              <w:rPr>
                <w:rFonts w:ascii="Times New Roman" w:hAnsi="Times New Roman" w:cs="Times New Roman" w:eastAsia="Times New Roman" w:hint="default"/>
                <w:sz w:val="21"/>
                <w:szCs w:val="21"/>
              </w:rPr>
            </w:pPr>
            <w:r>
              <w:rPr>
                <w:rFonts w:ascii="Times New Roman"/>
                <w:spacing w:val="-1"/>
                <w:sz w:val="21"/>
              </w:rPr>
              <w:t>7,727,855.43</w:t>
            </w:r>
          </w:p>
        </w:tc>
        <w:tc>
          <w:tcPr>
            <w:tcW w:w="1416" w:type="dxa"/>
            <w:tcBorders>
              <w:top w:val="single" w:sz="4" w:space="0" w:color="000000"/>
              <w:left w:val="single" w:sz="8"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8" w:space="0" w:color="000000"/>
              <w:left w:val="single" w:sz="4"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1"/>
              <w:jc w:val="right"/>
              <w:rPr>
                <w:rFonts w:ascii="Times New Roman" w:hAnsi="Times New Roman" w:cs="Times New Roman" w:eastAsia="Times New Roman" w:hint="default"/>
                <w:sz w:val="21"/>
                <w:szCs w:val="21"/>
              </w:rPr>
            </w:pPr>
            <w:r>
              <w:rPr>
                <w:rFonts w:ascii="Times New Roman"/>
                <w:spacing w:val="-1"/>
                <w:sz w:val="21"/>
              </w:rPr>
              <w:t>1,627,596.82</w:t>
            </w:r>
          </w:p>
        </w:tc>
        <w:tc>
          <w:tcPr>
            <w:tcW w:w="569" w:type="dxa"/>
            <w:tcBorders>
              <w:top w:val="single" w:sz="4" w:space="0" w:color="000000"/>
              <w:left w:val="single" w:sz="8"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pacing w:val="-1"/>
                <w:sz w:val="21"/>
              </w:rPr>
              <w:t>10,431,503.15</w:t>
            </w:r>
          </w:p>
        </w:tc>
      </w:tr>
      <w:tr>
        <w:trPr>
          <w:trHeight w:val="379"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城市通平台建设项目</w:t>
            </w:r>
          </w:p>
        </w:tc>
        <w:tc>
          <w:tcPr>
            <w:tcW w:w="1700" w:type="dxa"/>
            <w:tcBorders>
              <w:top w:val="single" w:sz="8" w:space="0" w:color="000000"/>
              <w:left w:val="single" w:sz="4"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1"/>
              <w:jc w:val="right"/>
              <w:rPr>
                <w:rFonts w:ascii="Times New Roman" w:hAnsi="Times New Roman" w:cs="Times New Roman" w:eastAsia="Times New Roman" w:hint="default"/>
                <w:sz w:val="21"/>
                <w:szCs w:val="21"/>
              </w:rPr>
            </w:pPr>
            <w:r>
              <w:rPr>
                <w:rFonts w:ascii="Times New Roman"/>
                <w:spacing w:val="-1"/>
                <w:sz w:val="21"/>
              </w:rPr>
              <w:t>5,622,542.36</w:t>
            </w:r>
          </w:p>
        </w:tc>
        <w:tc>
          <w:tcPr>
            <w:tcW w:w="1416" w:type="dxa"/>
            <w:tcBorders>
              <w:top w:val="single" w:sz="4" w:space="0" w:color="000000"/>
              <w:left w:val="single" w:sz="8"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8" w:space="0" w:color="000000"/>
              <w:left w:val="single" w:sz="4"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1"/>
              <w:jc w:val="right"/>
              <w:rPr>
                <w:rFonts w:ascii="Times New Roman" w:hAnsi="Times New Roman" w:cs="Times New Roman" w:eastAsia="Times New Roman" w:hint="default"/>
                <w:sz w:val="21"/>
                <w:szCs w:val="21"/>
              </w:rPr>
            </w:pPr>
            <w:r>
              <w:rPr>
                <w:rFonts w:ascii="Times New Roman"/>
                <w:spacing w:val="-1"/>
                <w:sz w:val="21"/>
              </w:rPr>
              <w:t>2,311,861.64</w:t>
            </w:r>
          </w:p>
        </w:tc>
        <w:tc>
          <w:tcPr>
            <w:tcW w:w="569" w:type="dxa"/>
            <w:tcBorders>
              <w:top w:val="single" w:sz="4" w:space="0" w:color="000000"/>
              <w:left w:val="single" w:sz="8"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pacing w:val="-1"/>
                <w:sz w:val="21"/>
              </w:rPr>
              <w:t>3,310,680.72</w:t>
            </w:r>
          </w:p>
        </w:tc>
      </w:tr>
      <w:tr>
        <w:trPr>
          <w:trHeight w:val="38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华夏匠人</w:t>
            </w:r>
          </w:p>
        </w:tc>
        <w:tc>
          <w:tcPr>
            <w:tcW w:w="1700" w:type="dxa"/>
            <w:tcBorders>
              <w:top w:val="single" w:sz="8" w:space="0" w:color="000000"/>
              <w:left w:val="single" w:sz="4"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1"/>
              <w:jc w:val="right"/>
              <w:rPr>
                <w:rFonts w:ascii="Times New Roman" w:hAnsi="Times New Roman" w:cs="Times New Roman" w:eastAsia="Times New Roman" w:hint="default"/>
                <w:sz w:val="21"/>
                <w:szCs w:val="21"/>
              </w:rPr>
            </w:pPr>
            <w:r>
              <w:rPr>
                <w:rFonts w:ascii="Times New Roman"/>
                <w:spacing w:val="-1"/>
                <w:sz w:val="21"/>
              </w:rPr>
              <w:t>733,325.57</w:t>
            </w:r>
          </w:p>
        </w:tc>
        <w:tc>
          <w:tcPr>
            <w:tcW w:w="1416" w:type="dxa"/>
            <w:tcBorders>
              <w:top w:val="single" w:sz="4" w:space="0" w:color="000000"/>
              <w:left w:val="single" w:sz="8"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8" w:space="0" w:color="000000"/>
              <w:left w:val="single" w:sz="4"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569" w:type="dxa"/>
            <w:tcBorders>
              <w:top w:val="single" w:sz="4" w:space="0" w:color="000000"/>
              <w:left w:val="single" w:sz="8"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6"/>
              <w:jc w:val="right"/>
              <w:rPr>
                <w:rFonts w:ascii="Times New Roman" w:hAnsi="Times New Roman" w:cs="Times New Roman" w:eastAsia="Times New Roman" w:hint="default"/>
                <w:sz w:val="21"/>
                <w:szCs w:val="21"/>
              </w:rPr>
            </w:pPr>
            <w:r>
              <w:rPr>
                <w:rFonts w:ascii="Times New Roman"/>
                <w:spacing w:val="-1"/>
                <w:sz w:val="21"/>
              </w:rPr>
              <w:t>733,325.57</w:t>
            </w:r>
          </w:p>
        </w:tc>
      </w:tr>
      <w:tr>
        <w:trPr>
          <w:trHeight w:val="379"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红点智慧社区云平台</w:t>
            </w:r>
          </w:p>
        </w:tc>
        <w:tc>
          <w:tcPr>
            <w:tcW w:w="1700" w:type="dxa"/>
            <w:tcBorders>
              <w:top w:val="single" w:sz="8" w:space="0" w:color="000000"/>
              <w:left w:val="single" w:sz="4"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1"/>
              <w:jc w:val="right"/>
              <w:rPr>
                <w:rFonts w:ascii="Times New Roman" w:hAnsi="Times New Roman" w:cs="Times New Roman" w:eastAsia="Times New Roman" w:hint="default"/>
                <w:sz w:val="21"/>
                <w:szCs w:val="21"/>
              </w:rPr>
            </w:pPr>
            <w:r>
              <w:rPr>
                <w:rFonts w:ascii="Times New Roman"/>
                <w:spacing w:val="-1"/>
                <w:sz w:val="21"/>
              </w:rPr>
              <w:t>617,679.64</w:t>
            </w:r>
          </w:p>
        </w:tc>
        <w:tc>
          <w:tcPr>
            <w:tcW w:w="1416" w:type="dxa"/>
            <w:tcBorders>
              <w:top w:val="single" w:sz="4" w:space="0" w:color="000000"/>
              <w:left w:val="single" w:sz="8"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8" w:space="0" w:color="000000"/>
              <w:left w:val="single" w:sz="4"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569" w:type="dxa"/>
            <w:tcBorders>
              <w:top w:val="single" w:sz="4" w:space="0" w:color="000000"/>
              <w:left w:val="single" w:sz="8"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pacing w:val="-1"/>
                <w:sz w:val="21"/>
              </w:rPr>
              <w:t>617,679.64</w:t>
            </w:r>
          </w:p>
        </w:tc>
      </w:tr>
      <w:tr>
        <w:trPr>
          <w:trHeight w:val="739"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01"/>
              <w:jc w:val="left"/>
              <w:rPr>
                <w:rFonts w:ascii="宋体" w:hAnsi="宋体" w:cs="宋体" w:eastAsia="宋体" w:hint="default"/>
                <w:sz w:val="21"/>
                <w:szCs w:val="21"/>
              </w:rPr>
            </w:pPr>
            <w:r>
              <w:rPr>
                <w:rFonts w:ascii="宋体" w:hAnsi="宋体" w:cs="宋体" w:eastAsia="宋体" w:hint="default"/>
                <w:spacing w:val="4"/>
                <w:sz w:val="21"/>
                <w:szCs w:val="21"/>
              </w:rPr>
              <w:t>智能型“放管服”一体化平台建</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设项目</w:t>
            </w:r>
          </w:p>
        </w:tc>
        <w:tc>
          <w:tcPr>
            <w:tcW w:w="1700" w:type="dxa"/>
            <w:tcBorders>
              <w:top w:val="single" w:sz="8" w:space="0" w:color="000000"/>
              <w:left w:val="single" w:sz="4"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528,124.15</w:t>
            </w:r>
          </w:p>
        </w:tc>
        <w:tc>
          <w:tcPr>
            <w:tcW w:w="1416" w:type="dxa"/>
            <w:tcBorders>
              <w:top w:val="single" w:sz="4" w:space="0" w:color="000000"/>
              <w:left w:val="single" w:sz="8"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8" w:space="0" w:color="000000"/>
              <w:left w:val="single" w:sz="4"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110,826.46</w:t>
            </w:r>
          </w:p>
        </w:tc>
        <w:tc>
          <w:tcPr>
            <w:tcW w:w="569" w:type="dxa"/>
            <w:tcBorders>
              <w:top w:val="single" w:sz="4" w:space="0" w:color="000000"/>
              <w:left w:val="single" w:sz="8"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417,297.69</w:t>
            </w:r>
          </w:p>
        </w:tc>
      </w:tr>
      <w:tr>
        <w:trPr>
          <w:trHeight w:val="74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5"/>
              <w:ind w:left="103" w:right="98"/>
              <w:jc w:val="left"/>
              <w:rPr>
                <w:rFonts w:ascii="宋体" w:hAnsi="宋体" w:cs="宋体" w:eastAsia="宋体" w:hint="default"/>
                <w:sz w:val="21"/>
                <w:szCs w:val="21"/>
              </w:rPr>
            </w:pPr>
            <w:r>
              <w:rPr>
                <w:rFonts w:ascii="宋体" w:hAnsi="宋体" w:cs="宋体" w:eastAsia="宋体" w:hint="default"/>
                <w:spacing w:val="4"/>
                <w:sz w:val="21"/>
                <w:szCs w:val="21"/>
              </w:rPr>
              <w:t>太极云软智慧政务</w:t>
            </w:r>
            <w:r>
              <w:rPr>
                <w:rFonts w:ascii="宋体" w:hAnsi="宋体" w:cs="宋体" w:eastAsia="宋体" w:hint="default"/>
                <w:spacing w:val="4"/>
                <w:sz w:val="21"/>
                <w:szCs w:val="21"/>
              </w:rPr>
              <w:t>"</w:t>
            </w:r>
            <w:r>
              <w:rPr>
                <w:rFonts w:ascii="宋体" w:hAnsi="宋体" w:cs="宋体" w:eastAsia="宋体" w:hint="default"/>
                <w:spacing w:val="4"/>
                <w:sz w:val="21"/>
                <w:szCs w:val="21"/>
              </w:rPr>
              <w:t>秒批秒办</w:t>
            </w:r>
            <w:r>
              <w:rPr>
                <w:rFonts w:ascii="宋体" w:hAnsi="宋体" w:cs="宋体" w:eastAsia="宋体" w:hint="default"/>
                <w:spacing w:val="4"/>
                <w:sz w:val="21"/>
                <w:szCs w:val="21"/>
              </w:rPr>
              <w:t>"</w:t>
            </w:r>
            <w:r>
              <w:rPr>
                <w:rFonts w:ascii="宋体" w:hAnsi="宋体" w:cs="宋体" w:eastAsia="宋体" w:hint="default"/>
                <w:spacing w:val="4"/>
                <w:sz w:val="21"/>
                <w:szCs w:val="21"/>
              </w:rPr>
              <w:t>支</w:t>
            </w:r>
            <w:r>
              <w:rPr>
                <w:rFonts w:ascii="宋体" w:hAnsi="宋体" w:cs="宋体" w:eastAsia="宋体" w:hint="default"/>
                <w:spacing w:val="-73"/>
                <w:sz w:val="21"/>
                <w:szCs w:val="21"/>
              </w:rPr>
              <w:t> </w:t>
            </w:r>
            <w:r>
              <w:rPr>
                <w:rFonts w:ascii="宋体" w:hAnsi="宋体" w:cs="宋体" w:eastAsia="宋体" w:hint="default"/>
                <w:sz w:val="21"/>
                <w:szCs w:val="21"/>
              </w:rPr>
              <w:t>撑系统</w:t>
            </w:r>
          </w:p>
        </w:tc>
        <w:tc>
          <w:tcPr>
            <w:tcW w:w="1700" w:type="dxa"/>
            <w:tcBorders>
              <w:top w:val="single" w:sz="8" w:space="0" w:color="000000"/>
              <w:left w:val="single" w:sz="4"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296,787.09</w:t>
            </w:r>
          </w:p>
        </w:tc>
        <w:tc>
          <w:tcPr>
            <w:tcW w:w="1416" w:type="dxa"/>
            <w:tcBorders>
              <w:top w:val="single" w:sz="4" w:space="0" w:color="000000"/>
              <w:left w:val="single" w:sz="8"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8" w:space="0" w:color="000000"/>
              <w:left w:val="single" w:sz="4"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569" w:type="dxa"/>
            <w:tcBorders>
              <w:top w:val="single" w:sz="4" w:space="0" w:color="000000"/>
              <w:left w:val="single" w:sz="8"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296,787.09</w:t>
            </w:r>
          </w:p>
        </w:tc>
      </w:tr>
      <w:tr>
        <w:trPr>
          <w:trHeight w:val="379"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公共安全管理平台</w:t>
            </w:r>
          </w:p>
        </w:tc>
        <w:tc>
          <w:tcPr>
            <w:tcW w:w="1700" w:type="dxa"/>
            <w:tcBorders>
              <w:top w:val="single" w:sz="8" w:space="0" w:color="000000"/>
              <w:left w:val="single" w:sz="4"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1"/>
              <w:jc w:val="right"/>
              <w:rPr>
                <w:rFonts w:ascii="Times New Roman" w:hAnsi="Times New Roman" w:cs="Times New Roman" w:eastAsia="Times New Roman" w:hint="default"/>
                <w:sz w:val="21"/>
                <w:szCs w:val="21"/>
              </w:rPr>
            </w:pPr>
            <w:r>
              <w:rPr>
                <w:rFonts w:ascii="Times New Roman"/>
                <w:spacing w:val="-1"/>
                <w:sz w:val="21"/>
              </w:rPr>
              <w:t>259,281.57</w:t>
            </w:r>
          </w:p>
        </w:tc>
        <w:tc>
          <w:tcPr>
            <w:tcW w:w="1416" w:type="dxa"/>
            <w:tcBorders>
              <w:top w:val="single" w:sz="4" w:space="0" w:color="000000"/>
              <w:left w:val="single" w:sz="8"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8" w:space="0" w:color="000000"/>
              <w:left w:val="single" w:sz="4"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1"/>
              <w:jc w:val="right"/>
              <w:rPr>
                <w:rFonts w:ascii="Times New Roman" w:hAnsi="Times New Roman" w:cs="Times New Roman" w:eastAsia="Times New Roman" w:hint="default"/>
                <w:sz w:val="21"/>
                <w:szCs w:val="21"/>
              </w:rPr>
            </w:pPr>
            <w:r>
              <w:rPr>
                <w:rFonts w:ascii="Times New Roman"/>
                <w:spacing w:val="-1"/>
                <w:sz w:val="21"/>
              </w:rPr>
              <w:t>50,921.92</w:t>
            </w:r>
          </w:p>
        </w:tc>
        <w:tc>
          <w:tcPr>
            <w:tcW w:w="569" w:type="dxa"/>
            <w:tcBorders>
              <w:top w:val="single" w:sz="4" w:space="0" w:color="000000"/>
              <w:left w:val="single" w:sz="8"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pacing w:val="-1"/>
                <w:sz w:val="21"/>
              </w:rPr>
              <w:t>208,359.65</w:t>
            </w:r>
          </w:p>
        </w:tc>
      </w:tr>
      <w:tr>
        <w:trPr>
          <w:trHeight w:val="379"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数据治理一体化平台</w:t>
            </w:r>
          </w:p>
        </w:tc>
        <w:tc>
          <w:tcPr>
            <w:tcW w:w="1700" w:type="dxa"/>
            <w:tcBorders>
              <w:top w:val="single" w:sz="8" w:space="0" w:color="000000"/>
              <w:left w:val="single" w:sz="4"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1"/>
              <w:jc w:val="right"/>
              <w:rPr>
                <w:rFonts w:ascii="Times New Roman" w:hAnsi="Times New Roman" w:cs="Times New Roman" w:eastAsia="Times New Roman" w:hint="default"/>
                <w:sz w:val="21"/>
                <w:szCs w:val="21"/>
              </w:rPr>
            </w:pPr>
            <w:r>
              <w:rPr>
                <w:rFonts w:ascii="Times New Roman"/>
                <w:spacing w:val="-1"/>
                <w:sz w:val="21"/>
              </w:rPr>
              <w:t>3,133,391.16</w:t>
            </w:r>
          </w:p>
        </w:tc>
        <w:tc>
          <w:tcPr>
            <w:tcW w:w="1416" w:type="dxa"/>
            <w:tcBorders>
              <w:top w:val="single" w:sz="4" w:space="0" w:color="000000"/>
              <w:left w:val="single" w:sz="8"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6"/>
              <w:ind w:right="92"/>
              <w:jc w:val="right"/>
              <w:rPr>
                <w:rFonts w:ascii="Times New Roman" w:hAnsi="Times New Roman" w:cs="Times New Roman" w:eastAsia="Times New Roman" w:hint="default"/>
                <w:sz w:val="21"/>
                <w:szCs w:val="21"/>
              </w:rPr>
            </w:pPr>
            <w:r>
              <w:rPr>
                <w:rFonts w:ascii="Times New Roman"/>
                <w:spacing w:val="-1"/>
                <w:sz w:val="21"/>
              </w:rPr>
              <w:t>3,133,391.16</w:t>
            </w:r>
          </w:p>
        </w:tc>
        <w:tc>
          <w:tcPr>
            <w:tcW w:w="1560" w:type="dxa"/>
            <w:tcBorders>
              <w:top w:val="single" w:sz="8" w:space="0" w:color="000000"/>
              <w:left w:val="single" w:sz="8" w:space="0" w:color="000000"/>
              <w:bottom w:val="single" w:sz="8" w:space="0" w:color="000000"/>
              <w:right w:val="single" w:sz="8" w:space="0" w:color="000000"/>
            </w:tcBorders>
          </w:tcPr>
          <w:p>
            <w:pPr/>
          </w:p>
        </w:tc>
        <w:tc>
          <w:tcPr>
            <w:tcW w:w="569" w:type="dxa"/>
            <w:tcBorders>
              <w:top w:val="single" w:sz="4" w:space="0" w:color="000000"/>
              <w:left w:val="single" w:sz="8"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蜻蜓云智慧停车管理平台</w:t>
            </w:r>
          </w:p>
        </w:tc>
        <w:tc>
          <w:tcPr>
            <w:tcW w:w="1700" w:type="dxa"/>
            <w:tcBorders>
              <w:top w:val="single" w:sz="8" w:space="0" w:color="000000"/>
              <w:left w:val="single" w:sz="4" w:space="0" w:color="000000"/>
              <w:bottom w:val="single" w:sz="4" w:space="0" w:color="000000"/>
              <w:right w:val="single" w:sz="4" w:space="0" w:color="000000"/>
            </w:tcBorders>
          </w:tcPr>
          <w:p>
            <w:pPr/>
          </w:p>
        </w:tc>
        <w:tc>
          <w:tcPr>
            <w:tcW w:w="15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663,265.95</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8" w:space="0" w:color="000000"/>
              <w:left w:val="single" w:sz="4" w:space="0" w:color="000000"/>
              <w:bottom w:val="single" w:sz="4" w:space="0" w:color="000000"/>
              <w:right w:val="single" w:sz="4" w:space="0" w:color="000000"/>
            </w:tcBorders>
          </w:tcPr>
          <w:p>
            <w:pPr/>
          </w:p>
        </w:tc>
        <w:tc>
          <w:tcPr>
            <w:tcW w:w="15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663,265.95</w:t>
            </w: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数据魔方系统</w:t>
            </w:r>
          </w:p>
        </w:tc>
        <w:tc>
          <w:tcPr>
            <w:tcW w:w="1700" w:type="dxa"/>
            <w:tcBorders>
              <w:top w:val="single" w:sz="4" w:space="0" w:color="000000"/>
              <w:left w:val="single" w:sz="4" w:space="0" w:color="000000"/>
              <w:bottom w:val="single" w:sz="4" w:space="0" w:color="000000"/>
              <w:right w:val="single" w:sz="8" w:space="0" w:color="000000"/>
            </w:tcBorders>
          </w:tcPr>
          <w:p>
            <w:pPr/>
          </w:p>
        </w:tc>
        <w:tc>
          <w:tcPr>
            <w:tcW w:w="1560"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92"/>
              <w:ind w:right="91"/>
              <w:jc w:val="right"/>
              <w:rPr>
                <w:rFonts w:ascii="Times New Roman" w:hAnsi="Times New Roman" w:cs="Times New Roman" w:eastAsia="Times New Roman" w:hint="default"/>
                <w:sz w:val="21"/>
                <w:szCs w:val="21"/>
              </w:rPr>
            </w:pPr>
            <w:r>
              <w:rPr>
                <w:rFonts w:ascii="Times New Roman"/>
                <w:spacing w:val="-1"/>
                <w:sz w:val="21"/>
              </w:rPr>
              <w:t>1,169,327.44</w:t>
            </w:r>
          </w:p>
        </w:tc>
        <w:tc>
          <w:tcPr>
            <w:tcW w:w="1416" w:type="dxa"/>
            <w:tcBorders>
              <w:top w:val="single" w:sz="4" w:space="0" w:color="000000"/>
              <w:left w:val="single" w:sz="8"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92"/>
              <w:jc w:val="right"/>
              <w:rPr>
                <w:rFonts w:ascii="Times New Roman" w:hAnsi="Times New Roman" w:cs="Times New Roman" w:eastAsia="Times New Roman" w:hint="default"/>
                <w:sz w:val="21"/>
                <w:szCs w:val="21"/>
              </w:rPr>
            </w:pPr>
            <w:r>
              <w:rPr>
                <w:rFonts w:ascii="Times New Roman"/>
                <w:spacing w:val="-1"/>
                <w:sz w:val="21"/>
              </w:rPr>
              <w:t>1,029,156.87</w:t>
            </w:r>
          </w:p>
        </w:tc>
        <w:tc>
          <w:tcPr>
            <w:tcW w:w="1560"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92"/>
              <w:ind w:right="91"/>
              <w:jc w:val="right"/>
              <w:rPr>
                <w:rFonts w:ascii="Times New Roman" w:hAnsi="Times New Roman" w:cs="Times New Roman" w:eastAsia="Times New Roman" w:hint="default"/>
                <w:sz w:val="21"/>
                <w:szCs w:val="21"/>
              </w:rPr>
            </w:pPr>
            <w:r>
              <w:rPr>
                <w:rFonts w:ascii="Times New Roman"/>
                <w:spacing w:val="-1"/>
                <w:sz w:val="21"/>
              </w:rPr>
              <w:t>140,170.57</w:t>
            </w:r>
          </w:p>
        </w:tc>
        <w:tc>
          <w:tcPr>
            <w:tcW w:w="569" w:type="dxa"/>
            <w:tcBorders>
              <w:top w:val="single" w:sz="4" w:space="0" w:color="000000"/>
              <w:left w:val="single" w:sz="8"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太极云软窗口多功能输入仪软件</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285,357.51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center"/>
              <w:rPr>
                <w:rFonts w:ascii="Times New Roman" w:hAnsi="Times New Roman" w:cs="Times New Roman" w:eastAsia="Times New Roman" w:hint="default"/>
                <w:sz w:val="21"/>
                <w:szCs w:val="21"/>
              </w:rPr>
            </w:pPr>
            <w:r>
              <w:rPr>
                <w:rFonts w:ascii="Times New Roman"/>
                <w:sz w:val="21"/>
              </w:rPr>
              <w:t>1,966,633.84</w:t>
            </w:r>
          </w:p>
        </w:tc>
        <w:tc>
          <w:tcPr>
            <w:tcW w:w="42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2,251,991.35</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万创中国平台项目</w:t>
            </w:r>
          </w:p>
        </w:tc>
        <w:tc>
          <w:tcPr>
            <w:tcW w:w="170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1"/>
              <w:jc w:val="right"/>
              <w:rPr>
                <w:rFonts w:ascii="Times New Roman" w:hAnsi="Times New Roman" w:cs="Times New Roman" w:eastAsia="Times New Roman" w:hint="default"/>
                <w:sz w:val="21"/>
                <w:szCs w:val="21"/>
              </w:rPr>
            </w:pPr>
            <w:r>
              <w:rPr>
                <w:rFonts w:ascii="Times New Roman"/>
                <w:spacing w:val="-1"/>
                <w:sz w:val="21"/>
              </w:rPr>
              <w:t>2,747,915.49</w:t>
            </w:r>
          </w:p>
        </w:tc>
        <w:tc>
          <w:tcPr>
            <w:tcW w:w="156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1"/>
              <w:jc w:val="right"/>
              <w:rPr>
                <w:rFonts w:ascii="Times New Roman" w:hAnsi="Times New Roman" w:cs="Times New Roman" w:eastAsia="Times New Roman" w:hint="default"/>
                <w:sz w:val="21"/>
                <w:szCs w:val="21"/>
              </w:rPr>
            </w:pPr>
            <w:r>
              <w:rPr>
                <w:rFonts w:ascii="Times New Roman"/>
                <w:spacing w:val="-1"/>
                <w:sz w:val="21"/>
              </w:rPr>
              <w:t>240,385.96</w:t>
            </w:r>
          </w:p>
        </w:tc>
        <w:tc>
          <w:tcPr>
            <w:tcW w:w="1416" w:type="dxa"/>
            <w:tcBorders>
              <w:top w:val="single" w:sz="4" w:space="0" w:color="000000"/>
              <w:left w:val="single" w:sz="8"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2"/>
              <w:jc w:val="right"/>
              <w:rPr>
                <w:rFonts w:ascii="Times New Roman" w:hAnsi="Times New Roman" w:cs="Times New Roman" w:eastAsia="Times New Roman" w:hint="default"/>
                <w:sz w:val="21"/>
                <w:szCs w:val="21"/>
              </w:rPr>
            </w:pPr>
            <w:r>
              <w:rPr>
                <w:rFonts w:ascii="Times New Roman"/>
                <w:spacing w:val="-1"/>
                <w:sz w:val="21"/>
              </w:rPr>
              <w:t>2,988,301.45</w:t>
            </w:r>
          </w:p>
        </w:tc>
        <w:tc>
          <w:tcPr>
            <w:tcW w:w="1560" w:type="dxa"/>
            <w:tcBorders>
              <w:top w:val="single" w:sz="4" w:space="0" w:color="000000"/>
              <w:left w:val="single" w:sz="8" w:space="0" w:color="000000"/>
              <w:bottom w:val="single" w:sz="8" w:space="0" w:color="000000"/>
              <w:right w:val="single" w:sz="8" w:space="0" w:color="000000"/>
            </w:tcBorders>
          </w:tcPr>
          <w:p>
            <w:pPr/>
          </w:p>
        </w:tc>
        <w:tc>
          <w:tcPr>
            <w:tcW w:w="569" w:type="dxa"/>
            <w:tcBorders>
              <w:top w:val="single" w:sz="4" w:space="0" w:color="000000"/>
              <w:left w:val="single" w:sz="8"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小电卫士电动车智能防盗平台</w:t>
            </w:r>
          </w:p>
        </w:tc>
        <w:tc>
          <w:tcPr>
            <w:tcW w:w="1700" w:type="dxa"/>
            <w:tcBorders>
              <w:top w:val="single" w:sz="8" w:space="0" w:color="000000"/>
              <w:left w:val="single" w:sz="4"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1"/>
              <w:jc w:val="right"/>
              <w:rPr>
                <w:rFonts w:ascii="Times New Roman" w:hAnsi="Times New Roman" w:cs="Times New Roman" w:eastAsia="Times New Roman" w:hint="default"/>
                <w:sz w:val="21"/>
                <w:szCs w:val="21"/>
              </w:rPr>
            </w:pPr>
            <w:r>
              <w:rPr>
                <w:rFonts w:ascii="Times New Roman"/>
                <w:spacing w:val="-1"/>
                <w:sz w:val="21"/>
              </w:rPr>
              <w:t>672,653.75</w:t>
            </w:r>
          </w:p>
        </w:tc>
        <w:tc>
          <w:tcPr>
            <w:tcW w:w="1416" w:type="dxa"/>
            <w:tcBorders>
              <w:top w:val="single" w:sz="4" w:space="0" w:color="000000"/>
              <w:left w:val="single" w:sz="8"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8" w:space="0" w:color="000000"/>
              <w:left w:val="single" w:sz="4"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1"/>
              <w:jc w:val="right"/>
              <w:rPr>
                <w:rFonts w:ascii="Times New Roman" w:hAnsi="Times New Roman" w:cs="Times New Roman" w:eastAsia="Times New Roman" w:hint="default"/>
                <w:sz w:val="21"/>
                <w:szCs w:val="21"/>
              </w:rPr>
            </w:pPr>
            <w:r>
              <w:rPr>
                <w:rFonts w:ascii="Times New Roman"/>
                <w:spacing w:val="-1"/>
                <w:sz w:val="21"/>
              </w:rPr>
              <w:t>672,653.75</w:t>
            </w:r>
          </w:p>
        </w:tc>
        <w:tc>
          <w:tcPr>
            <w:tcW w:w="569" w:type="dxa"/>
            <w:tcBorders>
              <w:top w:val="single" w:sz="4" w:space="0" w:color="000000"/>
              <w:left w:val="single" w:sz="8"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0" w:type="dxa"/>
            <w:tcBorders>
              <w:top w:val="single" w:sz="8" w:space="0" w:color="000000"/>
              <w:left w:val="single" w:sz="4"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1"/>
              <w:jc w:val="right"/>
              <w:rPr>
                <w:rFonts w:ascii="Times New Roman" w:hAnsi="Times New Roman" w:cs="Times New Roman" w:eastAsia="Times New Roman" w:hint="default"/>
                <w:sz w:val="21"/>
                <w:szCs w:val="21"/>
              </w:rPr>
            </w:pPr>
            <w:r>
              <w:rPr>
                <w:rFonts w:ascii="Times New Roman"/>
                <w:spacing w:val="-1"/>
                <w:sz w:val="21"/>
              </w:rPr>
              <w:t>11,094,575.58</w:t>
            </w:r>
          </w:p>
        </w:tc>
        <w:tc>
          <w:tcPr>
            <w:tcW w:w="1416" w:type="dxa"/>
            <w:tcBorders>
              <w:top w:val="single" w:sz="4" w:space="0" w:color="000000"/>
              <w:left w:val="single" w:sz="8"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8" w:space="0" w:color="000000"/>
              <w:left w:val="single" w:sz="4"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1"/>
              <w:jc w:val="right"/>
              <w:rPr>
                <w:rFonts w:ascii="Times New Roman" w:hAnsi="Times New Roman" w:cs="Times New Roman" w:eastAsia="Times New Roman" w:hint="default"/>
                <w:sz w:val="21"/>
                <w:szCs w:val="21"/>
              </w:rPr>
            </w:pPr>
            <w:r>
              <w:rPr>
                <w:rFonts w:ascii="Times New Roman"/>
                <w:spacing w:val="-1"/>
                <w:sz w:val="21"/>
              </w:rPr>
              <w:t>11,094,575.58</w:t>
            </w:r>
          </w:p>
        </w:tc>
        <w:tc>
          <w:tcPr>
            <w:tcW w:w="569" w:type="dxa"/>
            <w:tcBorders>
              <w:top w:val="single" w:sz="4" w:space="0" w:color="000000"/>
              <w:left w:val="single" w:sz="8"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1300" w:right="1320"/>
        </w:sectPr>
      </w:pPr>
    </w:p>
    <w:p>
      <w:pPr>
        <w:spacing w:line="240" w:lineRule="auto" w:before="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257"/>
        <w:gridCol w:w="1700"/>
        <w:gridCol w:w="1560"/>
        <w:gridCol w:w="1416"/>
        <w:gridCol w:w="427"/>
        <w:gridCol w:w="1841"/>
        <w:gridCol w:w="1560"/>
        <w:gridCol w:w="569"/>
        <w:gridCol w:w="1558"/>
      </w:tblGrid>
      <w:tr>
        <w:trPr>
          <w:trHeight w:val="37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2" w:right="0"/>
              <w:jc w:val="left"/>
              <w:rPr>
                <w:rFonts w:ascii="Times New Roman" w:hAnsi="Times New Roman" w:cs="Times New Roman" w:eastAsia="Times New Roman" w:hint="default"/>
                <w:sz w:val="21"/>
                <w:szCs w:val="21"/>
              </w:rPr>
            </w:pPr>
            <w:r>
              <w:rPr>
                <w:rFonts w:ascii="Times New Roman"/>
                <w:sz w:val="21"/>
              </w:rPr>
              <w:t>29,798,901.11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2" w:right="0"/>
              <w:jc w:val="left"/>
              <w:rPr>
                <w:rFonts w:ascii="Times New Roman" w:hAnsi="Times New Roman" w:cs="Times New Roman" w:eastAsia="Times New Roman" w:hint="default"/>
                <w:sz w:val="21"/>
                <w:szCs w:val="21"/>
              </w:rPr>
            </w:pPr>
            <w:r>
              <w:rPr>
                <w:rFonts w:ascii="Times New Roman"/>
                <w:sz w:val="21"/>
              </w:rPr>
              <w:t>74,295,424.58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1" w:right="0"/>
              <w:jc w:val="left"/>
              <w:rPr>
                <w:rFonts w:ascii="Times New Roman" w:hAnsi="Times New Roman" w:cs="Times New Roman" w:eastAsia="Times New Roman" w:hint="default"/>
                <w:sz w:val="21"/>
                <w:szCs w:val="21"/>
              </w:rPr>
            </w:pPr>
            <w:r>
              <w:rPr>
                <w:rFonts w:ascii="Times New Roman"/>
                <w:sz w:val="21"/>
              </w:rPr>
              <w:t>1,966,633.84</w:t>
            </w:r>
          </w:p>
        </w:tc>
        <w:tc>
          <w:tcPr>
            <w:tcW w:w="427" w:type="dxa"/>
            <w:tcBorders>
              <w:top w:val="single" w:sz="4" w:space="0" w:color="000000"/>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8" w:space="0" w:color="000000"/>
              <w:right w:val="single" w:sz="8" w:space="0" w:color="000000"/>
            </w:tcBorders>
          </w:tcPr>
          <w:p>
            <w:pPr>
              <w:pStyle w:val="TableParagraph"/>
              <w:spacing w:line="240" w:lineRule="auto" w:before="96"/>
              <w:ind w:left="523" w:right="0"/>
              <w:jc w:val="left"/>
              <w:rPr>
                <w:rFonts w:ascii="Times New Roman" w:hAnsi="Times New Roman" w:cs="Times New Roman" w:eastAsia="Times New Roman" w:hint="default"/>
                <w:sz w:val="21"/>
                <w:szCs w:val="21"/>
              </w:rPr>
            </w:pPr>
            <w:r>
              <w:rPr>
                <w:rFonts w:ascii="Times New Roman"/>
                <w:sz w:val="21"/>
              </w:rPr>
              <w:t>22,949,207.62</w:t>
            </w:r>
          </w:p>
        </w:tc>
        <w:tc>
          <w:tcPr>
            <w:tcW w:w="15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6"/>
              <w:ind w:left="237" w:right="0"/>
              <w:jc w:val="left"/>
              <w:rPr>
                <w:rFonts w:ascii="Times New Roman" w:hAnsi="Times New Roman" w:cs="Times New Roman" w:eastAsia="Times New Roman" w:hint="default"/>
                <w:sz w:val="21"/>
                <w:szCs w:val="21"/>
              </w:rPr>
            </w:pPr>
            <w:r>
              <w:rPr>
                <w:rFonts w:ascii="Times New Roman"/>
                <w:sz w:val="21"/>
              </w:rPr>
              <w:t>22,221,838.94</w:t>
            </w:r>
          </w:p>
        </w:tc>
        <w:tc>
          <w:tcPr>
            <w:tcW w:w="569" w:type="dxa"/>
            <w:tcBorders>
              <w:top w:val="single" w:sz="4" w:space="0" w:color="000000"/>
              <w:left w:val="single" w:sz="8"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21"/>
                <w:szCs w:val="21"/>
              </w:rPr>
            </w:pPr>
            <w:r>
              <w:rPr>
                <w:rFonts w:ascii="Times New Roman"/>
                <w:sz w:val="21"/>
              </w:rPr>
              <w:t>60,889,912.97</w:t>
            </w:r>
          </w:p>
        </w:tc>
      </w:tr>
    </w:tbl>
    <w:p>
      <w:pPr>
        <w:pStyle w:val="BodyText"/>
        <w:spacing w:line="245" w:lineRule="exact"/>
        <w:ind w:left="224" w:right="12200"/>
        <w:jc w:val="left"/>
      </w:pPr>
      <w:r>
        <w:rPr/>
        <w:t>其他说明</w:t>
      </w:r>
    </w:p>
    <w:p>
      <w:pPr>
        <w:pStyle w:val="BodyText"/>
        <w:spacing w:line="272" w:lineRule="exact" w:before="27"/>
        <w:ind w:left="224" w:right="12200"/>
        <w:jc w:val="left"/>
      </w:pPr>
      <w:r>
        <w:rPr/>
        <w:t>无</w:t>
      </w:r>
      <w:r>
        <w:rPr>
          <w:w w:val="100"/>
        </w:rPr>
        <w:t> </w:t>
      </w:r>
      <w:r>
        <w:rPr>
          <w:spacing w:val="-2"/>
        </w:rPr>
        <w:t>资本化项目情况：</w:t>
      </w:r>
    </w:p>
    <w:tbl>
      <w:tblPr>
        <w:tblW w:w="0" w:type="auto"/>
        <w:jc w:val="left"/>
        <w:tblInd w:w="168" w:type="dxa"/>
        <w:tblLayout w:type="fixed"/>
        <w:tblCellMar>
          <w:top w:w="0" w:type="dxa"/>
          <w:left w:w="0" w:type="dxa"/>
          <w:bottom w:w="0" w:type="dxa"/>
          <w:right w:w="0" w:type="dxa"/>
        </w:tblCellMar>
        <w:tblLook w:val="01E0"/>
      </w:tblPr>
      <w:tblGrid>
        <w:gridCol w:w="2849"/>
        <w:gridCol w:w="1717"/>
        <w:gridCol w:w="2153"/>
        <w:gridCol w:w="7247"/>
      </w:tblGrid>
      <w:tr>
        <w:trPr>
          <w:trHeight w:val="444" w:hRule="exact"/>
        </w:trPr>
        <w:tc>
          <w:tcPr>
            <w:tcW w:w="2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112" w:right="0"/>
              <w:jc w:val="left"/>
              <w:rPr>
                <w:rFonts w:ascii="宋体" w:hAnsi="宋体" w:cs="宋体" w:eastAsia="宋体" w:hint="default"/>
                <w:sz w:val="21"/>
                <w:szCs w:val="21"/>
              </w:rPr>
            </w:pPr>
            <w:r>
              <w:rPr>
                <w:rFonts w:ascii="宋体" w:hAnsi="宋体" w:cs="宋体" w:eastAsia="宋体" w:hint="default"/>
                <w:sz w:val="21"/>
                <w:szCs w:val="21"/>
              </w:rPr>
              <w:t>资本化开始时点</w:t>
            </w:r>
          </w:p>
        </w:tc>
        <w:tc>
          <w:tcPr>
            <w:tcW w:w="2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228" w:right="0"/>
              <w:jc w:val="left"/>
              <w:rPr>
                <w:rFonts w:ascii="宋体" w:hAnsi="宋体" w:cs="宋体" w:eastAsia="宋体" w:hint="default"/>
                <w:sz w:val="21"/>
                <w:szCs w:val="21"/>
              </w:rPr>
            </w:pPr>
            <w:r>
              <w:rPr>
                <w:rFonts w:ascii="宋体" w:hAnsi="宋体" w:cs="宋体" w:eastAsia="宋体" w:hint="default"/>
                <w:sz w:val="21"/>
                <w:szCs w:val="21"/>
              </w:rPr>
              <w:t>资本化的具体依据</w:t>
            </w:r>
          </w:p>
        </w:tc>
        <w:tc>
          <w:tcPr>
            <w:tcW w:w="7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4" w:right="0"/>
              <w:jc w:val="center"/>
              <w:rPr>
                <w:rFonts w:ascii="宋体" w:hAnsi="宋体" w:cs="宋体" w:eastAsia="宋体" w:hint="default"/>
                <w:sz w:val="21"/>
                <w:szCs w:val="21"/>
              </w:rPr>
            </w:pPr>
            <w:r>
              <w:rPr>
                <w:rFonts w:ascii="宋体" w:hAnsi="宋体" w:cs="宋体" w:eastAsia="宋体" w:hint="default"/>
                <w:sz w:val="21"/>
                <w:szCs w:val="21"/>
              </w:rPr>
              <w:t>截止期末的研发进度</w:t>
            </w:r>
          </w:p>
        </w:tc>
      </w:tr>
      <w:tr>
        <w:trPr>
          <w:trHeight w:val="739" w:hRule="exact"/>
        </w:trPr>
        <w:tc>
          <w:tcPr>
            <w:tcW w:w="2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电子证照共享服务平台</w:t>
            </w:r>
          </w:p>
        </w:tc>
        <w:tc>
          <w:tcPr>
            <w:tcW w:w="1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6" w:right="0"/>
              <w:jc w:val="left"/>
              <w:rPr>
                <w:rFonts w:ascii="Times New Roman" w:hAnsi="Times New Roman" w:cs="Times New Roman" w:eastAsia="Times New Roman" w:hint="default"/>
                <w:sz w:val="21"/>
                <w:szCs w:val="21"/>
              </w:rPr>
            </w:pPr>
            <w:r>
              <w:rPr>
                <w:rFonts w:ascii="Times New Roman"/>
                <w:sz w:val="21"/>
              </w:rPr>
              <w:t>2016-11-7</w:t>
            </w:r>
          </w:p>
        </w:tc>
        <w:tc>
          <w:tcPr>
            <w:tcW w:w="2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项目立项审批</w:t>
            </w:r>
          </w:p>
        </w:tc>
        <w:tc>
          <w:tcPr>
            <w:tcW w:w="7247"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42"/>
              <w:ind w:left="36" w:right="29"/>
              <w:jc w:val="left"/>
              <w:rPr>
                <w:rFonts w:ascii="宋体" w:hAnsi="宋体" w:cs="宋体" w:eastAsia="宋体" w:hint="default"/>
                <w:sz w:val="21"/>
                <w:szCs w:val="21"/>
              </w:rPr>
            </w:pPr>
            <w:r>
              <w:rPr>
                <w:rFonts w:ascii="宋体" w:hAnsi="宋体" w:cs="宋体" w:eastAsia="宋体" w:hint="default"/>
                <w:spacing w:val="-1"/>
                <w:sz w:val="21"/>
                <w:szCs w:val="21"/>
              </w:rPr>
              <w:t>已完成证照目录的区域管理功能，完成报表统计的区域统计功能开发；完成修</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改密码接口功能开发及性能测试；完成模拟对接功能开发。</w:t>
            </w:r>
          </w:p>
        </w:tc>
      </w:tr>
      <w:tr>
        <w:trPr>
          <w:trHeight w:val="1102" w:hRule="exact"/>
        </w:trPr>
        <w:tc>
          <w:tcPr>
            <w:tcW w:w="2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36" w:right="33"/>
              <w:jc w:val="left"/>
              <w:rPr>
                <w:rFonts w:ascii="宋体" w:hAnsi="宋体" w:cs="宋体" w:eastAsia="宋体" w:hint="default"/>
                <w:sz w:val="21"/>
                <w:szCs w:val="21"/>
              </w:rPr>
            </w:pPr>
            <w:r>
              <w:rPr>
                <w:rFonts w:ascii="宋体" w:hAnsi="宋体" w:cs="宋体" w:eastAsia="宋体" w:hint="default"/>
                <w:sz w:val="21"/>
                <w:szCs w:val="21"/>
              </w:rPr>
              <w:t>智慧城市综合管理平台研发项</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目</w:t>
            </w:r>
          </w:p>
        </w:tc>
        <w:tc>
          <w:tcPr>
            <w:tcW w:w="1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6" w:right="0"/>
              <w:jc w:val="left"/>
              <w:rPr>
                <w:rFonts w:ascii="Times New Roman" w:hAnsi="Times New Roman" w:cs="Times New Roman" w:eastAsia="Times New Roman" w:hint="default"/>
                <w:sz w:val="21"/>
                <w:szCs w:val="21"/>
              </w:rPr>
            </w:pPr>
            <w:r>
              <w:rPr>
                <w:rFonts w:ascii="Times New Roman"/>
                <w:sz w:val="21"/>
              </w:rPr>
              <w:t>2016-11-7</w:t>
            </w:r>
          </w:p>
        </w:tc>
        <w:tc>
          <w:tcPr>
            <w:tcW w:w="2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36" w:right="0"/>
              <w:jc w:val="left"/>
              <w:rPr>
                <w:rFonts w:ascii="宋体" w:hAnsi="宋体" w:cs="宋体" w:eastAsia="宋体" w:hint="default"/>
                <w:sz w:val="21"/>
                <w:szCs w:val="21"/>
              </w:rPr>
            </w:pPr>
            <w:r>
              <w:rPr>
                <w:rFonts w:ascii="宋体" w:hAnsi="宋体" w:cs="宋体" w:eastAsia="宋体" w:hint="default"/>
                <w:sz w:val="21"/>
                <w:szCs w:val="21"/>
              </w:rPr>
              <w:t>项目立项审批</w:t>
            </w:r>
          </w:p>
        </w:tc>
        <w:tc>
          <w:tcPr>
            <w:tcW w:w="7247"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45"/>
              <w:ind w:left="36" w:right="29"/>
              <w:jc w:val="both"/>
              <w:rPr>
                <w:rFonts w:ascii="宋体" w:hAnsi="宋体" w:cs="宋体" w:eastAsia="宋体" w:hint="default"/>
                <w:sz w:val="21"/>
                <w:szCs w:val="21"/>
              </w:rPr>
            </w:pPr>
            <w:r>
              <w:rPr>
                <w:rFonts w:ascii="宋体" w:hAnsi="宋体" w:cs="宋体" w:eastAsia="宋体" w:hint="default"/>
                <w:spacing w:val="-1"/>
                <w:sz w:val="21"/>
                <w:szCs w:val="21"/>
              </w:rPr>
              <w:t>已完成智慧城市基础支撑平台项目进行压力测试和确认测试、进行产品的进一</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步优化；智慧城市数据交换中间件项目已完成</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IDE</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开发工具；智能感知大数据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平台</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2018/12/28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验收通过并发布。</w:t>
            </w:r>
          </w:p>
        </w:tc>
      </w:tr>
      <w:tr>
        <w:trPr>
          <w:trHeight w:val="739" w:hRule="exact"/>
        </w:trPr>
        <w:tc>
          <w:tcPr>
            <w:tcW w:w="2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大数据处理与开发平台</w:t>
            </w:r>
          </w:p>
        </w:tc>
        <w:tc>
          <w:tcPr>
            <w:tcW w:w="1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6" w:right="0"/>
              <w:jc w:val="left"/>
              <w:rPr>
                <w:rFonts w:ascii="Times New Roman" w:hAnsi="Times New Roman" w:cs="Times New Roman" w:eastAsia="Times New Roman" w:hint="default"/>
                <w:sz w:val="21"/>
                <w:szCs w:val="21"/>
              </w:rPr>
            </w:pPr>
            <w:r>
              <w:rPr>
                <w:rFonts w:ascii="Times New Roman"/>
                <w:sz w:val="21"/>
              </w:rPr>
              <w:t>2016-11-7</w:t>
            </w:r>
          </w:p>
        </w:tc>
        <w:tc>
          <w:tcPr>
            <w:tcW w:w="2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项目立项审批</w:t>
            </w:r>
          </w:p>
        </w:tc>
        <w:tc>
          <w:tcPr>
            <w:tcW w:w="7247" w:type="dxa"/>
            <w:tcBorders>
              <w:top w:val="single" w:sz="8" w:space="0" w:color="000000"/>
              <w:left w:val="single" w:sz="8" w:space="0" w:color="000000"/>
              <w:bottom w:val="single" w:sz="8" w:space="0" w:color="000000"/>
              <w:right w:val="single" w:sz="8" w:space="0" w:color="000000"/>
            </w:tcBorders>
          </w:tcPr>
          <w:p>
            <w:pPr>
              <w:pStyle w:val="TableParagraph"/>
              <w:spacing w:line="297" w:lineRule="auto" w:before="42"/>
              <w:ind w:left="36" w:right="29"/>
              <w:jc w:val="left"/>
              <w:rPr>
                <w:rFonts w:ascii="宋体" w:hAnsi="宋体" w:cs="宋体" w:eastAsia="宋体" w:hint="default"/>
                <w:sz w:val="21"/>
                <w:szCs w:val="21"/>
              </w:rPr>
            </w:pPr>
            <w:r>
              <w:rPr>
                <w:rFonts w:ascii="宋体" w:hAnsi="宋体" w:cs="宋体" w:eastAsia="宋体" w:hint="default"/>
                <w:sz w:val="21"/>
                <w:szCs w:val="21"/>
              </w:rPr>
              <w:t>完成优化连接</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Elasticsearch</w:t>
            </w:r>
            <w:r>
              <w:rPr>
                <w:rFonts w:ascii="Times New Roman" w:hAnsi="Times New Roman" w:cs="Times New Roman" w:eastAsia="Times New Roman" w:hint="default"/>
                <w:spacing w:val="4"/>
                <w:sz w:val="21"/>
                <w:szCs w:val="21"/>
              </w:rPr>
              <w:t> </w:t>
            </w:r>
            <w:r>
              <w:rPr>
                <w:rFonts w:ascii="宋体" w:hAnsi="宋体" w:cs="宋体" w:eastAsia="宋体" w:hint="default"/>
                <w:spacing w:val="-11"/>
                <w:sz w:val="21"/>
                <w:szCs w:val="21"/>
              </w:rPr>
              <w:t>连接池，对</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Elasticsaerch</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进行分区分表优化，进行查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询条件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where</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下发优化开发。</w:t>
            </w:r>
          </w:p>
        </w:tc>
      </w:tr>
      <w:tr>
        <w:trPr>
          <w:trHeight w:val="1460" w:hRule="exact"/>
        </w:trPr>
        <w:tc>
          <w:tcPr>
            <w:tcW w:w="2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城市通平台建设项目</w:t>
            </w:r>
          </w:p>
        </w:tc>
        <w:tc>
          <w:tcPr>
            <w:tcW w:w="1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36" w:right="0"/>
              <w:jc w:val="left"/>
              <w:rPr>
                <w:rFonts w:ascii="Times New Roman" w:hAnsi="Times New Roman" w:cs="Times New Roman" w:eastAsia="Times New Roman" w:hint="default"/>
                <w:sz w:val="21"/>
                <w:szCs w:val="21"/>
              </w:rPr>
            </w:pPr>
            <w:r>
              <w:rPr>
                <w:rFonts w:ascii="Times New Roman"/>
                <w:sz w:val="21"/>
              </w:rPr>
              <w:t>2018-10-22</w:t>
            </w:r>
          </w:p>
        </w:tc>
        <w:tc>
          <w:tcPr>
            <w:tcW w:w="2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项目立项审批</w:t>
            </w:r>
          </w:p>
        </w:tc>
        <w:tc>
          <w:tcPr>
            <w:tcW w:w="7247"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42"/>
              <w:ind w:left="36" w:right="29"/>
              <w:jc w:val="both"/>
              <w:rPr>
                <w:rFonts w:ascii="宋体" w:hAnsi="宋体" w:cs="宋体" w:eastAsia="宋体" w:hint="default"/>
                <w:sz w:val="21"/>
                <w:szCs w:val="21"/>
              </w:rPr>
            </w:pPr>
            <w:r>
              <w:rPr>
                <w:rFonts w:ascii="宋体" w:hAnsi="宋体" w:cs="宋体" w:eastAsia="宋体" w:hint="default"/>
                <w:sz w:val="21"/>
                <w:szCs w:val="21"/>
              </w:rPr>
              <w:t>已完成城市通</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APP</w:t>
            </w:r>
            <w:r>
              <w:rPr>
                <w:rFonts w:ascii="Times New Roman" w:hAnsi="Times New Roman" w:cs="Times New Roman" w:eastAsia="Times New Roman" w:hint="default"/>
                <w:spacing w:val="22"/>
                <w:sz w:val="21"/>
                <w:szCs w:val="21"/>
              </w:rPr>
              <w:t> </w:t>
            </w:r>
            <w:r>
              <w:rPr>
                <w:rFonts w:ascii="Times New Roman" w:hAnsi="Times New Roman" w:cs="Times New Roman" w:eastAsia="Times New Roman" w:hint="default"/>
                <w:sz w:val="21"/>
                <w:szCs w:val="21"/>
              </w:rPr>
              <w:t>IOS</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和</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android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端用户注册</w:t>
            </w:r>
            <w:r>
              <w:rPr>
                <w:rFonts w:ascii="宋体" w:hAnsi="宋体" w:cs="宋体" w:eastAsia="宋体" w:hint="default"/>
                <w:sz w:val="21"/>
                <w:szCs w:val="21"/>
              </w:rPr>
              <w:t>/</w:t>
            </w:r>
            <w:r>
              <w:rPr>
                <w:rFonts w:ascii="宋体" w:hAnsi="宋体" w:cs="宋体" w:eastAsia="宋体" w:hint="default"/>
                <w:sz w:val="21"/>
                <w:szCs w:val="21"/>
              </w:rPr>
              <w:t>登陆，基本资料，搜索，</w:t>
            </w:r>
            <w:r>
              <w:rPr>
                <w:rFonts w:ascii="Times New Roman" w:hAnsi="Times New Roman" w:cs="Times New Roman" w:eastAsia="Times New Roman" w:hint="default"/>
                <w:sz w:val="21"/>
                <w:szCs w:val="21"/>
              </w:rPr>
              <w:t>banner</w:t>
            </w:r>
            <w:r>
              <w:rPr>
                <w:rFonts w:ascii="Times New Roman" w:hAnsi="Times New Roman" w:cs="Times New Roman" w:eastAsia="Times New Roman" w:hint="default"/>
                <w:w w:val="100"/>
                <w:sz w:val="21"/>
                <w:szCs w:val="21"/>
              </w:rPr>
              <w:t> </w:t>
            </w:r>
            <w:r>
              <w:rPr>
                <w:rFonts w:ascii="宋体" w:hAnsi="宋体" w:cs="宋体" w:eastAsia="宋体" w:hint="default"/>
                <w:spacing w:val="-1"/>
                <w:sz w:val="21"/>
                <w:szCs w:val="21"/>
              </w:rPr>
              <w:t>轮播，常用服务配置的开发；基础支撑平台的服务治理模块，服务间调用模块</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1"/>
                <w:sz w:val="21"/>
                <w:szCs w:val="21"/>
              </w:rPr>
              <w:t>的开发；日志跟踪模块，统一配置中心模块，分布式缓存模块，数据库存储模</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块的开发。</w:t>
            </w:r>
          </w:p>
        </w:tc>
      </w:tr>
      <w:tr>
        <w:trPr>
          <w:trHeight w:val="742" w:hRule="exact"/>
        </w:trPr>
        <w:tc>
          <w:tcPr>
            <w:tcW w:w="2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华夏匠人</w:t>
            </w:r>
          </w:p>
        </w:tc>
        <w:tc>
          <w:tcPr>
            <w:tcW w:w="1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6" w:right="0"/>
              <w:jc w:val="left"/>
              <w:rPr>
                <w:rFonts w:ascii="Times New Roman" w:hAnsi="Times New Roman" w:cs="Times New Roman" w:eastAsia="Times New Roman" w:hint="default"/>
                <w:sz w:val="21"/>
                <w:szCs w:val="21"/>
              </w:rPr>
            </w:pPr>
            <w:r>
              <w:rPr>
                <w:rFonts w:ascii="Times New Roman"/>
                <w:sz w:val="21"/>
              </w:rPr>
              <w:t>2018-4-3</w:t>
            </w:r>
          </w:p>
        </w:tc>
        <w:tc>
          <w:tcPr>
            <w:tcW w:w="2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项目立项审批</w:t>
            </w:r>
          </w:p>
        </w:tc>
        <w:tc>
          <w:tcPr>
            <w:tcW w:w="7247"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45"/>
              <w:ind w:left="36" w:right="29"/>
              <w:jc w:val="left"/>
              <w:rPr>
                <w:rFonts w:ascii="宋体" w:hAnsi="宋体" w:cs="宋体" w:eastAsia="宋体" w:hint="default"/>
                <w:sz w:val="21"/>
                <w:szCs w:val="21"/>
              </w:rPr>
            </w:pPr>
            <w:r>
              <w:rPr>
                <w:rFonts w:ascii="宋体" w:hAnsi="宋体" w:cs="宋体" w:eastAsia="宋体" w:hint="default"/>
                <w:spacing w:val="-1"/>
                <w:sz w:val="21"/>
                <w:szCs w:val="21"/>
              </w:rPr>
              <w:t>已完成华夏匠人基础功能开发，以及送礼小程序直接送礼功能、小程序购物车</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功能、匠选好礼小程序优化，包括分享图片、领取礼物页面的功能开发。</w:t>
            </w:r>
          </w:p>
        </w:tc>
      </w:tr>
      <w:tr>
        <w:trPr>
          <w:trHeight w:val="739" w:hRule="exact"/>
        </w:trPr>
        <w:tc>
          <w:tcPr>
            <w:tcW w:w="2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红点智慧社区云平台</w:t>
            </w:r>
          </w:p>
        </w:tc>
        <w:tc>
          <w:tcPr>
            <w:tcW w:w="1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6" w:right="0"/>
              <w:jc w:val="left"/>
              <w:rPr>
                <w:rFonts w:ascii="Times New Roman" w:hAnsi="Times New Roman" w:cs="Times New Roman" w:eastAsia="Times New Roman" w:hint="default"/>
                <w:sz w:val="21"/>
                <w:szCs w:val="21"/>
              </w:rPr>
            </w:pPr>
            <w:r>
              <w:rPr>
                <w:rFonts w:ascii="Times New Roman"/>
                <w:sz w:val="21"/>
              </w:rPr>
              <w:t>2018-7-2</w:t>
            </w:r>
          </w:p>
        </w:tc>
        <w:tc>
          <w:tcPr>
            <w:tcW w:w="2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项目立项审批</w:t>
            </w:r>
          </w:p>
        </w:tc>
        <w:tc>
          <w:tcPr>
            <w:tcW w:w="7247" w:type="dxa"/>
            <w:tcBorders>
              <w:top w:val="single" w:sz="8" w:space="0" w:color="000000"/>
              <w:left w:val="single" w:sz="8" w:space="0" w:color="000000"/>
              <w:bottom w:val="single" w:sz="8" w:space="0" w:color="000000"/>
              <w:right w:val="single" w:sz="8" w:space="0" w:color="000000"/>
            </w:tcBorders>
          </w:tcPr>
          <w:p>
            <w:pPr>
              <w:pStyle w:val="TableParagraph"/>
              <w:spacing w:line="297" w:lineRule="auto" w:before="42"/>
              <w:ind w:left="36" w:right="29"/>
              <w:jc w:val="left"/>
              <w:rPr>
                <w:rFonts w:ascii="宋体" w:hAnsi="宋体" w:cs="宋体" w:eastAsia="宋体" w:hint="default"/>
                <w:sz w:val="21"/>
                <w:szCs w:val="21"/>
              </w:rPr>
            </w:pPr>
            <w:r>
              <w:rPr>
                <w:rFonts w:ascii="宋体" w:hAnsi="宋体" w:cs="宋体" w:eastAsia="宋体" w:hint="default"/>
                <w:sz w:val="21"/>
                <w:szCs w:val="21"/>
              </w:rPr>
              <w:t>已完成优化保安营盘</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V1.0</w:t>
            </w:r>
            <w:r>
              <w:rPr>
                <w:rFonts w:ascii="宋体" w:hAnsi="宋体" w:cs="宋体" w:eastAsia="宋体" w:hint="default"/>
                <w:spacing w:val="-4"/>
                <w:sz w:val="21"/>
                <w:szCs w:val="21"/>
              </w:rPr>
              <w:t>、开发物业营盘</w:t>
            </w:r>
            <w:r>
              <w:rPr>
                <w:rFonts w:ascii="宋体" w:hAnsi="宋体" w:cs="宋体" w:eastAsia="宋体" w:hint="default"/>
                <w:spacing w:val="-45"/>
                <w:sz w:val="21"/>
                <w:szCs w:val="21"/>
              </w:rPr>
              <w:t> </w:t>
            </w:r>
            <w:r>
              <w:rPr>
                <w:rFonts w:ascii="Times New Roman" w:hAnsi="Times New Roman" w:cs="Times New Roman" w:eastAsia="Times New Roman" w:hint="default"/>
                <w:spacing w:val="-5"/>
                <w:sz w:val="21"/>
                <w:szCs w:val="21"/>
              </w:rPr>
              <w:t>V1.0</w:t>
            </w:r>
            <w:r>
              <w:rPr>
                <w:rFonts w:ascii="宋体" w:hAnsi="宋体" w:cs="宋体" w:eastAsia="宋体" w:hint="default"/>
                <w:spacing w:val="-5"/>
                <w:sz w:val="21"/>
                <w:szCs w:val="21"/>
              </w:rPr>
              <w:t>、优化喜信</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APPV1.0</w:t>
            </w:r>
            <w:r>
              <w:rPr>
                <w:rFonts w:ascii="宋体" w:hAnsi="宋体" w:cs="宋体" w:eastAsia="宋体" w:hint="default"/>
                <w:spacing w:val="-4"/>
                <w:sz w:val="21"/>
                <w:szCs w:val="21"/>
              </w:rPr>
              <w:t>、开发门禁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系统</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V1.0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的开发和银豹收银系统付的设计工作。</w:t>
            </w:r>
          </w:p>
        </w:tc>
      </w:tr>
      <w:tr>
        <w:trPr>
          <w:trHeight w:val="1102" w:hRule="exact"/>
        </w:trPr>
        <w:tc>
          <w:tcPr>
            <w:tcW w:w="2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36" w:right="33"/>
              <w:jc w:val="left"/>
              <w:rPr>
                <w:rFonts w:ascii="宋体" w:hAnsi="宋体" w:cs="宋体" w:eastAsia="宋体" w:hint="default"/>
                <w:sz w:val="21"/>
                <w:szCs w:val="21"/>
              </w:rPr>
            </w:pPr>
            <w:r>
              <w:rPr>
                <w:rFonts w:ascii="宋体" w:hAnsi="宋体" w:cs="宋体" w:eastAsia="宋体" w:hint="default"/>
                <w:sz w:val="21"/>
                <w:szCs w:val="21"/>
              </w:rPr>
              <w:t>智能型“放管服”一体化平台</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建设项目</w:t>
            </w:r>
          </w:p>
        </w:tc>
        <w:tc>
          <w:tcPr>
            <w:tcW w:w="1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6" w:right="0"/>
              <w:jc w:val="left"/>
              <w:rPr>
                <w:rFonts w:ascii="Times New Roman" w:hAnsi="Times New Roman" w:cs="Times New Roman" w:eastAsia="Times New Roman" w:hint="default"/>
                <w:sz w:val="21"/>
                <w:szCs w:val="21"/>
              </w:rPr>
            </w:pPr>
            <w:r>
              <w:rPr>
                <w:rFonts w:ascii="Times New Roman"/>
                <w:sz w:val="21"/>
              </w:rPr>
              <w:t>2018-10-22</w:t>
            </w:r>
          </w:p>
        </w:tc>
        <w:tc>
          <w:tcPr>
            <w:tcW w:w="2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36" w:right="0"/>
              <w:jc w:val="left"/>
              <w:rPr>
                <w:rFonts w:ascii="宋体" w:hAnsi="宋体" w:cs="宋体" w:eastAsia="宋体" w:hint="default"/>
                <w:sz w:val="21"/>
                <w:szCs w:val="21"/>
              </w:rPr>
            </w:pPr>
            <w:r>
              <w:rPr>
                <w:rFonts w:ascii="宋体" w:hAnsi="宋体" w:cs="宋体" w:eastAsia="宋体" w:hint="default"/>
                <w:sz w:val="21"/>
                <w:szCs w:val="21"/>
              </w:rPr>
              <w:t>项目立项审批</w:t>
            </w:r>
          </w:p>
        </w:tc>
        <w:tc>
          <w:tcPr>
            <w:tcW w:w="7247" w:type="dxa"/>
            <w:tcBorders>
              <w:top w:val="single" w:sz="8" w:space="0" w:color="000000"/>
              <w:left w:val="single" w:sz="8" w:space="0" w:color="000000"/>
              <w:bottom w:val="single" w:sz="8" w:space="0" w:color="000000"/>
              <w:right w:val="single" w:sz="8" w:space="0" w:color="000000"/>
            </w:tcBorders>
          </w:tcPr>
          <w:p>
            <w:pPr>
              <w:pStyle w:val="TableParagraph"/>
              <w:spacing w:line="307" w:lineRule="auto" w:before="42"/>
              <w:ind w:left="36" w:right="29"/>
              <w:jc w:val="both"/>
              <w:rPr>
                <w:rFonts w:ascii="宋体" w:hAnsi="宋体" w:cs="宋体" w:eastAsia="宋体" w:hint="default"/>
                <w:sz w:val="21"/>
                <w:szCs w:val="21"/>
              </w:rPr>
            </w:pPr>
            <w:r>
              <w:rPr>
                <w:rFonts w:ascii="宋体" w:hAnsi="宋体" w:cs="宋体" w:eastAsia="宋体" w:hint="default"/>
                <w:sz w:val="21"/>
                <w:szCs w:val="21"/>
              </w:rPr>
              <w:t>已完成</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E</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证通平台部分相关功能模块、统一受理系统部分相关功能模块、终端</w:t>
            </w:r>
            <w:r>
              <w:rPr>
                <w:rFonts w:ascii="宋体" w:hAnsi="宋体" w:cs="宋体" w:eastAsia="宋体" w:hint="default"/>
                <w:w w:val="100"/>
                <w:sz w:val="21"/>
                <w:szCs w:val="21"/>
              </w:rPr>
              <w:t> </w:t>
            </w:r>
            <w:r>
              <w:rPr>
                <w:rFonts w:ascii="宋体" w:hAnsi="宋体" w:cs="宋体" w:eastAsia="宋体" w:hint="default"/>
                <w:spacing w:val="-1"/>
                <w:sz w:val="21"/>
                <w:szCs w:val="21"/>
              </w:rPr>
              <w:t>智能管控系统部分相关功能模块、政务服务事项标准管理系统数部分相关功能</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模块研发。</w:t>
            </w:r>
          </w:p>
        </w:tc>
      </w:tr>
    </w:tbl>
    <w:p>
      <w:pPr>
        <w:spacing w:after="0" w:line="307" w:lineRule="auto"/>
        <w:jc w:val="both"/>
        <w:rPr>
          <w:rFonts w:ascii="宋体" w:hAnsi="宋体" w:cs="宋体" w:eastAsia="宋体" w:hint="default"/>
          <w:sz w:val="21"/>
          <w:szCs w:val="21"/>
        </w:rPr>
        <w:sectPr>
          <w:pgSz w:w="16840" w:h="11910" w:orient="landscape"/>
          <w:pgMar w:header="857" w:footer="980" w:top="1120" w:bottom="1160" w:left="1300" w:right="1260"/>
        </w:sectPr>
      </w:pPr>
    </w:p>
    <w:p>
      <w:pPr>
        <w:spacing w:line="240" w:lineRule="auto" w:before="11"/>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849"/>
        <w:gridCol w:w="1717"/>
        <w:gridCol w:w="2153"/>
        <w:gridCol w:w="7247"/>
      </w:tblGrid>
      <w:tr>
        <w:trPr>
          <w:trHeight w:val="739" w:hRule="exact"/>
        </w:trPr>
        <w:tc>
          <w:tcPr>
            <w:tcW w:w="2849"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42"/>
              <w:ind w:left="36" w:right="31"/>
              <w:jc w:val="left"/>
              <w:rPr>
                <w:rFonts w:ascii="宋体" w:hAnsi="宋体" w:cs="宋体" w:eastAsia="宋体" w:hint="default"/>
                <w:sz w:val="21"/>
                <w:szCs w:val="21"/>
              </w:rPr>
            </w:pPr>
            <w:r>
              <w:rPr>
                <w:rFonts w:ascii="宋体" w:hAnsi="宋体" w:cs="宋体" w:eastAsia="宋体" w:hint="default"/>
                <w:sz w:val="21"/>
                <w:szCs w:val="21"/>
              </w:rPr>
              <w:t>太极云软智慧政务</w:t>
            </w:r>
            <w:r>
              <w:rPr>
                <w:rFonts w:ascii="宋体" w:hAnsi="宋体" w:cs="宋体" w:eastAsia="宋体" w:hint="default"/>
                <w:sz w:val="21"/>
                <w:szCs w:val="21"/>
              </w:rPr>
              <w:t>"</w:t>
            </w:r>
            <w:r>
              <w:rPr>
                <w:rFonts w:ascii="宋体" w:hAnsi="宋体" w:cs="宋体" w:eastAsia="宋体" w:hint="default"/>
                <w:sz w:val="21"/>
                <w:szCs w:val="21"/>
              </w:rPr>
              <w:t>秒批秒办</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支撑系统</w:t>
            </w:r>
          </w:p>
        </w:tc>
        <w:tc>
          <w:tcPr>
            <w:tcW w:w="1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6" w:right="0"/>
              <w:jc w:val="left"/>
              <w:rPr>
                <w:rFonts w:ascii="Times New Roman" w:hAnsi="Times New Roman" w:cs="Times New Roman" w:eastAsia="Times New Roman" w:hint="default"/>
                <w:sz w:val="21"/>
                <w:szCs w:val="21"/>
              </w:rPr>
            </w:pPr>
            <w:r>
              <w:rPr>
                <w:rFonts w:ascii="Times New Roman"/>
                <w:sz w:val="21"/>
              </w:rPr>
              <w:t>2018-12-1</w:t>
            </w:r>
          </w:p>
        </w:tc>
        <w:tc>
          <w:tcPr>
            <w:tcW w:w="2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项目立项审批</w:t>
            </w:r>
          </w:p>
        </w:tc>
        <w:tc>
          <w:tcPr>
            <w:tcW w:w="7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已完成多渠道秒办申报模块下的移动办事大厅的开发。</w:t>
            </w:r>
          </w:p>
        </w:tc>
      </w:tr>
      <w:tr>
        <w:trPr>
          <w:trHeight w:val="1099" w:hRule="exact"/>
        </w:trPr>
        <w:tc>
          <w:tcPr>
            <w:tcW w:w="2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36" w:right="0"/>
              <w:jc w:val="left"/>
              <w:rPr>
                <w:rFonts w:ascii="宋体" w:hAnsi="宋体" w:cs="宋体" w:eastAsia="宋体" w:hint="default"/>
                <w:sz w:val="21"/>
                <w:szCs w:val="21"/>
              </w:rPr>
            </w:pPr>
            <w:r>
              <w:rPr>
                <w:rFonts w:ascii="宋体" w:hAnsi="宋体" w:cs="宋体" w:eastAsia="宋体" w:hint="default"/>
                <w:sz w:val="21"/>
                <w:szCs w:val="21"/>
              </w:rPr>
              <w:t>公共安全管理平台</w:t>
            </w:r>
          </w:p>
        </w:tc>
        <w:tc>
          <w:tcPr>
            <w:tcW w:w="1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36" w:right="0"/>
              <w:jc w:val="left"/>
              <w:rPr>
                <w:rFonts w:ascii="Times New Roman" w:hAnsi="Times New Roman" w:cs="Times New Roman" w:eastAsia="Times New Roman" w:hint="default"/>
                <w:sz w:val="21"/>
                <w:szCs w:val="21"/>
              </w:rPr>
            </w:pPr>
            <w:r>
              <w:rPr>
                <w:rFonts w:ascii="Times New Roman"/>
                <w:sz w:val="21"/>
              </w:rPr>
              <w:t>2018-10-22</w:t>
            </w:r>
          </w:p>
        </w:tc>
        <w:tc>
          <w:tcPr>
            <w:tcW w:w="2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36" w:right="0"/>
              <w:jc w:val="left"/>
              <w:rPr>
                <w:rFonts w:ascii="宋体" w:hAnsi="宋体" w:cs="宋体" w:eastAsia="宋体" w:hint="default"/>
                <w:sz w:val="21"/>
                <w:szCs w:val="21"/>
              </w:rPr>
            </w:pPr>
            <w:r>
              <w:rPr>
                <w:rFonts w:ascii="宋体" w:hAnsi="宋体" w:cs="宋体" w:eastAsia="宋体" w:hint="default"/>
                <w:sz w:val="21"/>
                <w:szCs w:val="21"/>
              </w:rPr>
              <w:t>项目立项审批</w:t>
            </w:r>
          </w:p>
        </w:tc>
        <w:tc>
          <w:tcPr>
            <w:tcW w:w="7247"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42"/>
              <w:ind w:left="36" w:right="28"/>
              <w:jc w:val="both"/>
              <w:rPr>
                <w:rFonts w:ascii="宋体" w:hAnsi="宋体" w:cs="宋体" w:eastAsia="宋体" w:hint="default"/>
                <w:sz w:val="21"/>
                <w:szCs w:val="21"/>
              </w:rPr>
            </w:pPr>
            <w:r>
              <w:rPr>
                <w:rFonts w:ascii="宋体" w:hAnsi="宋体" w:cs="宋体" w:eastAsia="宋体" w:hint="default"/>
                <w:spacing w:val="-1"/>
                <w:sz w:val="21"/>
                <w:szCs w:val="21"/>
              </w:rPr>
              <w:t>完成天网两个平台：感知传输汇聚平台的数据采集、数据接入、设备管理、校</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时同步、设备监控功能开发的</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；统一智能分析服务平台的算法仓库、任务</w:t>
            </w:r>
            <w:r>
              <w:rPr>
                <w:rFonts w:ascii="宋体" w:hAnsi="宋体" w:cs="宋体" w:eastAsia="宋体" w:hint="default"/>
                <w:w w:val="100"/>
                <w:sz w:val="21"/>
                <w:szCs w:val="21"/>
              </w:rPr>
              <w:t> </w:t>
            </w:r>
            <w:r>
              <w:rPr>
                <w:rFonts w:ascii="宋体" w:hAnsi="宋体" w:cs="宋体" w:eastAsia="宋体" w:hint="default"/>
                <w:sz w:val="21"/>
                <w:szCs w:val="21"/>
              </w:rPr>
              <w:t>调度、任务监控功能开发的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tc>
      </w:tr>
      <w:tr>
        <w:trPr>
          <w:trHeight w:val="446" w:hRule="exact"/>
        </w:trPr>
        <w:tc>
          <w:tcPr>
            <w:tcW w:w="2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36" w:right="0"/>
              <w:jc w:val="left"/>
              <w:rPr>
                <w:rFonts w:ascii="宋体" w:hAnsi="宋体" w:cs="宋体" w:eastAsia="宋体" w:hint="default"/>
                <w:sz w:val="21"/>
                <w:szCs w:val="21"/>
              </w:rPr>
            </w:pPr>
            <w:r>
              <w:rPr>
                <w:rFonts w:ascii="宋体" w:hAnsi="宋体" w:cs="宋体" w:eastAsia="宋体" w:hint="default"/>
                <w:sz w:val="21"/>
                <w:szCs w:val="21"/>
              </w:rPr>
              <w:t>数据治理一体化平台</w:t>
            </w:r>
          </w:p>
        </w:tc>
        <w:tc>
          <w:tcPr>
            <w:tcW w:w="1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36" w:right="0"/>
              <w:jc w:val="left"/>
              <w:rPr>
                <w:rFonts w:ascii="Times New Roman" w:hAnsi="Times New Roman" w:cs="Times New Roman" w:eastAsia="Times New Roman" w:hint="default"/>
                <w:sz w:val="21"/>
                <w:szCs w:val="21"/>
              </w:rPr>
            </w:pPr>
            <w:r>
              <w:rPr>
                <w:rFonts w:ascii="Times New Roman"/>
                <w:sz w:val="21"/>
              </w:rPr>
              <w:t>2018-6-2</w:t>
            </w:r>
          </w:p>
        </w:tc>
        <w:tc>
          <w:tcPr>
            <w:tcW w:w="2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36" w:right="0"/>
              <w:jc w:val="left"/>
              <w:rPr>
                <w:rFonts w:ascii="宋体" w:hAnsi="宋体" w:cs="宋体" w:eastAsia="宋体" w:hint="default"/>
                <w:sz w:val="21"/>
                <w:szCs w:val="21"/>
              </w:rPr>
            </w:pPr>
            <w:r>
              <w:rPr>
                <w:rFonts w:ascii="宋体" w:hAnsi="宋体" w:cs="宋体" w:eastAsia="宋体" w:hint="default"/>
                <w:sz w:val="21"/>
                <w:szCs w:val="21"/>
              </w:rPr>
              <w:t>项目立项审批</w:t>
            </w:r>
          </w:p>
        </w:tc>
        <w:tc>
          <w:tcPr>
            <w:tcW w:w="7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2018/12/27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验收通过并发布。</w:t>
            </w:r>
          </w:p>
        </w:tc>
      </w:tr>
      <w:tr>
        <w:trPr>
          <w:trHeight w:val="445" w:hRule="exact"/>
        </w:trPr>
        <w:tc>
          <w:tcPr>
            <w:tcW w:w="2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36" w:right="0"/>
              <w:jc w:val="left"/>
              <w:rPr>
                <w:rFonts w:ascii="宋体" w:hAnsi="宋体" w:cs="宋体" w:eastAsia="宋体" w:hint="default"/>
                <w:sz w:val="21"/>
                <w:szCs w:val="21"/>
              </w:rPr>
            </w:pPr>
            <w:r>
              <w:rPr>
                <w:rFonts w:ascii="宋体" w:hAnsi="宋体" w:cs="宋体" w:eastAsia="宋体" w:hint="default"/>
                <w:sz w:val="21"/>
                <w:szCs w:val="21"/>
              </w:rPr>
              <w:t>数据魔方系统</w:t>
            </w:r>
          </w:p>
        </w:tc>
        <w:tc>
          <w:tcPr>
            <w:tcW w:w="1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left="36" w:right="0"/>
              <w:jc w:val="left"/>
              <w:rPr>
                <w:rFonts w:ascii="Times New Roman" w:hAnsi="Times New Roman" w:cs="Times New Roman" w:eastAsia="Times New Roman" w:hint="default"/>
                <w:sz w:val="21"/>
                <w:szCs w:val="21"/>
              </w:rPr>
            </w:pPr>
            <w:r>
              <w:rPr>
                <w:rFonts w:ascii="Times New Roman"/>
                <w:sz w:val="21"/>
              </w:rPr>
              <w:t>2018-9-1</w:t>
            </w:r>
          </w:p>
        </w:tc>
        <w:tc>
          <w:tcPr>
            <w:tcW w:w="2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36" w:right="0"/>
              <w:jc w:val="left"/>
              <w:rPr>
                <w:rFonts w:ascii="宋体" w:hAnsi="宋体" w:cs="宋体" w:eastAsia="宋体" w:hint="default"/>
                <w:sz w:val="21"/>
                <w:szCs w:val="21"/>
              </w:rPr>
            </w:pPr>
            <w:r>
              <w:rPr>
                <w:rFonts w:ascii="宋体" w:hAnsi="宋体" w:cs="宋体" w:eastAsia="宋体" w:hint="default"/>
                <w:sz w:val="21"/>
                <w:szCs w:val="21"/>
              </w:rPr>
              <w:t>项目立项审批</w:t>
            </w:r>
          </w:p>
        </w:tc>
        <w:tc>
          <w:tcPr>
            <w:tcW w:w="7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2018/12/28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验收通过并发布。</w:t>
            </w:r>
          </w:p>
        </w:tc>
      </w:tr>
      <w:tr>
        <w:trPr>
          <w:trHeight w:val="742" w:hRule="exact"/>
        </w:trPr>
        <w:tc>
          <w:tcPr>
            <w:tcW w:w="2849"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45"/>
              <w:ind w:left="36" w:right="33"/>
              <w:jc w:val="left"/>
              <w:rPr>
                <w:rFonts w:ascii="宋体" w:hAnsi="宋体" w:cs="宋体" w:eastAsia="宋体" w:hint="default"/>
                <w:sz w:val="21"/>
                <w:szCs w:val="21"/>
              </w:rPr>
            </w:pPr>
            <w:r>
              <w:rPr>
                <w:rFonts w:ascii="宋体" w:hAnsi="宋体" w:cs="宋体" w:eastAsia="宋体" w:hint="default"/>
                <w:sz w:val="21"/>
                <w:szCs w:val="21"/>
              </w:rPr>
              <w:t>太极云软窗口多功能输入仪软</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件</w:t>
            </w:r>
          </w:p>
        </w:tc>
        <w:tc>
          <w:tcPr>
            <w:tcW w:w="1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36" w:right="0"/>
              <w:jc w:val="left"/>
              <w:rPr>
                <w:rFonts w:ascii="Times New Roman" w:hAnsi="Times New Roman" w:cs="Times New Roman" w:eastAsia="Times New Roman" w:hint="default"/>
                <w:sz w:val="21"/>
                <w:szCs w:val="21"/>
              </w:rPr>
            </w:pPr>
            <w:r>
              <w:rPr>
                <w:rFonts w:ascii="Times New Roman"/>
                <w:sz w:val="21"/>
              </w:rPr>
              <w:t>2018-6-1</w:t>
            </w:r>
          </w:p>
        </w:tc>
        <w:tc>
          <w:tcPr>
            <w:tcW w:w="2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项目立项审批</w:t>
            </w:r>
          </w:p>
        </w:tc>
        <w:tc>
          <w:tcPr>
            <w:tcW w:w="7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2018/12/31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验收通过并发布。</w:t>
            </w:r>
          </w:p>
        </w:tc>
      </w:tr>
      <w:tr>
        <w:trPr>
          <w:trHeight w:val="444" w:hRule="exact"/>
        </w:trPr>
        <w:tc>
          <w:tcPr>
            <w:tcW w:w="2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36" w:right="0"/>
              <w:jc w:val="left"/>
              <w:rPr>
                <w:rFonts w:ascii="宋体" w:hAnsi="宋体" w:cs="宋体" w:eastAsia="宋体" w:hint="default"/>
                <w:sz w:val="21"/>
                <w:szCs w:val="21"/>
              </w:rPr>
            </w:pPr>
            <w:r>
              <w:rPr>
                <w:rFonts w:ascii="宋体" w:hAnsi="宋体" w:cs="宋体" w:eastAsia="宋体" w:hint="default"/>
                <w:sz w:val="21"/>
                <w:szCs w:val="21"/>
              </w:rPr>
              <w:t>万创中国平台项目</w:t>
            </w:r>
          </w:p>
        </w:tc>
        <w:tc>
          <w:tcPr>
            <w:tcW w:w="1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36" w:right="0"/>
              <w:jc w:val="left"/>
              <w:rPr>
                <w:rFonts w:ascii="Times New Roman" w:hAnsi="Times New Roman" w:cs="Times New Roman" w:eastAsia="Times New Roman" w:hint="default"/>
                <w:sz w:val="21"/>
                <w:szCs w:val="21"/>
              </w:rPr>
            </w:pPr>
            <w:r>
              <w:rPr>
                <w:rFonts w:ascii="Times New Roman"/>
                <w:sz w:val="21"/>
              </w:rPr>
              <w:t>2017-7-5</w:t>
            </w:r>
          </w:p>
        </w:tc>
        <w:tc>
          <w:tcPr>
            <w:tcW w:w="2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36" w:right="0"/>
              <w:jc w:val="left"/>
              <w:rPr>
                <w:rFonts w:ascii="宋体" w:hAnsi="宋体" w:cs="宋体" w:eastAsia="宋体" w:hint="default"/>
                <w:sz w:val="21"/>
                <w:szCs w:val="21"/>
              </w:rPr>
            </w:pPr>
            <w:r>
              <w:rPr>
                <w:rFonts w:ascii="宋体" w:hAnsi="宋体" w:cs="宋体" w:eastAsia="宋体" w:hint="default"/>
                <w:sz w:val="21"/>
                <w:szCs w:val="21"/>
              </w:rPr>
              <w:t>项目立项审批</w:t>
            </w:r>
          </w:p>
        </w:tc>
        <w:tc>
          <w:tcPr>
            <w:tcW w:w="7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2018/3/29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验收通过并发布。</w:t>
            </w:r>
          </w:p>
        </w:tc>
      </w:tr>
    </w:tbl>
    <w:p>
      <w:pPr>
        <w:spacing w:after="0" w:line="240" w:lineRule="auto"/>
        <w:jc w:val="left"/>
        <w:rPr>
          <w:rFonts w:ascii="宋体" w:hAnsi="宋体" w:cs="宋体" w:eastAsia="宋体" w:hint="default"/>
          <w:sz w:val="21"/>
          <w:szCs w:val="21"/>
        </w:rPr>
        <w:sectPr>
          <w:pgSz w:w="16840" w:h="11910" w:orient="landscape"/>
          <w:pgMar w:header="857" w:footer="980" w:top="1120" w:bottom="1160" w:left="1360" w:right="12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61"/>
          <w:footerReference w:type="default" r:id="rId62"/>
          <w:pgSz w:w="11910" w:h="16840"/>
          <w:pgMar w:header="857" w:footer="979" w:top="1120" w:bottom="1160" w:left="1060" w:right="1580"/>
          <w:pgNumType w:start="167"/>
        </w:sectPr>
      </w:pPr>
    </w:p>
    <w:p>
      <w:pPr>
        <w:pStyle w:val="Heading4"/>
        <w:spacing w:line="240" w:lineRule="auto" w:before="190"/>
        <w:ind w:left="217" w:right="-18"/>
        <w:jc w:val="left"/>
        <w:rPr>
          <w:b w:val="0"/>
          <w:bCs w:val="0"/>
        </w:rPr>
      </w:pPr>
      <w:r>
        <w:rPr>
          <w:rFonts w:ascii="Times New Roman" w:hAnsi="Times New Roman" w:cs="Times New Roman" w:eastAsia="Times New Roman" w:hint="default"/>
        </w:rPr>
        <w:t>22</w:t>
      </w:r>
      <w:r>
        <w:rPr/>
        <w:t>、</w:t>
      </w:r>
      <w:r>
        <w:rPr>
          <w:spacing w:val="-23"/>
        </w:rPr>
        <w:t> </w:t>
      </w:r>
      <w:r>
        <w:rPr/>
        <w:t>商誉</w:t>
      </w:r>
      <w:r>
        <w:rPr>
          <w:b w:val="0"/>
          <w:bCs w:val="0"/>
        </w:rPr>
      </w:r>
    </w:p>
    <w:p>
      <w:pPr>
        <w:pStyle w:val="Heading4"/>
        <w:spacing w:line="240" w:lineRule="auto" w:before="40"/>
        <w:ind w:left="217" w:right="-18"/>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5"/>
        </w:rPr>
        <w:t> </w:t>
      </w:r>
      <w:r>
        <w:rPr/>
        <w:t>商誉账面原值</w:t>
      </w:r>
      <w:r>
        <w:rPr>
          <w:b w:val="0"/>
          <w:bCs w:val="0"/>
        </w:rPr>
      </w:r>
    </w:p>
    <w:p>
      <w:pPr>
        <w:pStyle w:val="BodyText"/>
        <w:spacing w:line="240" w:lineRule="auto" w:before="43"/>
        <w:ind w:left="6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580"/>
          <w:cols w:num="2" w:equalWidth="0">
            <w:col w:w="2275" w:space="4247"/>
            <w:col w:w="2748"/>
          </w:cols>
        </w:sectPr>
      </w:pPr>
    </w:p>
    <w:p>
      <w:pPr>
        <w:spacing w:line="240" w:lineRule="auto" w:before="7"/>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1980"/>
        <w:gridCol w:w="1059"/>
        <w:gridCol w:w="1776"/>
        <w:gridCol w:w="548"/>
        <w:gridCol w:w="1171"/>
        <w:gridCol w:w="694"/>
        <w:gridCol w:w="1597"/>
      </w:tblGrid>
      <w:tr>
        <w:trPr>
          <w:trHeight w:val="370" w:hRule="exact"/>
        </w:trPr>
        <w:tc>
          <w:tcPr>
            <w:tcW w:w="1980" w:type="dxa"/>
            <w:vMerge w:val="restart"/>
            <w:tcBorders>
              <w:top w:val="single" w:sz="4" w:space="0" w:color="000000"/>
              <w:left w:val="single" w:sz="4" w:space="0" w:color="000000"/>
              <w:right w:val="single" w:sz="4" w:space="0" w:color="000000"/>
            </w:tcBorders>
          </w:tcPr>
          <w:p>
            <w:pPr>
              <w:pStyle w:val="TableParagraph"/>
              <w:spacing w:line="314" w:lineRule="auto" w:before="134"/>
              <w:ind w:left="249" w:right="141" w:hanging="106"/>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0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3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0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1980" w:type="dxa"/>
            <w:vMerge/>
            <w:tcBorders>
              <w:left w:val="single" w:sz="4" w:space="0" w:color="000000"/>
              <w:bottom w:val="single" w:sz="4" w:space="0" w:color="000000"/>
              <w:right w:val="single" w:sz="4" w:space="0" w:color="000000"/>
            </w:tcBorders>
          </w:tcPr>
          <w:p>
            <w:pPr/>
          </w:p>
        </w:tc>
        <w:tc>
          <w:tcPr>
            <w:tcW w:w="1059" w:type="dxa"/>
            <w:vMerge/>
            <w:tcBorders>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44"/>
              <w:jc w:val="right"/>
              <w:rPr>
                <w:rFonts w:ascii="宋体" w:hAnsi="宋体" w:cs="宋体" w:eastAsia="宋体" w:hint="default"/>
                <w:sz w:val="21"/>
                <w:szCs w:val="21"/>
              </w:rPr>
            </w:pPr>
            <w:r>
              <w:rPr>
                <w:rFonts w:ascii="宋体" w:hAnsi="宋体" w:cs="宋体" w:eastAsia="宋体" w:hint="default"/>
                <w:spacing w:val="-1"/>
                <w:sz w:val="21"/>
                <w:szCs w:val="21"/>
              </w:rPr>
              <w:t>企业合并形成的</w:t>
            </w:r>
          </w:p>
        </w:tc>
        <w:tc>
          <w:tcPr>
            <w:tcW w:w="54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69"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694" w:type="dxa"/>
            <w:tcBorders>
              <w:top w:val="single" w:sz="4" w:space="0" w:color="000000"/>
              <w:left w:val="single" w:sz="4" w:space="0" w:color="000000"/>
              <w:bottom w:val="single" w:sz="4" w:space="0" w:color="000000"/>
              <w:right w:val="single" w:sz="4" w:space="0" w:color="000000"/>
            </w:tcBorders>
          </w:tcPr>
          <w:p>
            <w:pPr/>
          </w:p>
        </w:tc>
        <w:tc>
          <w:tcPr>
            <w:tcW w:w="1597" w:type="dxa"/>
            <w:vMerge/>
            <w:tcBorders>
              <w:left w:val="single" w:sz="4" w:space="0" w:color="000000"/>
              <w:bottom w:val="single" w:sz="4" w:space="0" w:color="000000"/>
              <w:right w:val="single" w:sz="4" w:space="0" w:color="000000"/>
            </w:tcBorders>
          </w:tcPr>
          <w:p>
            <w:pPr/>
          </w:p>
        </w:tc>
      </w:tr>
      <w:tr>
        <w:trPr>
          <w:trHeight w:val="73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89"/>
              <w:jc w:val="left"/>
              <w:rPr>
                <w:rFonts w:ascii="宋体" w:hAnsi="宋体" w:cs="宋体" w:eastAsia="宋体" w:hint="default"/>
                <w:sz w:val="21"/>
                <w:szCs w:val="21"/>
              </w:rPr>
            </w:pPr>
            <w:r>
              <w:rPr>
                <w:rFonts w:ascii="宋体" w:hAnsi="宋体" w:cs="宋体" w:eastAsia="宋体" w:hint="default"/>
                <w:spacing w:val="9"/>
                <w:sz w:val="21"/>
                <w:szCs w:val="21"/>
              </w:rPr>
              <w:t>深圳太极云软技术</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股份有限公司</w:t>
            </w:r>
          </w:p>
        </w:tc>
        <w:tc>
          <w:tcPr>
            <w:tcW w:w="105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178,550,549.69</w:t>
            </w:r>
          </w:p>
        </w:tc>
        <w:tc>
          <w:tcPr>
            <w:tcW w:w="54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178,550,549.69</w:t>
            </w:r>
          </w:p>
        </w:tc>
      </w:tr>
      <w:tr>
        <w:trPr>
          <w:trHeight w:val="37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5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178,550,549.69</w:t>
            </w:r>
          </w:p>
        </w:tc>
        <w:tc>
          <w:tcPr>
            <w:tcW w:w="54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178,550,549.69</w:t>
            </w:r>
          </w:p>
        </w:tc>
      </w:tr>
    </w:tbl>
    <w:p>
      <w:pPr>
        <w:spacing w:line="240" w:lineRule="auto" w:before="1"/>
        <w:rPr>
          <w:rFonts w:ascii="宋体" w:hAnsi="宋体" w:cs="宋体" w:eastAsia="宋体" w:hint="default"/>
          <w:sz w:val="23"/>
          <w:szCs w:val="23"/>
        </w:rPr>
      </w:pPr>
    </w:p>
    <w:p>
      <w:pPr>
        <w:pStyle w:val="Heading4"/>
        <w:spacing w:line="240" w:lineRule="auto"/>
        <w:ind w:left="217" w:right="99"/>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5"/>
        </w:rPr>
        <w:t> </w:t>
      </w:r>
      <w:r>
        <w:rPr/>
        <w:t>商誉减值准备</w:t>
      </w:r>
      <w:r>
        <w:rPr>
          <w:b w:val="0"/>
          <w:bCs w:val="0"/>
        </w:rPr>
      </w:r>
    </w:p>
    <w:p>
      <w:pPr>
        <w:pStyle w:val="BodyText"/>
        <w:spacing w:line="240" w:lineRule="auto" w:before="43"/>
        <w:ind w:left="697" w:right="99"/>
        <w:jc w:val="left"/>
      </w:pPr>
      <w:r>
        <w:rPr/>
        <w:t>□适用 √不适用</w:t>
      </w:r>
    </w:p>
    <w:p>
      <w:pPr>
        <w:pStyle w:val="Heading4"/>
        <w:spacing w:line="240" w:lineRule="auto" w:before="56"/>
        <w:ind w:left="217" w:right="99"/>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2"/>
        </w:rPr>
        <w:t> </w:t>
      </w:r>
      <w:r>
        <w:rPr/>
        <w:t>商誉所在资产组或资产组组合的相关信息</w:t>
      </w:r>
      <w:r>
        <w:rPr>
          <w:b w:val="0"/>
          <w:bCs w:val="0"/>
        </w:rPr>
      </w:r>
    </w:p>
    <w:p>
      <w:pPr>
        <w:pStyle w:val="BodyText"/>
        <w:spacing w:line="240" w:lineRule="auto" w:before="40"/>
        <w:ind w:left="697" w:right="99"/>
        <w:jc w:val="left"/>
      </w:pPr>
      <w:r>
        <w:rPr/>
        <w:t>□适用 √不适用</w:t>
      </w:r>
    </w:p>
    <w:p>
      <w:pPr>
        <w:pStyle w:val="Heading4"/>
        <w:spacing w:line="272" w:lineRule="exact" w:before="86"/>
        <w:ind w:left="642" w:right="196" w:hanging="425"/>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说明商誉减值测试过程、关键参数（例如预计未来现金流量现值时的预测期增长率、稳定期</w:t>
      </w:r>
      <w:r>
        <w:rPr>
          <w:w w:val="100"/>
        </w:rPr>
        <w:t> </w:t>
      </w:r>
      <w:r>
        <w:rPr/>
        <w:t>增长率、利润率、折现率、预测期等，如适用）及商誉减值损失的确认方法</w:t>
      </w:r>
      <w:r>
        <w:rPr>
          <w:b w:val="0"/>
          <w:bCs w:val="0"/>
        </w:rPr>
      </w:r>
    </w:p>
    <w:p>
      <w:pPr>
        <w:pStyle w:val="BodyText"/>
        <w:spacing w:line="240" w:lineRule="auto" w:before="34"/>
        <w:ind w:left="697" w:right="99"/>
        <w:jc w:val="left"/>
      </w:pPr>
      <w:r>
        <w:rPr/>
        <w:t>□适用 √不适用</w:t>
      </w:r>
    </w:p>
    <w:p>
      <w:pPr>
        <w:pStyle w:val="Heading4"/>
        <w:spacing w:line="240" w:lineRule="auto" w:before="56"/>
        <w:ind w:left="217" w:right="99"/>
        <w:jc w:val="left"/>
        <w:rPr>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27"/>
        </w:rPr>
        <w:t> </w:t>
      </w:r>
      <w:r>
        <w:rPr/>
        <w:t>商誉减值测试的影响</w:t>
      </w:r>
      <w:r>
        <w:rPr>
          <w:b w:val="0"/>
          <w:bCs w:val="0"/>
        </w:rPr>
      </w:r>
    </w:p>
    <w:p>
      <w:pPr>
        <w:pStyle w:val="BodyText"/>
        <w:spacing w:line="272" w:lineRule="exact" w:before="71"/>
        <w:ind w:left="697" w:right="6974"/>
        <w:jc w:val="left"/>
      </w:pPr>
      <w:r>
        <w:rPr/>
        <w:t>□适用 √不适用</w:t>
      </w:r>
      <w:r>
        <w:rPr>
          <w:w w:val="100"/>
        </w:rPr>
        <w:t> </w:t>
      </w:r>
      <w:r>
        <w:rPr/>
        <w:t>其他说明</w:t>
      </w:r>
    </w:p>
    <w:p>
      <w:pPr>
        <w:pStyle w:val="BodyText"/>
        <w:spacing w:line="249" w:lineRule="exact"/>
        <w:ind w:left="697" w:right="99"/>
        <w:jc w:val="left"/>
      </w:pPr>
      <w:r>
        <w:rPr/>
        <w:t>√适用 □不适用</w:t>
      </w:r>
    </w:p>
    <w:p>
      <w:pPr>
        <w:pStyle w:val="BodyText"/>
        <w:spacing w:line="314" w:lineRule="auto" w:before="73"/>
        <w:ind w:left="217" w:right="99" w:firstLine="480"/>
        <w:jc w:val="left"/>
      </w:pPr>
      <w:r>
        <w:rPr>
          <w:spacing w:val="-3"/>
        </w:rPr>
        <w:t>本公司通过对形成商誉的各子公司未来经营状况的判断，以确定是否需要对商誉计提减值准</w:t>
      </w:r>
      <w:r>
        <w:rPr>
          <w:w w:val="100"/>
        </w:rPr>
        <w:t> </w:t>
      </w:r>
      <w:r>
        <w:rPr/>
        <w:t>备，具体情况如下：</w:t>
      </w:r>
    </w:p>
    <w:p>
      <w:pPr>
        <w:pStyle w:val="BodyText"/>
        <w:spacing w:line="309" w:lineRule="auto" w:before="20"/>
        <w:ind w:left="217" w:right="99" w:firstLine="420"/>
        <w:jc w:val="left"/>
      </w:pPr>
      <w:r>
        <w:rPr>
          <w:spacing w:val="-4"/>
          <w:w w:val="100"/>
        </w:rPr>
        <w:t>本公司将太极云软整体资产作为一个资产组，年末对收购太极云软形成的商誉进行减值测算。</w:t>
      </w:r>
      <w:r>
        <w:rPr>
          <w:w w:val="100"/>
        </w:rPr>
        <w:t> </w:t>
      </w:r>
      <w:r>
        <w:rPr/>
        <w:t>商誉的可收回金额按照预计未来现金流量的现值计算，其预计现金流量根据公司批准的现金流量</w:t>
      </w:r>
      <w:r>
        <w:rPr>
          <w:spacing w:val="-97"/>
        </w:rPr>
        <w:t> </w:t>
      </w:r>
      <w:r>
        <w:rPr>
          <w:spacing w:val="-97"/>
        </w:rPr>
      </w:r>
      <w:r>
        <w:rPr>
          <w:spacing w:val="-3"/>
        </w:rPr>
        <w:t>预测为基础，现金流量预测使用的折现率为 </w:t>
      </w:r>
      <w:r>
        <w:rPr>
          <w:rFonts w:ascii="Times New Roman" w:hAnsi="Times New Roman" w:cs="Times New Roman" w:eastAsia="Times New Roman" w:hint="default"/>
          <w:spacing w:val="-3"/>
        </w:rPr>
        <w:t>13.25%</w:t>
      </w:r>
      <w:r>
        <w:rPr>
          <w:spacing w:val="-3"/>
        </w:rPr>
        <w:t>。预测期以后的现金流量根据相关行业总体长</w:t>
      </w:r>
      <w:r>
        <w:rPr>
          <w:spacing w:val="-86"/>
        </w:rPr>
        <w:t> </w:t>
      </w:r>
      <w:r>
        <w:rPr>
          <w:spacing w:val="-86"/>
        </w:rPr>
      </w:r>
      <w:r>
        <w:rPr/>
        <w:t>期平均增长率确定。</w:t>
      </w:r>
    </w:p>
    <w:p>
      <w:pPr>
        <w:pStyle w:val="BodyText"/>
        <w:spacing w:line="314" w:lineRule="auto" w:before="24"/>
        <w:ind w:left="217" w:right="209" w:firstLine="420"/>
        <w:jc w:val="both"/>
      </w:pPr>
      <w:r>
        <w:rPr>
          <w:spacing w:val="-2"/>
        </w:rPr>
        <w:t>减值测试中采用的其他关键数据包括：产品预计售价、销量、生产成本及其他相关费用。公</w:t>
      </w:r>
      <w:r>
        <w:rPr>
          <w:w w:val="100"/>
        </w:rPr>
        <w:t> </w:t>
      </w:r>
      <w:r>
        <w:rPr>
          <w:spacing w:val="-1"/>
        </w:rPr>
        <w:t>司根据历史经验及对市场发展的预测确定上述关键数据。公司采用的折现率是反映当前市场货币</w:t>
      </w:r>
      <w:r>
        <w:rPr>
          <w:spacing w:val="-55"/>
        </w:rPr>
        <w:t> </w:t>
      </w:r>
      <w:r>
        <w:rPr>
          <w:spacing w:val="-55"/>
        </w:rPr>
      </w:r>
      <w:r>
        <w:rPr/>
        <w:t>时间价值和相关资产组特定风险的税前利率。</w:t>
      </w:r>
    </w:p>
    <w:p>
      <w:pPr>
        <w:pStyle w:val="BodyText"/>
        <w:spacing w:line="297" w:lineRule="auto" w:before="20"/>
        <w:ind w:left="217" w:right="209" w:firstLine="420"/>
        <w:jc w:val="both"/>
      </w:pPr>
      <w:r>
        <w:rPr>
          <w:spacing w:val="-1"/>
        </w:rPr>
        <w:t>根据公司聘请的北京亚超资产评估有限公司出具的《评估报告》（北京亚超评报字（</w:t>
      </w:r>
      <w:r>
        <w:rPr>
          <w:rFonts w:ascii="Times New Roman" w:hAnsi="Times New Roman" w:cs="Times New Roman" w:eastAsia="Times New Roman" w:hint="default"/>
          <w:spacing w:val="-1"/>
        </w:rPr>
        <w:t>2019</w:t>
      </w:r>
      <w:r>
        <w:rPr>
          <w:spacing w:val="-1"/>
        </w:rPr>
        <w:t>）</w:t>
      </w:r>
      <w:r>
        <w:rPr>
          <w:w w:val="100"/>
        </w:rPr>
        <w:t> </w:t>
      </w:r>
      <w:r>
        <w:rPr/>
        <w:t>第</w:t>
      </w:r>
      <w:r>
        <w:rPr>
          <w:spacing w:val="-39"/>
        </w:rPr>
        <w:t> </w:t>
      </w:r>
      <w:r>
        <w:rPr>
          <w:rFonts w:ascii="Times New Roman" w:hAnsi="Times New Roman" w:cs="Times New Roman" w:eastAsia="Times New Roman" w:hint="default"/>
        </w:rPr>
        <w:t>A129</w:t>
      </w:r>
      <w:r>
        <w:rPr>
          <w:rFonts w:ascii="Times New Roman" w:hAnsi="Times New Roman" w:cs="Times New Roman" w:eastAsia="Times New Roman" w:hint="default"/>
          <w:spacing w:val="10"/>
        </w:rPr>
        <w:t> </w:t>
      </w:r>
      <w:r>
        <w:rPr>
          <w:spacing w:val="-3"/>
        </w:rPr>
        <w:t>号），包含商誉的太极云软资产组可收回金额为</w:t>
      </w:r>
      <w:r>
        <w:rPr>
          <w:spacing w:val="-38"/>
        </w:rPr>
        <w:t> </w:t>
      </w:r>
      <w:r>
        <w:rPr>
          <w:rFonts w:ascii="Times New Roman" w:hAnsi="Times New Roman" w:cs="Times New Roman" w:eastAsia="Times New Roman" w:hint="default"/>
        </w:rPr>
        <w:t>38,535.13</w:t>
      </w:r>
      <w:r>
        <w:rPr>
          <w:rFonts w:ascii="Times New Roman" w:hAnsi="Times New Roman" w:cs="Times New Roman" w:eastAsia="Times New Roman" w:hint="default"/>
          <w:spacing w:val="10"/>
        </w:rPr>
        <w:t> </w:t>
      </w:r>
      <w:r>
        <w:rPr>
          <w:spacing w:val="-3"/>
        </w:rPr>
        <w:t>万元，高于账面价值，无需确</w:t>
      </w:r>
      <w:r>
        <w:rPr>
          <w:spacing w:val="-99"/>
        </w:rPr>
        <w:t> </w:t>
      </w:r>
      <w:r>
        <w:rPr>
          <w:spacing w:val="-99"/>
        </w:rPr>
      </w:r>
      <w:r>
        <w:rPr/>
        <w:t>认商誉减值损失。</w:t>
      </w:r>
    </w:p>
    <w:p>
      <w:pPr>
        <w:pStyle w:val="Heading4"/>
        <w:spacing w:line="240" w:lineRule="auto" w:before="18"/>
        <w:ind w:left="217" w:right="99"/>
        <w:jc w:val="left"/>
        <w:rPr>
          <w:b w:val="0"/>
          <w:bCs w:val="0"/>
        </w:rPr>
      </w:pPr>
      <w:r>
        <w:rPr>
          <w:rFonts w:ascii="Times New Roman" w:hAnsi="Times New Roman" w:cs="Times New Roman" w:eastAsia="Times New Roman" w:hint="default"/>
        </w:rPr>
        <w:t>23</w:t>
      </w:r>
      <w:r>
        <w:rPr/>
        <w:t>、</w:t>
      </w:r>
      <w:r>
        <w:rPr>
          <w:spacing w:val="-22"/>
        </w:rPr>
        <w:t> </w:t>
      </w:r>
      <w:r>
        <w:rPr/>
        <w:t>长期待摊费用</w:t>
      </w:r>
      <w:r>
        <w:rPr>
          <w:b w:val="0"/>
          <w:bCs w:val="0"/>
        </w:rPr>
      </w:r>
    </w:p>
    <w:p>
      <w:pPr>
        <w:pStyle w:val="BodyText"/>
        <w:spacing w:line="240" w:lineRule="auto" w:before="43"/>
        <w:ind w:left="697" w:right="99"/>
        <w:jc w:val="left"/>
      </w:pPr>
      <w:r>
        <w:rPr/>
        <w:t>√适用 □不适用</w:t>
      </w:r>
    </w:p>
    <w:p>
      <w:pPr>
        <w:pStyle w:val="BodyText"/>
        <w:tabs>
          <w:tab w:pos="1051" w:val="left" w:leader="none"/>
        </w:tabs>
        <w:spacing w:line="271" w:lineRule="exact"/>
        <w:ind w:left="0" w:right="21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14"/>
        <w:gridCol w:w="1460"/>
        <w:gridCol w:w="1658"/>
        <w:gridCol w:w="1419"/>
        <w:gridCol w:w="1322"/>
        <w:gridCol w:w="1551"/>
      </w:tblGrid>
      <w:tr>
        <w:trPr>
          <w:trHeight w:val="73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597" w:right="175" w:hanging="420"/>
              <w:jc w:val="left"/>
              <w:rPr>
                <w:rFonts w:ascii="宋体" w:hAnsi="宋体" w:cs="宋体" w:eastAsia="宋体" w:hint="default"/>
                <w:sz w:val="21"/>
                <w:szCs w:val="21"/>
              </w:rPr>
            </w:pPr>
            <w:r>
              <w:rPr>
                <w:rFonts w:ascii="宋体" w:hAnsi="宋体" w:cs="宋体" w:eastAsia="宋体" w:hint="default"/>
                <w:sz w:val="21"/>
                <w:szCs w:val="21"/>
              </w:rPr>
              <w:t>本期摊销金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547" w:right="129" w:hanging="420"/>
              <w:jc w:val="left"/>
              <w:rPr>
                <w:rFonts w:ascii="宋体" w:hAnsi="宋体" w:cs="宋体" w:eastAsia="宋体" w:hint="default"/>
                <w:sz w:val="21"/>
                <w:szCs w:val="21"/>
              </w:rPr>
            </w:pPr>
            <w:r>
              <w:rPr>
                <w:rFonts w:ascii="宋体" w:hAnsi="宋体" w:cs="宋体" w:eastAsia="宋体" w:hint="default"/>
                <w:sz w:val="21"/>
                <w:szCs w:val="21"/>
              </w:rPr>
              <w:t>其他减少金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8" w:right="0"/>
              <w:jc w:val="left"/>
              <w:rPr>
                <w:rFonts w:ascii="Times New Roman" w:hAnsi="Times New Roman" w:cs="Times New Roman" w:eastAsia="Times New Roman" w:hint="default"/>
                <w:sz w:val="21"/>
                <w:szCs w:val="21"/>
              </w:rPr>
            </w:pPr>
            <w:r>
              <w:rPr>
                <w:rFonts w:ascii="Times New Roman"/>
                <w:sz w:val="21"/>
              </w:rPr>
              <w:t>121,392.81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1" w:right="0"/>
              <w:jc w:val="left"/>
              <w:rPr>
                <w:rFonts w:ascii="Times New Roman" w:hAnsi="Times New Roman" w:cs="Times New Roman" w:eastAsia="Times New Roman" w:hint="default"/>
                <w:sz w:val="21"/>
                <w:szCs w:val="21"/>
              </w:rPr>
            </w:pPr>
            <w:r>
              <w:rPr>
                <w:rFonts w:ascii="Times New Roman"/>
                <w:sz w:val="21"/>
              </w:rPr>
              <w:t>1,595,828.53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0" w:right="0"/>
              <w:jc w:val="left"/>
              <w:rPr>
                <w:rFonts w:ascii="Times New Roman" w:hAnsi="Times New Roman" w:cs="Times New Roman" w:eastAsia="Times New Roman" w:hint="default"/>
                <w:sz w:val="21"/>
                <w:szCs w:val="21"/>
              </w:rPr>
            </w:pPr>
            <w:r>
              <w:rPr>
                <w:rFonts w:ascii="Times New Roman"/>
                <w:sz w:val="21"/>
              </w:rPr>
              <w:t>355,005.30</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6" w:right="0"/>
              <w:jc w:val="left"/>
              <w:rPr>
                <w:rFonts w:ascii="Times New Roman" w:hAnsi="Times New Roman" w:cs="Times New Roman" w:eastAsia="Times New Roman" w:hint="default"/>
                <w:sz w:val="21"/>
                <w:szCs w:val="21"/>
              </w:rPr>
            </w:pPr>
            <w:r>
              <w:rPr>
                <w:rFonts w:ascii="Times New Roman"/>
                <w:sz w:val="21"/>
              </w:rPr>
              <w:t>1,362,216.04</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580" w:bottom="280" w:left="1060" w:right="1580"/>
        </w:sectPr>
      </w:pP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1414"/>
        <w:gridCol w:w="1460"/>
        <w:gridCol w:w="1658"/>
        <w:gridCol w:w="1419"/>
        <w:gridCol w:w="1322"/>
        <w:gridCol w:w="1551"/>
      </w:tblGrid>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88,474.87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212,174.20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22,735.80</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277,913.27</w:t>
            </w:r>
          </w:p>
        </w:tc>
      </w:tr>
      <w:tr>
        <w:trPr>
          <w:trHeight w:val="37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209,867.68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1,808,002.73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377,741.10</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1,640,129.31</w:t>
            </w:r>
          </w:p>
        </w:tc>
      </w:tr>
    </w:tbl>
    <w:p>
      <w:pPr>
        <w:spacing w:after="0" w:line="240" w:lineRule="auto"/>
        <w:jc w:val="right"/>
        <w:rPr>
          <w:rFonts w:ascii="Times New Roman" w:hAnsi="Times New Roman" w:cs="Times New Roman" w:eastAsia="Times New Roman" w:hint="default"/>
          <w:sz w:val="21"/>
          <w:szCs w:val="21"/>
        </w:rPr>
        <w:sectPr>
          <w:pgSz w:w="11910" w:h="16840"/>
          <w:pgMar w:header="857" w:footer="979" w:top="1120" w:bottom="1160" w:left="1060" w:right="1660"/>
        </w:sectPr>
      </w:pPr>
    </w:p>
    <w:p>
      <w:pPr>
        <w:pStyle w:val="BodyText"/>
        <w:spacing w:line="239" w:lineRule="exact"/>
        <w:ind w:left="217" w:right="-16"/>
        <w:jc w:val="left"/>
      </w:pPr>
      <w:r>
        <w:rPr/>
        <w:t>其他说明：</w:t>
      </w:r>
    </w:p>
    <w:p>
      <w:pPr>
        <w:pStyle w:val="BodyText"/>
        <w:spacing w:line="273" w:lineRule="exact"/>
        <w:ind w:left="217" w:right="-16"/>
        <w:jc w:val="left"/>
      </w:pPr>
      <w:r>
        <w:rPr>
          <w:w w:val="100"/>
        </w:rPr>
        <w:t>无</w:t>
      </w:r>
    </w:p>
    <w:p>
      <w:pPr>
        <w:pStyle w:val="Heading4"/>
        <w:spacing w:line="240" w:lineRule="auto" w:before="56"/>
        <w:ind w:left="217" w:right="-16"/>
        <w:jc w:val="left"/>
        <w:rPr>
          <w:b w:val="0"/>
          <w:bCs w:val="0"/>
        </w:rPr>
      </w:pPr>
      <w:r>
        <w:rPr>
          <w:rFonts w:ascii="Times New Roman" w:hAnsi="Times New Roman" w:cs="Times New Roman" w:eastAsia="Times New Roman" w:hint="default"/>
        </w:rPr>
        <w:t>24</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b w:val="0"/>
          <w:bCs w:val="0"/>
        </w:rPr>
      </w:r>
    </w:p>
    <w:p>
      <w:pPr>
        <w:pStyle w:val="Heading4"/>
        <w:spacing w:line="240" w:lineRule="auto" w:before="43"/>
        <w:ind w:left="217" w:right="-16"/>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2"/>
        </w:rPr>
        <w:t> </w:t>
      </w:r>
      <w:r>
        <w:rPr/>
        <w:t>未经抵销的递延所得税资产</w:t>
      </w:r>
      <w:r>
        <w:rPr>
          <w:b w:val="0"/>
          <w:bCs w:val="0"/>
        </w:rPr>
      </w:r>
    </w:p>
    <w:p>
      <w:pPr>
        <w:pStyle w:val="BodyText"/>
        <w:spacing w:line="240" w:lineRule="auto" w:before="40"/>
        <w:ind w:left="69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3887" w:space="2634"/>
            <w:col w:w="26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67"/>
        <w:gridCol w:w="1594"/>
        <w:gridCol w:w="1592"/>
        <w:gridCol w:w="1685"/>
        <w:gridCol w:w="1589"/>
      </w:tblGrid>
      <w:tr>
        <w:trPr>
          <w:trHeight w:val="372" w:hRule="exact"/>
        </w:trPr>
        <w:tc>
          <w:tcPr>
            <w:tcW w:w="2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730" w:hRule="exact"/>
        </w:trPr>
        <w:tc>
          <w:tcPr>
            <w:tcW w:w="2367"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581" w:right="159" w:hanging="421"/>
              <w:jc w:val="left"/>
              <w:rPr>
                <w:rFonts w:ascii="宋体" w:hAnsi="宋体" w:cs="宋体" w:eastAsia="宋体" w:hint="default"/>
                <w:sz w:val="21"/>
                <w:szCs w:val="21"/>
              </w:rPr>
            </w:pPr>
            <w:r>
              <w:rPr>
                <w:rFonts w:ascii="宋体" w:hAnsi="宋体" w:cs="宋体" w:eastAsia="宋体" w:hint="default"/>
                <w:sz w:val="21"/>
                <w:szCs w:val="21"/>
              </w:rPr>
              <w:t>可抵扣暂时性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578" w:right="262"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731" w:right="96" w:hanging="629"/>
              <w:jc w:val="left"/>
              <w:rPr>
                <w:rFonts w:ascii="宋体" w:hAnsi="宋体" w:cs="宋体" w:eastAsia="宋体" w:hint="default"/>
                <w:sz w:val="21"/>
                <w:szCs w:val="21"/>
              </w:rPr>
            </w:pPr>
            <w:r>
              <w:rPr>
                <w:rFonts w:ascii="宋体" w:hAnsi="宋体" w:cs="宋体" w:eastAsia="宋体" w:hint="default"/>
                <w:sz w:val="21"/>
                <w:szCs w:val="21"/>
              </w:rPr>
              <w:t>可抵扣暂时性差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异</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578" w:right="260"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r>
      <w:tr>
        <w:trPr>
          <w:trHeight w:val="37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59,138,488.16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8,336,032.89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38,652,951.88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5,805,010.75</w:t>
            </w:r>
          </w:p>
        </w:tc>
      </w:tr>
      <w:tr>
        <w:trPr>
          <w:trHeight w:val="37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10,797,537.39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2,087,780.65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15,375,314.33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1,079,042.64</w:t>
            </w:r>
          </w:p>
        </w:tc>
      </w:tr>
      <w:tr>
        <w:trPr>
          <w:trHeight w:val="37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18,374,850.77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2,979,584.21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42,492,814.78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10,623,203.70</w:t>
            </w:r>
          </w:p>
        </w:tc>
      </w:tr>
      <w:tr>
        <w:trPr>
          <w:trHeight w:val="37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32,382,268.51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4,998,871.13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25,116,986.05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4,056,800.24</w:t>
            </w:r>
          </w:p>
        </w:tc>
      </w:tr>
      <w:tr>
        <w:trPr>
          <w:trHeight w:val="372"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限制性股票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1,005,079.85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158,522.52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8,338,511.71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1,394,474.00</w:t>
            </w:r>
          </w:p>
        </w:tc>
      </w:tr>
      <w:tr>
        <w:trPr>
          <w:trHeight w:val="37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833,852.66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125,077.90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3,999,134.00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599,870.10</w:t>
            </w:r>
          </w:p>
        </w:tc>
      </w:tr>
      <w:tr>
        <w:trPr>
          <w:trHeight w:val="73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48"/>
              <w:jc w:val="left"/>
              <w:rPr>
                <w:rFonts w:ascii="宋体" w:hAnsi="宋体" w:cs="宋体" w:eastAsia="宋体" w:hint="default"/>
                <w:sz w:val="21"/>
                <w:szCs w:val="21"/>
              </w:rPr>
            </w:pPr>
            <w:r>
              <w:rPr>
                <w:rFonts w:ascii="宋体" w:hAnsi="宋体" w:cs="宋体" w:eastAsia="宋体" w:hint="default"/>
                <w:spacing w:val="-2"/>
                <w:sz w:val="21"/>
                <w:szCs w:val="21"/>
              </w:rPr>
              <w:t>交易性金融资产公允价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值变动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6,381,225.65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957,183.85</w:t>
            </w:r>
          </w:p>
        </w:tc>
      </w:tr>
      <w:tr>
        <w:trPr>
          <w:trHeight w:val="37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184,564.48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46,141.13</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122,716,641.82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18,732,010.43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140,356,938.40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24,515,585.28</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580" w:bottom="280" w:left="1060" w:right="1660"/>
        </w:sectPr>
      </w:pPr>
    </w:p>
    <w:p>
      <w:pPr>
        <w:pStyle w:val="Heading4"/>
        <w:spacing w:line="240" w:lineRule="auto"/>
        <w:ind w:left="217" w:right="-17"/>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2"/>
        </w:rPr>
        <w:t> </w:t>
      </w:r>
      <w:r>
        <w:rPr/>
        <w:t>未经抵销的递延所得税负债</w:t>
      </w:r>
      <w:r>
        <w:rPr>
          <w:b w:val="0"/>
          <w:bCs w:val="0"/>
        </w:rPr>
      </w:r>
    </w:p>
    <w:p>
      <w:pPr>
        <w:pStyle w:val="BodyText"/>
        <w:spacing w:line="240" w:lineRule="auto" w:before="43"/>
        <w:ind w:left="69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3175" w:space="3347"/>
            <w:col w:w="26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16"/>
        <w:gridCol w:w="1635"/>
        <w:gridCol w:w="1623"/>
        <w:gridCol w:w="1615"/>
        <w:gridCol w:w="1635"/>
      </w:tblGrid>
      <w:tr>
        <w:trPr>
          <w:trHeight w:val="372" w:hRule="exact"/>
        </w:trPr>
        <w:tc>
          <w:tcPr>
            <w:tcW w:w="231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730" w:hRule="exact"/>
        </w:trPr>
        <w:tc>
          <w:tcPr>
            <w:tcW w:w="2316" w:type="dxa"/>
            <w:vMerge/>
            <w:tcBorders>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603" w:right="178" w:hanging="421"/>
              <w:jc w:val="left"/>
              <w:rPr>
                <w:rFonts w:ascii="宋体" w:hAnsi="宋体" w:cs="宋体" w:eastAsia="宋体" w:hint="default"/>
                <w:sz w:val="21"/>
                <w:szCs w:val="21"/>
              </w:rPr>
            </w:pPr>
            <w:r>
              <w:rPr>
                <w:rFonts w:ascii="宋体" w:hAnsi="宋体" w:cs="宋体" w:eastAsia="宋体" w:hint="default"/>
                <w:sz w:val="21"/>
                <w:szCs w:val="21"/>
              </w:rPr>
              <w:t>应纳税暂时性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595" w:right="276"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负债</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592" w:right="168" w:hanging="420"/>
              <w:jc w:val="left"/>
              <w:rPr>
                <w:rFonts w:ascii="宋体" w:hAnsi="宋体" w:cs="宋体" w:eastAsia="宋体" w:hint="default"/>
                <w:sz w:val="21"/>
                <w:szCs w:val="21"/>
              </w:rPr>
            </w:pPr>
            <w:r>
              <w:rPr>
                <w:rFonts w:ascii="宋体" w:hAnsi="宋体" w:cs="宋体" w:eastAsia="宋体" w:hint="default"/>
                <w:sz w:val="21"/>
                <w:szCs w:val="21"/>
              </w:rPr>
              <w:t>应纳税暂时性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602" w:right="284" w:hanging="318"/>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负债</w:t>
            </w:r>
          </w:p>
        </w:tc>
      </w:tr>
      <w:tr>
        <w:trPr>
          <w:trHeight w:val="730"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98"/>
              <w:jc w:val="left"/>
              <w:rPr>
                <w:rFonts w:ascii="宋体" w:hAnsi="宋体" w:cs="宋体" w:eastAsia="宋体" w:hint="default"/>
                <w:sz w:val="21"/>
                <w:szCs w:val="21"/>
              </w:rPr>
            </w:pPr>
            <w:r>
              <w:rPr>
                <w:rFonts w:ascii="宋体" w:hAnsi="宋体" w:cs="宋体" w:eastAsia="宋体" w:hint="default"/>
                <w:spacing w:val="-2"/>
                <w:sz w:val="21"/>
                <w:szCs w:val="21"/>
              </w:rPr>
              <w:t>非同一控制企业合并资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产评估增值</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17,436,134.74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1,743,613.48</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2"/>
                <w:sz w:val="21"/>
                <w:szCs w:val="21"/>
              </w:rPr>
              <w:t>可供出售金融资产公允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价值变动</w:t>
            </w:r>
          </w:p>
        </w:tc>
        <w:tc>
          <w:tcPr>
            <w:tcW w:w="163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91,984.92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13,797.74</w:t>
            </w:r>
          </w:p>
        </w:tc>
      </w:tr>
      <w:tr>
        <w:trPr>
          <w:trHeight w:val="370"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固定资产加速折旧</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2,477,611.15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375,000.66</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分期收款业务</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77,103,338.99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14,713,168.93</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97,017,084.88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16,831,783.07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91,984.92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13,797.74</w:t>
            </w:r>
          </w:p>
        </w:tc>
      </w:tr>
    </w:tbl>
    <w:p>
      <w:pPr>
        <w:spacing w:line="240" w:lineRule="auto" w:before="11"/>
        <w:rPr>
          <w:rFonts w:ascii="宋体" w:hAnsi="宋体" w:cs="宋体" w:eastAsia="宋体" w:hint="default"/>
          <w:sz w:val="22"/>
          <w:szCs w:val="22"/>
        </w:rPr>
      </w:pPr>
    </w:p>
    <w:p>
      <w:pPr>
        <w:pStyle w:val="Heading4"/>
        <w:spacing w:line="240" w:lineRule="auto"/>
        <w:ind w:left="217" w:right="2631"/>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4"/>
        </w:rPr>
        <w:t> </w:t>
      </w:r>
      <w:r>
        <w:rPr/>
        <w:t>以抵销后净额列示的递延所得税资产或负债</w:t>
      </w:r>
      <w:r>
        <w:rPr>
          <w:b w:val="0"/>
          <w:bCs w:val="0"/>
        </w:rPr>
      </w:r>
    </w:p>
    <w:p>
      <w:pPr>
        <w:pStyle w:val="BodyText"/>
        <w:spacing w:line="240" w:lineRule="auto" w:before="43"/>
        <w:ind w:left="697" w:right="2631"/>
        <w:jc w:val="left"/>
      </w:pPr>
      <w:r>
        <w:rPr/>
        <w:t>□适用 √不适用</w:t>
      </w:r>
    </w:p>
    <w:p>
      <w:pPr>
        <w:spacing w:after="0" w:line="240" w:lineRule="auto"/>
        <w:jc w:val="left"/>
        <w:sectPr>
          <w:type w:val="continuous"/>
          <w:pgSz w:w="11910" w:h="16840"/>
          <w:pgMar w:top="1580" w:bottom="280" w:left="1060" w:right="1660"/>
        </w:sectPr>
      </w:pPr>
    </w:p>
    <w:p>
      <w:pPr>
        <w:spacing w:line="240" w:lineRule="auto" w:before="7"/>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979" w:top="1120" w:bottom="1160" w:left="1060" w:right="1660"/>
        </w:sectPr>
      </w:pPr>
    </w:p>
    <w:p>
      <w:pPr>
        <w:pStyle w:val="Heading4"/>
        <w:spacing w:line="240" w:lineRule="auto"/>
        <w:ind w:left="217" w:right="-17"/>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2"/>
        </w:rPr>
        <w:t> </w:t>
      </w:r>
      <w:r>
        <w:rPr/>
        <w:t>未确认递延所得税资产明细</w:t>
      </w:r>
      <w:r>
        <w:rPr>
          <w:b w:val="0"/>
          <w:bCs w:val="0"/>
        </w:rPr>
      </w:r>
    </w:p>
    <w:p>
      <w:pPr>
        <w:pStyle w:val="BodyText"/>
        <w:spacing w:line="240" w:lineRule="auto" w:before="40"/>
        <w:ind w:left="69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3175" w:space="3347"/>
            <w:col w:w="26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16"/>
        <w:gridCol w:w="3005"/>
        <w:gridCol w:w="3003"/>
      </w:tblGrid>
      <w:tr>
        <w:trPr>
          <w:trHeight w:val="37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19,347,444.62</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2,691,890.38</w:t>
            </w:r>
          </w:p>
        </w:tc>
      </w:tr>
      <w:tr>
        <w:trPr>
          <w:trHeight w:val="370"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50,453,701.98</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25,558,801.16</w:t>
            </w:r>
          </w:p>
        </w:tc>
      </w:tr>
      <w:tr>
        <w:trPr>
          <w:trHeight w:val="370"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69,801,146.60</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28,250,691.54</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580" w:bottom="280" w:left="1060" w:right="1660"/>
        </w:sectPr>
      </w:pPr>
    </w:p>
    <w:p>
      <w:pPr>
        <w:pStyle w:val="Heading4"/>
        <w:spacing w:line="240" w:lineRule="auto"/>
        <w:ind w:left="217" w:right="-16"/>
        <w:jc w:val="left"/>
        <w:rPr>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20"/>
        </w:rPr>
        <w:t> </w:t>
      </w:r>
      <w:r>
        <w:rPr/>
        <w:t>未确认递延所得税资产的可抵扣亏损将于以下年度到期</w:t>
      </w:r>
      <w:r>
        <w:rPr>
          <w:b w:val="0"/>
          <w:bCs w:val="0"/>
        </w:rPr>
      </w:r>
    </w:p>
    <w:p>
      <w:pPr>
        <w:pStyle w:val="BodyText"/>
        <w:spacing w:line="240" w:lineRule="auto" w:before="40"/>
        <w:ind w:left="69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5704" w:space="762"/>
            <w:col w:w="2724"/>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33"/>
        <w:gridCol w:w="2228"/>
        <w:gridCol w:w="2268"/>
        <w:gridCol w:w="2295"/>
      </w:tblGrid>
      <w:tr>
        <w:trPr>
          <w:trHeight w:val="372"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97"/>
              <w:jc w:val="right"/>
              <w:rPr>
                <w:rFonts w:ascii="宋体" w:hAnsi="宋体" w:cs="宋体" w:eastAsia="宋体" w:hint="default"/>
                <w:sz w:val="21"/>
                <w:szCs w:val="21"/>
              </w:rPr>
            </w:pPr>
            <w:r>
              <w:rPr>
                <w:rFonts w:ascii="宋体" w:hAnsi="宋体" w:cs="宋体" w:eastAsia="宋体" w:hint="default"/>
                <w:sz w:val="21"/>
                <w:szCs w:val="21"/>
              </w:rPr>
              <w:t>年份</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86"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08"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70"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222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993,772.40</w:t>
            </w:r>
          </w:p>
        </w:tc>
        <w:tc>
          <w:tcPr>
            <w:tcW w:w="229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1,035,705.44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1,788,259.98</w:t>
            </w:r>
          </w:p>
        </w:tc>
        <w:tc>
          <w:tcPr>
            <w:tcW w:w="229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3,907,915.66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4,892,328.47</w:t>
            </w:r>
          </w:p>
        </w:tc>
        <w:tc>
          <w:tcPr>
            <w:tcW w:w="229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 </w:t>
            </w:r>
            <w:r>
              <w:rPr>
                <w:rFonts w:ascii="宋体" w:hAnsi="宋体" w:cs="宋体" w:eastAsia="宋体" w:hint="default"/>
                <w:sz w:val="21"/>
                <w:szCs w:val="21"/>
              </w:rPr>
              <w:t>年</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12,401,544.28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6,746,552.24</w:t>
            </w:r>
          </w:p>
        </w:tc>
        <w:tc>
          <w:tcPr>
            <w:tcW w:w="229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 </w:t>
            </w:r>
            <w:r>
              <w:rPr>
                <w:rFonts w:ascii="宋体" w:hAnsi="宋体" w:cs="宋体" w:eastAsia="宋体" w:hint="default"/>
                <w:sz w:val="21"/>
                <w:szCs w:val="21"/>
              </w:rPr>
              <w:t>年</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14,902,477.97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11,137,888.08</w:t>
            </w:r>
          </w:p>
        </w:tc>
        <w:tc>
          <w:tcPr>
            <w:tcW w:w="2295"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18,206,058.63</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97"/>
              <w:jc w:val="right"/>
              <w:rPr>
                <w:rFonts w:ascii="宋体" w:hAnsi="宋体" w:cs="宋体" w:eastAsia="宋体" w:hint="default"/>
                <w:sz w:val="21"/>
                <w:szCs w:val="21"/>
              </w:rPr>
            </w:pPr>
            <w:r>
              <w:rPr>
                <w:rFonts w:ascii="宋体" w:hAnsi="宋体" w:cs="宋体" w:eastAsia="宋体" w:hint="default"/>
                <w:sz w:val="21"/>
                <w:szCs w:val="21"/>
              </w:rPr>
              <w:t>合计</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50,453,701.98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25,558,801.17</w:t>
            </w:r>
          </w:p>
        </w:tc>
        <w:tc>
          <w:tcPr>
            <w:tcW w:w="22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280" w:left="1060" w:right="1660"/>
        </w:sectPr>
      </w:pPr>
    </w:p>
    <w:p>
      <w:pPr>
        <w:pStyle w:val="BodyText"/>
        <w:spacing w:line="273" w:lineRule="exact" w:before="36"/>
        <w:ind w:left="217" w:right="-18"/>
        <w:jc w:val="left"/>
      </w:pPr>
      <w:r>
        <w:rPr/>
        <w:t>其他说明：</w:t>
      </w:r>
    </w:p>
    <w:p>
      <w:pPr>
        <w:pStyle w:val="BodyText"/>
        <w:spacing w:line="273" w:lineRule="exact"/>
        <w:ind w:left="697" w:right="-18"/>
        <w:jc w:val="left"/>
      </w:pPr>
      <w:r>
        <w:rPr/>
        <w:t>□适用 √不适用</w:t>
      </w:r>
    </w:p>
    <w:p>
      <w:pPr>
        <w:pStyle w:val="Heading4"/>
        <w:spacing w:line="240" w:lineRule="auto" w:before="58"/>
        <w:ind w:left="217" w:right="-18"/>
        <w:jc w:val="left"/>
        <w:rPr>
          <w:b w:val="0"/>
          <w:bCs w:val="0"/>
        </w:rPr>
      </w:pPr>
      <w:r>
        <w:rPr>
          <w:rFonts w:ascii="Times New Roman" w:hAnsi="Times New Roman" w:cs="Times New Roman" w:eastAsia="Times New Roman" w:hint="default"/>
        </w:rPr>
        <w:t>25</w:t>
      </w:r>
      <w:r>
        <w:rPr/>
        <w:t>、</w:t>
      </w:r>
      <w:r>
        <w:rPr>
          <w:spacing w:val="-21"/>
        </w:rPr>
        <w:t> </w:t>
      </w:r>
      <w:r>
        <w:rPr/>
        <w:t>其他非流动资产</w:t>
      </w:r>
      <w:r>
        <w:rPr>
          <w:b w:val="0"/>
          <w:bCs w:val="0"/>
        </w:rPr>
      </w:r>
    </w:p>
    <w:p>
      <w:pPr>
        <w:pStyle w:val="BodyText"/>
        <w:spacing w:line="240" w:lineRule="auto" w:before="40"/>
        <w:ind w:left="6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2275" w:space="4247"/>
            <w:col w:w="26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795"/>
        <w:gridCol w:w="3056"/>
        <w:gridCol w:w="2977"/>
      </w:tblGrid>
      <w:tr>
        <w:trPr>
          <w:trHeight w:val="37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企业人才住房</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21"/>
                <w:szCs w:val="21"/>
              </w:rPr>
            </w:pPr>
            <w:r>
              <w:rPr>
                <w:rFonts w:ascii="Times New Roman"/>
                <w:spacing w:val="-1"/>
                <w:sz w:val="21"/>
              </w:rPr>
              <w:t>3,838,390.00</w:t>
            </w: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预付研发及无形资产款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21"/>
                <w:szCs w:val="21"/>
              </w:rPr>
            </w:pPr>
            <w:r>
              <w:rPr>
                <w:rFonts w:ascii="Times New Roman"/>
                <w:spacing w:val="-1"/>
                <w:sz w:val="21"/>
              </w:rPr>
              <w:t>3,597,606.89</w:t>
            </w: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 w:right="0"/>
              <w:jc w:val="left"/>
              <w:rPr>
                <w:rFonts w:ascii="宋体" w:hAnsi="宋体" w:cs="宋体" w:eastAsia="宋体" w:hint="default"/>
                <w:sz w:val="21"/>
                <w:szCs w:val="21"/>
              </w:rPr>
            </w:pPr>
            <w:r>
              <w:rPr>
                <w:rFonts w:ascii="宋体" w:hAnsi="宋体" w:cs="宋体" w:eastAsia="宋体" w:hint="default"/>
                <w:sz w:val="21"/>
                <w:szCs w:val="21"/>
              </w:rPr>
              <w:t>预付投资款</w:t>
            </w:r>
          </w:p>
        </w:tc>
        <w:tc>
          <w:tcPr>
            <w:tcW w:w="3056"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21"/>
                <w:szCs w:val="21"/>
              </w:rPr>
            </w:pPr>
            <w:r>
              <w:rPr>
                <w:rFonts w:ascii="Times New Roman"/>
                <w:spacing w:val="-1"/>
                <w:sz w:val="21"/>
              </w:rPr>
              <w:t>12,500,000.00</w:t>
            </w:r>
          </w:p>
        </w:tc>
      </w:tr>
      <w:tr>
        <w:trPr>
          <w:trHeight w:val="37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6" w:right="0"/>
              <w:jc w:val="left"/>
              <w:rPr>
                <w:rFonts w:ascii="宋体" w:hAnsi="宋体" w:cs="宋体" w:eastAsia="宋体" w:hint="default"/>
                <w:sz w:val="21"/>
                <w:szCs w:val="21"/>
              </w:rPr>
            </w:pPr>
            <w:r>
              <w:rPr>
                <w:rFonts w:ascii="宋体" w:hAnsi="宋体" w:cs="宋体" w:eastAsia="宋体" w:hint="default"/>
                <w:sz w:val="21"/>
                <w:szCs w:val="21"/>
              </w:rPr>
              <w:t>预付购买固定资产款</w:t>
            </w:r>
          </w:p>
        </w:tc>
        <w:tc>
          <w:tcPr>
            <w:tcW w:w="3056"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4,788,590.48</w:t>
            </w:r>
          </w:p>
        </w:tc>
      </w:tr>
      <w:tr>
        <w:trPr>
          <w:trHeight w:val="37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spacing w:val="-1"/>
                <w:sz w:val="21"/>
              </w:rPr>
              <w:t>7,435,996.89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21"/>
                <w:szCs w:val="21"/>
              </w:rPr>
            </w:pPr>
            <w:r>
              <w:rPr>
                <w:rFonts w:ascii="Times New Roman"/>
                <w:spacing w:val="-1"/>
                <w:sz w:val="21"/>
              </w:rPr>
              <w:t>17,288,590.48</w:t>
            </w:r>
          </w:p>
        </w:tc>
      </w:tr>
    </w:tbl>
    <w:p>
      <w:pPr>
        <w:spacing w:line="240" w:lineRule="auto" w:before="6"/>
        <w:rPr>
          <w:rFonts w:ascii="宋体" w:hAnsi="宋体" w:cs="宋体" w:eastAsia="宋体" w:hint="default"/>
          <w:sz w:val="18"/>
          <w:szCs w:val="18"/>
        </w:rPr>
      </w:pPr>
    </w:p>
    <w:p>
      <w:pPr>
        <w:pStyle w:val="BodyText"/>
        <w:spacing w:line="240" w:lineRule="auto" w:before="36"/>
        <w:ind w:left="217" w:right="0"/>
        <w:jc w:val="both"/>
      </w:pPr>
      <w:r>
        <w:rPr/>
        <w:t>其他说明：</w:t>
      </w:r>
    </w:p>
    <w:p>
      <w:pPr>
        <w:pStyle w:val="BodyText"/>
        <w:spacing w:line="304" w:lineRule="auto" w:before="73"/>
        <w:ind w:left="217" w:right="128" w:firstLine="48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spacing w:val="-6"/>
        </w:rPr>
        <w:t>日，根据《福田区企业人才住房配售管理办法》、《福田区</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年度企业人</w:t>
      </w:r>
      <w:r>
        <w:rPr>
          <w:w w:val="100"/>
        </w:rPr>
        <w:t> </w:t>
      </w:r>
      <w:r>
        <w:rPr>
          <w:spacing w:val="-2"/>
        </w:rPr>
        <w:t>才住房配售方案》，公司之子公司深圳太极云软件技术股份有限公司（以下简称“太极云软”）</w:t>
      </w:r>
      <w:r>
        <w:rPr>
          <w:spacing w:val="-25"/>
        </w:rPr>
        <w:t> </w:t>
      </w:r>
      <w:r>
        <w:rPr>
          <w:spacing w:val="-25"/>
        </w:rPr>
      </w:r>
      <w:r>
        <w:rPr>
          <w:spacing w:val="-2"/>
          <w:w w:val="100"/>
        </w:rPr>
        <w:t>与深圳市福田区住房和建设局签订</w:t>
      </w:r>
      <w:r>
        <w:rPr>
          <w:spacing w:val="-46"/>
          <w:w w:val="100"/>
        </w:rPr>
        <w:t> </w:t>
      </w:r>
      <w:r>
        <w:rPr>
          <w:rFonts w:ascii="Times New Roman" w:hAnsi="Times New Roman" w:cs="Times New Roman" w:eastAsia="Times New Roman" w:hint="default"/>
          <w:spacing w:val="-1"/>
          <w:w w:val="100"/>
        </w:rPr>
        <w:t>2013</w:t>
      </w:r>
      <w:r>
        <w:rPr>
          <w:rFonts w:ascii="Times New Roman" w:hAnsi="Times New Roman" w:cs="Times New Roman" w:eastAsia="Times New Roman" w:hint="default"/>
          <w:spacing w:val="4"/>
          <w:w w:val="100"/>
        </w:rPr>
        <w:t> </w:t>
      </w:r>
      <w:r>
        <w:rPr>
          <w:spacing w:val="-8"/>
          <w:w w:val="100"/>
        </w:rPr>
        <w:t>年度企业人才住房预购协议书，取得</w:t>
      </w:r>
      <w:r>
        <w:rPr>
          <w:spacing w:val="-46"/>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4"/>
          <w:w w:val="100"/>
        </w:rPr>
        <w:t> </w:t>
      </w:r>
      <w:r>
        <w:rPr>
          <w:spacing w:val="-2"/>
          <w:w w:val="100"/>
        </w:rPr>
        <w:t>套企业人才住房的</w:t>
      </w:r>
    </w:p>
    <w:p>
      <w:pPr>
        <w:pStyle w:val="BodyText"/>
        <w:spacing w:line="240" w:lineRule="auto" w:before="6"/>
        <w:ind w:left="217" w:right="0"/>
        <w:jc w:val="both"/>
        <w:rPr>
          <w:rFonts w:ascii="Times New Roman" w:hAnsi="Times New Roman" w:cs="Times New Roman" w:eastAsia="Times New Roman" w:hint="default"/>
        </w:rPr>
      </w:pPr>
      <w:r>
        <w:rPr>
          <w:spacing w:val="-5"/>
        </w:rPr>
        <w:t>购买权，其中</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套人才住房已于</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spacing w:val="-4"/>
        </w:rPr>
        <w:t>日签订购买合同，其余</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套人才住房于</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5</w:t>
      </w:r>
    </w:p>
    <w:p>
      <w:pPr>
        <w:pStyle w:val="BodyText"/>
        <w:spacing w:line="304" w:lineRule="auto" w:before="69"/>
        <w:ind w:left="217" w:right="129"/>
        <w:jc w:val="both"/>
      </w:pPr>
      <w:r>
        <w:rPr/>
        <w:t>月 </w:t>
      </w:r>
      <w:r>
        <w:rPr>
          <w:rFonts w:ascii="Times New Roman" w:hAnsi="Times New Roman" w:cs="Times New Roman" w:eastAsia="Times New Roman" w:hint="default"/>
        </w:rPr>
        <w:t>26 </w:t>
      </w:r>
      <w:r>
        <w:rPr>
          <w:spacing w:val="-4"/>
        </w:rPr>
        <w:t>日签订购买合同。该住房产权性质为企业人才住房，产权属太极云软所有，无产权证，只能</w:t>
      </w:r>
      <w:r>
        <w:rPr>
          <w:spacing w:val="-101"/>
        </w:rPr>
        <w:t> </w:t>
      </w:r>
      <w:r>
        <w:rPr>
          <w:spacing w:val="-101"/>
        </w:rPr>
      </w:r>
      <w:r>
        <w:rPr>
          <w:spacing w:val="-2"/>
        </w:rPr>
        <w:t>出租给符合条件的员工居住，不能出售给单位员工，不能进行抵押和产权转让。根据《福田区企</w:t>
      </w:r>
      <w:r>
        <w:rPr>
          <w:spacing w:val="-25"/>
        </w:rPr>
        <w:t> </w:t>
      </w:r>
      <w:r>
        <w:rPr>
          <w:spacing w:val="-25"/>
        </w:rPr>
      </w:r>
      <w:r>
        <w:rPr>
          <w:spacing w:val="-2"/>
        </w:rPr>
        <w:t>业人才住房配售管理办法》，人才住房涉及申请回购和强制回购的，福田区住建局按照以下价格</w:t>
      </w:r>
    </w:p>
    <w:p>
      <w:pPr>
        <w:spacing w:after="0" w:line="304" w:lineRule="auto"/>
        <w:jc w:val="both"/>
        <w:sectPr>
          <w:type w:val="continuous"/>
          <w:pgSz w:w="11910" w:h="16840"/>
          <w:pgMar w:top="1580" w:bottom="280" w:left="1060" w:right="1660"/>
        </w:sectPr>
      </w:pPr>
    </w:p>
    <w:p>
      <w:pPr>
        <w:spacing w:line="240" w:lineRule="auto" w:before="5"/>
        <w:rPr>
          <w:rFonts w:ascii="宋体" w:hAnsi="宋体" w:cs="宋体" w:eastAsia="宋体" w:hint="default"/>
          <w:sz w:val="24"/>
          <w:szCs w:val="24"/>
        </w:rPr>
      </w:pPr>
    </w:p>
    <w:p>
      <w:pPr>
        <w:pStyle w:val="BodyText"/>
        <w:spacing w:line="240" w:lineRule="auto" w:before="36"/>
        <w:ind w:left="217" w:right="47"/>
        <w:jc w:val="left"/>
      </w:pPr>
      <w:r>
        <w:rPr/>
        <w:t>进行回购：企业人才住房回购价格在购房合同签订之日起</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年内（含</w:t>
      </w:r>
      <w:r>
        <w:rPr>
          <w:spacing w:val="-55"/>
        </w:rPr>
        <w:t> </w:t>
      </w:r>
      <w:r>
        <w:rPr>
          <w:rFonts w:ascii="Times New Roman" w:hAnsi="Times New Roman" w:cs="Times New Roman" w:eastAsia="Times New Roman" w:hint="default"/>
        </w:rPr>
        <w:t>10 </w:t>
      </w:r>
      <w:r>
        <w:rPr/>
        <w:t>年）为原合同购房价；</w:t>
      </w:r>
    </w:p>
    <w:p>
      <w:pPr>
        <w:pStyle w:val="BodyText"/>
        <w:spacing w:line="297" w:lineRule="auto" w:before="69"/>
        <w:ind w:left="217" w:right="126"/>
        <w:jc w:val="left"/>
      </w:pPr>
      <w:r>
        <w:rPr>
          <w:rFonts w:ascii="Times New Roman" w:hAnsi="Times New Roman" w:cs="Times New Roman" w:eastAsia="Times New Roman" w:hint="default"/>
        </w:rPr>
        <w:t>10 </w:t>
      </w:r>
      <w:r>
        <w:rPr/>
        <w:t>年后，回购价格</w:t>
      </w:r>
      <w:r>
        <w:rPr>
          <w:rFonts w:ascii="Times New Roman" w:hAnsi="Times New Roman" w:cs="Times New Roman" w:eastAsia="Times New Roman" w:hint="default"/>
        </w:rPr>
        <w:t>=</w:t>
      </w:r>
      <w:r>
        <w:rPr/>
        <w:t>原购房价</w:t>
      </w:r>
      <w:r>
        <w:rPr>
          <w:rFonts w:ascii="Times New Roman" w:hAnsi="Times New Roman" w:cs="Times New Roman" w:eastAsia="Times New Roman" w:hint="default"/>
        </w:rPr>
        <w:t>×[1-</w:t>
      </w:r>
      <w:r>
        <w:rPr/>
        <w:t>折旧系数</w:t>
      </w:r>
      <w:r>
        <w:rPr>
          <w:rFonts w:ascii="Times New Roman" w:hAnsi="Times New Roman" w:cs="Times New Roman" w:eastAsia="Times New Roman" w:hint="default"/>
        </w:rPr>
        <w:t>×</w:t>
      </w:r>
      <w:r>
        <w:rPr/>
        <w:t>（购房年限</w:t>
      </w:r>
      <w:r>
        <w:rPr>
          <w:rFonts w:ascii="Times New Roman" w:hAnsi="Times New Roman" w:cs="Times New Roman" w:eastAsia="Times New Roman" w:hint="default"/>
        </w:rPr>
        <w:t>-10</w:t>
      </w:r>
      <w:r>
        <w:rPr/>
        <w:t>）</w:t>
      </w:r>
      <w:r>
        <w:rPr>
          <w:rFonts w:ascii="Times New Roman" w:hAnsi="Times New Roman" w:cs="Times New Roman" w:eastAsia="Times New Roman" w:hint="default"/>
        </w:rPr>
        <w:t>]</w:t>
      </w:r>
      <w:r>
        <w:rPr/>
        <w:t>。折旧系数按照每年折旧率</w:t>
      </w:r>
      <w:r>
        <w:rPr>
          <w:spacing w:val="-72"/>
        </w:rPr>
        <w:t> </w:t>
      </w:r>
      <w:r>
        <w:rPr>
          <w:rFonts w:ascii="Times New Roman" w:hAnsi="Times New Roman" w:cs="Times New Roman" w:eastAsia="Times New Roman" w:hint="default"/>
        </w:rPr>
        <w:t>1.4%</w:t>
      </w:r>
      <w:r>
        <w:rPr/>
        <w:t>计</w:t>
      </w:r>
      <w:r>
        <w:rPr>
          <w:w w:val="100"/>
        </w:rPr>
        <w:t> </w:t>
      </w:r>
      <w:r>
        <w:rPr/>
        <w:t>算，购房年限自合同签订之日起直至回购当年。</w:t>
      </w:r>
    </w:p>
    <w:p>
      <w:pPr>
        <w:pStyle w:val="Heading4"/>
        <w:spacing w:line="240" w:lineRule="auto" w:before="18"/>
        <w:ind w:left="217" w:right="2631"/>
        <w:jc w:val="left"/>
        <w:rPr>
          <w:b w:val="0"/>
          <w:bCs w:val="0"/>
        </w:rPr>
      </w:pPr>
      <w:r>
        <w:rPr>
          <w:rFonts w:ascii="Times New Roman" w:hAnsi="Times New Roman" w:cs="Times New Roman" w:eastAsia="Times New Roman" w:hint="default"/>
        </w:rPr>
        <w:t>26</w:t>
      </w:r>
      <w:r>
        <w:rPr/>
        <w:t>、</w:t>
      </w:r>
      <w:r>
        <w:rPr>
          <w:spacing w:val="-22"/>
        </w:rPr>
        <w:t> </w:t>
      </w:r>
      <w:r>
        <w:rPr/>
        <w:t>短期借款</w:t>
      </w:r>
      <w:r>
        <w:rPr>
          <w:b w:val="0"/>
          <w:bCs w:val="0"/>
        </w:rPr>
      </w:r>
    </w:p>
    <w:p>
      <w:pPr>
        <w:pStyle w:val="Heading4"/>
        <w:spacing w:line="240" w:lineRule="auto" w:before="40"/>
        <w:ind w:left="217" w:right="2631"/>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5"/>
        </w:rPr>
        <w:t> </w:t>
      </w:r>
      <w:r>
        <w:rPr/>
        <w:t>短期借款分类</w:t>
      </w:r>
      <w:r>
        <w:rPr>
          <w:b w:val="0"/>
          <w:bCs w:val="0"/>
        </w:rPr>
      </w:r>
    </w:p>
    <w:p>
      <w:pPr>
        <w:pStyle w:val="BodyText"/>
        <w:spacing w:line="240" w:lineRule="auto" w:before="43"/>
        <w:ind w:left="697" w:right="2631"/>
        <w:jc w:val="left"/>
      </w:pPr>
      <w:r>
        <w:rPr/>
        <w:t>√适用 □不适用</w:t>
      </w:r>
    </w:p>
    <w:p>
      <w:pPr>
        <w:pStyle w:val="BodyText"/>
        <w:tabs>
          <w:tab w:pos="1051" w:val="left" w:leader="none"/>
        </w:tabs>
        <w:spacing w:line="271" w:lineRule="exact"/>
        <w:ind w:left="0" w:right="1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0"/>
        <w:gridCol w:w="2979"/>
        <w:gridCol w:w="2998"/>
      </w:tblGrid>
      <w:tr>
        <w:trPr>
          <w:trHeight w:val="370"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205"/>
              <w:jc w:val="right"/>
              <w:rPr>
                <w:rFonts w:ascii="宋体" w:hAnsi="宋体" w:cs="宋体" w:eastAsia="宋体" w:hint="default"/>
                <w:sz w:val="21"/>
                <w:szCs w:val="21"/>
              </w:rPr>
            </w:pPr>
            <w:r>
              <w:rPr>
                <w:rFonts w:ascii="宋体" w:hAnsi="宋体" w:cs="宋体" w:eastAsia="宋体" w:hint="default"/>
                <w:sz w:val="21"/>
                <w:szCs w:val="21"/>
              </w:rPr>
              <w:t>项目</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32,200,000.00</w:t>
            </w:r>
          </w:p>
        </w:tc>
        <w:tc>
          <w:tcPr>
            <w:tcW w:w="2998"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205"/>
              <w:jc w:val="right"/>
              <w:rPr>
                <w:rFonts w:ascii="宋体" w:hAnsi="宋体" w:cs="宋体" w:eastAsia="宋体" w:hint="default"/>
                <w:sz w:val="21"/>
                <w:szCs w:val="21"/>
              </w:rPr>
            </w:pPr>
            <w:r>
              <w:rPr>
                <w:rFonts w:ascii="宋体" w:hAnsi="宋体" w:cs="宋体" w:eastAsia="宋体" w:hint="default"/>
                <w:sz w:val="21"/>
                <w:szCs w:val="21"/>
              </w:rPr>
              <w:t>合计</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32,200,000.00</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pgSz w:w="11910" w:h="16840"/>
          <w:pgMar w:header="857" w:footer="979" w:top="1120" w:bottom="1160" w:left="1060" w:right="1660"/>
        </w:sectPr>
      </w:pPr>
    </w:p>
    <w:p>
      <w:pPr>
        <w:pStyle w:val="BodyText"/>
        <w:spacing w:line="236" w:lineRule="exact"/>
        <w:ind w:left="637" w:right="-16"/>
        <w:jc w:val="left"/>
      </w:pPr>
      <w:r>
        <w:rPr/>
        <w:t>短期借款分类的说明：</w:t>
      </w:r>
    </w:p>
    <w:p>
      <w:pPr>
        <w:pStyle w:val="Heading3"/>
        <w:spacing w:line="309" w:lineRule="exact" w:before="0"/>
        <w:ind w:left="697" w:right="-16"/>
        <w:jc w:val="left"/>
      </w:pPr>
      <w:r>
        <w:rPr/>
        <w:t>无</w:t>
      </w:r>
    </w:p>
    <w:p>
      <w:pPr>
        <w:pStyle w:val="Heading4"/>
        <w:spacing w:line="240" w:lineRule="auto" w:before="64"/>
        <w:ind w:left="217" w:right="-16"/>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2"/>
        </w:rPr>
        <w:t> </w:t>
      </w:r>
      <w:r>
        <w:rPr/>
        <w:t>已逾期未偿还的短期借款情况</w:t>
      </w:r>
      <w:r>
        <w:rPr>
          <w:b w:val="0"/>
          <w:bCs w:val="0"/>
        </w:rPr>
      </w:r>
    </w:p>
    <w:p>
      <w:pPr>
        <w:pStyle w:val="BodyText"/>
        <w:spacing w:line="240" w:lineRule="auto" w:before="40"/>
        <w:ind w:left="637" w:right="-16"/>
        <w:jc w:val="left"/>
      </w:pPr>
      <w:r>
        <w:rPr/>
        <w:t>□适用</w:t>
      </w:r>
      <w:r>
        <w:rPr>
          <w:spacing w:val="-2"/>
        </w:rPr>
        <w:t> </w:t>
      </w:r>
      <w:r>
        <w:rPr/>
        <w:t>√不适用</w:t>
      </w:r>
      <w:r>
        <w:rPr>
          <w:spacing w:val="-103"/>
        </w:rPr>
        <w:t> </w:t>
      </w:r>
      <w:r>
        <w:rPr>
          <w:spacing w:val="-103"/>
        </w:rPr>
      </w:r>
      <w:r>
        <w:rPr>
          <w:spacing w:val="-2"/>
        </w:rPr>
        <w:t>其中重要的已逾期未偿还的短期借款情况如下：</w:t>
      </w:r>
    </w:p>
    <w:p>
      <w:pPr>
        <w:pStyle w:val="BodyText"/>
        <w:spacing w:line="274" w:lineRule="exact" w:before="22"/>
        <w:ind w:left="637" w:right="3068" w:firstLine="60"/>
        <w:jc w:val="left"/>
      </w:pPr>
      <w:r>
        <w:rPr/>
        <w:t>□适用 √不适用</w:t>
      </w:r>
      <w:r>
        <w:rPr>
          <w:w w:val="100"/>
        </w:rPr>
        <w:t> </w:t>
      </w:r>
      <w:r>
        <w:rPr/>
        <w:t>其他说明</w:t>
      </w:r>
    </w:p>
    <w:p>
      <w:pPr>
        <w:pStyle w:val="BodyText"/>
        <w:spacing w:line="246" w:lineRule="exact"/>
        <w:ind w:left="637" w:right="-16"/>
        <w:jc w:val="left"/>
      </w:pPr>
      <w:r>
        <w:rPr/>
        <w:t>□适用 √不适用</w:t>
      </w:r>
    </w:p>
    <w:p>
      <w:pPr>
        <w:pStyle w:val="Heading4"/>
        <w:spacing w:line="240" w:lineRule="auto" w:before="58"/>
        <w:ind w:left="217" w:right="-16"/>
        <w:jc w:val="left"/>
        <w:rPr>
          <w:b w:val="0"/>
          <w:bCs w:val="0"/>
        </w:rPr>
      </w:pPr>
      <w:r>
        <w:rPr>
          <w:rFonts w:ascii="Times New Roman" w:hAnsi="Times New Roman" w:cs="Times New Roman" w:eastAsia="Times New Roman" w:hint="default"/>
        </w:rPr>
        <w:t>27</w:t>
      </w:r>
      <w:r>
        <w:rPr/>
        <w:t>、</w:t>
      </w:r>
      <w:r>
        <w:rPr>
          <w:spacing w:val="-26"/>
        </w:rPr>
        <w:t> </w:t>
      </w:r>
      <w:r>
        <w:rPr/>
        <w:t>以公允价值计量且其变动计入当期损益的金融负债</w:t>
      </w:r>
      <w:r>
        <w:rPr>
          <w:b w:val="0"/>
          <w:bCs w:val="0"/>
        </w:rPr>
      </w:r>
    </w:p>
    <w:p>
      <w:pPr>
        <w:pStyle w:val="BodyText"/>
        <w:spacing w:line="240" w:lineRule="auto" w:before="40"/>
        <w:ind w:left="69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5361" w:space="1161"/>
            <w:col w:w="2668"/>
          </w:cols>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17"/>
        <w:gridCol w:w="2818"/>
        <w:gridCol w:w="2789"/>
      </w:tblGrid>
      <w:tr>
        <w:trPr>
          <w:trHeight w:val="37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39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73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56"/>
              <w:jc w:val="left"/>
              <w:rPr>
                <w:rFonts w:ascii="宋体" w:hAnsi="宋体" w:cs="宋体" w:eastAsia="宋体" w:hint="default"/>
                <w:sz w:val="21"/>
                <w:szCs w:val="21"/>
              </w:rPr>
            </w:pPr>
            <w:r>
              <w:rPr>
                <w:rFonts w:ascii="宋体" w:hAnsi="宋体" w:cs="宋体" w:eastAsia="宋体" w:hint="default"/>
                <w:spacing w:val="-2"/>
                <w:sz w:val="21"/>
                <w:szCs w:val="21"/>
              </w:rPr>
              <w:t>指定为以公允价值计量且其变动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计入当期损益的金融负债</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3,000,000.00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39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3,000,000.00</w:t>
            </w:r>
          </w:p>
        </w:tc>
        <w:tc>
          <w:tcPr>
            <w:tcW w:w="27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2"/>
        <w:ind w:left="217" w:right="2631"/>
        <w:jc w:val="left"/>
      </w:pPr>
      <w:r>
        <w:rPr/>
        <w:t>其他说明：</w:t>
      </w:r>
    </w:p>
    <w:p>
      <w:pPr>
        <w:pStyle w:val="BodyText"/>
        <w:spacing w:line="314" w:lineRule="auto" w:before="85"/>
        <w:ind w:left="217" w:right="47" w:firstLine="480"/>
        <w:jc w:val="left"/>
      </w:pPr>
      <w:r>
        <w:rPr>
          <w:spacing w:val="-3"/>
        </w:rPr>
        <w:t>以公允价值计量且其变动计入当期损益的金融负债情况详见附注“七、（三十九）“长期应</w:t>
      </w:r>
      <w:r>
        <w:rPr>
          <w:w w:val="100"/>
        </w:rPr>
        <w:t> </w:t>
      </w:r>
      <w:r>
        <w:rPr/>
        <w:t>付款 注</w:t>
      </w:r>
      <w:r>
        <w:rPr>
          <w:spacing w:val="-53"/>
        </w:rPr>
        <w:t> </w:t>
      </w:r>
      <w:r>
        <w:rPr>
          <w:rFonts w:ascii="Times New Roman" w:hAnsi="Times New Roman" w:cs="Times New Roman" w:eastAsia="Times New Roman" w:hint="default"/>
        </w:rPr>
        <w:t>2</w:t>
      </w:r>
      <w:r>
        <w:rPr/>
        <w:t>”</w:t>
      </w:r>
    </w:p>
    <w:p>
      <w:pPr>
        <w:pStyle w:val="Heading4"/>
        <w:spacing w:line="240" w:lineRule="auto" w:before="57"/>
        <w:ind w:left="217" w:right="2631"/>
        <w:jc w:val="left"/>
        <w:rPr>
          <w:b w:val="0"/>
          <w:bCs w:val="0"/>
        </w:rPr>
      </w:pPr>
      <w:r>
        <w:rPr>
          <w:rFonts w:ascii="Times New Roman" w:hAnsi="Times New Roman" w:cs="Times New Roman" w:eastAsia="Times New Roman" w:hint="default"/>
        </w:rPr>
        <w:t>28</w:t>
      </w:r>
      <w:r>
        <w:rPr/>
        <w:t>、</w:t>
      </w:r>
      <w:r>
        <w:rPr>
          <w:spacing w:val="-23"/>
        </w:rPr>
        <w:t> </w:t>
      </w:r>
      <w:r>
        <w:rPr/>
        <w:t>衍生金融负债</w:t>
      </w:r>
      <w:r>
        <w:rPr>
          <w:b w:val="0"/>
          <w:bCs w:val="0"/>
        </w:rPr>
      </w:r>
    </w:p>
    <w:p>
      <w:pPr>
        <w:spacing w:line="357" w:lineRule="auto" w:before="130"/>
        <w:ind w:left="217" w:right="6546" w:firstLine="48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w:t>
      </w:r>
      <w:r>
        <w:rPr>
          <w:rFonts w:ascii="宋体" w:hAnsi="宋体" w:cs="宋体" w:eastAsia="宋体" w:hint="default"/>
          <w:b/>
          <w:bCs/>
          <w:spacing w:val="-21"/>
          <w:sz w:val="21"/>
          <w:szCs w:val="21"/>
        </w:rPr>
        <w:t> </w:t>
      </w:r>
      <w:r>
        <w:rPr>
          <w:rFonts w:ascii="宋体" w:hAnsi="宋体" w:cs="宋体" w:eastAsia="宋体" w:hint="default"/>
          <w:b/>
          <w:bCs/>
          <w:sz w:val="21"/>
          <w:szCs w:val="21"/>
        </w:rPr>
        <w:t>应付票据及应付账款</w:t>
      </w:r>
      <w:r>
        <w:rPr>
          <w:rFonts w:ascii="宋体" w:hAnsi="宋体" w:cs="宋体" w:eastAsia="宋体" w:hint="default"/>
          <w:b/>
          <w:bCs/>
          <w:w w:val="100"/>
          <w:sz w:val="21"/>
          <w:szCs w:val="21"/>
        </w:rPr>
        <w:t> </w:t>
      </w:r>
      <w:r>
        <w:rPr>
          <w:rFonts w:ascii="宋体" w:hAnsi="宋体" w:cs="宋体" w:eastAsia="宋体" w:hint="default"/>
          <w:b/>
          <w:bCs/>
          <w:sz w:val="21"/>
          <w:szCs w:val="21"/>
        </w:rPr>
        <w:t>总表情况</w:t>
      </w:r>
      <w:r>
        <w:rPr>
          <w:rFonts w:ascii="宋体" w:hAnsi="宋体" w:cs="宋体" w:eastAsia="宋体" w:hint="default"/>
          <w:sz w:val="21"/>
          <w:szCs w:val="21"/>
        </w:rPr>
      </w:r>
    </w:p>
    <w:p>
      <w:pPr>
        <w:pStyle w:val="Heading4"/>
        <w:spacing w:line="240" w:lineRule="auto" w:before="42"/>
        <w:ind w:left="217" w:right="2631"/>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5"/>
        </w:rPr>
        <w:t> </w:t>
      </w:r>
      <w:r>
        <w:rPr/>
        <w:t>分类列示</w:t>
      </w:r>
      <w:r>
        <w:rPr>
          <w:b w:val="0"/>
          <w:bCs w:val="0"/>
        </w:rPr>
      </w:r>
    </w:p>
    <w:p>
      <w:pPr>
        <w:pStyle w:val="BodyText"/>
        <w:spacing w:line="240" w:lineRule="auto" w:before="129"/>
        <w:ind w:left="697" w:right="2631"/>
        <w:jc w:val="left"/>
      </w:pPr>
      <w:r>
        <w:rPr/>
        <w:t>√适用 □不适用</w:t>
      </w:r>
    </w:p>
    <w:p>
      <w:pPr>
        <w:pStyle w:val="BodyText"/>
        <w:tabs>
          <w:tab w:pos="1051" w:val="left" w:leader="none"/>
        </w:tabs>
        <w:spacing w:line="240" w:lineRule="auto" w:before="8"/>
        <w:ind w:left="0" w:right="1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27"/>
        <w:gridCol w:w="2792"/>
        <w:gridCol w:w="2806"/>
      </w:tblGrid>
      <w:tr>
        <w:trPr>
          <w:trHeight w:val="370"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95"/>
              <w:jc w:val="right"/>
              <w:rPr>
                <w:rFonts w:ascii="宋体" w:hAnsi="宋体" w:cs="宋体" w:eastAsia="宋体" w:hint="default"/>
                <w:sz w:val="21"/>
                <w:szCs w:val="21"/>
              </w:rPr>
            </w:pPr>
            <w:r>
              <w:rPr>
                <w:rFonts w:ascii="宋体" w:hAnsi="宋体" w:cs="宋体" w:eastAsia="宋体" w:hint="default"/>
                <w:sz w:val="21"/>
                <w:szCs w:val="21"/>
              </w:rPr>
              <w:t>项目</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116,825,048.45</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238,486,982.59</w:t>
            </w: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361,212,717.38</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286,895,744.76</w:t>
            </w: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95"/>
              <w:jc w:val="right"/>
              <w:rPr>
                <w:rFonts w:ascii="宋体" w:hAnsi="宋体" w:cs="宋体" w:eastAsia="宋体" w:hint="default"/>
                <w:sz w:val="21"/>
                <w:szCs w:val="21"/>
              </w:rPr>
            </w:pPr>
            <w:r>
              <w:rPr>
                <w:rFonts w:ascii="宋体" w:hAnsi="宋体" w:cs="宋体" w:eastAsia="宋体" w:hint="default"/>
                <w:sz w:val="21"/>
                <w:szCs w:val="21"/>
              </w:rPr>
              <w:t>合计</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478,037,765.83</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525,382,727.35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60" w:right="16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979" w:top="1120" w:bottom="1160" w:left="1040" w:right="1560"/>
        </w:sectPr>
      </w:pPr>
    </w:p>
    <w:p>
      <w:pPr>
        <w:pStyle w:val="BodyText"/>
        <w:spacing w:line="273" w:lineRule="exact" w:before="36"/>
        <w:ind w:left="237" w:right="-18"/>
        <w:jc w:val="left"/>
      </w:pPr>
      <w:r>
        <w:rPr/>
        <w:t>其他说明：</w:t>
      </w:r>
    </w:p>
    <w:p>
      <w:pPr>
        <w:spacing w:line="290" w:lineRule="auto" w:before="0"/>
        <w:ind w:left="237" w:right="-18" w:firstLine="48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应付票据</w:t>
      </w:r>
      <w:r>
        <w:rPr>
          <w:rFonts w:ascii="宋体" w:hAnsi="宋体" w:cs="宋体" w:eastAsia="宋体" w:hint="default"/>
          <w:sz w:val="21"/>
          <w:szCs w:val="21"/>
        </w:rPr>
      </w:r>
    </w:p>
    <w:p>
      <w:pPr>
        <w:pStyle w:val="Heading4"/>
        <w:spacing w:line="240" w:lineRule="auto" w:before="12"/>
        <w:ind w:left="237" w:right="-18"/>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5"/>
        </w:rPr>
        <w:t> </w:t>
      </w:r>
      <w:r>
        <w:rPr/>
        <w:t>应付票据列示</w:t>
      </w:r>
      <w:r>
        <w:rPr>
          <w:b w:val="0"/>
          <w:bCs w:val="0"/>
        </w:rPr>
      </w:r>
    </w:p>
    <w:p>
      <w:pPr>
        <w:pStyle w:val="BodyText"/>
        <w:spacing w:line="240" w:lineRule="auto" w:before="43"/>
        <w:ind w:left="7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560"/>
          <w:cols w:num="2" w:equalWidth="0">
            <w:col w:w="2295" w:space="4227"/>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92"/>
        <w:gridCol w:w="3313"/>
        <w:gridCol w:w="3219"/>
      </w:tblGrid>
      <w:tr>
        <w:trPr>
          <w:trHeight w:val="37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26"/>
              <w:jc w:val="right"/>
              <w:rPr>
                <w:rFonts w:ascii="宋体" w:hAnsi="宋体" w:cs="宋体" w:eastAsia="宋体" w:hint="default"/>
                <w:sz w:val="21"/>
                <w:szCs w:val="21"/>
              </w:rPr>
            </w:pPr>
            <w:r>
              <w:rPr>
                <w:rFonts w:ascii="宋体" w:hAnsi="宋体" w:cs="宋体" w:eastAsia="宋体" w:hint="default"/>
                <w:sz w:val="21"/>
                <w:szCs w:val="21"/>
              </w:rPr>
              <w:t>种类</w:t>
            </w:r>
          </w:p>
        </w:tc>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09"/>
              <w:jc w:val="right"/>
              <w:rPr>
                <w:rFonts w:ascii="宋体" w:hAnsi="宋体" w:cs="宋体" w:eastAsia="宋体" w:hint="default"/>
                <w:sz w:val="21"/>
                <w:szCs w:val="21"/>
              </w:rPr>
            </w:pPr>
            <w:r>
              <w:rPr>
                <w:rFonts w:ascii="宋体" w:hAnsi="宋体" w:cs="宋体" w:eastAsia="宋体" w:hint="default"/>
                <w:spacing w:val="-1"/>
                <w:sz w:val="21"/>
                <w:szCs w:val="21"/>
              </w:rPr>
              <w:t>银行承兑汇票</w:t>
            </w:r>
          </w:p>
        </w:tc>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9"/>
              <w:jc w:val="right"/>
              <w:rPr>
                <w:rFonts w:ascii="Times New Roman" w:hAnsi="Times New Roman" w:cs="Times New Roman" w:eastAsia="Times New Roman" w:hint="default"/>
                <w:sz w:val="21"/>
                <w:szCs w:val="21"/>
              </w:rPr>
            </w:pPr>
            <w:r>
              <w:rPr>
                <w:rFonts w:ascii="Times New Roman"/>
                <w:spacing w:val="-1"/>
                <w:sz w:val="21"/>
              </w:rPr>
              <w:t>116,825,048.45</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238,486,982.59</w:t>
            </w:r>
          </w:p>
        </w:tc>
      </w:tr>
      <w:tr>
        <w:trPr>
          <w:trHeight w:val="37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26"/>
              <w:jc w:val="right"/>
              <w:rPr>
                <w:rFonts w:ascii="宋体" w:hAnsi="宋体" w:cs="宋体" w:eastAsia="宋体" w:hint="default"/>
                <w:sz w:val="21"/>
                <w:szCs w:val="21"/>
              </w:rPr>
            </w:pPr>
            <w:r>
              <w:rPr>
                <w:rFonts w:ascii="宋体" w:hAnsi="宋体" w:cs="宋体" w:eastAsia="宋体" w:hint="default"/>
                <w:sz w:val="21"/>
                <w:szCs w:val="21"/>
              </w:rPr>
              <w:t>合计</w:t>
            </w:r>
          </w:p>
        </w:tc>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116,825,048.45</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238,486,982.59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40" w:right="1560"/>
        </w:sectPr>
      </w:pPr>
    </w:p>
    <w:p>
      <w:pPr>
        <w:pStyle w:val="BodyText"/>
        <w:spacing w:line="257" w:lineRule="exact"/>
        <w:ind w:left="657" w:right="-13"/>
        <w:jc w:val="left"/>
      </w:pPr>
      <w:r>
        <w:rPr/>
        <w:t>本期末已到期未支付的应付票据总额为 </w:t>
      </w:r>
      <w:r>
        <w:rPr>
          <w:rFonts w:ascii="Times New Roman" w:hAnsi="Times New Roman" w:cs="Times New Roman" w:eastAsia="Times New Roman" w:hint="default"/>
        </w:rPr>
        <w:t>0 </w:t>
      </w:r>
      <w:r>
        <w:rPr>
          <w:spacing w:val="-3"/>
        </w:rPr>
        <w:t>元。</w:t>
      </w:r>
      <w:r>
        <w:rPr/>
      </w:r>
    </w:p>
    <w:p>
      <w:pPr>
        <w:pStyle w:val="Heading4"/>
        <w:spacing w:line="240" w:lineRule="auto" w:before="43"/>
        <w:ind w:left="237" w:right="-13"/>
        <w:jc w:val="left"/>
        <w:rPr>
          <w:b w:val="0"/>
          <w:bCs w:val="0"/>
        </w:rPr>
      </w:pPr>
      <w:r>
        <w:rPr/>
        <w:t>应付账款</w:t>
      </w:r>
      <w:r>
        <w:rPr>
          <w:b w:val="0"/>
          <w:bCs w:val="0"/>
        </w:rPr>
      </w:r>
    </w:p>
    <w:p>
      <w:pPr>
        <w:pStyle w:val="Heading4"/>
        <w:spacing w:line="240" w:lineRule="auto" w:before="56"/>
        <w:ind w:left="237" w:right="-13"/>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5"/>
        </w:rPr>
        <w:t> </w:t>
      </w:r>
      <w:r>
        <w:rPr/>
        <w:t>应付账款列示</w:t>
      </w:r>
      <w:r>
        <w:rPr>
          <w:b w:val="0"/>
          <w:bCs w:val="0"/>
        </w:rPr>
      </w:r>
    </w:p>
    <w:p>
      <w:pPr>
        <w:pStyle w:val="BodyText"/>
        <w:spacing w:line="240" w:lineRule="auto" w:before="43"/>
        <w:ind w:left="71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560"/>
          <w:cols w:num="2" w:equalWidth="0">
            <w:col w:w="4911" w:space="1611"/>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43"/>
        <w:gridCol w:w="2866"/>
        <w:gridCol w:w="3341"/>
      </w:tblGrid>
      <w:tr>
        <w:trPr>
          <w:trHeight w:val="370"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267,980,588.44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242,317,558.81</w:t>
            </w:r>
          </w:p>
        </w:tc>
      </w:tr>
      <w:tr>
        <w:trPr>
          <w:trHeight w:val="370"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68,904,253.92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34,869,056.59</w:t>
            </w:r>
          </w:p>
        </w:tc>
      </w:tr>
      <w:tr>
        <w:trPr>
          <w:trHeight w:val="370"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17,597,696.67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5,733,147.65</w:t>
            </w:r>
          </w:p>
        </w:tc>
      </w:tr>
      <w:tr>
        <w:trPr>
          <w:trHeight w:val="370"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6,730,178.35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3,975,981.71</w:t>
            </w:r>
          </w:p>
        </w:tc>
      </w:tr>
      <w:tr>
        <w:trPr>
          <w:trHeight w:val="37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361,212,717.38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286,895,744.76</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040" w:right="1560"/>
        </w:sectPr>
      </w:pPr>
    </w:p>
    <w:p>
      <w:pPr>
        <w:pStyle w:val="Heading4"/>
        <w:spacing w:line="240" w:lineRule="auto"/>
        <w:ind w:left="237" w:right="-16"/>
        <w:jc w:val="left"/>
        <w:rPr>
          <w:b w:val="0"/>
          <w:bCs w:val="0"/>
        </w:rPr>
      </w:pPr>
      <w:r>
        <w:rPr>
          <w:rFonts w:ascii="Times New Roman" w:hAnsi="Times New Roman" w:cs="Times New Roman" w:eastAsia="Times New Roman" w:hint="default"/>
        </w:rPr>
        <w:t>(4).  </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年的重要应付账款</w:t>
      </w:r>
      <w:r>
        <w:rPr>
          <w:b w:val="0"/>
          <w:bCs w:val="0"/>
        </w:rPr>
      </w:r>
    </w:p>
    <w:p>
      <w:pPr>
        <w:pStyle w:val="BodyText"/>
        <w:spacing w:line="240" w:lineRule="auto" w:before="43"/>
        <w:ind w:left="7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560"/>
          <w:cols w:num="2" w:equalWidth="0">
            <w:col w:w="3406" w:space="3116"/>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84"/>
        <w:gridCol w:w="2828"/>
        <w:gridCol w:w="2938"/>
      </w:tblGrid>
      <w:tr>
        <w:trPr>
          <w:trHeight w:val="370"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424"/>
              <w:jc w:val="right"/>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370"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供应商一</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20,539,498.05</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未到合同约定付款期限</w:t>
            </w:r>
          </w:p>
        </w:tc>
      </w:tr>
      <w:tr>
        <w:trPr>
          <w:trHeight w:val="370"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供应商二</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7,718,500.76</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未到合同约定付款期限</w:t>
            </w:r>
          </w:p>
        </w:tc>
      </w:tr>
      <w:tr>
        <w:trPr>
          <w:trHeight w:val="37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供应商三</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6,498,381.94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未到合同约定付款期限</w:t>
            </w:r>
          </w:p>
        </w:tc>
      </w:tr>
      <w:tr>
        <w:trPr>
          <w:trHeight w:val="370"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供应商四</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5,358,609.57</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未到合同约定付款期限</w:t>
            </w:r>
          </w:p>
        </w:tc>
      </w:tr>
      <w:tr>
        <w:trPr>
          <w:trHeight w:val="370"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供应商五</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4,404,089.40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未到合同约定付款期限</w:t>
            </w:r>
          </w:p>
        </w:tc>
      </w:tr>
      <w:tr>
        <w:trPr>
          <w:trHeight w:val="370"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424"/>
              <w:jc w:val="right"/>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44,519,079.72</w:t>
            </w:r>
          </w:p>
        </w:tc>
        <w:tc>
          <w:tcPr>
            <w:tcW w:w="29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2"/>
          <w:szCs w:val="12"/>
        </w:rPr>
      </w:pPr>
    </w:p>
    <w:p>
      <w:pPr>
        <w:pStyle w:val="BodyText"/>
        <w:spacing w:line="274" w:lineRule="exact" w:before="36"/>
        <w:ind w:left="237" w:right="0"/>
        <w:jc w:val="left"/>
      </w:pPr>
      <w:r>
        <w:rPr/>
        <w:t>其他说明</w:t>
      </w:r>
    </w:p>
    <w:p>
      <w:pPr>
        <w:spacing w:line="272" w:lineRule="exact" w:before="27"/>
        <w:ind w:left="717" w:right="582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应付账款按款项性质列示</w:t>
      </w:r>
      <w:r>
        <w:rPr>
          <w:rFonts w:ascii="宋体" w:hAnsi="宋体" w:cs="宋体" w:eastAsia="宋体" w:hint="default"/>
          <w:sz w:val="21"/>
          <w:szCs w:val="21"/>
        </w:rPr>
      </w:r>
    </w:p>
    <w:tbl>
      <w:tblPr>
        <w:tblW w:w="0" w:type="auto"/>
        <w:jc w:val="left"/>
        <w:tblInd w:w="181" w:type="dxa"/>
        <w:tblLayout w:type="fixed"/>
        <w:tblCellMar>
          <w:top w:w="0" w:type="dxa"/>
          <w:left w:w="0" w:type="dxa"/>
          <w:bottom w:w="0" w:type="dxa"/>
          <w:right w:w="0" w:type="dxa"/>
        </w:tblCellMar>
        <w:tblLook w:val="01E0"/>
      </w:tblPr>
      <w:tblGrid>
        <w:gridCol w:w="2975"/>
        <w:gridCol w:w="2976"/>
        <w:gridCol w:w="2974"/>
      </w:tblGrid>
      <w:tr>
        <w:trPr>
          <w:trHeight w:val="530" w:hRule="exact"/>
        </w:trPr>
        <w:tc>
          <w:tcPr>
            <w:tcW w:w="2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9" w:hRule="exact"/>
        </w:trPr>
        <w:tc>
          <w:tcPr>
            <w:tcW w:w="2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36" w:right="0"/>
              <w:jc w:val="left"/>
              <w:rPr>
                <w:rFonts w:ascii="宋体" w:hAnsi="宋体" w:cs="宋体" w:eastAsia="宋体" w:hint="default"/>
                <w:sz w:val="21"/>
                <w:szCs w:val="21"/>
              </w:rPr>
            </w:pPr>
            <w:r>
              <w:rPr>
                <w:rFonts w:ascii="宋体" w:hAnsi="宋体" w:cs="宋体" w:eastAsia="宋体" w:hint="default"/>
                <w:sz w:val="21"/>
                <w:szCs w:val="21"/>
              </w:rPr>
              <w:t>应付货款</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31"/>
              <w:jc w:val="right"/>
              <w:rPr>
                <w:rFonts w:ascii="Times New Roman" w:hAnsi="Times New Roman" w:cs="Times New Roman" w:eastAsia="Times New Roman" w:hint="default"/>
                <w:sz w:val="21"/>
                <w:szCs w:val="21"/>
              </w:rPr>
            </w:pPr>
            <w:r>
              <w:rPr>
                <w:rFonts w:ascii="Times New Roman"/>
                <w:spacing w:val="-1"/>
                <w:sz w:val="21"/>
              </w:rPr>
              <w:t>360,160,671.20</w:t>
            </w:r>
          </w:p>
        </w:tc>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34"/>
              <w:jc w:val="right"/>
              <w:rPr>
                <w:rFonts w:ascii="Times New Roman" w:hAnsi="Times New Roman" w:cs="Times New Roman" w:eastAsia="Times New Roman" w:hint="default"/>
                <w:sz w:val="21"/>
                <w:szCs w:val="21"/>
              </w:rPr>
            </w:pPr>
            <w:r>
              <w:rPr>
                <w:rFonts w:ascii="Times New Roman"/>
                <w:spacing w:val="-1"/>
                <w:sz w:val="21"/>
              </w:rPr>
              <w:t>286,687,507.52</w:t>
            </w:r>
          </w:p>
        </w:tc>
      </w:tr>
      <w:tr>
        <w:trPr>
          <w:trHeight w:val="411" w:hRule="exact"/>
        </w:trPr>
        <w:tc>
          <w:tcPr>
            <w:tcW w:w="2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36" w:right="0"/>
              <w:jc w:val="left"/>
              <w:rPr>
                <w:rFonts w:ascii="宋体" w:hAnsi="宋体" w:cs="宋体" w:eastAsia="宋体" w:hint="default"/>
                <w:sz w:val="21"/>
                <w:szCs w:val="21"/>
              </w:rPr>
            </w:pPr>
            <w:r>
              <w:rPr>
                <w:rFonts w:ascii="宋体" w:hAnsi="宋体" w:cs="宋体" w:eastAsia="宋体" w:hint="default"/>
                <w:sz w:val="21"/>
                <w:szCs w:val="21"/>
              </w:rPr>
              <w:t>应付固定资产类款项及其他</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31"/>
              <w:jc w:val="right"/>
              <w:rPr>
                <w:rFonts w:ascii="Times New Roman" w:hAnsi="Times New Roman" w:cs="Times New Roman" w:eastAsia="Times New Roman" w:hint="default"/>
                <w:sz w:val="21"/>
                <w:szCs w:val="21"/>
              </w:rPr>
            </w:pPr>
            <w:r>
              <w:rPr>
                <w:rFonts w:ascii="Times New Roman"/>
                <w:spacing w:val="-1"/>
                <w:sz w:val="21"/>
              </w:rPr>
              <w:t>1,052,046.18</w:t>
            </w:r>
          </w:p>
        </w:tc>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33"/>
              <w:jc w:val="right"/>
              <w:rPr>
                <w:rFonts w:ascii="Times New Roman" w:hAnsi="Times New Roman" w:cs="Times New Roman" w:eastAsia="Times New Roman" w:hint="default"/>
                <w:sz w:val="21"/>
                <w:szCs w:val="21"/>
              </w:rPr>
            </w:pPr>
            <w:r>
              <w:rPr>
                <w:rFonts w:ascii="Times New Roman"/>
                <w:spacing w:val="-1"/>
                <w:sz w:val="21"/>
              </w:rPr>
              <w:t>208,237.24</w:t>
            </w:r>
          </w:p>
        </w:tc>
      </w:tr>
      <w:tr>
        <w:trPr>
          <w:trHeight w:val="382" w:hRule="exact"/>
        </w:trPr>
        <w:tc>
          <w:tcPr>
            <w:tcW w:w="2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31"/>
              <w:jc w:val="right"/>
              <w:rPr>
                <w:rFonts w:ascii="Times New Roman" w:hAnsi="Times New Roman" w:cs="Times New Roman" w:eastAsia="Times New Roman" w:hint="default"/>
                <w:sz w:val="21"/>
                <w:szCs w:val="21"/>
              </w:rPr>
            </w:pPr>
            <w:r>
              <w:rPr>
                <w:rFonts w:ascii="Times New Roman"/>
                <w:spacing w:val="-1"/>
                <w:sz w:val="21"/>
              </w:rPr>
              <w:t>361,212,717.38</w:t>
            </w:r>
          </w:p>
        </w:tc>
        <w:tc>
          <w:tcPr>
            <w:tcW w:w="2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34"/>
              <w:jc w:val="right"/>
              <w:rPr>
                <w:rFonts w:ascii="Times New Roman" w:hAnsi="Times New Roman" w:cs="Times New Roman" w:eastAsia="Times New Roman" w:hint="default"/>
                <w:sz w:val="21"/>
                <w:szCs w:val="21"/>
              </w:rPr>
            </w:pPr>
            <w:r>
              <w:rPr>
                <w:rFonts w:ascii="Times New Roman"/>
                <w:spacing w:val="-1"/>
                <w:sz w:val="21"/>
              </w:rPr>
              <w:t>286,895,744.76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40" w:right="156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857" w:footer="979" w:top="1120" w:bottom="1160" w:left="1060" w:right="1560"/>
        </w:sectPr>
      </w:pPr>
    </w:p>
    <w:p>
      <w:pPr>
        <w:pStyle w:val="Heading4"/>
        <w:spacing w:line="240" w:lineRule="auto"/>
        <w:ind w:left="217" w:right="-18"/>
        <w:jc w:val="left"/>
        <w:rPr>
          <w:b w:val="0"/>
          <w:bCs w:val="0"/>
        </w:rPr>
      </w:pPr>
      <w:r>
        <w:rPr>
          <w:rFonts w:ascii="Times New Roman" w:hAnsi="Times New Roman" w:cs="Times New Roman" w:eastAsia="Times New Roman" w:hint="default"/>
        </w:rPr>
        <w:t>30</w:t>
      </w:r>
      <w:r>
        <w:rPr/>
        <w:t>、</w:t>
      </w:r>
      <w:r>
        <w:rPr>
          <w:spacing w:val="-22"/>
        </w:rPr>
        <w:t> </w:t>
      </w:r>
      <w:r>
        <w:rPr/>
        <w:t>预收款项</w:t>
      </w:r>
      <w:r>
        <w:rPr>
          <w:b w:val="0"/>
          <w:bCs w:val="0"/>
        </w:rPr>
      </w:r>
    </w:p>
    <w:p>
      <w:pPr>
        <w:pStyle w:val="Heading4"/>
        <w:spacing w:line="240" w:lineRule="auto" w:before="40"/>
        <w:ind w:left="217" w:right="-18"/>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预收账款项列示</w:t>
      </w:r>
      <w:r>
        <w:rPr>
          <w:b w:val="0"/>
          <w:bCs w:val="0"/>
        </w:rPr>
      </w:r>
    </w:p>
    <w:p>
      <w:pPr>
        <w:pStyle w:val="BodyText"/>
        <w:spacing w:line="240" w:lineRule="auto" w:before="43"/>
        <w:ind w:left="6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560"/>
          <w:cols w:num="2" w:equalWidth="0">
            <w:col w:w="2275" w:space="424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370"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201,682,479.10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109,970,137.27</w:t>
            </w:r>
          </w:p>
        </w:tc>
      </w:tr>
      <w:tr>
        <w:trPr>
          <w:trHeight w:val="370"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18,210,940.32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30,561,840.58</w:t>
            </w:r>
          </w:p>
        </w:tc>
      </w:tr>
      <w:tr>
        <w:trPr>
          <w:trHeight w:val="370"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19,924,475.54</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6,150,785.09</w:t>
            </w:r>
          </w:p>
        </w:tc>
      </w:tr>
      <w:tr>
        <w:trPr>
          <w:trHeight w:val="370"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8,424,231.53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2,459,201.95</w:t>
            </w:r>
          </w:p>
        </w:tc>
      </w:tr>
      <w:tr>
        <w:trPr>
          <w:trHeight w:val="37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Times New Roman" w:hAnsi="Times New Roman" w:cs="Times New Roman" w:eastAsia="Times New Roman" w:hint="default"/>
                <w:sz w:val="21"/>
                <w:szCs w:val="21"/>
              </w:rPr>
            </w:pPr>
            <w:r>
              <w:rPr>
                <w:rFonts w:ascii="Times New Roman"/>
                <w:spacing w:val="-1"/>
                <w:sz w:val="21"/>
              </w:rPr>
              <w:t>248,242,126.49</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Times New Roman" w:hAnsi="Times New Roman" w:cs="Times New Roman" w:eastAsia="Times New Roman" w:hint="default"/>
                <w:sz w:val="21"/>
                <w:szCs w:val="21"/>
              </w:rPr>
            </w:pPr>
            <w:r>
              <w:rPr>
                <w:rFonts w:ascii="Times New Roman"/>
                <w:spacing w:val="-1"/>
                <w:sz w:val="21"/>
              </w:rPr>
              <w:t>149,141,964.89</w:t>
            </w:r>
          </w:p>
        </w:tc>
      </w:tr>
    </w:tbl>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280" w:left="1060" w:right="1560"/>
        </w:sectPr>
      </w:pPr>
    </w:p>
    <w:p>
      <w:pPr>
        <w:pStyle w:val="BodyText"/>
        <w:spacing w:line="282" w:lineRule="exact" w:before="36"/>
        <w:ind w:left="217" w:right="-15"/>
        <w:jc w:val="left"/>
      </w:pP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p>
    <w:p>
      <w:pPr>
        <w:pStyle w:val="BodyText"/>
        <w:tabs>
          <w:tab w:pos="1059" w:val="left" w:leader="none"/>
        </w:tabs>
        <w:spacing w:line="266" w:lineRule="exact"/>
        <w:ind w:left="217" w:right="-15"/>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8" w:val="left" w:leader="none"/>
        </w:tabs>
        <w:spacing w:line="240" w:lineRule="auto" w:before="134"/>
        <w:ind w:left="217" w:right="0"/>
        <w:jc w:val="left"/>
      </w:pPr>
      <w:r>
        <w:rPr>
          <w:spacing w:val="-1"/>
        </w:rPr>
        <w:t>单位：元</w:t>
        <w:tab/>
        <w:t>币种：人民币</w:t>
      </w:r>
    </w:p>
    <w:p>
      <w:pPr>
        <w:spacing w:after="0" w:line="240" w:lineRule="auto"/>
        <w:jc w:val="left"/>
        <w:sectPr>
          <w:type w:val="continuous"/>
          <w:pgSz w:w="11910" w:h="16840"/>
          <w:pgMar w:top="1580" w:bottom="280" w:left="1060" w:right="1560"/>
          <w:cols w:num="2" w:equalWidth="0">
            <w:col w:w="2952" w:space="3349"/>
            <w:col w:w="2989"/>
          </w:cols>
        </w:sectPr>
      </w:pPr>
    </w:p>
    <w:p>
      <w:pPr>
        <w:spacing w:line="240" w:lineRule="auto" w:before="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89"/>
        <w:gridCol w:w="3012"/>
        <w:gridCol w:w="3049"/>
      </w:tblGrid>
      <w:tr>
        <w:trPr>
          <w:trHeight w:val="37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275"/>
              <w:jc w:val="right"/>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370"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预收客户一</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10,578,295.00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项目未验收</w:t>
            </w:r>
          </w:p>
        </w:tc>
      </w:tr>
      <w:tr>
        <w:trPr>
          <w:trHeight w:val="370"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预收客户二</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6,953,670.00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项目未验收</w:t>
            </w:r>
          </w:p>
        </w:tc>
      </w:tr>
      <w:tr>
        <w:trPr>
          <w:trHeight w:val="370"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预收客户三</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5,050,000.00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项目未验收</w:t>
            </w:r>
          </w:p>
        </w:tc>
      </w:tr>
      <w:tr>
        <w:trPr>
          <w:trHeight w:val="370"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预收客户四</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3,164,300.00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宋体" w:hAnsi="宋体" w:cs="宋体" w:eastAsia="宋体" w:hint="default"/>
                <w:sz w:val="21"/>
                <w:szCs w:val="21"/>
              </w:rPr>
            </w:pPr>
            <w:r>
              <w:rPr>
                <w:rFonts w:ascii="宋体" w:hAnsi="宋体" w:cs="宋体" w:eastAsia="宋体" w:hint="default"/>
                <w:sz w:val="21"/>
                <w:szCs w:val="21"/>
              </w:rPr>
              <w:t>项目未验收</w:t>
            </w:r>
          </w:p>
        </w:tc>
      </w:tr>
      <w:tr>
        <w:trPr>
          <w:trHeight w:val="370"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预收客户五</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2,048,000.00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项目未验收</w:t>
            </w:r>
          </w:p>
        </w:tc>
      </w:tr>
      <w:tr>
        <w:trPr>
          <w:trHeight w:val="37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275"/>
              <w:jc w:val="right"/>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27,794,265.00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060" w:right="1560"/>
        </w:sectPr>
      </w:pPr>
    </w:p>
    <w:p>
      <w:pPr>
        <w:pStyle w:val="Heading4"/>
        <w:spacing w:line="240" w:lineRule="auto"/>
        <w:ind w:left="217" w:right="-16"/>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期末建造合同形成的已结算未完工项目情况</w:t>
      </w:r>
      <w:r>
        <w:rPr>
          <w:b w:val="0"/>
          <w:bCs w:val="0"/>
        </w:rPr>
      </w:r>
    </w:p>
    <w:p>
      <w:pPr>
        <w:pStyle w:val="BodyText"/>
        <w:spacing w:line="272" w:lineRule="exact" w:before="70"/>
        <w:ind w:left="639" w:right="2337" w:firstLine="57"/>
        <w:jc w:val="left"/>
      </w:pPr>
      <w:r>
        <w:rPr/>
        <w:t>□适用 √不适用</w:t>
      </w:r>
      <w:r>
        <w:rPr>
          <w:w w:val="100"/>
        </w:rPr>
        <w:t> </w:t>
      </w:r>
      <w:r>
        <w:rPr/>
        <w:t>其他说明</w:t>
      </w:r>
    </w:p>
    <w:p>
      <w:pPr>
        <w:pStyle w:val="BodyText"/>
        <w:spacing w:line="249" w:lineRule="exact"/>
        <w:ind w:left="637" w:right="-16"/>
        <w:jc w:val="left"/>
      </w:pPr>
      <w:r>
        <w:rPr/>
        <w:t>□适用 √不适用</w:t>
      </w:r>
    </w:p>
    <w:p>
      <w:pPr>
        <w:pStyle w:val="Heading4"/>
        <w:spacing w:line="240" w:lineRule="auto" w:before="56"/>
        <w:ind w:left="217" w:right="-16"/>
        <w:jc w:val="left"/>
        <w:rPr>
          <w:b w:val="0"/>
          <w:bCs w:val="0"/>
        </w:rPr>
      </w:pPr>
      <w:r>
        <w:rPr>
          <w:rFonts w:ascii="Times New Roman" w:hAnsi="Times New Roman" w:cs="Times New Roman" w:eastAsia="Times New Roman" w:hint="default"/>
        </w:rPr>
        <w:t>31</w:t>
      </w:r>
      <w:r>
        <w:rPr/>
        <w:t>、</w:t>
      </w:r>
      <w:r>
        <w:rPr>
          <w:spacing w:val="-22"/>
        </w:rPr>
        <w:t> </w:t>
      </w:r>
      <w:r>
        <w:rPr/>
        <w:t>应付职工薪酬</w:t>
      </w:r>
      <w:r>
        <w:rPr>
          <w:b w:val="0"/>
          <w:bCs w:val="0"/>
        </w:rPr>
      </w:r>
    </w:p>
    <w:p>
      <w:pPr>
        <w:pStyle w:val="Heading4"/>
        <w:spacing w:line="240" w:lineRule="auto" w:before="43"/>
        <w:ind w:left="217" w:right="-16"/>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4"/>
        </w:rPr>
        <w:t> </w:t>
      </w:r>
      <w:r>
        <w:rPr/>
        <w:t>应付职工薪酬列示</w:t>
      </w:r>
      <w:r>
        <w:rPr>
          <w:b w:val="0"/>
          <w:bCs w:val="0"/>
        </w:rPr>
      </w:r>
    </w:p>
    <w:p>
      <w:pPr>
        <w:pStyle w:val="BodyText"/>
        <w:spacing w:line="240" w:lineRule="auto" w:before="41"/>
        <w:ind w:left="69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560"/>
          <w:cols w:num="2" w:equalWidth="0">
            <w:col w:w="4629" w:space="189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37"/>
        <w:gridCol w:w="1570"/>
        <w:gridCol w:w="1568"/>
        <w:gridCol w:w="1570"/>
        <w:gridCol w:w="1580"/>
      </w:tblGrid>
      <w:tr>
        <w:trPr>
          <w:trHeight w:val="370"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9"/>
              <w:jc w:val="right"/>
              <w:rPr>
                <w:rFonts w:ascii="宋体" w:hAnsi="宋体" w:cs="宋体" w:eastAsia="宋体" w:hint="default"/>
                <w:sz w:val="21"/>
                <w:szCs w:val="21"/>
              </w:rPr>
            </w:pPr>
            <w:r>
              <w:rPr>
                <w:rFonts w:ascii="宋体" w:hAnsi="宋体" w:cs="宋体" w:eastAsia="宋体" w:hint="default"/>
                <w:sz w:val="21"/>
                <w:szCs w:val="21"/>
              </w:rPr>
              <w:t>项目</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6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5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6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6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70"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27,079,792.69</w:t>
            </w:r>
          </w:p>
        </w:tc>
        <w:tc>
          <w:tcPr>
            <w:tcW w:w="156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4"/>
              <w:jc w:val="right"/>
              <w:rPr>
                <w:rFonts w:ascii="Times New Roman" w:hAnsi="Times New Roman" w:cs="Times New Roman" w:eastAsia="Times New Roman" w:hint="default"/>
                <w:sz w:val="21"/>
                <w:szCs w:val="21"/>
              </w:rPr>
            </w:pPr>
            <w:r>
              <w:rPr>
                <w:rFonts w:ascii="Times New Roman"/>
                <w:spacing w:val="-1"/>
                <w:sz w:val="21"/>
              </w:rPr>
              <w:t>203,089,029.57</w:t>
            </w:r>
          </w:p>
        </w:tc>
        <w:tc>
          <w:tcPr>
            <w:tcW w:w="157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175,410,894.68</w:t>
            </w:r>
          </w:p>
        </w:tc>
        <w:tc>
          <w:tcPr>
            <w:tcW w:w="158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4"/>
              <w:jc w:val="right"/>
              <w:rPr>
                <w:rFonts w:ascii="Times New Roman" w:hAnsi="Times New Roman" w:cs="Times New Roman" w:eastAsia="Times New Roman" w:hint="default"/>
                <w:sz w:val="21"/>
                <w:szCs w:val="21"/>
              </w:rPr>
            </w:pPr>
            <w:r>
              <w:rPr>
                <w:rFonts w:ascii="Times New Roman"/>
                <w:spacing w:val="-1"/>
                <w:sz w:val="21"/>
              </w:rPr>
              <w:t>54,757,927.58</w:t>
            </w:r>
          </w:p>
        </w:tc>
      </w:tr>
      <w:tr>
        <w:trPr>
          <w:trHeight w:val="742"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103" w:right="98"/>
              <w:jc w:val="left"/>
              <w:rPr>
                <w:rFonts w:ascii="宋体" w:hAnsi="宋体" w:cs="宋体" w:eastAsia="宋体" w:hint="default"/>
                <w:sz w:val="21"/>
                <w:szCs w:val="21"/>
              </w:rPr>
            </w:pPr>
            <w:r>
              <w:rPr>
                <w:rFonts w:ascii="宋体" w:hAnsi="宋体" w:cs="宋体" w:eastAsia="宋体" w:hint="default"/>
                <w:spacing w:val="-10"/>
                <w:w w:val="100"/>
                <w:sz w:val="21"/>
                <w:szCs w:val="21"/>
              </w:rPr>
              <w:t>二、离职后福利</w:t>
            </w:r>
            <w:r>
              <w:rPr>
                <w:rFonts w:ascii="宋体" w:hAnsi="宋体" w:cs="宋体" w:eastAsia="宋体" w:hint="default"/>
                <w:spacing w:val="-10"/>
                <w:w w:val="100"/>
                <w:sz w:val="21"/>
                <w:szCs w:val="21"/>
              </w:rPr>
              <w:t>-</w:t>
            </w:r>
            <w:r>
              <w:rPr>
                <w:rFonts w:ascii="宋体" w:hAnsi="宋体" w:cs="宋体" w:eastAsia="宋体" w:hint="default"/>
                <w:spacing w:val="-10"/>
                <w:w w:val="100"/>
                <w:sz w:val="21"/>
                <w:szCs w:val="21"/>
              </w:rPr>
              <w:t>设定提存</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计划</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50,316.73</w:t>
            </w:r>
          </w:p>
        </w:tc>
        <w:tc>
          <w:tcPr>
            <w:tcW w:w="156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8,679,012.30</w:t>
            </w:r>
          </w:p>
        </w:tc>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8,638,440.05</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90,888.98</w:t>
            </w:r>
          </w:p>
        </w:tc>
      </w:tr>
      <w:tr>
        <w:trPr>
          <w:trHeight w:val="379"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6"/>
              <w:ind w:right="94"/>
              <w:jc w:val="right"/>
              <w:rPr>
                <w:rFonts w:ascii="Times New Roman" w:hAnsi="Times New Roman" w:cs="Times New Roman" w:eastAsia="Times New Roman" w:hint="default"/>
                <w:sz w:val="21"/>
                <w:szCs w:val="21"/>
              </w:rPr>
            </w:pPr>
            <w:r>
              <w:rPr>
                <w:rFonts w:ascii="Times New Roman"/>
                <w:spacing w:val="-1"/>
                <w:sz w:val="21"/>
              </w:rPr>
              <w:t>617,596.44</w:t>
            </w:r>
          </w:p>
        </w:tc>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21"/>
                <w:szCs w:val="21"/>
              </w:rPr>
            </w:pPr>
            <w:r>
              <w:rPr>
                <w:rFonts w:ascii="Times New Roman"/>
                <w:spacing w:val="-1"/>
                <w:sz w:val="21"/>
              </w:rPr>
              <w:t>334,796.44</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21"/>
                <w:szCs w:val="21"/>
              </w:rPr>
            </w:pPr>
            <w:r>
              <w:rPr>
                <w:rFonts w:ascii="Times New Roman"/>
                <w:spacing w:val="-1"/>
                <w:sz w:val="21"/>
              </w:rPr>
              <w:t>282,800.00</w:t>
            </w:r>
          </w:p>
        </w:tc>
      </w:tr>
      <w:tr>
        <w:trPr>
          <w:trHeight w:val="739"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98"/>
              <w:jc w:val="left"/>
              <w:rPr>
                <w:rFonts w:ascii="宋体" w:hAnsi="宋体" w:cs="宋体" w:eastAsia="宋体" w:hint="default"/>
                <w:sz w:val="21"/>
                <w:szCs w:val="21"/>
              </w:rPr>
            </w:pPr>
            <w:r>
              <w:rPr>
                <w:rFonts w:ascii="宋体" w:hAnsi="宋体" w:cs="宋体" w:eastAsia="宋体" w:hint="default"/>
                <w:sz w:val="21"/>
                <w:szCs w:val="21"/>
              </w:rPr>
              <w:t>四、一年内到期的其他福</w:t>
            </w:r>
            <w:r>
              <w:rPr>
                <w:rFonts w:ascii="宋体" w:hAnsi="宋体" w:cs="宋体" w:eastAsia="宋体" w:hint="default"/>
                <w:spacing w:val="-92"/>
                <w:sz w:val="21"/>
                <w:szCs w:val="21"/>
              </w:rPr>
              <w:t> </w:t>
            </w:r>
            <w:r>
              <w:rPr>
                <w:rFonts w:ascii="宋体" w:hAnsi="宋体" w:cs="宋体" w:eastAsia="宋体" w:hint="default"/>
                <w:sz w:val="21"/>
                <w:szCs w:val="21"/>
              </w:rPr>
              <w:t>利</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8" w:space="0" w:color="000000"/>
              <w:left w:val="single" w:sz="4" w:space="0" w:color="000000"/>
              <w:bottom w:val="single" w:sz="4" w:space="0" w:color="000000"/>
              <w:right w:val="single" w:sz="4" w:space="0" w:color="000000"/>
            </w:tcBorders>
          </w:tcPr>
          <w:p>
            <w:pPr/>
          </w:p>
        </w:tc>
        <w:tc>
          <w:tcPr>
            <w:tcW w:w="1570" w:type="dxa"/>
            <w:tcBorders>
              <w:top w:val="single" w:sz="8" w:space="0" w:color="000000"/>
              <w:left w:val="single" w:sz="4" w:space="0" w:color="000000"/>
              <w:bottom w:val="single" w:sz="4" w:space="0" w:color="000000"/>
              <w:right w:val="single" w:sz="4" w:space="0" w:color="000000"/>
            </w:tcBorders>
          </w:tcPr>
          <w:p>
            <w:pPr/>
          </w:p>
        </w:tc>
        <w:tc>
          <w:tcPr>
            <w:tcW w:w="1580" w:type="dxa"/>
            <w:tcBorders>
              <w:top w:val="single" w:sz="8" w:space="0" w:color="000000"/>
              <w:left w:val="single" w:sz="4" w:space="0" w:color="000000"/>
              <w:bottom w:val="single" w:sz="4" w:space="0" w:color="000000"/>
              <w:right w:val="single" w:sz="4" w:space="0" w:color="000000"/>
            </w:tcBorders>
          </w:tcPr>
          <w:p>
            <w:pPr/>
          </w:p>
        </w:tc>
      </w:tr>
      <w:tr>
        <w:trPr>
          <w:trHeight w:val="372"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49"/>
              <w:jc w:val="right"/>
              <w:rPr>
                <w:rFonts w:ascii="宋体" w:hAnsi="宋体" w:cs="宋体" w:eastAsia="宋体" w:hint="default"/>
                <w:sz w:val="21"/>
                <w:szCs w:val="21"/>
              </w:rPr>
            </w:pPr>
            <w:r>
              <w:rPr>
                <w:rFonts w:ascii="宋体" w:hAnsi="宋体" w:cs="宋体" w:eastAsia="宋体" w:hint="default"/>
                <w:sz w:val="21"/>
                <w:szCs w:val="21"/>
              </w:rPr>
              <w:t>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27,130,109.42</w:t>
            </w:r>
          </w:p>
        </w:tc>
        <w:tc>
          <w:tcPr>
            <w:tcW w:w="156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4"/>
              <w:ind w:right="94"/>
              <w:jc w:val="right"/>
              <w:rPr>
                <w:rFonts w:ascii="Times New Roman" w:hAnsi="Times New Roman" w:cs="Times New Roman" w:eastAsia="Times New Roman" w:hint="default"/>
                <w:sz w:val="21"/>
                <w:szCs w:val="21"/>
              </w:rPr>
            </w:pPr>
            <w:r>
              <w:rPr>
                <w:rFonts w:ascii="Times New Roman"/>
                <w:spacing w:val="-1"/>
                <w:sz w:val="21"/>
              </w:rPr>
              <w:t>212,385,638.31</w:t>
            </w:r>
          </w:p>
        </w:tc>
        <w:tc>
          <w:tcPr>
            <w:tcW w:w="157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184,384,131.17</w:t>
            </w:r>
          </w:p>
        </w:tc>
        <w:tc>
          <w:tcPr>
            <w:tcW w:w="158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4"/>
              <w:ind w:right="94"/>
              <w:jc w:val="right"/>
              <w:rPr>
                <w:rFonts w:ascii="Times New Roman" w:hAnsi="Times New Roman" w:cs="Times New Roman" w:eastAsia="Times New Roman" w:hint="default"/>
                <w:sz w:val="21"/>
                <w:szCs w:val="21"/>
              </w:rPr>
            </w:pPr>
            <w:r>
              <w:rPr>
                <w:rFonts w:ascii="Times New Roman"/>
                <w:spacing w:val="-1"/>
                <w:sz w:val="21"/>
              </w:rPr>
              <w:t>55,131,616.56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60" w:right="1560"/>
        </w:sectPr>
      </w:pPr>
    </w:p>
    <w:p>
      <w:pPr>
        <w:spacing w:line="240" w:lineRule="auto" w:before="7"/>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979" w:top="1120" w:bottom="1160" w:left="1060" w:right="1660"/>
        </w:sectPr>
      </w:pPr>
    </w:p>
    <w:p>
      <w:pPr>
        <w:pStyle w:val="Heading4"/>
        <w:spacing w:line="240" w:lineRule="auto"/>
        <w:ind w:left="217" w:right="-18"/>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3"/>
        </w:rPr>
        <w:t> </w:t>
      </w:r>
      <w:r>
        <w:rPr/>
        <w:t>短期薪酬列示</w:t>
      </w:r>
      <w:r>
        <w:rPr>
          <w:b w:val="0"/>
          <w:bCs w:val="0"/>
        </w:rPr>
      </w:r>
    </w:p>
    <w:p>
      <w:pPr>
        <w:pStyle w:val="BodyText"/>
        <w:spacing w:line="240" w:lineRule="auto" w:before="40"/>
        <w:ind w:left="6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060" w:right="1660"/>
          <w:cols w:num="2" w:equalWidth="0">
            <w:col w:w="2275" w:space="4353"/>
            <w:col w:w="2562"/>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49"/>
        <w:gridCol w:w="1573"/>
        <w:gridCol w:w="1556"/>
        <w:gridCol w:w="1567"/>
        <w:gridCol w:w="1580"/>
      </w:tblGrid>
      <w:tr>
        <w:trPr>
          <w:trHeight w:val="37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5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5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5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3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left"/>
              <w:rPr>
                <w:rFonts w:ascii="宋体" w:hAnsi="宋体" w:cs="宋体" w:eastAsia="宋体" w:hint="default"/>
                <w:sz w:val="21"/>
                <w:szCs w:val="21"/>
              </w:rPr>
            </w:pPr>
            <w:r>
              <w:rPr>
                <w:rFonts w:ascii="宋体" w:hAnsi="宋体" w:cs="宋体" w:eastAsia="宋体" w:hint="default"/>
                <w:sz w:val="21"/>
                <w:szCs w:val="21"/>
              </w:rPr>
              <w:t>一、工资、奖金、津贴和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补贴</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26,766,675.22</w:t>
            </w:r>
          </w:p>
        </w:tc>
        <w:tc>
          <w:tcPr>
            <w:tcW w:w="1556"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186,261,003.16</w:t>
            </w:r>
          </w:p>
        </w:tc>
        <w:tc>
          <w:tcPr>
            <w:tcW w:w="156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158,691,882.79</w:t>
            </w:r>
          </w:p>
        </w:tc>
        <w:tc>
          <w:tcPr>
            <w:tcW w:w="158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54,335,795.59</w:t>
            </w:r>
          </w:p>
        </w:tc>
      </w:tr>
      <w:tr>
        <w:trPr>
          <w:trHeight w:val="379"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73"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3,231,536.99</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21"/>
                <w:szCs w:val="21"/>
              </w:rPr>
            </w:pPr>
            <w:r>
              <w:rPr>
                <w:rFonts w:ascii="Times New Roman"/>
                <w:spacing w:val="-1"/>
                <w:sz w:val="21"/>
              </w:rPr>
              <w:t>3,222,901.99</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21"/>
                <w:szCs w:val="21"/>
              </w:rPr>
            </w:pPr>
            <w:r>
              <w:rPr>
                <w:rFonts w:ascii="Times New Roman"/>
                <w:spacing w:val="-1"/>
                <w:sz w:val="21"/>
              </w:rPr>
              <w:t>8,635.00</w:t>
            </w:r>
          </w:p>
        </w:tc>
      </w:tr>
      <w:tr>
        <w:trPr>
          <w:trHeight w:val="379"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33,209.40</w:t>
            </w:r>
          </w:p>
        </w:tc>
        <w:tc>
          <w:tcPr>
            <w:tcW w:w="1556"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5,451,216.03</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21"/>
                <w:szCs w:val="21"/>
              </w:rPr>
            </w:pPr>
            <w:r>
              <w:rPr>
                <w:rFonts w:ascii="Times New Roman"/>
                <w:spacing w:val="-1"/>
                <w:sz w:val="21"/>
              </w:rPr>
              <w:t>5,385,387.73</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21"/>
                <w:szCs w:val="21"/>
              </w:rPr>
            </w:pPr>
            <w:r>
              <w:rPr>
                <w:rFonts w:ascii="Times New Roman"/>
                <w:spacing w:val="-1"/>
                <w:sz w:val="21"/>
              </w:rPr>
              <w:t>99,037.70</w:t>
            </w:r>
          </w:p>
        </w:tc>
      </w:tr>
      <w:tr>
        <w:trPr>
          <w:trHeight w:val="38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28,925.49</w:t>
            </w:r>
          </w:p>
        </w:tc>
        <w:tc>
          <w:tcPr>
            <w:tcW w:w="1556"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4,855,619.85</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3"/>
              <w:jc w:val="right"/>
              <w:rPr>
                <w:rFonts w:ascii="Times New Roman" w:hAnsi="Times New Roman" w:cs="Times New Roman" w:eastAsia="Times New Roman" w:hint="default"/>
                <w:sz w:val="21"/>
                <w:szCs w:val="21"/>
              </w:rPr>
            </w:pPr>
            <w:r>
              <w:rPr>
                <w:rFonts w:ascii="Times New Roman"/>
                <w:spacing w:val="-1"/>
                <w:sz w:val="21"/>
              </w:rPr>
              <w:t>4,793,393.78</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3"/>
              <w:jc w:val="right"/>
              <w:rPr>
                <w:rFonts w:ascii="Times New Roman" w:hAnsi="Times New Roman" w:cs="Times New Roman" w:eastAsia="Times New Roman" w:hint="default"/>
                <w:sz w:val="21"/>
                <w:szCs w:val="21"/>
              </w:rPr>
            </w:pPr>
            <w:r>
              <w:rPr>
                <w:rFonts w:ascii="Times New Roman"/>
                <w:spacing w:val="-1"/>
                <w:sz w:val="21"/>
              </w:rPr>
              <w:t>91,151.56</w:t>
            </w:r>
          </w:p>
        </w:tc>
      </w:tr>
      <w:tr>
        <w:trPr>
          <w:trHeight w:val="3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2,368.68</w:t>
            </w:r>
          </w:p>
        </w:tc>
        <w:tc>
          <w:tcPr>
            <w:tcW w:w="1556"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235,230.61</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21"/>
                <w:szCs w:val="21"/>
              </w:rPr>
            </w:pPr>
            <w:r>
              <w:rPr>
                <w:rFonts w:ascii="Times New Roman"/>
                <w:spacing w:val="-1"/>
                <w:sz w:val="21"/>
              </w:rPr>
              <w:t>234,320.75</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21"/>
                <w:szCs w:val="21"/>
              </w:rPr>
            </w:pPr>
            <w:r>
              <w:rPr>
                <w:rFonts w:ascii="Times New Roman"/>
                <w:spacing w:val="-1"/>
                <w:sz w:val="21"/>
              </w:rPr>
              <w:t>3,278.54</w:t>
            </w:r>
          </w:p>
        </w:tc>
      </w:tr>
      <w:tr>
        <w:trPr>
          <w:trHeight w:val="379"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1,915.23</w:t>
            </w:r>
          </w:p>
        </w:tc>
        <w:tc>
          <w:tcPr>
            <w:tcW w:w="1556"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360,365.57</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21"/>
                <w:szCs w:val="21"/>
              </w:rPr>
            </w:pPr>
            <w:r>
              <w:rPr>
                <w:rFonts w:ascii="Times New Roman"/>
                <w:spacing w:val="-1"/>
                <w:sz w:val="21"/>
              </w:rPr>
              <w:t>357,673.20</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21"/>
                <w:szCs w:val="21"/>
              </w:rPr>
            </w:pPr>
            <w:r>
              <w:rPr>
                <w:rFonts w:ascii="Times New Roman"/>
                <w:spacing w:val="-1"/>
                <w:sz w:val="21"/>
              </w:rPr>
              <w:t>4,607.60</w:t>
            </w:r>
          </w:p>
        </w:tc>
      </w:tr>
      <w:tr>
        <w:trPr>
          <w:trHeight w:val="38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44,227.75</w:t>
            </w:r>
          </w:p>
        </w:tc>
        <w:tc>
          <w:tcPr>
            <w:tcW w:w="1556"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5,568,058.97</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3"/>
              <w:jc w:val="right"/>
              <w:rPr>
                <w:rFonts w:ascii="Times New Roman" w:hAnsi="Times New Roman" w:cs="Times New Roman" w:eastAsia="Times New Roman" w:hint="default"/>
                <w:sz w:val="21"/>
                <w:szCs w:val="21"/>
              </w:rPr>
            </w:pPr>
            <w:r>
              <w:rPr>
                <w:rFonts w:ascii="Times New Roman"/>
                <w:spacing w:val="-1"/>
                <w:sz w:val="21"/>
              </w:rPr>
              <w:t>5,570,079.41</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3"/>
              <w:jc w:val="right"/>
              <w:rPr>
                <w:rFonts w:ascii="Times New Roman" w:hAnsi="Times New Roman" w:cs="Times New Roman" w:eastAsia="Times New Roman" w:hint="default"/>
                <w:sz w:val="21"/>
                <w:szCs w:val="21"/>
              </w:rPr>
            </w:pPr>
            <w:r>
              <w:rPr>
                <w:rFonts w:ascii="Times New Roman"/>
                <w:spacing w:val="-1"/>
                <w:sz w:val="21"/>
              </w:rPr>
              <w:t>42,207.31</w:t>
            </w:r>
          </w:p>
        </w:tc>
      </w:tr>
      <w:tr>
        <w:trPr>
          <w:trHeight w:val="739"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00"/>
              <w:jc w:val="left"/>
              <w:rPr>
                <w:rFonts w:ascii="宋体" w:hAnsi="宋体" w:cs="宋体" w:eastAsia="宋体" w:hint="default"/>
                <w:sz w:val="21"/>
                <w:szCs w:val="21"/>
              </w:rPr>
            </w:pPr>
            <w:r>
              <w:rPr>
                <w:rFonts w:ascii="宋体" w:hAnsi="宋体" w:cs="宋体" w:eastAsia="宋体" w:hint="default"/>
                <w:sz w:val="21"/>
                <w:szCs w:val="21"/>
              </w:rPr>
              <w:t>五、工会经费和职工教育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经费</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235,680.32</w:t>
            </w:r>
          </w:p>
        </w:tc>
        <w:tc>
          <w:tcPr>
            <w:tcW w:w="1556"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2,577,214.42</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2,540,642.76</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272,251.98</w:t>
            </w:r>
          </w:p>
        </w:tc>
      </w:tr>
      <w:tr>
        <w:trPr>
          <w:trHeight w:val="379"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573"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8" w:space="0" w:color="000000"/>
              <w:left w:val="single" w:sz="4" w:space="0" w:color="000000"/>
              <w:bottom w:val="single" w:sz="4" w:space="0" w:color="000000"/>
              <w:right w:val="single" w:sz="4" w:space="0" w:color="000000"/>
            </w:tcBorders>
          </w:tcPr>
          <w:p>
            <w:pPr/>
          </w:p>
        </w:tc>
        <w:tc>
          <w:tcPr>
            <w:tcW w:w="1567" w:type="dxa"/>
            <w:tcBorders>
              <w:top w:val="single" w:sz="8" w:space="0" w:color="000000"/>
              <w:left w:val="single" w:sz="4" w:space="0" w:color="000000"/>
              <w:bottom w:val="single" w:sz="4" w:space="0" w:color="000000"/>
              <w:right w:val="single" w:sz="4" w:space="0" w:color="000000"/>
            </w:tcBorders>
          </w:tcPr>
          <w:p>
            <w:pPr/>
          </w:p>
        </w:tc>
        <w:tc>
          <w:tcPr>
            <w:tcW w:w="1580" w:type="dxa"/>
            <w:tcBorders>
              <w:top w:val="single" w:sz="8" w:space="0" w:color="000000"/>
              <w:left w:val="single" w:sz="4" w:space="0" w:color="000000"/>
              <w:bottom w:val="single" w:sz="4" w:space="0" w:color="000000"/>
              <w:right w:val="single" w:sz="4" w:space="0" w:color="000000"/>
            </w:tcBorders>
          </w:tcPr>
          <w:p>
            <w:pPr/>
          </w:p>
        </w:tc>
      </w:tr>
      <w:tr>
        <w:trPr>
          <w:trHeight w:val="37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573"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27,079,792.69</w:t>
            </w:r>
          </w:p>
        </w:tc>
        <w:tc>
          <w:tcPr>
            <w:tcW w:w="1556"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203,089,029.57</w:t>
            </w:r>
          </w:p>
        </w:tc>
        <w:tc>
          <w:tcPr>
            <w:tcW w:w="156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175,410,894.68</w:t>
            </w:r>
          </w:p>
        </w:tc>
        <w:tc>
          <w:tcPr>
            <w:tcW w:w="158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94"/>
              <w:jc w:val="right"/>
              <w:rPr>
                <w:rFonts w:ascii="Times New Roman" w:hAnsi="Times New Roman" w:cs="Times New Roman" w:eastAsia="Times New Roman" w:hint="default"/>
                <w:sz w:val="21"/>
                <w:szCs w:val="21"/>
              </w:rPr>
            </w:pPr>
            <w:r>
              <w:rPr>
                <w:rFonts w:ascii="Times New Roman"/>
                <w:spacing w:val="-1"/>
                <w:sz w:val="21"/>
              </w:rPr>
              <w:t>54,757,927.58</w:t>
            </w:r>
          </w:p>
        </w:tc>
      </w:tr>
    </w:tbl>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580" w:bottom="280" w:left="1060" w:right="1660"/>
        </w:sectPr>
      </w:pPr>
    </w:p>
    <w:p>
      <w:pPr>
        <w:pStyle w:val="Heading4"/>
        <w:spacing w:line="240" w:lineRule="auto"/>
        <w:ind w:left="217" w:right="-19"/>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4"/>
        </w:rPr>
        <w:t> </w:t>
      </w:r>
      <w:r>
        <w:rPr/>
        <w:t>设定提存计划列示</w:t>
      </w:r>
      <w:r>
        <w:rPr>
          <w:b w:val="0"/>
          <w:bCs w:val="0"/>
        </w:rPr>
      </w:r>
    </w:p>
    <w:p>
      <w:pPr>
        <w:pStyle w:val="BodyText"/>
        <w:spacing w:line="240" w:lineRule="auto" w:before="40"/>
        <w:ind w:left="69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2332" w:space="4190"/>
            <w:col w:w="266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20"/>
        <w:gridCol w:w="1582"/>
        <w:gridCol w:w="1568"/>
        <w:gridCol w:w="1596"/>
        <w:gridCol w:w="1553"/>
      </w:tblGrid>
      <w:tr>
        <w:trPr>
          <w:trHeight w:val="374"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6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8"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42"/>
              <w:ind w:left="35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6" w:type="dxa"/>
            <w:tcBorders>
              <w:top w:val="single" w:sz="6" w:space="0" w:color="000000"/>
              <w:left w:val="single" w:sz="7" w:space="0" w:color="000000"/>
              <w:bottom w:val="single" w:sz="6" w:space="0" w:color="000000"/>
              <w:right w:val="single" w:sz="7" w:space="0" w:color="000000"/>
            </w:tcBorders>
          </w:tcPr>
          <w:p>
            <w:pPr>
              <w:pStyle w:val="TableParagraph"/>
              <w:spacing w:line="240" w:lineRule="auto" w:before="42"/>
              <w:ind w:left="36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53" w:type="dxa"/>
            <w:tcBorders>
              <w:top w:val="single" w:sz="6" w:space="0" w:color="000000"/>
              <w:left w:val="single" w:sz="7" w:space="0" w:color="000000"/>
              <w:bottom w:val="single" w:sz="6" w:space="0" w:color="000000"/>
              <w:right w:val="single" w:sz="7" w:space="0" w:color="000000"/>
            </w:tcBorders>
          </w:tcPr>
          <w:p>
            <w:pPr>
              <w:pStyle w:val="TableParagraph"/>
              <w:spacing w:line="240" w:lineRule="auto" w:before="42"/>
              <w:ind w:left="34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77"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58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47,183.58</w:t>
            </w:r>
          </w:p>
        </w:tc>
        <w:tc>
          <w:tcPr>
            <w:tcW w:w="1568" w:type="dxa"/>
            <w:tcBorders>
              <w:top w:val="single" w:sz="6" w:space="0" w:color="000000"/>
              <w:left w:val="single" w:sz="4" w:space="0" w:color="000000"/>
              <w:bottom w:val="single" w:sz="8" w:space="0" w:color="000000"/>
              <w:right w:val="single" w:sz="8"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8,423,381.82</w:t>
            </w:r>
          </w:p>
        </w:tc>
        <w:tc>
          <w:tcPr>
            <w:tcW w:w="1596"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8,384,360.25</w:t>
            </w:r>
          </w:p>
        </w:tc>
        <w:tc>
          <w:tcPr>
            <w:tcW w:w="1553"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86,205.15</w:t>
            </w:r>
          </w:p>
        </w:tc>
      </w:tr>
      <w:tr>
        <w:trPr>
          <w:trHeight w:val="379"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58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3,133.15</w:t>
            </w:r>
          </w:p>
        </w:tc>
        <w:tc>
          <w:tcPr>
            <w:tcW w:w="156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255,630.48</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254,079.80</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4,683.83</w:t>
            </w:r>
          </w:p>
        </w:tc>
      </w:tr>
      <w:tr>
        <w:trPr>
          <w:trHeight w:val="379"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582" w:type="dxa"/>
            <w:tcBorders>
              <w:top w:val="single" w:sz="4" w:space="0" w:color="000000"/>
              <w:left w:val="single" w:sz="6" w:space="0" w:color="000000"/>
              <w:bottom w:val="single" w:sz="4" w:space="0" w:color="000000"/>
              <w:right w:val="single" w:sz="4" w:space="0" w:color="000000"/>
            </w:tcBorders>
          </w:tcPr>
          <w:p>
            <w:pPr/>
          </w:p>
        </w:tc>
        <w:tc>
          <w:tcPr>
            <w:tcW w:w="1568" w:type="dxa"/>
            <w:tcBorders>
              <w:top w:val="single" w:sz="8" w:space="0" w:color="000000"/>
              <w:left w:val="single" w:sz="4" w:space="0" w:color="000000"/>
              <w:bottom w:val="single" w:sz="4" w:space="0" w:color="000000"/>
              <w:right w:val="single" w:sz="4" w:space="0" w:color="000000"/>
            </w:tcBorders>
          </w:tcPr>
          <w:p>
            <w:pPr/>
          </w:p>
        </w:tc>
        <w:tc>
          <w:tcPr>
            <w:tcW w:w="1596" w:type="dxa"/>
            <w:tcBorders>
              <w:top w:val="single" w:sz="8" w:space="0" w:color="000000"/>
              <w:left w:val="single" w:sz="4" w:space="0" w:color="000000"/>
              <w:bottom w:val="single" w:sz="4" w:space="0" w:color="000000"/>
              <w:right w:val="single" w:sz="4" w:space="0" w:color="000000"/>
            </w:tcBorders>
          </w:tcPr>
          <w:p>
            <w:pPr/>
          </w:p>
        </w:tc>
        <w:tc>
          <w:tcPr>
            <w:tcW w:w="1553" w:type="dxa"/>
            <w:tcBorders>
              <w:top w:val="single" w:sz="8" w:space="0" w:color="000000"/>
              <w:left w:val="single" w:sz="4" w:space="0" w:color="000000"/>
              <w:bottom w:val="single" w:sz="4" w:space="0" w:color="000000"/>
              <w:right w:val="single" w:sz="4" w:space="0" w:color="000000"/>
            </w:tcBorders>
          </w:tcPr>
          <w:p>
            <w:pPr/>
          </w:p>
        </w:tc>
      </w:tr>
      <w:tr>
        <w:trPr>
          <w:trHeight w:val="377"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50,316.73</w:t>
            </w:r>
          </w:p>
        </w:tc>
        <w:tc>
          <w:tcPr>
            <w:tcW w:w="156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8,679,012.30</w:t>
            </w:r>
          </w:p>
        </w:tc>
        <w:tc>
          <w:tcPr>
            <w:tcW w:w="159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21"/>
                <w:szCs w:val="21"/>
              </w:rPr>
            </w:pPr>
            <w:r>
              <w:rPr>
                <w:rFonts w:ascii="Times New Roman"/>
                <w:spacing w:val="-1"/>
                <w:sz w:val="21"/>
              </w:rPr>
              <w:t>8,638,440.05</w:t>
            </w:r>
          </w:p>
        </w:tc>
        <w:tc>
          <w:tcPr>
            <w:tcW w:w="155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21"/>
                <w:szCs w:val="21"/>
              </w:rPr>
            </w:pPr>
            <w:r>
              <w:rPr>
                <w:rFonts w:ascii="Times New Roman"/>
                <w:spacing w:val="-1"/>
                <w:sz w:val="21"/>
              </w:rPr>
              <w:t>90,888.98</w:t>
            </w:r>
          </w:p>
        </w:tc>
      </w:tr>
    </w:tbl>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580" w:bottom="280" w:left="1060" w:right="1660"/>
        </w:sectPr>
      </w:pPr>
    </w:p>
    <w:p>
      <w:pPr>
        <w:pStyle w:val="BodyText"/>
        <w:spacing w:line="240" w:lineRule="auto" w:before="26"/>
        <w:ind w:left="217" w:right="-18"/>
        <w:jc w:val="left"/>
        <w:rPr>
          <w:sz w:val="24"/>
          <w:szCs w:val="24"/>
        </w:rPr>
      </w:pPr>
      <w:r>
        <w:rPr/>
        <w:t>其他说明</w:t>
      </w:r>
      <w:r>
        <w:rPr>
          <w:sz w:val="24"/>
          <w:szCs w:val="24"/>
        </w:rPr>
        <w:t>：</w:t>
      </w:r>
    </w:p>
    <w:p>
      <w:pPr>
        <w:pStyle w:val="BodyText"/>
        <w:spacing w:line="240" w:lineRule="auto" w:before="4"/>
        <w:ind w:left="697" w:right="-18"/>
        <w:jc w:val="left"/>
      </w:pPr>
      <w:r>
        <w:rPr/>
        <w:t>□适用 √不适用</w:t>
      </w:r>
    </w:p>
    <w:p>
      <w:pPr>
        <w:pStyle w:val="Heading4"/>
        <w:spacing w:line="240" w:lineRule="auto" w:before="58"/>
        <w:ind w:left="217" w:right="-18"/>
        <w:jc w:val="left"/>
        <w:rPr>
          <w:b w:val="0"/>
          <w:bCs w:val="0"/>
        </w:rPr>
      </w:pPr>
      <w:r>
        <w:rPr>
          <w:rFonts w:ascii="Times New Roman" w:hAnsi="Times New Roman" w:cs="Times New Roman" w:eastAsia="Times New Roman" w:hint="default"/>
        </w:rPr>
        <w:t>32</w:t>
      </w:r>
      <w:r>
        <w:rPr/>
        <w:t>、</w:t>
      </w:r>
      <w:r>
        <w:rPr>
          <w:spacing w:val="-22"/>
        </w:rPr>
        <w:t> </w:t>
      </w:r>
      <w:r>
        <w:rPr/>
        <w:t>应交税费</w:t>
      </w:r>
      <w:r>
        <w:rPr>
          <w:b w:val="0"/>
          <w:bCs w:val="0"/>
        </w:rPr>
      </w:r>
    </w:p>
    <w:p>
      <w:pPr>
        <w:pStyle w:val="BodyText"/>
        <w:spacing w:line="240" w:lineRule="auto" w:before="40"/>
        <w:ind w:left="6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2275" w:space="4247"/>
            <w:col w:w="26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58"/>
        <w:gridCol w:w="3135"/>
        <w:gridCol w:w="2732"/>
      </w:tblGrid>
      <w:tr>
        <w:trPr>
          <w:trHeight w:val="370"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72,322,868.04</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21"/>
                <w:szCs w:val="21"/>
              </w:rPr>
            </w:pPr>
            <w:r>
              <w:rPr>
                <w:rFonts w:ascii="Times New Roman"/>
                <w:spacing w:val="-1"/>
                <w:sz w:val="21"/>
              </w:rPr>
              <w:t>37,873,936.93</w:t>
            </w:r>
          </w:p>
        </w:tc>
      </w:tr>
      <w:tr>
        <w:trPr>
          <w:trHeight w:val="372"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21"/>
                <w:szCs w:val="21"/>
              </w:rPr>
            </w:pPr>
            <w:r>
              <w:rPr>
                <w:rFonts w:ascii="Times New Roman"/>
                <w:spacing w:val="-1"/>
                <w:sz w:val="21"/>
              </w:rPr>
              <w:t>16,825,315.04</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21"/>
                <w:szCs w:val="21"/>
              </w:rPr>
            </w:pPr>
            <w:r>
              <w:rPr>
                <w:rFonts w:ascii="Times New Roman"/>
                <w:spacing w:val="-1"/>
                <w:sz w:val="21"/>
              </w:rPr>
              <w:t>16,835,468.66</w:t>
            </w:r>
          </w:p>
        </w:tc>
      </w:tr>
      <w:tr>
        <w:trPr>
          <w:trHeight w:val="370"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466,760.02</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432,633.77</w:t>
            </w:r>
          </w:p>
        </w:tc>
      </w:tr>
      <w:tr>
        <w:trPr>
          <w:trHeight w:val="370"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164,609.65</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210,059.68</w:t>
            </w:r>
          </w:p>
        </w:tc>
      </w:tr>
      <w:tr>
        <w:trPr>
          <w:trHeight w:val="370"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609,365.54</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549,327.60</w:t>
            </w:r>
          </w:p>
        </w:tc>
      </w:tr>
      <w:tr>
        <w:trPr>
          <w:trHeight w:val="370"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830,449.27</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1"/>
                <w:sz w:val="21"/>
              </w:rPr>
              <w:t>769,058.64</w:t>
            </w:r>
          </w:p>
        </w:tc>
      </w:tr>
    </w:tbl>
    <w:p>
      <w:pPr>
        <w:spacing w:after="0" w:line="240" w:lineRule="auto"/>
        <w:jc w:val="right"/>
        <w:rPr>
          <w:rFonts w:ascii="宋体" w:hAnsi="宋体" w:cs="宋体" w:eastAsia="宋体" w:hint="default"/>
          <w:sz w:val="21"/>
          <w:szCs w:val="21"/>
        </w:rPr>
        <w:sectPr>
          <w:type w:val="continuous"/>
          <w:pgSz w:w="11910" w:h="16840"/>
          <w:pgMar w:top="1580" w:bottom="280" w:left="1060" w:right="1660"/>
        </w:sectPr>
      </w:pPr>
    </w:p>
    <w:p>
      <w:pPr>
        <w:spacing w:line="240" w:lineRule="auto" w:before="11"/>
        <w:rPr>
          <w:rFonts w:ascii="宋体" w:hAnsi="宋体" w:cs="宋体" w:eastAsia="宋体" w:hint="default"/>
          <w:sz w:val="23"/>
          <w:szCs w:val="23"/>
        </w:rPr>
      </w:pPr>
    </w:p>
    <w:tbl>
      <w:tblPr>
        <w:tblW w:w="0" w:type="auto"/>
        <w:jc w:val="left"/>
        <w:tblInd w:w="180" w:type="dxa"/>
        <w:tblLayout w:type="fixed"/>
        <w:tblCellMar>
          <w:top w:w="0" w:type="dxa"/>
          <w:left w:w="0" w:type="dxa"/>
          <w:bottom w:w="0" w:type="dxa"/>
          <w:right w:w="0" w:type="dxa"/>
        </w:tblCellMar>
        <w:tblLook w:val="01E0"/>
      </w:tblPr>
      <w:tblGrid>
        <w:gridCol w:w="2958"/>
        <w:gridCol w:w="3135"/>
        <w:gridCol w:w="2732"/>
      </w:tblGrid>
      <w:tr>
        <w:trPr>
          <w:trHeight w:val="370"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102,687.50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149,764.44</w:t>
            </w:r>
          </w:p>
        </w:tc>
      </w:tr>
      <w:tr>
        <w:trPr>
          <w:trHeight w:val="370"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2,764.52</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3,435.92</w:t>
            </w:r>
          </w:p>
        </w:tc>
      </w:tr>
      <w:tr>
        <w:trPr>
          <w:trHeight w:val="372"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21"/>
                <w:szCs w:val="21"/>
              </w:rPr>
            </w:pPr>
            <w:r>
              <w:rPr>
                <w:rFonts w:ascii="Times New Roman"/>
                <w:spacing w:val="-1"/>
                <w:sz w:val="21"/>
              </w:rPr>
              <w:t>193,112.02</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21"/>
                <w:szCs w:val="21"/>
              </w:rPr>
            </w:pPr>
            <w:r>
              <w:rPr>
                <w:rFonts w:ascii="Times New Roman"/>
                <w:spacing w:val="-1"/>
                <w:sz w:val="21"/>
              </w:rPr>
              <w:t>148,372.51</w:t>
            </w:r>
          </w:p>
        </w:tc>
      </w:tr>
      <w:tr>
        <w:trPr>
          <w:trHeight w:val="370"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91,517,931.60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21"/>
                <w:szCs w:val="21"/>
              </w:rPr>
            </w:pPr>
            <w:r>
              <w:rPr>
                <w:rFonts w:ascii="Times New Roman"/>
                <w:spacing w:val="-1"/>
                <w:sz w:val="21"/>
              </w:rPr>
              <w:t>56,972,058.15</w:t>
            </w:r>
          </w:p>
        </w:tc>
      </w:tr>
    </w:tbl>
    <w:p>
      <w:pPr>
        <w:spacing w:after="0" w:line="240" w:lineRule="auto"/>
        <w:jc w:val="right"/>
        <w:rPr>
          <w:rFonts w:ascii="Times New Roman" w:hAnsi="Times New Roman" w:cs="Times New Roman" w:eastAsia="Times New Roman" w:hint="default"/>
          <w:sz w:val="21"/>
          <w:szCs w:val="21"/>
        </w:rPr>
        <w:sectPr>
          <w:pgSz w:w="11910" w:h="16840"/>
          <w:pgMar w:header="857" w:footer="979" w:top="1120" w:bottom="1160" w:left="1060" w:right="1660"/>
        </w:sectPr>
      </w:pPr>
    </w:p>
    <w:p>
      <w:pPr>
        <w:pStyle w:val="BodyText"/>
        <w:spacing w:line="239" w:lineRule="exact"/>
        <w:ind w:left="217" w:right="-18"/>
        <w:jc w:val="left"/>
      </w:pPr>
      <w:r>
        <w:rPr/>
        <w:t>其他说明：</w:t>
      </w:r>
    </w:p>
    <w:p>
      <w:pPr>
        <w:pStyle w:val="BodyText"/>
        <w:spacing w:line="273" w:lineRule="exact"/>
        <w:ind w:left="217" w:right="-18"/>
        <w:jc w:val="left"/>
      </w:pPr>
      <w:r>
        <w:rPr>
          <w:w w:val="100"/>
        </w:rPr>
        <w:t>无</w:t>
      </w:r>
    </w:p>
    <w:p>
      <w:pPr>
        <w:pStyle w:val="Heading4"/>
        <w:spacing w:line="273" w:lineRule="auto" w:before="58"/>
        <w:ind w:left="217" w:right="478"/>
        <w:jc w:val="left"/>
        <w:rPr>
          <w:b w:val="0"/>
          <w:bCs w:val="0"/>
        </w:rPr>
      </w:pPr>
      <w:r>
        <w:rPr>
          <w:rFonts w:ascii="Times New Roman" w:hAnsi="Times New Roman" w:cs="Times New Roman" w:eastAsia="Times New Roman" w:hint="default"/>
        </w:rPr>
        <w:t>33</w:t>
      </w:r>
      <w:r>
        <w:rPr/>
        <w:t>、</w:t>
      </w:r>
      <w:r>
        <w:rPr>
          <w:spacing w:val="-22"/>
        </w:rPr>
        <w:t> </w:t>
      </w:r>
      <w:r>
        <w:rPr/>
        <w:t>其他应付款</w:t>
      </w:r>
      <w:r>
        <w:rPr>
          <w:w w:val="100"/>
        </w:rPr>
        <w:t> </w:t>
      </w:r>
      <w:r>
        <w:rPr/>
        <w:t>总表情况</w:t>
      </w:r>
      <w:r>
        <w:rPr>
          <w:b w:val="0"/>
          <w:bCs w:val="0"/>
        </w:rPr>
      </w:r>
    </w:p>
    <w:p>
      <w:pPr>
        <w:pStyle w:val="Heading4"/>
        <w:spacing w:line="240" w:lineRule="auto" w:before="29"/>
        <w:ind w:left="217" w:right="-18"/>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3"/>
        </w:rPr>
        <w:t> </w:t>
      </w:r>
      <w:r>
        <w:rPr/>
        <w:t>分类列示</w:t>
      </w:r>
      <w:r>
        <w:rPr>
          <w:b w:val="0"/>
          <w:bCs w:val="0"/>
        </w:rPr>
      </w:r>
    </w:p>
    <w:p>
      <w:pPr>
        <w:pStyle w:val="BodyText"/>
        <w:spacing w:line="240" w:lineRule="auto" w:before="40"/>
        <w:ind w:left="6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2275" w:space="4247"/>
            <w:col w:w="26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27"/>
        <w:gridCol w:w="2792"/>
        <w:gridCol w:w="2806"/>
      </w:tblGrid>
      <w:tr>
        <w:trPr>
          <w:trHeight w:val="370"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95"/>
              <w:jc w:val="right"/>
              <w:rPr>
                <w:rFonts w:ascii="宋体" w:hAnsi="宋体" w:cs="宋体" w:eastAsia="宋体" w:hint="default"/>
                <w:sz w:val="21"/>
                <w:szCs w:val="21"/>
              </w:rPr>
            </w:pPr>
            <w:r>
              <w:rPr>
                <w:rFonts w:ascii="宋体" w:hAnsi="宋体" w:cs="宋体" w:eastAsia="宋体" w:hint="default"/>
                <w:sz w:val="21"/>
                <w:szCs w:val="21"/>
              </w:rPr>
              <w:t>项目</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58,187.27</w:t>
            </w:r>
          </w:p>
        </w:tc>
        <w:tc>
          <w:tcPr>
            <w:tcW w:w="280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792" w:type="dxa"/>
            <w:tcBorders>
              <w:top w:val="single" w:sz="4" w:space="0" w:color="000000"/>
              <w:left w:val="single" w:sz="4" w:space="0" w:color="000000"/>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34,355,407.95</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50,885,054.47</w:t>
            </w: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95"/>
              <w:jc w:val="right"/>
              <w:rPr>
                <w:rFonts w:ascii="宋体" w:hAnsi="宋体" w:cs="宋体" w:eastAsia="宋体" w:hint="default"/>
                <w:sz w:val="21"/>
                <w:szCs w:val="21"/>
              </w:rPr>
            </w:pPr>
            <w:r>
              <w:rPr>
                <w:rFonts w:ascii="宋体" w:hAnsi="宋体" w:cs="宋体" w:eastAsia="宋体" w:hint="default"/>
                <w:sz w:val="21"/>
                <w:szCs w:val="21"/>
              </w:rPr>
              <w:t>合计</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34,413,595.22</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50,885,054.47</w:t>
            </w:r>
          </w:p>
        </w:tc>
      </w:tr>
    </w:tbl>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280" w:left="1060" w:right="1660"/>
        </w:sectPr>
      </w:pPr>
    </w:p>
    <w:p>
      <w:pPr>
        <w:pStyle w:val="BodyText"/>
        <w:spacing w:line="273" w:lineRule="exact" w:before="36"/>
        <w:ind w:left="217" w:right="-18"/>
        <w:jc w:val="left"/>
      </w:pPr>
      <w:r>
        <w:rPr/>
        <w:t>其他说明：</w:t>
      </w:r>
    </w:p>
    <w:p>
      <w:pPr>
        <w:spacing w:line="290" w:lineRule="auto" w:before="0"/>
        <w:ind w:left="217" w:right="-18" w:firstLine="48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应付利息</w:t>
      </w:r>
      <w:r>
        <w:rPr>
          <w:rFonts w:ascii="宋体" w:hAnsi="宋体" w:cs="宋体" w:eastAsia="宋体" w:hint="default"/>
          <w:sz w:val="21"/>
          <w:szCs w:val="21"/>
        </w:rPr>
      </w:r>
    </w:p>
    <w:p>
      <w:pPr>
        <w:pStyle w:val="Heading4"/>
        <w:spacing w:line="240" w:lineRule="auto" w:before="12"/>
        <w:ind w:left="217" w:right="-18"/>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3"/>
        </w:rPr>
        <w:t> </w:t>
      </w:r>
      <w:r>
        <w:rPr/>
        <w:t>分类列示</w:t>
      </w:r>
      <w:r>
        <w:rPr>
          <w:b w:val="0"/>
          <w:bCs w:val="0"/>
        </w:rPr>
      </w:r>
    </w:p>
    <w:p>
      <w:pPr>
        <w:pStyle w:val="BodyText"/>
        <w:spacing w:line="240" w:lineRule="auto" w:before="43"/>
        <w:ind w:left="6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2275" w:space="4247"/>
            <w:col w:w="26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824"/>
        <w:gridCol w:w="2268"/>
        <w:gridCol w:w="2732"/>
      </w:tblGrid>
      <w:tr>
        <w:trPr>
          <w:trHeight w:val="37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9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268"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268"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58,187.27</w:t>
            </w:r>
          </w:p>
        </w:tc>
        <w:tc>
          <w:tcPr>
            <w:tcW w:w="273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永续债利息</w:t>
            </w:r>
          </w:p>
        </w:tc>
        <w:tc>
          <w:tcPr>
            <w:tcW w:w="2268"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58,187.27</w:t>
            </w:r>
          </w:p>
        </w:tc>
        <w:tc>
          <w:tcPr>
            <w:tcW w:w="273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3"/>
        <w:ind w:left="217" w:right="2631"/>
        <w:jc w:val="left"/>
      </w:pPr>
      <w:r>
        <w:rPr/>
        <w:t>重要的已逾期未支付的利息情况：</w:t>
      </w:r>
    </w:p>
    <w:p>
      <w:pPr>
        <w:pStyle w:val="BodyText"/>
        <w:spacing w:line="367" w:lineRule="auto" w:before="85"/>
        <w:ind w:left="217" w:right="6894" w:firstLine="480"/>
        <w:jc w:val="left"/>
      </w:pPr>
      <w:r>
        <w:rPr/>
        <w:t>□适用 √不适用</w:t>
      </w:r>
      <w:r>
        <w:rPr>
          <w:w w:val="100"/>
        </w:rPr>
        <w:t> </w:t>
      </w:r>
      <w:r>
        <w:rPr/>
        <w:t>其他说明：</w:t>
      </w:r>
    </w:p>
    <w:p>
      <w:pPr>
        <w:spacing w:line="367" w:lineRule="auto" w:before="34"/>
        <w:ind w:left="217" w:right="6894" w:firstLine="48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应付股利</w:t>
      </w:r>
      <w:r>
        <w:rPr>
          <w:rFonts w:ascii="宋体" w:hAnsi="宋体" w:cs="宋体" w:eastAsia="宋体" w:hint="default"/>
          <w:sz w:val="21"/>
          <w:szCs w:val="21"/>
        </w:rPr>
      </w:r>
    </w:p>
    <w:p>
      <w:pPr>
        <w:pStyle w:val="Heading4"/>
        <w:spacing w:line="240" w:lineRule="auto" w:before="34"/>
        <w:ind w:left="217" w:right="2631"/>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3"/>
        </w:rPr>
        <w:t> </w:t>
      </w:r>
      <w:r>
        <w:rPr/>
        <w:t>分类列示</w:t>
      </w:r>
      <w:r>
        <w:rPr>
          <w:b w:val="0"/>
          <w:bCs w:val="0"/>
        </w:rPr>
      </w:r>
    </w:p>
    <w:p>
      <w:pPr>
        <w:pStyle w:val="BodyText"/>
        <w:spacing w:line="240" w:lineRule="auto" w:before="129"/>
        <w:ind w:left="697" w:right="2631"/>
        <w:jc w:val="left"/>
      </w:pPr>
      <w:r>
        <w:rPr/>
        <w:t>□适用 √不适用</w:t>
      </w:r>
    </w:p>
    <w:p>
      <w:pPr>
        <w:spacing w:after="0" w:line="240" w:lineRule="auto"/>
        <w:jc w:val="left"/>
        <w:sectPr>
          <w:type w:val="continuous"/>
          <w:pgSz w:w="11910" w:h="16840"/>
          <w:pgMar w:top="1580" w:bottom="280" w:left="1060" w:right="1660"/>
        </w:sectPr>
      </w:pP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57" w:footer="979" w:top="1120" w:bottom="1160" w:left="1040" w:right="1640"/>
        </w:sectPr>
      </w:pPr>
    </w:p>
    <w:p>
      <w:pPr>
        <w:pStyle w:val="Heading4"/>
        <w:spacing w:line="240" w:lineRule="auto"/>
        <w:ind w:left="237" w:right="-17"/>
        <w:jc w:val="left"/>
        <w:rPr>
          <w:b w:val="0"/>
          <w:bCs w:val="0"/>
        </w:rPr>
      </w:pPr>
      <w:r>
        <w:rPr/>
        <w:t>其他应付款</w:t>
      </w:r>
      <w:r>
        <w:rPr>
          <w:b w:val="0"/>
          <w:bCs w:val="0"/>
        </w:rPr>
      </w:r>
    </w:p>
    <w:p>
      <w:pPr>
        <w:pStyle w:val="Heading4"/>
        <w:spacing w:line="240" w:lineRule="auto" w:before="145"/>
        <w:ind w:left="237" w:right="-17"/>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按款项性质列示其他应付款</w:t>
      </w:r>
      <w:r>
        <w:rPr>
          <w:b w:val="0"/>
          <w:bCs w:val="0"/>
        </w:rPr>
      </w:r>
    </w:p>
    <w:p>
      <w:pPr>
        <w:pStyle w:val="BodyText"/>
        <w:spacing w:line="240" w:lineRule="auto" w:before="129"/>
        <w:ind w:left="7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640"/>
          <w:cols w:num="2" w:equalWidth="0">
            <w:col w:w="3171" w:space="3351"/>
            <w:col w:w="270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52"/>
        <w:gridCol w:w="2924"/>
        <w:gridCol w:w="3049"/>
      </w:tblGrid>
      <w:tr>
        <w:trPr>
          <w:trHeight w:val="382"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应付限制性股票回购义务款</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15,732,668.62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39,887,176.32</w:t>
            </w:r>
          </w:p>
        </w:tc>
      </w:tr>
      <w:tr>
        <w:trPr>
          <w:trHeight w:val="372"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4,897,172.88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3,041,669.40</w:t>
            </w:r>
          </w:p>
        </w:tc>
      </w:tr>
      <w:tr>
        <w:trPr>
          <w:trHeight w:val="37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13,725,566.45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7,956,208.75</w:t>
            </w:r>
          </w:p>
        </w:tc>
      </w:tr>
      <w:tr>
        <w:trPr>
          <w:trHeight w:val="37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34,355,407.95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50,885,054.47</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580" w:bottom="280" w:left="1040" w:right="1640"/>
        </w:sectPr>
      </w:pPr>
    </w:p>
    <w:p>
      <w:pPr>
        <w:pStyle w:val="Heading4"/>
        <w:spacing w:line="240" w:lineRule="auto"/>
        <w:ind w:left="237" w:right="-15"/>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pStyle w:val="BodyText"/>
        <w:spacing w:line="240" w:lineRule="auto" w:before="40"/>
        <w:ind w:left="7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640"/>
          <w:cols w:num="2" w:equalWidth="0">
            <w:col w:w="3593" w:space="2929"/>
            <w:col w:w="270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38"/>
        <w:gridCol w:w="2119"/>
        <w:gridCol w:w="3867"/>
      </w:tblGrid>
      <w:tr>
        <w:trPr>
          <w:trHeight w:val="370"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202"/>
              <w:jc w:val="right"/>
              <w:rPr>
                <w:rFonts w:ascii="宋体" w:hAnsi="宋体" w:cs="宋体" w:eastAsia="宋体" w:hint="default"/>
                <w:sz w:val="21"/>
                <w:szCs w:val="21"/>
              </w:rPr>
            </w:pPr>
            <w:r>
              <w:rPr>
                <w:rFonts w:ascii="宋体" w:hAnsi="宋体" w:cs="宋体" w:eastAsia="宋体" w:hint="default"/>
                <w:sz w:val="21"/>
                <w:szCs w:val="21"/>
              </w:rPr>
              <w:t>项目</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3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81"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372"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248"/>
              <w:jc w:val="right"/>
              <w:rPr>
                <w:rFonts w:ascii="宋体" w:hAnsi="宋体" w:cs="宋体" w:eastAsia="宋体" w:hint="default"/>
                <w:sz w:val="21"/>
                <w:szCs w:val="21"/>
              </w:rPr>
            </w:pPr>
            <w:r>
              <w:rPr>
                <w:rFonts w:ascii="宋体" w:hAnsi="宋体" w:cs="宋体" w:eastAsia="宋体" w:hint="default"/>
                <w:spacing w:val="-1"/>
                <w:sz w:val="21"/>
                <w:szCs w:val="21"/>
              </w:rPr>
              <w:t>其他应付客户一</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15,732,668.62</w:t>
            </w:r>
          </w:p>
        </w:tc>
        <w:tc>
          <w:tcPr>
            <w:tcW w:w="3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限制性股票回购义务款未到回购期</w:t>
            </w:r>
          </w:p>
        </w:tc>
      </w:tr>
      <w:tr>
        <w:trPr>
          <w:trHeight w:val="370"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202"/>
              <w:jc w:val="right"/>
              <w:rPr>
                <w:rFonts w:ascii="宋体" w:hAnsi="宋体" w:cs="宋体" w:eastAsia="宋体" w:hint="default"/>
                <w:sz w:val="21"/>
                <w:szCs w:val="21"/>
              </w:rPr>
            </w:pPr>
            <w:r>
              <w:rPr>
                <w:rFonts w:ascii="宋体" w:hAnsi="宋体" w:cs="宋体" w:eastAsia="宋体" w:hint="default"/>
                <w:sz w:val="21"/>
                <w:szCs w:val="21"/>
              </w:rPr>
              <w:t>合计</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15,732,668.62</w:t>
            </w:r>
          </w:p>
        </w:tc>
        <w:tc>
          <w:tcPr>
            <w:tcW w:w="3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39" w:lineRule="exact"/>
        <w:ind w:left="657" w:right="5957"/>
        <w:jc w:val="left"/>
      </w:pPr>
      <w:r>
        <w:rPr/>
        <w:t>其他说明：</w:t>
      </w:r>
    </w:p>
    <w:p>
      <w:pPr>
        <w:spacing w:before="0"/>
        <w:ind w:left="717" w:right="595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按账龄列示其他应付款</w:t>
      </w:r>
      <w:r>
        <w:rPr>
          <w:rFonts w:ascii="宋体" w:hAnsi="宋体" w:cs="宋体" w:eastAsia="宋体" w:hint="default"/>
          <w:sz w:val="21"/>
          <w:szCs w:val="21"/>
        </w:rPr>
      </w:r>
    </w:p>
    <w:p>
      <w:pPr>
        <w:spacing w:line="240" w:lineRule="auto" w:before="4"/>
        <w:rPr>
          <w:rFonts w:ascii="宋体" w:hAnsi="宋体" w:cs="宋体" w:eastAsia="宋体" w:hint="default"/>
          <w:b/>
          <w:bCs/>
          <w:sz w:val="2"/>
          <w:szCs w:val="2"/>
        </w:rPr>
      </w:pPr>
    </w:p>
    <w:tbl>
      <w:tblPr>
        <w:tblW w:w="0" w:type="auto"/>
        <w:jc w:val="left"/>
        <w:tblInd w:w="186" w:type="dxa"/>
        <w:tblLayout w:type="fixed"/>
        <w:tblCellMar>
          <w:top w:w="0" w:type="dxa"/>
          <w:left w:w="0" w:type="dxa"/>
          <w:bottom w:w="0" w:type="dxa"/>
          <w:right w:w="0" w:type="dxa"/>
        </w:tblCellMar>
        <w:tblLook w:val="01E0"/>
      </w:tblPr>
      <w:tblGrid>
        <w:gridCol w:w="2975"/>
        <w:gridCol w:w="2976"/>
        <w:gridCol w:w="2974"/>
      </w:tblGrid>
      <w:tr>
        <w:trPr>
          <w:trHeight w:val="437"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68"/>
              <w:jc w:val="right"/>
              <w:rPr>
                <w:rFonts w:ascii="宋体" w:hAnsi="宋体" w:cs="宋体" w:eastAsia="宋体" w:hint="default"/>
                <w:sz w:val="21"/>
                <w:szCs w:val="21"/>
              </w:rPr>
            </w:pPr>
            <w:r>
              <w:rPr>
                <w:rFonts w:ascii="宋体" w:hAnsi="宋体" w:cs="宋体" w:eastAsia="宋体" w:hint="default"/>
                <w:sz w:val="21"/>
                <w:szCs w:val="21"/>
              </w:rPr>
              <w:t>项目</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6"/>
              <w:jc w:val="right"/>
              <w:rPr>
                <w:rFonts w:ascii="Times New Roman" w:hAnsi="Times New Roman" w:cs="Times New Roman" w:eastAsia="Times New Roman" w:hint="default"/>
                <w:sz w:val="21"/>
                <w:szCs w:val="21"/>
              </w:rPr>
            </w:pPr>
            <w:r>
              <w:rPr>
                <w:rFonts w:ascii="Times New Roman"/>
                <w:spacing w:val="-1"/>
                <w:sz w:val="21"/>
              </w:rPr>
              <w:t>13,942,005.43</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6"/>
              <w:jc w:val="right"/>
              <w:rPr>
                <w:rFonts w:ascii="Times New Roman" w:hAnsi="Times New Roman" w:cs="Times New Roman" w:eastAsia="Times New Roman" w:hint="default"/>
                <w:sz w:val="21"/>
                <w:szCs w:val="21"/>
              </w:rPr>
            </w:pPr>
            <w:r>
              <w:rPr>
                <w:rFonts w:ascii="Times New Roman"/>
                <w:spacing w:val="-1"/>
                <w:sz w:val="21"/>
              </w:rPr>
              <w:t>9,368,511.67</w:t>
            </w:r>
          </w:p>
        </w:tc>
      </w:tr>
      <w:tr>
        <w:trPr>
          <w:trHeight w:val="37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6"/>
              <w:jc w:val="right"/>
              <w:rPr>
                <w:rFonts w:ascii="Times New Roman" w:hAnsi="Times New Roman" w:cs="Times New Roman" w:eastAsia="Times New Roman" w:hint="default"/>
                <w:sz w:val="21"/>
                <w:szCs w:val="21"/>
              </w:rPr>
            </w:pPr>
            <w:r>
              <w:rPr>
                <w:rFonts w:ascii="Times New Roman"/>
                <w:spacing w:val="-1"/>
                <w:sz w:val="21"/>
              </w:rPr>
              <w:t>5,937,155.66</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6"/>
              <w:jc w:val="right"/>
              <w:rPr>
                <w:rFonts w:ascii="Times New Roman" w:hAnsi="Times New Roman" w:cs="Times New Roman" w:eastAsia="Times New Roman" w:hint="default"/>
                <w:sz w:val="21"/>
                <w:szCs w:val="21"/>
              </w:rPr>
            </w:pPr>
            <w:r>
              <w:rPr>
                <w:rFonts w:ascii="Times New Roman"/>
                <w:spacing w:val="-1"/>
                <w:sz w:val="21"/>
              </w:rPr>
              <w:t>37,318,552.52</w:t>
            </w:r>
          </w:p>
        </w:tc>
      </w:tr>
      <w:tr>
        <w:trPr>
          <w:trHeight w:val="37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6"/>
              <w:jc w:val="right"/>
              <w:rPr>
                <w:rFonts w:ascii="Times New Roman" w:hAnsi="Times New Roman" w:cs="Times New Roman" w:eastAsia="Times New Roman" w:hint="default"/>
                <w:sz w:val="21"/>
                <w:szCs w:val="21"/>
              </w:rPr>
            </w:pPr>
            <w:r>
              <w:rPr>
                <w:rFonts w:ascii="Times New Roman"/>
                <w:spacing w:val="-1"/>
                <w:sz w:val="21"/>
              </w:rPr>
              <w:t>12,520,504.33</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6"/>
              <w:jc w:val="right"/>
              <w:rPr>
                <w:rFonts w:ascii="Times New Roman" w:hAnsi="Times New Roman" w:cs="Times New Roman" w:eastAsia="Times New Roman" w:hint="default"/>
                <w:sz w:val="21"/>
                <w:szCs w:val="21"/>
              </w:rPr>
            </w:pPr>
            <w:r>
              <w:rPr>
                <w:rFonts w:ascii="Times New Roman"/>
                <w:spacing w:val="-1"/>
                <w:sz w:val="21"/>
              </w:rPr>
              <w:t>1,051,107.41</w:t>
            </w:r>
          </w:p>
        </w:tc>
      </w:tr>
      <w:tr>
        <w:trPr>
          <w:trHeight w:val="37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6"/>
              <w:jc w:val="right"/>
              <w:rPr>
                <w:rFonts w:ascii="Times New Roman" w:hAnsi="Times New Roman" w:cs="Times New Roman" w:eastAsia="Times New Roman" w:hint="default"/>
                <w:sz w:val="21"/>
                <w:szCs w:val="21"/>
              </w:rPr>
            </w:pPr>
            <w:r>
              <w:rPr>
                <w:rFonts w:ascii="Times New Roman"/>
                <w:spacing w:val="-1"/>
                <w:sz w:val="21"/>
              </w:rPr>
              <w:t>1,955,742.53</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6"/>
              <w:jc w:val="right"/>
              <w:rPr>
                <w:rFonts w:ascii="Times New Roman" w:hAnsi="Times New Roman" w:cs="Times New Roman" w:eastAsia="Times New Roman" w:hint="default"/>
                <w:sz w:val="21"/>
                <w:szCs w:val="21"/>
              </w:rPr>
            </w:pPr>
            <w:r>
              <w:rPr>
                <w:rFonts w:ascii="Times New Roman"/>
                <w:spacing w:val="-1"/>
                <w:sz w:val="21"/>
              </w:rPr>
              <w:t>3,146,882.87</w:t>
            </w:r>
          </w:p>
        </w:tc>
      </w:tr>
      <w:tr>
        <w:trPr>
          <w:trHeight w:val="37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268"/>
              <w:jc w:val="right"/>
              <w:rPr>
                <w:rFonts w:ascii="宋体" w:hAnsi="宋体" w:cs="宋体" w:eastAsia="宋体" w:hint="default"/>
                <w:sz w:val="21"/>
                <w:szCs w:val="21"/>
              </w:rPr>
            </w:pPr>
            <w:r>
              <w:rPr>
                <w:rFonts w:ascii="宋体" w:hAnsi="宋体" w:cs="宋体" w:eastAsia="宋体" w:hint="default"/>
                <w:sz w:val="21"/>
                <w:szCs w:val="21"/>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6"/>
              <w:jc w:val="right"/>
              <w:rPr>
                <w:rFonts w:ascii="Times New Roman" w:hAnsi="Times New Roman" w:cs="Times New Roman" w:eastAsia="Times New Roman" w:hint="default"/>
                <w:sz w:val="21"/>
                <w:szCs w:val="21"/>
              </w:rPr>
            </w:pPr>
            <w:r>
              <w:rPr>
                <w:rFonts w:ascii="Times New Roman"/>
                <w:spacing w:val="-1"/>
                <w:sz w:val="21"/>
              </w:rPr>
              <w:t>34,355,407.95</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6"/>
              <w:jc w:val="right"/>
              <w:rPr>
                <w:rFonts w:ascii="Times New Roman" w:hAnsi="Times New Roman" w:cs="Times New Roman" w:eastAsia="Times New Roman" w:hint="default"/>
                <w:sz w:val="21"/>
                <w:szCs w:val="21"/>
              </w:rPr>
            </w:pPr>
            <w:r>
              <w:rPr>
                <w:rFonts w:ascii="Times New Roman"/>
                <w:spacing w:val="-1"/>
                <w:sz w:val="21"/>
              </w:rPr>
              <w:t>50,885,054.47</w:t>
            </w:r>
          </w:p>
        </w:tc>
      </w:tr>
    </w:tbl>
    <w:p>
      <w:pPr>
        <w:spacing w:line="240" w:lineRule="auto" w:before="11"/>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580" w:bottom="280" w:left="1040" w:right="1640"/>
        </w:sectPr>
      </w:pPr>
    </w:p>
    <w:p>
      <w:pPr>
        <w:pStyle w:val="Heading4"/>
        <w:spacing w:line="240" w:lineRule="auto"/>
        <w:ind w:left="237" w:right="-18"/>
        <w:jc w:val="left"/>
        <w:rPr>
          <w:b w:val="0"/>
          <w:bCs w:val="0"/>
        </w:rPr>
      </w:pPr>
      <w:r>
        <w:rPr>
          <w:rFonts w:ascii="Times New Roman" w:hAnsi="Times New Roman" w:cs="Times New Roman" w:eastAsia="Times New Roman" w:hint="default"/>
        </w:rPr>
        <w:t>34</w:t>
      </w:r>
      <w:r>
        <w:rPr/>
        <w:t>、</w:t>
      </w:r>
      <w:r>
        <w:rPr>
          <w:spacing w:val="-23"/>
        </w:rPr>
        <w:t> </w:t>
      </w:r>
      <w:r>
        <w:rPr/>
        <w:t>持有待售负债</w:t>
      </w:r>
      <w:r>
        <w:rPr>
          <w:b w:val="0"/>
          <w:bCs w:val="0"/>
        </w:rPr>
      </w:r>
    </w:p>
    <w:p>
      <w:pPr>
        <w:pStyle w:val="BodyText"/>
        <w:spacing w:line="240" w:lineRule="auto" w:before="43"/>
        <w:ind w:left="7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640"/>
          <w:cols w:num="2" w:equalWidth="0">
            <w:col w:w="2295" w:space="4227"/>
            <w:col w:w="270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809"/>
        <w:gridCol w:w="3012"/>
        <w:gridCol w:w="3003"/>
      </w:tblGrid>
      <w:tr>
        <w:trPr>
          <w:trHeight w:val="370"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86"/>
              <w:jc w:val="right"/>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012" w:type="dxa"/>
            <w:tcBorders>
              <w:top w:val="single" w:sz="4" w:space="0" w:color="000000"/>
              <w:left w:val="single" w:sz="4" w:space="0" w:color="000000"/>
              <w:bottom w:val="single" w:sz="4" w:space="0" w:color="000000"/>
              <w:right w:val="single" w:sz="4" w:space="0" w:color="000000"/>
            </w:tcBorders>
          </w:tcPr>
          <w:p>
            <w:pP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2,945,205.40</w:t>
            </w:r>
          </w:p>
        </w:tc>
      </w:tr>
      <w:tr>
        <w:trPr>
          <w:trHeight w:val="370"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012" w:type="dxa"/>
            <w:tcBorders>
              <w:top w:val="single" w:sz="4" w:space="0" w:color="000000"/>
              <w:left w:val="single" w:sz="4" w:space="0" w:color="000000"/>
              <w:bottom w:val="single" w:sz="4" w:space="0" w:color="000000"/>
              <w:right w:val="single" w:sz="4" w:space="0" w:color="000000"/>
            </w:tcBorders>
          </w:tcPr>
          <w:p>
            <w:pP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58,763,346.07</w:t>
            </w:r>
          </w:p>
        </w:tc>
      </w:tr>
      <w:tr>
        <w:trPr>
          <w:trHeight w:val="370"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012" w:type="dxa"/>
            <w:tcBorders>
              <w:top w:val="single" w:sz="4" w:space="0" w:color="000000"/>
              <w:left w:val="single" w:sz="4" w:space="0" w:color="000000"/>
              <w:bottom w:val="single" w:sz="4" w:space="0" w:color="000000"/>
              <w:right w:val="single" w:sz="4" w:space="0" w:color="000000"/>
            </w:tcBorders>
          </w:tcPr>
          <w:p>
            <w:pP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602,295.15</w:t>
            </w:r>
          </w:p>
        </w:tc>
      </w:tr>
      <w:tr>
        <w:trPr>
          <w:trHeight w:val="370"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012" w:type="dxa"/>
            <w:tcBorders>
              <w:top w:val="single" w:sz="4" w:space="0" w:color="000000"/>
              <w:left w:val="single" w:sz="4" w:space="0" w:color="000000"/>
              <w:bottom w:val="single" w:sz="4" w:space="0" w:color="000000"/>
              <w:right w:val="single" w:sz="4" w:space="0" w:color="000000"/>
            </w:tcBorders>
          </w:tcPr>
          <w:p>
            <w:pP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56,950.31</w:t>
            </w:r>
          </w:p>
        </w:tc>
      </w:tr>
      <w:tr>
        <w:trPr>
          <w:trHeight w:val="372"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012" w:type="dxa"/>
            <w:tcBorders>
              <w:top w:val="single" w:sz="4" w:space="0" w:color="000000"/>
              <w:left w:val="single" w:sz="4" w:space="0" w:color="000000"/>
              <w:bottom w:val="single" w:sz="4" w:space="0" w:color="000000"/>
              <w:right w:val="single" w:sz="4" w:space="0" w:color="000000"/>
            </w:tcBorders>
          </w:tcPr>
          <w:p>
            <w:pP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11,087.00</w:t>
            </w:r>
          </w:p>
        </w:tc>
      </w:tr>
      <w:tr>
        <w:trPr>
          <w:trHeight w:val="370"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86"/>
              <w:jc w:val="right"/>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62,378,883.93</w:t>
            </w:r>
          </w:p>
        </w:tc>
      </w:tr>
    </w:tbl>
    <w:p>
      <w:pPr>
        <w:pStyle w:val="BodyText"/>
        <w:spacing w:line="239" w:lineRule="exact"/>
        <w:ind w:left="220" w:right="7916"/>
        <w:jc w:val="center"/>
      </w:pPr>
      <w:r>
        <w:rPr/>
        <w:t>其他说明：</w:t>
      </w:r>
    </w:p>
    <w:p>
      <w:pPr>
        <w:pStyle w:val="BodyText"/>
        <w:spacing w:line="273" w:lineRule="exact"/>
        <w:ind w:left="220" w:right="7798"/>
        <w:jc w:val="center"/>
      </w:pPr>
      <w:r>
        <w:rPr>
          <w:w w:val="100"/>
        </w:rPr>
        <w:t>无</w:t>
      </w:r>
    </w:p>
    <w:p>
      <w:pPr>
        <w:spacing w:after="0" w:line="273" w:lineRule="exact"/>
        <w:jc w:val="center"/>
        <w:sectPr>
          <w:type w:val="continuous"/>
          <w:pgSz w:w="11910" w:h="16840"/>
          <w:pgMar w:top="1580" w:bottom="280" w:left="1040" w:right="1640"/>
        </w:sectPr>
      </w:pPr>
    </w:p>
    <w:p>
      <w:pPr>
        <w:spacing w:line="240" w:lineRule="auto" w:before="7"/>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979" w:top="1120" w:bottom="1160" w:left="1060" w:right="1660"/>
        </w:sectPr>
      </w:pPr>
    </w:p>
    <w:p>
      <w:pPr>
        <w:pStyle w:val="Heading4"/>
        <w:spacing w:line="240" w:lineRule="auto"/>
        <w:ind w:left="217" w:right="-18"/>
        <w:jc w:val="left"/>
        <w:rPr>
          <w:b w:val="0"/>
          <w:bCs w:val="0"/>
        </w:rPr>
      </w:pPr>
      <w:r>
        <w:rPr>
          <w:rFonts w:ascii="Times New Roman" w:hAnsi="Times New Roman" w:cs="Times New Roman" w:eastAsia="Times New Roman" w:hint="default"/>
        </w:rPr>
        <w:t>35</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年内到期的非流动负债</w:t>
      </w:r>
      <w:r>
        <w:rPr>
          <w:b w:val="0"/>
          <w:bCs w:val="0"/>
        </w:rPr>
      </w:r>
    </w:p>
    <w:p>
      <w:pPr>
        <w:pStyle w:val="BodyText"/>
        <w:spacing w:line="240" w:lineRule="auto" w:before="40"/>
        <w:ind w:left="6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2990" w:space="3532"/>
            <w:col w:w="26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38"/>
        <w:gridCol w:w="2960"/>
        <w:gridCol w:w="3027"/>
      </w:tblGrid>
      <w:tr>
        <w:trPr>
          <w:trHeight w:val="28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tc>
        <w:tc>
          <w:tcPr>
            <w:tcW w:w="2960"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年内到期的应付债券</w:t>
            </w:r>
          </w:p>
        </w:tc>
        <w:tc>
          <w:tcPr>
            <w:tcW w:w="2960"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年内到期的长期应付款</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55,823,267.50</w:t>
            </w: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55,823,267.50</w:t>
            </w:r>
          </w:p>
        </w:tc>
        <w:tc>
          <w:tcPr>
            <w:tcW w:w="30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5"/>
          <w:szCs w:val="5"/>
        </w:rPr>
      </w:pPr>
    </w:p>
    <w:p>
      <w:pPr>
        <w:pStyle w:val="BodyText"/>
        <w:spacing w:line="367" w:lineRule="auto" w:before="36"/>
        <w:ind w:left="697" w:right="7899" w:hanging="480"/>
        <w:jc w:val="left"/>
      </w:pPr>
      <w:r>
        <w:rPr/>
        <w:t>其他说明：</w:t>
      </w:r>
      <w:r>
        <w:rPr>
          <w:spacing w:val="-102"/>
        </w:rPr>
        <w:t> </w:t>
      </w:r>
      <w:r>
        <w:rPr>
          <w:spacing w:val="-102"/>
        </w:rPr>
      </w:r>
      <w:r>
        <w:rPr/>
        <w:t>无</w:t>
      </w:r>
    </w:p>
    <w:p>
      <w:pPr>
        <w:spacing w:line="345" w:lineRule="auto" w:before="34"/>
        <w:ind w:left="697" w:right="6512"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2"/>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pacing w:val="-2"/>
          <w:sz w:val="21"/>
          <w:szCs w:val="21"/>
        </w:rPr>
        <w:t>其他流动负债情况</w:t>
      </w:r>
    </w:p>
    <w:p>
      <w:pPr>
        <w:pStyle w:val="BodyText"/>
        <w:tabs>
          <w:tab w:pos="1539" w:val="left" w:leader="none"/>
        </w:tabs>
        <w:spacing w:line="314" w:lineRule="auto"/>
        <w:ind w:left="637" w:right="6024" w:firstLine="60"/>
        <w:jc w:val="left"/>
      </w:pPr>
      <w:r>
        <w:rPr/>
        <w:t>□适用</w:t>
        <w:tab/>
        <w:t>√不适用</w:t>
      </w:r>
      <w:r>
        <w:rPr>
          <w:w w:val="100"/>
        </w:rPr>
        <w:t> </w:t>
      </w:r>
      <w:r>
        <w:rPr>
          <w:spacing w:val="-2"/>
        </w:rPr>
        <w:t>短期应付债券的增减变动：</w:t>
      </w:r>
    </w:p>
    <w:p>
      <w:pPr>
        <w:pStyle w:val="BodyText"/>
        <w:spacing w:line="367" w:lineRule="auto" w:before="20"/>
        <w:ind w:left="637" w:right="6954"/>
        <w:jc w:val="left"/>
      </w:pPr>
      <w:r>
        <w:rPr/>
        <w:t>□适用 √不适用</w:t>
      </w:r>
      <w:r>
        <w:rPr>
          <w:w w:val="100"/>
        </w:rPr>
        <w:t> </w:t>
      </w:r>
      <w:r>
        <w:rPr/>
        <w:t>其他说明：</w:t>
      </w:r>
    </w:p>
    <w:p>
      <w:pPr>
        <w:pStyle w:val="BodyText"/>
        <w:spacing w:line="240" w:lineRule="auto" w:before="34"/>
        <w:ind w:left="697" w:right="2631"/>
        <w:jc w:val="left"/>
      </w:pPr>
      <w:r>
        <w:rPr/>
        <w:t>□适用 √不适用</w:t>
      </w:r>
    </w:p>
    <w:p>
      <w:pPr>
        <w:pStyle w:val="Heading4"/>
        <w:spacing w:line="240" w:lineRule="auto" w:before="145"/>
        <w:ind w:left="217" w:right="2631"/>
        <w:jc w:val="left"/>
        <w:rPr>
          <w:b w:val="0"/>
          <w:bCs w:val="0"/>
        </w:rPr>
      </w:pPr>
      <w:r>
        <w:rPr>
          <w:rFonts w:ascii="Times New Roman" w:hAnsi="Times New Roman" w:cs="Times New Roman" w:eastAsia="Times New Roman" w:hint="default"/>
        </w:rPr>
        <w:t>37</w:t>
      </w:r>
      <w:r>
        <w:rPr/>
        <w:t>、</w:t>
      </w:r>
      <w:r>
        <w:rPr>
          <w:spacing w:val="-22"/>
        </w:rPr>
        <w:t> </w:t>
      </w:r>
      <w:r>
        <w:rPr/>
        <w:t>长期借款</w:t>
      </w:r>
      <w:r>
        <w:rPr>
          <w:b w:val="0"/>
          <w:bCs w:val="0"/>
        </w:rPr>
      </w:r>
    </w:p>
    <w:p>
      <w:pPr>
        <w:pStyle w:val="Heading4"/>
        <w:spacing w:line="240" w:lineRule="auto" w:before="129"/>
        <w:ind w:left="217" w:right="2631"/>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长期借款分类</w:t>
      </w:r>
      <w:r>
        <w:rPr>
          <w:b w:val="0"/>
          <w:bCs w:val="0"/>
        </w:rPr>
      </w:r>
    </w:p>
    <w:p>
      <w:pPr>
        <w:pStyle w:val="BodyText"/>
        <w:spacing w:line="314" w:lineRule="auto" w:before="129"/>
        <w:ind w:left="697" w:right="4552"/>
        <w:jc w:val="left"/>
      </w:pPr>
      <w:r>
        <w:rPr/>
        <w:t>□适用</w:t>
      </w:r>
      <w:r>
        <w:rPr>
          <w:spacing w:val="-2"/>
        </w:rPr>
        <w:t> </w:t>
      </w:r>
      <w:r>
        <w:rPr/>
        <w:t>√不适用</w:t>
      </w:r>
      <w:r>
        <w:rPr>
          <w:spacing w:val="-103"/>
        </w:rPr>
        <w:t> </w:t>
      </w:r>
      <w:r>
        <w:rPr>
          <w:spacing w:val="-103"/>
        </w:rPr>
      </w:r>
      <w:r>
        <w:rPr>
          <w:spacing w:val="-2"/>
        </w:rPr>
        <w:t>其他说明，包括利率区间：</w:t>
      </w:r>
    </w:p>
    <w:p>
      <w:pPr>
        <w:pStyle w:val="BodyText"/>
        <w:spacing w:line="240" w:lineRule="auto" w:before="20"/>
        <w:ind w:left="697" w:right="2631"/>
        <w:jc w:val="left"/>
      </w:pPr>
      <w:r>
        <w:rPr/>
        <w:t>□适用 √不适用</w:t>
      </w:r>
    </w:p>
    <w:p>
      <w:pPr>
        <w:pStyle w:val="Heading4"/>
        <w:spacing w:line="240" w:lineRule="auto" w:before="145"/>
        <w:ind w:left="217" w:right="2631"/>
        <w:jc w:val="left"/>
        <w:rPr>
          <w:b w:val="0"/>
          <w:bCs w:val="0"/>
        </w:rPr>
      </w:pPr>
      <w:r>
        <w:rPr>
          <w:rFonts w:ascii="Times New Roman" w:hAnsi="Times New Roman" w:cs="Times New Roman" w:eastAsia="Times New Roman" w:hint="default"/>
        </w:rPr>
        <w:t>38</w:t>
      </w:r>
      <w:r>
        <w:rPr/>
        <w:t>、</w:t>
      </w:r>
      <w:r>
        <w:rPr>
          <w:spacing w:val="-22"/>
        </w:rPr>
        <w:t> </w:t>
      </w:r>
      <w:r>
        <w:rPr/>
        <w:t>应付债券</w:t>
      </w:r>
      <w:r>
        <w:rPr>
          <w:b w:val="0"/>
          <w:bCs w:val="0"/>
        </w:rPr>
      </w:r>
    </w:p>
    <w:p>
      <w:pPr>
        <w:pStyle w:val="Heading4"/>
        <w:spacing w:line="240" w:lineRule="auto" w:before="129"/>
        <w:ind w:left="217" w:right="2631"/>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5"/>
        </w:rPr>
        <w:t> </w:t>
      </w:r>
      <w:r>
        <w:rPr/>
        <w:t>应付债券</w:t>
      </w:r>
      <w:r>
        <w:rPr>
          <w:b w:val="0"/>
          <w:bCs w:val="0"/>
        </w:rPr>
      </w:r>
    </w:p>
    <w:p>
      <w:pPr>
        <w:pStyle w:val="BodyText"/>
        <w:spacing w:line="240" w:lineRule="auto" w:before="129"/>
        <w:ind w:left="697" w:right="2631"/>
        <w:jc w:val="left"/>
      </w:pPr>
      <w:r>
        <w:rPr/>
        <w:t>□适用 √不适用</w:t>
      </w:r>
    </w:p>
    <w:p>
      <w:pPr>
        <w:pStyle w:val="Heading4"/>
        <w:spacing w:line="240" w:lineRule="auto" w:before="145"/>
        <w:ind w:left="217" w:right="47"/>
        <w:jc w:val="left"/>
        <w:rPr>
          <w:b w:val="0"/>
          <w:bCs w:val="0"/>
        </w:rPr>
      </w:pP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w w:val="100"/>
        </w:rPr>
        <w:t>应付债券的增减变</w:t>
      </w:r>
      <w:r>
        <w:rPr>
          <w:spacing w:val="-1"/>
          <w:w w:val="100"/>
        </w:rPr>
        <w:t>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129"/>
        <w:ind w:left="697" w:right="2631"/>
        <w:jc w:val="left"/>
      </w:pPr>
      <w:r>
        <w:rPr/>
        <w:t>□适用 √不适用</w:t>
      </w:r>
    </w:p>
    <w:p>
      <w:pPr>
        <w:pStyle w:val="Heading4"/>
        <w:spacing w:line="240" w:lineRule="auto" w:before="145"/>
        <w:ind w:left="217" w:right="2631"/>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3"/>
        </w:rPr>
        <w:t> </w:t>
      </w:r>
      <w:r>
        <w:rPr/>
        <w:t>可转换公司债券的转股条件、转股时间说明</w:t>
      </w:r>
      <w:r>
        <w:rPr>
          <w:b w:val="0"/>
          <w:bCs w:val="0"/>
        </w:rPr>
      </w:r>
    </w:p>
    <w:p>
      <w:pPr>
        <w:pStyle w:val="BodyText"/>
        <w:tabs>
          <w:tab w:pos="1539" w:val="left" w:leader="none"/>
        </w:tabs>
        <w:spacing w:line="240" w:lineRule="auto" w:before="129"/>
        <w:ind w:left="697" w:right="2631"/>
        <w:jc w:val="left"/>
      </w:pPr>
      <w:r>
        <w:rPr/>
        <w:t>□适用</w:t>
        <w:tab/>
        <w:t>√不适用</w:t>
      </w:r>
    </w:p>
    <w:p>
      <w:pPr>
        <w:spacing w:line="345" w:lineRule="auto" w:before="145"/>
        <w:ind w:left="637" w:right="2631"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23"/>
          <w:sz w:val="21"/>
          <w:szCs w:val="21"/>
        </w:rPr>
        <w:t> </w:t>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314" w:lineRule="auto"/>
        <w:ind w:left="637" w:right="2631"/>
        <w:jc w:val="left"/>
      </w:pPr>
      <w:r>
        <w:rPr/>
        <w:t>□适用</w:t>
      </w:r>
      <w:r>
        <w:rPr>
          <w:spacing w:val="-2"/>
        </w:rPr>
        <w:t> </w:t>
      </w:r>
      <w:r>
        <w:rPr/>
        <w:t>√不适用</w:t>
      </w:r>
      <w:r>
        <w:rPr>
          <w:spacing w:val="-103"/>
        </w:rPr>
        <w:t> </w:t>
      </w:r>
      <w:r>
        <w:rPr>
          <w:spacing w:val="-103"/>
        </w:rPr>
      </w:r>
      <w:r>
        <w:rPr>
          <w:spacing w:val="-2"/>
        </w:rPr>
        <w:t>期末发行在外的优先股、永续债等金融工具变动情况表</w:t>
      </w:r>
    </w:p>
    <w:p>
      <w:pPr>
        <w:pStyle w:val="BodyText"/>
        <w:spacing w:line="367" w:lineRule="auto" w:before="20"/>
        <w:ind w:left="637" w:right="4552"/>
        <w:jc w:val="left"/>
      </w:pPr>
      <w:r>
        <w:rPr/>
        <w:t>□适用</w:t>
      </w:r>
      <w:r>
        <w:rPr>
          <w:spacing w:val="-2"/>
        </w:rPr>
        <w:t> </w:t>
      </w:r>
      <w:r>
        <w:rPr/>
        <w:t>√不适用</w:t>
      </w:r>
      <w:r>
        <w:rPr>
          <w:spacing w:val="-103"/>
        </w:rPr>
        <w:t> </w:t>
      </w:r>
      <w:r>
        <w:rPr>
          <w:spacing w:val="-103"/>
        </w:rPr>
      </w:r>
      <w:r>
        <w:rPr>
          <w:spacing w:val="-2"/>
        </w:rPr>
        <w:t>其他金融工具划分为金融负债的依据说明：</w:t>
      </w:r>
    </w:p>
    <w:p>
      <w:pPr>
        <w:pStyle w:val="BodyText"/>
        <w:spacing w:line="240" w:lineRule="auto" w:before="34"/>
        <w:ind w:left="637" w:right="2631"/>
        <w:jc w:val="left"/>
      </w:pPr>
      <w:r>
        <w:rPr/>
        <w:t>□适用 √不适用</w:t>
      </w:r>
    </w:p>
    <w:p>
      <w:pPr>
        <w:spacing w:after="0" w:line="240" w:lineRule="auto"/>
        <w:jc w:val="left"/>
        <w:sectPr>
          <w:type w:val="continuous"/>
          <w:pgSz w:w="11910" w:h="16840"/>
          <w:pgMar w:top="1580" w:bottom="280" w:left="1060" w:right="1660"/>
        </w:sectPr>
      </w:pP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57" w:footer="979" w:top="1120" w:bottom="1160" w:left="1040" w:right="1560"/>
        </w:sectPr>
      </w:pPr>
    </w:p>
    <w:p>
      <w:pPr>
        <w:pStyle w:val="BodyText"/>
        <w:spacing w:line="240" w:lineRule="auto" w:before="36"/>
        <w:ind w:left="717" w:right="-18"/>
        <w:jc w:val="left"/>
      </w:pPr>
      <w:r>
        <w:rPr/>
        <w:t>其他说明：</w:t>
      </w:r>
    </w:p>
    <w:p>
      <w:pPr>
        <w:spacing w:line="285" w:lineRule="auto" w:before="145"/>
        <w:ind w:left="237" w:right="-18" w:firstLine="48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长期应付款</w:t>
      </w:r>
      <w:r>
        <w:rPr>
          <w:rFonts w:ascii="宋体" w:hAnsi="宋体" w:cs="宋体" w:eastAsia="宋体" w:hint="default"/>
          <w:b/>
          <w:bCs/>
          <w:w w:val="100"/>
          <w:sz w:val="21"/>
          <w:szCs w:val="21"/>
        </w:rPr>
        <w:t> </w:t>
      </w:r>
      <w:r>
        <w:rPr>
          <w:rFonts w:ascii="宋体" w:hAnsi="宋体" w:cs="宋体" w:eastAsia="宋体" w:hint="default"/>
          <w:b/>
          <w:bCs/>
          <w:sz w:val="21"/>
          <w:szCs w:val="21"/>
        </w:rPr>
        <w:t>总表情况</w:t>
      </w:r>
      <w:r>
        <w:rPr>
          <w:rFonts w:ascii="宋体" w:hAnsi="宋体" w:cs="宋体" w:eastAsia="宋体" w:hint="default"/>
          <w:sz w:val="21"/>
          <w:szCs w:val="21"/>
        </w:rPr>
      </w:r>
    </w:p>
    <w:p>
      <w:pPr>
        <w:pStyle w:val="Heading4"/>
        <w:spacing w:line="240" w:lineRule="auto" w:before="19"/>
        <w:ind w:left="237" w:right="-18"/>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5"/>
        </w:rPr>
        <w:t> </w:t>
      </w:r>
      <w:r>
        <w:rPr/>
        <w:t>分类列示</w:t>
      </w:r>
      <w:r>
        <w:rPr>
          <w:b w:val="0"/>
          <w:bCs w:val="0"/>
        </w:rPr>
      </w:r>
    </w:p>
    <w:p>
      <w:pPr>
        <w:pStyle w:val="BodyText"/>
        <w:spacing w:line="240" w:lineRule="auto" w:before="40"/>
        <w:ind w:left="7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560"/>
          <w:cols w:num="2" w:equalWidth="0">
            <w:col w:w="2295" w:space="4227"/>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27"/>
        <w:gridCol w:w="2792"/>
        <w:gridCol w:w="2806"/>
      </w:tblGrid>
      <w:tr>
        <w:trPr>
          <w:trHeight w:val="37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209,824,635.34</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81,142,857.14</w:t>
            </w: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792" w:type="dxa"/>
            <w:tcBorders>
              <w:top w:val="single" w:sz="4" w:space="0" w:color="000000"/>
              <w:left w:val="single" w:sz="4" w:space="0" w:color="000000"/>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209,824,635.34</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81,142,857.14</w:t>
            </w:r>
          </w:p>
        </w:tc>
      </w:tr>
    </w:tbl>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280" w:left="1040" w:right="1560"/>
        </w:sectPr>
      </w:pPr>
    </w:p>
    <w:p>
      <w:pPr>
        <w:pStyle w:val="BodyText"/>
        <w:spacing w:line="273" w:lineRule="exact" w:before="36"/>
        <w:ind w:left="237" w:right="882"/>
        <w:jc w:val="left"/>
      </w:pPr>
      <w:r>
        <w:rPr/>
        <w:t>其他说明：</w:t>
      </w:r>
    </w:p>
    <w:p>
      <w:pPr>
        <w:spacing w:line="290" w:lineRule="auto" w:before="0"/>
        <w:ind w:left="237" w:right="882" w:firstLine="48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长期应付款</w:t>
      </w:r>
      <w:r>
        <w:rPr>
          <w:rFonts w:ascii="宋体" w:hAnsi="宋体" w:cs="宋体" w:eastAsia="宋体" w:hint="default"/>
          <w:sz w:val="21"/>
          <w:szCs w:val="21"/>
        </w:rPr>
      </w:r>
    </w:p>
    <w:p>
      <w:pPr>
        <w:pStyle w:val="Heading4"/>
        <w:spacing w:line="240" w:lineRule="auto" w:before="12"/>
        <w:ind w:left="237" w:right="-17"/>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2"/>
        </w:rPr>
        <w:t> </w:t>
      </w:r>
      <w:r>
        <w:rPr/>
        <w:t>按款项性质列示长期应付款</w:t>
      </w:r>
      <w:r>
        <w:rPr>
          <w:b w:val="0"/>
          <w:bCs w:val="0"/>
        </w:rPr>
      </w:r>
    </w:p>
    <w:p>
      <w:pPr>
        <w:pStyle w:val="BodyText"/>
        <w:spacing w:line="240" w:lineRule="auto" w:before="43"/>
        <w:ind w:left="7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560"/>
          <w:cols w:num="2" w:equalWidth="0">
            <w:col w:w="3195" w:space="3327"/>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107"/>
        <w:gridCol w:w="2268"/>
        <w:gridCol w:w="2449"/>
      </w:tblGrid>
      <w:tr>
        <w:trPr>
          <w:trHeight w:val="370"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0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9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70"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应付收购太极云软技术股份有限公司款项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114,967,492.50</w:t>
            </w:r>
          </w:p>
        </w:tc>
        <w:tc>
          <w:tcPr>
            <w:tcW w:w="244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附回售选择权金融工具摊余成本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94,857,142.84</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81,142,857.14</w:t>
            </w:r>
          </w:p>
        </w:tc>
      </w:tr>
      <w:tr>
        <w:trPr>
          <w:trHeight w:val="372"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209,824,635.34</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81,142,857.14</w:t>
            </w:r>
          </w:p>
        </w:tc>
      </w:tr>
    </w:tbl>
    <w:p>
      <w:pPr>
        <w:pStyle w:val="BodyText"/>
        <w:spacing w:line="240" w:lineRule="auto" w:before="26"/>
        <w:ind w:left="237" w:right="0"/>
        <w:jc w:val="left"/>
      </w:pPr>
      <w:r>
        <w:rPr/>
        <w:t>其他说明：</w:t>
      </w:r>
    </w:p>
    <w:p>
      <w:pPr>
        <w:pStyle w:val="BodyText"/>
        <w:spacing w:line="240" w:lineRule="auto" w:before="56"/>
        <w:ind w:left="717" w:right="0"/>
        <w:jc w:val="left"/>
      </w:pPr>
      <w:r>
        <w:rPr/>
        <w:t>注</w:t>
      </w:r>
      <w:r>
        <w:rPr>
          <w:spacing w:val="-56"/>
        </w:rPr>
        <w:t> </w:t>
      </w:r>
      <w:r>
        <w:rPr>
          <w:rFonts w:ascii="Times New Roman" w:hAnsi="Times New Roman" w:cs="Times New Roman" w:eastAsia="Times New Roman" w:hint="default"/>
        </w:rPr>
        <w:t>1</w:t>
      </w:r>
      <w:r>
        <w:rPr/>
        <w:t>：应付收购太极云软技术有份有限公司款项</w:t>
      </w:r>
    </w:p>
    <w:p>
      <w:pPr>
        <w:pStyle w:val="BodyText"/>
        <w:spacing w:line="300" w:lineRule="auto" w:before="59"/>
        <w:ind w:left="237" w:right="0" w:firstLine="420"/>
        <w:jc w:val="left"/>
      </w:pPr>
      <w:r>
        <w:rPr>
          <w:rFonts w:ascii="Times New Roman" w:hAnsi="Times New Roman" w:cs="Times New Roman" w:eastAsia="Times New Roman" w:hint="default"/>
        </w:rPr>
        <w:t>2018 </w:t>
      </w:r>
      <w:r>
        <w:rPr/>
        <w:t>年</w:t>
      </w:r>
      <w:r>
        <w:rPr>
          <w:spacing w:val="-50"/>
        </w:rPr>
        <w:t> </w:t>
      </w:r>
      <w:r>
        <w:rPr>
          <w:rFonts w:ascii="Times New Roman" w:hAnsi="Times New Roman" w:cs="Times New Roman" w:eastAsia="Times New Roman" w:hint="default"/>
        </w:rPr>
        <w:t>8 </w:t>
      </w:r>
      <w:r>
        <w:rPr/>
        <w:t>月</w:t>
      </w:r>
      <w:r>
        <w:rPr>
          <w:spacing w:val="-50"/>
        </w:rPr>
        <w:t> </w:t>
      </w:r>
      <w:r>
        <w:rPr>
          <w:rFonts w:ascii="Times New Roman" w:hAnsi="Times New Roman" w:cs="Times New Roman" w:eastAsia="Times New Roman" w:hint="default"/>
        </w:rPr>
        <w:t>24 </w:t>
      </w:r>
      <w:r>
        <w:rPr/>
        <w:t>日和</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9 </w:t>
      </w:r>
      <w:r>
        <w:rPr/>
        <w:t>月</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4"/>
        </w:rPr>
        <w:t>日，公司与深圳太极云软技术股份有限公司的</w:t>
      </w:r>
      <w:r>
        <w:rPr>
          <w:spacing w:val="-49"/>
        </w:rPr>
        <w:t> </w:t>
      </w:r>
      <w:r>
        <w:rPr>
          <w:rFonts w:ascii="Times New Roman" w:hAnsi="Times New Roman" w:cs="Times New Roman" w:eastAsia="Times New Roman" w:hint="default"/>
        </w:rPr>
        <w:t>6 </w:t>
      </w:r>
      <w:r>
        <w:rPr/>
        <w:t>名股东分</w:t>
      </w:r>
      <w:r>
        <w:rPr>
          <w:w w:val="100"/>
        </w:rPr>
        <w:t> </w:t>
      </w:r>
      <w:r>
        <w:rPr>
          <w:spacing w:val="-2"/>
        </w:rPr>
        <w:t>别签署了《资产购买框架协议》、《盈利预测》及《资产购买框架协议之补充协议》。参考评估</w:t>
      </w:r>
      <w:r>
        <w:rPr>
          <w:spacing w:val="-25"/>
        </w:rPr>
        <w:t> </w:t>
      </w:r>
      <w:r>
        <w:rPr>
          <w:spacing w:val="-25"/>
        </w:rPr>
      </w:r>
      <w:r>
        <w:rPr/>
        <w:t>机构出具的资产评估报告，并经交易各方协商一致，太极云软</w:t>
      </w:r>
      <w:r>
        <w:rPr>
          <w:spacing w:val="-55"/>
        </w:rPr>
        <w:t> </w:t>
      </w:r>
      <w:r>
        <w:rPr>
          <w:rFonts w:ascii="Times New Roman" w:hAnsi="Times New Roman" w:cs="Times New Roman" w:eastAsia="Times New Roman" w:hint="default"/>
        </w:rPr>
        <w:t>100%</w:t>
      </w:r>
      <w:r>
        <w:rPr/>
        <w:t>股份对应交易作价为</w:t>
      </w:r>
      <w:r>
        <w:rPr>
          <w:spacing w:val="-54"/>
        </w:rPr>
        <w:t> </w:t>
      </w:r>
      <w:r>
        <w:rPr>
          <w:rFonts w:ascii="Times New Roman" w:hAnsi="Times New Roman" w:cs="Times New Roman" w:eastAsia="Times New Roman" w:hint="default"/>
        </w:rPr>
        <w:t>35,000</w:t>
      </w:r>
      <w:r>
        <w:rPr>
          <w:rFonts w:ascii="Times New Roman" w:hAnsi="Times New Roman" w:cs="Times New Roman" w:eastAsia="Times New Roman" w:hint="default"/>
          <w:w w:val="100"/>
        </w:rPr>
        <w:t> </w:t>
      </w:r>
      <w:r>
        <w:rPr/>
        <w:t>万元，标的资产（即太极云软</w:t>
      </w:r>
      <w:r>
        <w:rPr>
          <w:spacing w:val="-54"/>
        </w:rPr>
        <w:t> </w:t>
      </w:r>
      <w:r>
        <w:rPr>
          <w:rFonts w:ascii="Times New Roman" w:hAnsi="Times New Roman" w:cs="Times New Roman" w:eastAsia="Times New Roman" w:hint="default"/>
        </w:rPr>
        <w:t>61%</w:t>
      </w:r>
      <w:r>
        <w:rPr/>
        <w:t>股份）的交易价格为</w:t>
      </w:r>
      <w:r>
        <w:rPr>
          <w:spacing w:val="-54"/>
        </w:rPr>
        <w:t> </w:t>
      </w:r>
      <w:r>
        <w:rPr>
          <w:rFonts w:ascii="Times New Roman" w:hAnsi="Times New Roman" w:cs="Times New Roman" w:eastAsia="Times New Roman" w:hint="default"/>
        </w:rPr>
        <w:t>213,488,450.00</w:t>
      </w:r>
      <w:r>
        <w:rPr>
          <w:rFonts w:ascii="Times New Roman" w:hAnsi="Times New Roman" w:cs="Times New Roman" w:eastAsia="Times New Roman" w:hint="default"/>
          <w:spacing w:val="-4"/>
        </w:rPr>
        <w:t> </w:t>
      </w:r>
      <w:r>
        <w:rPr/>
        <w:t>元。根据协议规定，截至</w:t>
      </w:r>
      <w:r>
        <w:rPr>
          <w:w w:val="100"/>
        </w:rPr>
        <w:t> </w:t>
      </w:r>
      <w:r>
        <w:rPr>
          <w:rFonts w:ascii="Times New Roman" w:hAnsi="Times New Roman" w:cs="Times New Roman" w:eastAsia="Times New Roman" w:hint="default"/>
        </w:rPr>
        <w:t>2018 </w:t>
      </w:r>
      <w:r>
        <w:rPr/>
        <w:t>年</w:t>
      </w:r>
      <w:r>
        <w:rPr>
          <w:spacing w:val="-50"/>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6"/>
        </w:rPr>
        <w:t>日，公司已支股权收购款</w:t>
      </w:r>
      <w:r>
        <w:rPr>
          <w:spacing w:val="-50"/>
        </w:rPr>
        <w:t> </w:t>
      </w:r>
      <w:r>
        <w:rPr>
          <w:rFonts w:ascii="Times New Roman" w:hAnsi="Times New Roman" w:cs="Times New Roman" w:eastAsia="Times New Roman" w:hint="default"/>
        </w:rPr>
        <w:t>42,697,690.00</w:t>
      </w:r>
      <w:r>
        <w:rPr>
          <w:rFonts w:ascii="Times New Roman" w:hAnsi="Times New Roman" w:cs="Times New Roman" w:eastAsia="Times New Roman" w:hint="default"/>
          <w:spacing w:val="3"/>
        </w:rPr>
        <w:t> </w:t>
      </w:r>
      <w:r>
        <w:rPr>
          <w:spacing w:val="-7"/>
        </w:rPr>
        <w:t>元，剩余收购款项共计</w:t>
      </w:r>
      <w:r>
        <w:rPr>
          <w:spacing w:val="-50"/>
        </w:rPr>
        <w:t> </w:t>
      </w:r>
      <w:r>
        <w:rPr>
          <w:rFonts w:ascii="Times New Roman" w:hAnsi="Times New Roman" w:cs="Times New Roman" w:eastAsia="Times New Roman" w:hint="default"/>
        </w:rPr>
        <w:t>170,790,760.00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具体情况如下表：</w:t>
      </w:r>
    </w:p>
    <w:tbl>
      <w:tblPr>
        <w:tblW w:w="0" w:type="auto"/>
        <w:jc w:val="left"/>
        <w:tblInd w:w="123" w:type="dxa"/>
        <w:tblLayout w:type="fixed"/>
        <w:tblCellMar>
          <w:top w:w="0" w:type="dxa"/>
          <w:left w:w="0" w:type="dxa"/>
          <w:bottom w:w="0" w:type="dxa"/>
          <w:right w:w="0" w:type="dxa"/>
        </w:tblCellMar>
        <w:tblLook w:val="01E0"/>
      </w:tblPr>
      <w:tblGrid>
        <w:gridCol w:w="4506"/>
        <w:gridCol w:w="4544"/>
      </w:tblGrid>
      <w:tr>
        <w:trPr>
          <w:trHeight w:val="370" w:hRule="exact"/>
        </w:trPr>
        <w:tc>
          <w:tcPr>
            <w:tcW w:w="4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70" w:hRule="exact"/>
        </w:trPr>
        <w:tc>
          <w:tcPr>
            <w:tcW w:w="4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21"/>
                <w:szCs w:val="21"/>
              </w:rPr>
            </w:pPr>
            <w:r>
              <w:rPr>
                <w:rFonts w:ascii="宋体" w:hAnsi="宋体" w:cs="宋体" w:eastAsia="宋体" w:hint="default"/>
                <w:sz w:val="21"/>
                <w:szCs w:val="21"/>
              </w:rPr>
              <w:t>收购总价款</w:t>
            </w:r>
          </w:p>
        </w:tc>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213,488,450.00</w:t>
            </w:r>
          </w:p>
        </w:tc>
      </w:tr>
      <w:tr>
        <w:trPr>
          <w:trHeight w:val="370" w:hRule="exact"/>
        </w:trPr>
        <w:tc>
          <w:tcPr>
            <w:tcW w:w="4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年已支付款项</w:t>
            </w:r>
          </w:p>
        </w:tc>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42,697,690.00</w:t>
            </w:r>
          </w:p>
        </w:tc>
      </w:tr>
      <w:tr>
        <w:trPr>
          <w:trHeight w:val="370" w:hRule="exact"/>
        </w:trPr>
        <w:tc>
          <w:tcPr>
            <w:tcW w:w="4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21"/>
                <w:szCs w:val="21"/>
              </w:rPr>
            </w:pPr>
            <w:r>
              <w:rPr>
                <w:rFonts w:ascii="宋体" w:hAnsi="宋体" w:cs="宋体" w:eastAsia="宋体" w:hint="default"/>
                <w:sz w:val="21"/>
                <w:szCs w:val="21"/>
              </w:rPr>
              <w:t>尚未支付款项</w:t>
            </w:r>
          </w:p>
        </w:tc>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170,790,760.00</w:t>
            </w:r>
          </w:p>
        </w:tc>
      </w:tr>
      <w:tr>
        <w:trPr>
          <w:trHeight w:val="370" w:hRule="exact"/>
        </w:trPr>
        <w:tc>
          <w:tcPr>
            <w:tcW w:w="4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21"/>
                <w:szCs w:val="21"/>
              </w:rPr>
            </w:pPr>
            <w:r>
              <w:rPr>
                <w:rFonts w:ascii="宋体" w:hAnsi="宋体" w:cs="宋体" w:eastAsia="宋体" w:hint="default"/>
                <w:sz w:val="21"/>
                <w:szCs w:val="21"/>
              </w:rPr>
              <w:t>其中：一年内到期的非流动负债</w:t>
            </w:r>
          </w:p>
        </w:tc>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55,823,267.50</w:t>
            </w:r>
          </w:p>
        </w:tc>
      </w:tr>
      <w:tr>
        <w:trPr>
          <w:trHeight w:val="372" w:hRule="exact"/>
        </w:trPr>
        <w:tc>
          <w:tcPr>
            <w:tcW w:w="4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9"/>
              <w:jc w:val="right"/>
              <w:rPr>
                <w:rFonts w:ascii="Times New Roman" w:hAnsi="Times New Roman" w:cs="Times New Roman" w:eastAsia="Times New Roman" w:hint="default"/>
                <w:sz w:val="21"/>
                <w:szCs w:val="21"/>
              </w:rPr>
            </w:pPr>
            <w:r>
              <w:rPr>
                <w:rFonts w:ascii="Times New Roman"/>
                <w:spacing w:val="-1"/>
                <w:sz w:val="21"/>
              </w:rPr>
              <w:t>114,967,492.50</w:t>
            </w:r>
          </w:p>
        </w:tc>
      </w:tr>
    </w:tbl>
    <w:p>
      <w:pPr>
        <w:spacing w:line="240" w:lineRule="auto" w:before="5"/>
        <w:rPr>
          <w:rFonts w:ascii="宋体" w:hAnsi="宋体" w:cs="宋体" w:eastAsia="宋体" w:hint="default"/>
          <w:sz w:val="21"/>
          <w:szCs w:val="21"/>
        </w:rPr>
      </w:pPr>
    </w:p>
    <w:p>
      <w:pPr>
        <w:pStyle w:val="BodyText"/>
        <w:spacing w:line="240" w:lineRule="auto" w:before="36"/>
        <w:ind w:left="717" w:right="0"/>
        <w:jc w:val="left"/>
      </w:pPr>
      <w:r>
        <w:rPr/>
        <w:t>注 </w:t>
      </w:r>
      <w:r>
        <w:rPr>
          <w:rFonts w:ascii="Times New Roman" w:hAnsi="Times New Roman" w:cs="Times New Roman" w:eastAsia="Times New Roman" w:hint="default"/>
        </w:rPr>
        <w:t>2</w:t>
      </w:r>
      <w:r>
        <w:rPr/>
        <w:t>：</w:t>
      </w:r>
      <w:r>
        <w:rPr>
          <w:spacing w:val="-57"/>
        </w:rPr>
        <w:t> </w:t>
      </w:r>
      <w:r>
        <w:rPr/>
        <w:t>附回售选择权金融工具摊余成本</w:t>
      </w:r>
    </w:p>
    <w:p>
      <w:pPr>
        <w:spacing w:after="0" w:line="240" w:lineRule="auto"/>
        <w:jc w:val="left"/>
        <w:sectPr>
          <w:type w:val="continuous"/>
          <w:pgSz w:w="11910" w:h="16840"/>
          <w:pgMar w:top="1580" w:bottom="280" w:left="1040" w:right="1560"/>
        </w:sectPr>
      </w:pPr>
    </w:p>
    <w:p>
      <w:pPr>
        <w:spacing w:line="240" w:lineRule="auto" w:before="5"/>
        <w:rPr>
          <w:rFonts w:ascii="宋体" w:hAnsi="宋体" w:cs="宋体" w:eastAsia="宋体" w:hint="default"/>
          <w:sz w:val="24"/>
          <w:szCs w:val="24"/>
        </w:rPr>
      </w:pPr>
    </w:p>
    <w:p>
      <w:pPr>
        <w:pStyle w:val="BodyText"/>
        <w:spacing w:line="297" w:lineRule="auto" w:before="36"/>
        <w:ind w:left="1217" w:right="1231" w:firstLine="420"/>
        <w:jc w:val="both"/>
      </w:pPr>
      <w:r>
        <w:rPr>
          <w:spacing w:val="-2"/>
        </w:rPr>
        <w:t>根据公司战略部署，公司全资子公司福建南威软件有限公司（以下简称</w:t>
      </w:r>
      <w:r>
        <w:rPr>
          <w:rFonts w:ascii="Times New Roman" w:hAnsi="Times New Roman" w:cs="Times New Roman" w:eastAsia="Times New Roman" w:hint="default"/>
          <w:spacing w:val="-2"/>
        </w:rPr>
        <w:t>“</w:t>
      </w:r>
      <w:r>
        <w:rPr>
          <w:spacing w:val="-2"/>
        </w:rPr>
        <w:t>福建南威</w:t>
      </w:r>
      <w:r>
        <w:rPr>
          <w:rFonts w:ascii="Times New Roman" w:hAnsi="Times New Roman" w:cs="Times New Roman" w:eastAsia="Times New Roman" w:hint="default"/>
          <w:spacing w:val="-2"/>
        </w:rPr>
        <w:t>”</w:t>
      </w:r>
      <w:r>
        <w:rPr>
          <w:spacing w:val="-2"/>
        </w:rPr>
        <w:t>）以增资</w:t>
      </w:r>
      <w:r>
        <w:rPr>
          <w:w w:val="100"/>
        </w:rPr>
        <w:t> </w:t>
      </w:r>
      <w:r>
        <w:rPr>
          <w:spacing w:val="-2"/>
        </w:rPr>
        <w:t>扩股方式引入战略投资者福建省电子信息（集团）有限责任公司（以下简称</w:t>
      </w:r>
      <w:r>
        <w:rPr>
          <w:rFonts w:ascii="Times New Roman" w:hAnsi="Times New Roman" w:cs="Times New Roman" w:eastAsia="Times New Roman" w:hint="default"/>
          <w:spacing w:val="-2"/>
        </w:rPr>
        <w:t>“</w:t>
      </w:r>
      <w:r>
        <w:rPr>
          <w:spacing w:val="-2"/>
        </w:rPr>
        <w:t>电子信息集团</w:t>
      </w:r>
      <w:r>
        <w:rPr>
          <w:rFonts w:ascii="Times New Roman" w:hAnsi="Times New Roman" w:cs="Times New Roman" w:eastAsia="Times New Roman" w:hint="default"/>
          <w:spacing w:val="-2"/>
        </w:rPr>
        <w:t>”</w:t>
      </w:r>
      <w:r>
        <w:rPr>
          <w:spacing w:val="-2"/>
        </w:rPr>
        <w:t>），</w:t>
      </w:r>
      <w:r>
        <w:rPr>
          <w:spacing w:val="-26"/>
        </w:rPr>
        <w:t> </w:t>
      </w:r>
      <w:r>
        <w:rPr/>
        <w:t>福建省电子信息集团将以</w:t>
      </w:r>
      <w:r>
        <w:rPr>
          <w:spacing w:val="-47"/>
        </w:rPr>
        <w:t> </w:t>
      </w:r>
      <w:r>
        <w:rPr>
          <w:rFonts w:ascii="Times New Roman" w:hAnsi="Times New Roman" w:cs="Times New Roman" w:eastAsia="Times New Roman" w:hint="default"/>
        </w:rPr>
        <w:t>8,000</w:t>
      </w:r>
      <w:r>
        <w:rPr>
          <w:rFonts w:ascii="Times New Roman" w:hAnsi="Times New Roman" w:cs="Times New Roman" w:eastAsia="Times New Roman" w:hint="default"/>
          <w:spacing w:val="8"/>
        </w:rPr>
        <w:t> </w:t>
      </w:r>
      <w:r>
        <w:rPr>
          <w:spacing w:val="-5"/>
        </w:rPr>
        <w:t>万元（人民币，下同）认购福建南威新增注册资本</w:t>
      </w:r>
      <w:r>
        <w:rPr>
          <w:spacing w:val="-43"/>
        </w:rPr>
        <w:t> </w:t>
      </w:r>
      <w:r>
        <w:rPr>
          <w:rFonts w:ascii="Times New Roman" w:hAnsi="Times New Roman" w:cs="Times New Roman" w:eastAsia="Times New Roman" w:hint="default"/>
        </w:rPr>
        <w:t>2,500</w:t>
      </w:r>
      <w:r>
        <w:rPr>
          <w:rFonts w:ascii="Times New Roman" w:hAnsi="Times New Roman" w:cs="Times New Roman" w:eastAsia="Times New Roman" w:hint="default"/>
          <w:spacing w:val="8"/>
        </w:rPr>
        <w:t> </w:t>
      </w:r>
      <w:r>
        <w:rPr>
          <w:spacing w:val="-7"/>
        </w:rPr>
        <w:t>万元，取</w:t>
      </w:r>
    </w:p>
    <w:p>
      <w:pPr>
        <w:pStyle w:val="BodyText"/>
        <w:spacing w:line="240" w:lineRule="auto" w:before="13"/>
        <w:ind w:left="1217" w:right="0"/>
        <w:jc w:val="both"/>
        <w:rPr>
          <w:rFonts w:ascii="Times New Roman" w:hAnsi="Times New Roman" w:cs="Times New Roman" w:eastAsia="Times New Roman" w:hint="default"/>
        </w:rPr>
      </w:pPr>
      <w:r>
        <w:rPr/>
        <w:t>得福建南威</w:t>
      </w:r>
      <w:r>
        <w:rPr>
          <w:spacing w:val="-54"/>
        </w:rPr>
        <w:t> </w:t>
      </w:r>
      <w:r>
        <w:rPr>
          <w:rFonts w:ascii="Times New Roman" w:hAnsi="Times New Roman" w:cs="Times New Roman" w:eastAsia="Times New Roman" w:hint="default"/>
        </w:rPr>
        <w:t>20%</w:t>
      </w:r>
      <w:r>
        <w:rPr/>
        <w:t>的股权。福建南威增资扩股及股权变动相关事项已完成，并于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12</w:t>
      </w:r>
    </w:p>
    <w:p>
      <w:pPr>
        <w:pStyle w:val="BodyText"/>
        <w:spacing w:line="314" w:lineRule="auto" w:before="69"/>
        <w:ind w:left="1637" w:right="0" w:hanging="420"/>
        <w:jc w:val="left"/>
      </w:pPr>
      <w:r>
        <w:rPr/>
        <w:t>日完成工商变更手续。</w:t>
      </w:r>
      <w:r>
        <w:rPr>
          <w:w w:val="100"/>
        </w:rPr>
        <w:t> </w:t>
      </w:r>
      <w:r>
        <w:rPr>
          <w:spacing w:val="-2"/>
        </w:rPr>
        <w:t>根据公司、福建南威及电子信息集团签署的《福建南威软件有限公司增资扩股协议》及《福</w:t>
      </w:r>
    </w:p>
    <w:p>
      <w:pPr>
        <w:pStyle w:val="BodyText"/>
        <w:spacing w:line="309" w:lineRule="auto" w:before="20"/>
        <w:ind w:left="1217" w:right="1229"/>
        <w:jc w:val="both"/>
      </w:pPr>
      <w:r>
        <w:rPr>
          <w:spacing w:val="-3"/>
        </w:rPr>
        <w:t>建南威软件有限公司增资扩股协议之补充协议》</w:t>
      </w:r>
      <w:r>
        <w:rPr>
          <w:rFonts w:ascii="Times New Roman" w:hAnsi="Times New Roman" w:cs="Times New Roman" w:eastAsia="Times New Roman" w:hint="default"/>
          <w:spacing w:val="-3"/>
        </w:rPr>
        <w:t>,</w:t>
      </w:r>
      <w:r>
        <w:rPr>
          <w:spacing w:val="-3"/>
        </w:rPr>
        <w:t>在福建南威业绩对赌期结束后，电子信息集团有</w:t>
      </w:r>
      <w:r>
        <w:rPr>
          <w:spacing w:val="-25"/>
        </w:rPr>
        <w:t> </w:t>
      </w:r>
      <w:r>
        <w:rPr>
          <w:spacing w:val="-25"/>
        </w:rPr>
      </w:r>
      <w:r>
        <w:rPr>
          <w:spacing w:val="-2"/>
        </w:rPr>
        <w:t>权要求南威软件在约定的时间内回购其所持有的福建南威全部股权，回购方式为支付现金或发行</w:t>
      </w:r>
      <w:r>
        <w:rPr>
          <w:spacing w:val="-25"/>
        </w:rPr>
        <w:t> </w:t>
      </w:r>
      <w:r>
        <w:rPr>
          <w:spacing w:val="-25"/>
        </w:rPr>
      </w:r>
      <w:r>
        <w:rPr>
          <w:spacing w:val="-3"/>
        </w:rPr>
        <w:t>股份，回购的对价按照协议约定条款并视福建南威 </w:t>
      </w:r>
      <w:r>
        <w:rPr>
          <w:rFonts w:ascii="Times New Roman" w:hAnsi="Times New Roman" w:cs="Times New Roman" w:eastAsia="Times New Roman" w:hint="default"/>
        </w:rPr>
        <w:t>2019 </w:t>
      </w:r>
      <w:r>
        <w:rPr>
          <w:spacing w:val="-5"/>
        </w:rPr>
        <w:t>年业绩实现情况确定。因此，电子信息集</w:t>
      </w:r>
      <w:r>
        <w:rPr>
          <w:spacing w:val="-102"/>
        </w:rPr>
        <w:t> </w:t>
      </w:r>
      <w:r>
        <w:rPr>
          <w:spacing w:val="-102"/>
        </w:rPr>
      </w:r>
      <w:r>
        <w:rPr>
          <w:spacing w:val="-2"/>
        </w:rPr>
        <w:t>团对福建南威的投资具有回售选择权及结算选择权，同时嵌入衍生工具，即本投资为一项附可回</w:t>
      </w:r>
      <w:r>
        <w:rPr>
          <w:spacing w:val="-25"/>
        </w:rPr>
        <w:t> </w:t>
      </w:r>
      <w:r>
        <w:rPr>
          <w:spacing w:val="-25"/>
        </w:rPr>
      </w:r>
      <w:r>
        <w:rPr>
          <w:spacing w:val="-2"/>
        </w:rPr>
        <w:t>售的嵌入衍生工具的金融负债。公司将未来回购支付的基础金额现值确认为一项金融负债并按摊</w:t>
      </w:r>
      <w:r>
        <w:rPr>
          <w:spacing w:val="-25"/>
        </w:rPr>
        <w:t> </w:t>
      </w:r>
      <w:r>
        <w:rPr>
          <w:spacing w:val="-25"/>
        </w:rPr>
      </w:r>
      <w:r>
        <w:rPr>
          <w:spacing w:val="-2"/>
        </w:rPr>
        <w:t>余成本进行后续计量，将预计回购支付的超额金额现值确认为以公允价值计量且其变动计入当期</w:t>
      </w:r>
      <w:r>
        <w:rPr>
          <w:spacing w:val="-25"/>
        </w:rPr>
        <w:t> </w:t>
      </w:r>
      <w:r>
        <w:rPr>
          <w:spacing w:val="-25"/>
        </w:rPr>
      </w:r>
      <w:r>
        <w:rPr/>
        <w:t>损益的金融负债。截至</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日，该回购支付基础金额现值为</w:t>
      </w:r>
      <w:r>
        <w:rPr>
          <w:spacing w:val="-55"/>
        </w:rPr>
        <w:t> </w:t>
      </w:r>
      <w:r>
        <w:rPr>
          <w:rFonts w:ascii="Times New Roman" w:hAnsi="Times New Roman" w:cs="Times New Roman" w:eastAsia="Times New Roman" w:hint="default"/>
        </w:rPr>
        <w:t>80,000,000.00</w:t>
      </w:r>
      <w:r>
        <w:rPr>
          <w:rFonts w:ascii="Times New Roman" w:hAnsi="Times New Roman" w:cs="Times New Roman" w:eastAsia="Times New Roman" w:hint="default"/>
          <w:spacing w:val="-2"/>
        </w:rPr>
        <w:t> </w:t>
      </w:r>
      <w:r>
        <w:rPr/>
        <w:t>元，摊余</w:t>
      </w:r>
    </w:p>
    <w:p>
      <w:pPr>
        <w:pStyle w:val="BodyText"/>
        <w:spacing w:line="345" w:lineRule="auto" w:before="2"/>
        <w:ind w:left="1217" w:right="2293"/>
        <w:jc w:val="left"/>
        <w:rPr>
          <w:rFonts w:ascii="宋体" w:hAnsi="宋体" w:cs="宋体" w:eastAsia="宋体" w:hint="default"/>
        </w:rPr>
      </w:pPr>
      <w:r>
        <w:rPr/>
        <w:t>成本为</w:t>
      </w:r>
      <w:r>
        <w:rPr>
          <w:spacing w:val="-55"/>
        </w:rPr>
        <w:t> </w:t>
      </w:r>
      <w:r>
        <w:rPr>
          <w:rFonts w:ascii="Times New Roman" w:hAnsi="Times New Roman" w:cs="Times New Roman" w:eastAsia="Times New Roman" w:hint="default"/>
        </w:rPr>
        <w:t>94,857,142.84</w:t>
      </w:r>
      <w:r>
        <w:rPr>
          <w:rFonts w:ascii="Times New Roman" w:hAnsi="Times New Roman" w:cs="Times New Roman" w:eastAsia="Times New Roman" w:hint="default"/>
          <w:spacing w:val="-2"/>
        </w:rPr>
        <w:t> </w:t>
      </w:r>
      <w:r>
        <w:rPr/>
        <w:t>元，预计回购支付的超额金额现值公允价值为</w:t>
      </w:r>
      <w:r>
        <w:rPr>
          <w:spacing w:val="-54"/>
        </w:rPr>
        <w:t> </w:t>
      </w:r>
      <w:r>
        <w:rPr>
          <w:rFonts w:ascii="Times New Roman" w:hAnsi="Times New Roman" w:cs="Times New Roman" w:eastAsia="Times New Roman" w:hint="default"/>
        </w:rPr>
        <w:t>3,000,000.00</w:t>
      </w:r>
      <w:r>
        <w:rPr>
          <w:rFonts w:ascii="Times New Roman" w:hAnsi="Times New Roman" w:cs="Times New Roman" w:eastAsia="Times New Roman" w:hint="default"/>
          <w:spacing w:val="-2"/>
        </w:rPr>
        <w:t> </w:t>
      </w:r>
      <w:r>
        <w:rPr>
          <w:spacing w:val="-3"/>
        </w:rPr>
        <w:t>元。</w:t>
      </w:r>
      <w:r>
        <w:rPr>
          <w:spacing w:val="-3"/>
          <w:w w:val="100"/>
        </w:rPr>
        <w:t> </w:t>
      </w:r>
      <w:r>
        <w:rPr>
          <w:rFonts w:ascii="宋体" w:hAnsi="宋体" w:cs="宋体" w:eastAsia="宋体" w:hint="default"/>
          <w:b/>
          <w:bCs/>
        </w:rPr>
        <w:t>专项应付款</w:t>
      </w:r>
      <w:r>
        <w:rPr>
          <w:rFonts w:ascii="宋体" w:hAnsi="宋体" w:cs="宋体" w:eastAsia="宋体" w:hint="default"/>
        </w:rPr>
      </w:r>
    </w:p>
    <w:p>
      <w:pPr>
        <w:pStyle w:val="Heading4"/>
        <w:spacing w:line="240" w:lineRule="auto" w:before="52"/>
        <w:ind w:left="1217" w:right="0"/>
        <w:jc w:val="both"/>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2"/>
        </w:rPr>
        <w:t> </w:t>
      </w:r>
      <w:r>
        <w:rPr/>
        <w:t>按款项性质列示专项应付款</w:t>
      </w:r>
      <w:r>
        <w:rPr>
          <w:b w:val="0"/>
          <w:bCs w:val="0"/>
        </w:rPr>
      </w:r>
    </w:p>
    <w:p>
      <w:pPr>
        <w:pStyle w:val="BodyText"/>
        <w:spacing w:line="240" w:lineRule="auto" w:before="129"/>
        <w:ind w:left="1697" w:right="0"/>
        <w:jc w:val="left"/>
      </w:pPr>
      <w:r>
        <w:rPr/>
        <w:t>□适用 √不适用</w:t>
      </w:r>
    </w:p>
    <w:p>
      <w:pPr>
        <w:pStyle w:val="Heading4"/>
        <w:spacing w:line="240" w:lineRule="auto" w:before="145"/>
        <w:ind w:left="1217" w:right="0"/>
        <w:jc w:val="both"/>
        <w:rPr>
          <w:b w:val="0"/>
          <w:bCs w:val="0"/>
        </w:rPr>
      </w:pPr>
      <w:r>
        <w:rPr>
          <w:rFonts w:ascii="Times New Roman" w:hAnsi="Times New Roman" w:cs="Times New Roman" w:eastAsia="Times New Roman" w:hint="default"/>
        </w:rPr>
        <w:t>40</w:t>
      </w:r>
      <w:r>
        <w:rPr/>
        <w:t>、</w:t>
      </w:r>
      <w:r>
        <w:rPr>
          <w:spacing w:val="-21"/>
        </w:rPr>
        <w:t> </w:t>
      </w:r>
      <w:r>
        <w:rPr/>
        <w:t>长期应付职工薪酬</w:t>
      </w:r>
      <w:r>
        <w:rPr>
          <w:b w:val="0"/>
          <w:bCs w:val="0"/>
        </w:rPr>
      </w:r>
    </w:p>
    <w:p>
      <w:pPr>
        <w:pStyle w:val="BodyText"/>
        <w:spacing w:line="240" w:lineRule="auto" w:before="129"/>
        <w:ind w:left="1697" w:right="0"/>
        <w:jc w:val="left"/>
      </w:pPr>
      <w:r>
        <w:rPr/>
        <w:t>□适用 √不适用</w:t>
      </w:r>
    </w:p>
    <w:p>
      <w:pPr>
        <w:pStyle w:val="Heading4"/>
        <w:spacing w:line="240" w:lineRule="auto" w:before="145"/>
        <w:ind w:left="1217" w:right="0"/>
        <w:jc w:val="both"/>
        <w:rPr>
          <w:b w:val="0"/>
          <w:bCs w:val="0"/>
        </w:rPr>
      </w:pPr>
      <w:r>
        <w:rPr>
          <w:rFonts w:ascii="Times New Roman" w:hAnsi="Times New Roman" w:cs="Times New Roman" w:eastAsia="Times New Roman" w:hint="default"/>
        </w:rPr>
        <w:t>41</w:t>
      </w:r>
      <w:r>
        <w:rPr/>
        <w:t>、</w:t>
      </w:r>
      <w:r>
        <w:rPr>
          <w:spacing w:val="-22"/>
        </w:rPr>
        <w:t> </w:t>
      </w:r>
      <w:r>
        <w:rPr/>
        <w:t>预计负债</w:t>
      </w:r>
      <w:r>
        <w:rPr>
          <w:b w:val="0"/>
          <w:bCs w:val="0"/>
        </w:rPr>
      </w:r>
    </w:p>
    <w:p>
      <w:pPr>
        <w:spacing w:line="357" w:lineRule="auto" w:before="129"/>
        <w:ind w:left="1217" w:right="7994" w:firstLine="48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2"/>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spacing w:line="257" w:lineRule="exact"/>
        <w:ind w:left="1217" w:right="0"/>
        <w:jc w:val="both"/>
      </w:pPr>
      <w:r>
        <w:rPr/>
        <w:t>√适用  □不适用</w:t>
      </w:r>
    </w:p>
    <w:p>
      <w:pPr>
        <w:pStyle w:val="BodyText"/>
        <w:tabs>
          <w:tab w:pos="1051" w:val="left" w:leader="none"/>
        </w:tabs>
        <w:spacing w:line="240" w:lineRule="auto" w:before="8"/>
        <w:ind w:left="0" w:right="1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99" w:type="dxa"/>
        <w:tblLayout w:type="fixed"/>
        <w:tblCellMar>
          <w:top w:w="0" w:type="dxa"/>
          <w:left w:w="0" w:type="dxa"/>
          <w:bottom w:w="0" w:type="dxa"/>
          <w:right w:w="0" w:type="dxa"/>
        </w:tblCellMar>
        <w:tblLook w:val="01E0"/>
      </w:tblPr>
      <w:tblGrid>
        <w:gridCol w:w="1479"/>
        <w:gridCol w:w="1486"/>
        <w:gridCol w:w="1433"/>
        <w:gridCol w:w="1419"/>
        <w:gridCol w:w="1462"/>
        <w:gridCol w:w="1546"/>
      </w:tblGrid>
      <w:tr>
        <w:trPr>
          <w:trHeight w:val="37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21"/>
              <w:jc w:val="right"/>
              <w:rPr>
                <w:rFonts w:ascii="宋体" w:hAnsi="宋体" w:cs="宋体" w:eastAsia="宋体" w:hint="default"/>
                <w:sz w:val="21"/>
                <w:szCs w:val="21"/>
              </w:rPr>
            </w:pPr>
            <w:r>
              <w:rPr>
                <w:rFonts w:ascii="宋体" w:hAnsi="宋体" w:cs="宋体" w:eastAsia="宋体" w:hint="default"/>
                <w:sz w:val="21"/>
                <w:szCs w:val="21"/>
              </w:rPr>
              <w:t>项目</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1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37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516"/>
              <w:jc w:val="right"/>
              <w:rPr>
                <w:rFonts w:ascii="宋体" w:hAnsi="宋体" w:cs="宋体" w:eastAsia="宋体" w:hint="default"/>
                <w:sz w:val="21"/>
                <w:szCs w:val="21"/>
              </w:rPr>
            </w:pPr>
            <w:r>
              <w:rPr>
                <w:rFonts w:ascii="宋体" w:hAnsi="宋体" w:cs="宋体" w:eastAsia="宋体" w:hint="default"/>
                <w:spacing w:val="-1"/>
                <w:sz w:val="21"/>
                <w:szCs w:val="21"/>
              </w:rPr>
              <w:t>政府补助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3,999,134.00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 w:right="0"/>
              <w:jc w:val="center"/>
              <w:rPr>
                <w:rFonts w:ascii="Times New Roman" w:hAnsi="Times New Roman" w:cs="Times New Roman" w:eastAsia="Times New Roman" w:hint="default"/>
                <w:sz w:val="21"/>
                <w:szCs w:val="21"/>
              </w:rPr>
            </w:pPr>
            <w:r>
              <w:rPr>
                <w:rFonts w:ascii="Times New Roman"/>
                <w:sz w:val="21"/>
              </w:rPr>
              <w:t>3,856,666.66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21"/>
                <w:szCs w:val="21"/>
              </w:rPr>
            </w:pPr>
            <w:r>
              <w:rPr>
                <w:rFonts w:ascii="Times New Roman"/>
                <w:sz w:val="21"/>
              </w:rPr>
              <w:t>3,831,948.00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4,023,852.66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宋体" w:hAnsi="宋体" w:cs="宋体" w:eastAsia="宋体" w:hint="default"/>
                <w:sz w:val="21"/>
                <w:szCs w:val="21"/>
              </w:rPr>
            </w:pPr>
            <w:r>
              <w:rPr>
                <w:rFonts w:ascii="宋体" w:hAnsi="宋体" w:cs="宋体" w:eastAsia="宋体" w:hint="default"/>
                <w:sz w:val="21"/>
                <w:szCs w:val="21"/>
              </w:rPr>
              <w:t>政府拨款</w:t>
            </w:r>
          </w:p>
        </w:tc>
      </w:tr>
      <w:tr>
        <w:trPr>
          <w:trHeight w:val="37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21"/>
              <w:jc w:val="right"/>
              <w:rPr>
                <w:rFonts w:ascii="宋体" w:hAnsi="宋体" w:cs="宋体" w:eastAsia="宋体" w:hint="default"/>
                <w:sz w:val="21"/>
                <w:szCs w:val="21"/>
              </w:rPr>
            </w:pPr>
            <w:r>
              <w:rPr>
                <w:rFonts w:ascii="宋体" w:hAnsi="宋体" w:cs="宋体" w:eastAsia="宋体" w:hint="default"/>
                <w:sz w:val="21"/>
                <w:szCs w:val="21"/>
              </w:rPr>
              <w:t>合计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3,999,134.00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 w:right="0"/>
              <w:jc w:val="center"/>
              <w:rPr>
                <w:rFonts w:ascii="Times New Roman" w:hAnsi="Times New Roman" w:cs="Times New Roman" w:eastAsia="Times New Roman" w:hint="default"/>
                <w:sz w:val="21"/>
                <w:szCs w:val="21"/>
              </w:rPr>
            </w:pPr>
            <w:r>
              <w:rPr>
                <w:rFonts w:ascii="Times New Roman"/>
                <w:sz w:val="21"/>
              </w:rPr>
              <w:t>3,856,666.66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21"/>
                <w:szCs w:val="21"/>
              </w:rPr>
            </w:pPr>
            <w:r>
              <w:rPr>
                <w:rFonts w:ascii="Times New Roman"/>
                <w:sz w:val="21"/>
              </w:rPr>
              <w:t>3,831,948.00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4,023,852.66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sz w:val="24"/>
              </w:rPr>
              <w:t>/</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7" w:footer="979" w:top="1120" w:bottom="1160" w:left="60" w:right="560"/>
        </w:sectPr>
      </w:pPr>
    </w:p>
    <w:p>
      <w:pPr>
        <w:pStyle w:val="BodyText"/>
        <w:spacing w:line="240" w:lineRule="auto" w:before="26"/>
        <w:ind w:left="1217" w:right="-7"/>
        <w:jc w:val="left"/>
        <w:rPr>
          <w:sz w:val="24"/>
          <w:szCs w:val="24"/>
        </w:rPr>
      </w:pPr>
      <w:r>
        <w:rPr>
          <w:spacing w:val="-1"/>
        </w:rPr>
        <w:t>涉及政府补助的项目</w:t>
      </w:r>
      <w:r>
        <w:rPr>
          <w:spacing w:val="-1"/>
          <w:sz w:val="24"/>
          <w:szCs w:val="24"/>
        </w:rPr>
        <w:t>：</w:t>
      </w:r>
    </w:p>
    <w:p>
      <w:pPr>
        <w:pStyle w:val="BodyText"/>
        <w:spacing w:line="240" w:lineRule="auto" w:before="64"/>
        <w:ind w:left="1697" w:right="-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tabs>
          <w:tab w:pos="2268" w:val="left" w:leader="none"/>
        </w:tabs>
        <w:spacing w:line="240" w:lineRule="auto"/>
        <w:ind w:left="1217" w:right="0"/>
        <w:jc w:val="left"/>
      </w:pPr>
      <w:r>
        <w:rPr>
          <w:spacing w:val="-1"/>
        </w:rPr>
        <w:t>单位：元</w:t>
        <w:tab/>
        <w:t>币种：人民币</w:t>
      </w:r>
    </w:p>
    <w:p>
      <w:pPr>
        <w:spacing w:after="0" w:line="240" w:lineRule="auto"/>
        <w:jc w:val="left"/>
        <w:sectPr>
          <w:type w:val="continuous"/>
          <w:pgSz w:w="11910" w:h="16840"/>
          <w:pgMar w:top="1580" w:bottom="280" w:left="60" w:right="560"/>
          <w:cols w:num="2" w:equalWidth="0">
            <w:col w:w="3351" w:space="3170"/>
            <w:col w:w="4769"/>
          </w:cols>
        </w:sectPr>
      </w:pPr>
    </w:p>
    <w:p>
      <w:pPr>
        <w:spacing w:line="240" w:lineRule="auto" w:before="12"/>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839"/>
        <w:gridCol w:w="1418"/>
        <w:gridCol w:w="1275"/>
        <w:gridCol w:w="1135"/>
        <w:gridCol w:w="1419"/>
        <w:gridCol w:w="1416"/>
        <w:gridCol w:w="1419"/>
        <w:gridCol w:w="1135"/>
      </w:tblGrid>
      <w:tr>
        <w:trPr>
          <w:trHeight w:val="1092"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494"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211" w:right="209"/>
              <w:jc w:val="left"/>
              <w:rPr>
                <w:rFonts w:ascii="宋体" w:hAnsi="宋体" w:cs="宋体" w:eastAsia="宋体" w:hint="default"/>
                <w:sz w:val="21"/>
                <w:szCs w:val="21"/>
              </w:rPr>
            </w:pPr>
            <w:r>
              <w:rPr>
                <w:rFonts w:ascii="宋体" w:hAnsi="宋体" w:cs="宋体" w:eastAsia="宋体" w:hint="default"/>
                <w:sz w:val="21"/>
                <w:szCs w:val="21"/>
              </w:rPr>
              <w:t>本期新增</w:t>
            </w:r>
            <w:r>
              <w:rPr>
                <w:rFonts w:ascii="宋体" w:hAnsi="宋体" w:cs="宋体" w:eastAsia="宋体" w:hint="default"/>
                <w:w w:val="100"/>
                <w:sz w:val="21"/>
                <w:szCs w:val="21"/>
              </w:rPr>
              <w:t> </w:t>
            </w:r>
            <w:r>
              <w:rPr>
                <w:rFonts w:ascii="宋体" w:hAnsi="宋体" w:cs="宋体" w:eastAsia="宋体" w:hint="default"/>
                <w:sz w:val="21"/>
                <w:szCs w:val="21"/>
              </w:rPr>
              <w:t>补助金额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41" w:right="139"/>
              <w:jc w:val="both"/>
              <w:rPr>
                <w:rFonts w:ascii="宋体" w:hAnsi="宋体" w:cs="宋体" w:eastAsia="宋体" w:hint="default"/>
                <w:sz w:val="21"/>
                <w:szCs w:val="21"/>
              </w:rPr>
            </w:pPr>
            <w:r>
              <w:rPr>
                <w:rFonts w:ascii="宋体" w:hAnsi="宋体" w:cs="宋体" w:eastAsia="宋体" w:hint="default"/>
                <w:sz w:val="21"/>
                <w:szCs w:val="21"/>
              </w:rPr>
              <w:t>本期计入</w:t>
            </w:r>
            <w:r>
              <w:rPr>
                <w:rFonts w:ascii="宋体" w:hAnsi="宋体" w:cs="宋体" w:eastAsia="宋体" w:hint="default"/>
                <w:w w:val="100"/>
                <w:sz w:val="21"/>
                <w:szCs w:val="21"/>
              </w:rPr>
              <w:t> </w:t>
            </w:r>
            <w:r>
              <w:rPr>
                <w:rFonts w:ascii="宋体" w:hAnsi="宋体" w:cs="宋体" w:eastAsia="宋体" w:hint="default"/>
                <w:sz w:val="21"/>
                <w:szCs w:val="21"/>
              </w:rPr>
              <w:t>营业外收</w:t>
            </w:r>
            <w:r>
              <w:rPr>
                <w:rFonts w:ascii="宋体" w:hAnsi="宋体" w:cs="宋体" w:eastAsia="宋体" w:hint="default"/>
                <w:w w:val="100"/>
                <w:sz w:val="21"/>
                <w:szCs w:val="21"/>
              </w:rPr>
              <w:t> </w:t>
            </w:r>
            <w:r>
              <w:rPr>
                <w:rFonts w:ascii="宋体" w:hAnsi="宋体" w:cs="宋体" w:eastAsia="宋体" w:hint="default"/>
                <w:sz w:val="21"/>
                <w:szCs w:val="21"/>
              </w:rPr>
              <w:t>入金额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177" w:right="175"/>
              <w:jc w:val="left"/>
              <w:rPr>
                <w:rFonts w:ascii="宋体" w:hAnsi="宋体" w:cs="宋体" w:eastAsia="宋体" w:hint="default"/>
                <w:sz w:val="21"/>
                <w:szCs w:val="21"/>
              </w:rPr>
            </w:pPr>
            <w:r>
              <w:rPr>
                <w:rFonts w:ascii="宋体" w:hAnsi="宋体" w:cs="宋体" w:eastAsia="宋体" w:hint="default"/>
                <w:sz w:val="21"/>
                <w:szCs w:val="21"/>
              </w:rPr>
              <w:t>本期计入其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他收益金额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280"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94" w:right="139" w:hanging="53"/>
              <w:jc w:val="both"/>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w:t>
            </w:r>
            <w:r>
              <w:rPr>
                <w:rFonts w:ascii="宋体" w:hAnsi="宋体" w:cs="宋体" w:eastAsia="宋体" w:hint="default"/>
                <w:sz w:val="21"/>
                <w:szCs w:val="21"/>
              </w:rPr>
              <w:t>与收</w:t>
            </w:r>
            <w:r>
              <w:rPr>
                <w:rFonts w:ascii="宋体" w:hAnsi="宋体" w:cs="宋体" w:eastAsia="宋体" w:hint="default"/>
                <w:spacing w:val="-3"/>
                <w:w w:val="100"/>
                <w:sz w:val="21"/>
                <w:szCs w:val="21"/>
              </w:rPr>
              <w:t> </w:t>
            </w:r>
            <w:r>
              <w:rPr>
                <w:rFonts w:ascii="宋体" w:hAnsi="宋体" w:cs="宋体" w:eastAsia="宋体" w:hint="default"/>
                <w:sz w:val="21"/>
                <w:szCs w:val="21"/>
              </w:rPr>
              <w:t>益相关</w:t>
            </w:r>
          </w:p>
        </w:tc>
      </w:tr>
      <w:tr>
        <w:trPr>
          <w:trHeight w:val="73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8" w:right="103"/>
              <w:jc w:val="left"/>
              <w:rPr>
                <w:rFonts w:ascii="宋体" w:hAnsi="宋体" w:cs="宋体" w:eastAsia="宋体" w:hint="default"/>
                <w:sz w:val="21"/>
                <w:szCs w:val="21"/>
              </w:rPr>
            </w:pPr>
            <w:r>
              <w:rPr>
                <w:rFonts w:ascii="宋体" w:hAnsi="宋体" w:cs="宋体" w:eastAsia="宋体" w:hint="default"/>
                <w:spacing w:val="18"/>
                <w:sz w:val="21"/>
                <w:szCs w:val="21"/>
              </w:rPr>
              <w:t>广东省战略性新</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兴发展专项资金</w:t>
            </w:r>
            <w:r>
              <w:rPr>
                <w:rFonts w:ascii="宋体" w:hAnsi="宋体" w:cs="宋体" w:eastAsia="宋体" w:hint="default"/>
                <w:spacing w:val="2"/>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1,400,000.00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93" w:right="0"/>
              <w:jc w:val="center"/>
              <w:rPr>
                <w:rFonts w:ascii="Times New Roman" w:hAnsi="Times New Roman" w:cs="Times New Roman" w:eastAsia="Times New Roman" w:hint="default"/>
                <w:sz w:val="21"/>
                <w:szCs w:val="21"/>
              </w:rPr>
            </w:pPr>
            <w:r>
              <w:rPr>
                <w:rFonts w:ascii="Times New Roman"/>
                <w:sz w:val="21"/>
              </w:rPr>
              <w:t>1,400,000.00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455" w:right="139" w:hanging="315"/>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bl>
    <w:p>
      <w:pPr>
        <w:spacing w:after="0" w:line="314" w:lineRule="auto"/>
        <w:jc w:val="left"/>
        <w:rPr>
          <w:rFonts w:ascii="宋体" w:hAnsi="宋体" w:cs="宋体" w:eastAsia="宋体" w:hint="default"/>
          <w:sz w:val="21"/>
          <w:szCs w:val="21"/>
        </w:rPr>
        <w:sectPr>
          <w:type w:val="continuous"/>
          <w:pgSz w:w="11910" w:h="16840"/>
          <w:pgMar w:top="1580" w:bottom="280" w:left="60" w:right="560"/>
        </w:sectPr>
      </w:pPr>
    </w:p>
    <w:p>
      <w:pPr>
        <w:spacing w:line="240" w:lineRule="auto" w:before="11"/>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1839"/>
        <w:gridCol w:w="1418"/>
        <w:gridCol w:w="1275"/>
        <w:gridCol w:w="1135"/>
        <w:gridCol w:w="1419"/>
        <w:gridCol w:w="1416"/>
        <w:gridCol w:w="1419"/>
        <w:gridCol w:w="1135"/>
      </w:tblGrid>
      <w:tr>
        <w:trPr>
          <w:trHeight w:val="73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8" w:right="106"/>
              <w:jc w:val="left"/>
              <w:rPr>
                <w:rFonts w:ascii="宋体" w:hAnsi="宋体" w:cs="宋体" w:eastAsia="宋体" w:hint="default"/>
                <w:sz w:val="21"/>
                <w:szCs w:val="21"/>
              </w:rPr>
            </w:pPr>
            <w:r>
              <w:rPr>
                <w:rFonts w:ascii="宋体" w:hAnsi="宋体" w:cs="宋体" w:eastAsia="宋体" w:hint="default"/>
                <w:spacing w:val="2"/>
                <w:sz w:val="21"/>
                <w:szCs w:val="21"/>
              </w:rPr>
              <w:t>云</w:t>
            </w:r>
            <w:r>
              <w:rPr>
                <w:rFonts w:ascii="宋体" w:hAnsi="宋体" w:cs="宋体" w:eastAsia="宋体" w:hint="default"/>
                <w:spacing w:val="2"/>
                <w:sz w:val="21"/>
                <w:szCs w:val="21"/>
              </w:rPr>
              <w:t>+</w:t>
            </w:r>
            <w:r>
              <w:rPr>
                <w:rFonts w:ascii="宋体" w:hAnsi="宋体" w:cs="宋体" w:eastAsia="宋体" w:hint="default"/>
                <w:spacing w:val="2"/>
                <w:sz w:val="21"/>
                <w:szCs w:val="21"/>
              </w:rPr>
              <w:t>端技术支撑与</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服务平台</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8" w:right="105"/>
              <w:jc w:val="left"/>
              <w:rPr>
                <w:rFonts w:ascii="宋体" w:hAnsi="宋体" w:cs="宋体" w:eastAsia="宋体" w:hint="default"/>
                <w:sz w:val="21"/>
                <w:szCs w:val="21"/>
              </w:rPr>
            </w:pPr>
            <w:r>
              <w:rPr>
                <w:rFonts w:ascii="宋体" w:hAnsi="宋体" w:cs="宋体" w:eastAsia="宋体" w:hint="default"/>
                <w:spacing w:val="18"/>
                <w:sz w:val="21"/>
                <w:szCs w:val="21"/>
              </w:rPr>
              <w:t>云与端互动中间</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件平台</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700,000.00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455" w:right="139" w:hanging="315"/>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1452"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8" w:right="105"/>
              <w:jc w:val="both"/>
              <w:rPr>
                <w:rFonts w:ascii="宋体" w:hAnsi="宋体" w:cs="宋体" w:eastAsia="宋体" w:hint="default"/>
                <w:sz w:val="21"/>
                <w:szCs w:val="21"/>
              </w:rPr>
            </w:pPr>
            <w:r>
              <w:rPr>
                <w:rFonts w:ascii="宋体" w:hAnsi="宋体" w:cs="宋体" w:eastAsia="宋体" w:hint="default"/>
                <w:spacing w:val="18"/>
                <w:sz w:val="21"/>
                <w:szCs w:val="21"/>
              </w:rPr>
              <w:t>太极云软统一受</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8"/>
                <w:sz w:val="21"/>
                <w:szCs w:val="21"/>
              </w:rPr>
              <w:t>理平台软件应用</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8"/>
                <w:sz w:val="21"/>
                <w:szCs w:val="21"/>
              </w:rPr>
              <w:t>示范项目专项资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490,000.00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490,000.00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3"/>
              <w:ind w:left="455" w:right="139" w:hanging="315"/>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109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8" w:right="105"/>
              <w:jc w:val="both"/>
              <w:rPr>
                <w:rFonts w:ascii="宋体" w:hAnsi="宋体" w:cs="宋体" w:eastAsia="宋体" w:hint="default"/>
                <w:sz w:val="21"/>
                <w:szCs w:val="21"/>
              </w:rPr>
            </w:pPr>
            <w:r>
              <w:rPr>
                <w:rFonts w:ascii="宋体" w:hAnsi="宋体" w:cs="宋体" w:eastAsia="宋体" w:hint="default"/>
                <w:spacing w:val="18"/>
                <w:sz w:val="21"/>
                <w:szCs w:val="21"/>
              </w:rPr>
              <w:t>智慧云族云服务</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8"/>
                <w:sz w:val="21"/>
                <w:szCs w:val="21"/>
              </w:rPr>
              <w:t>平台项目政府补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助</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33,333.33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433,333.33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455" w:right="139" w:hanging="315"/>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73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8" w:right="105"/>
              <w:jc w:val="left"/>
              <w:rPr>
                <w:rFonts w:ascii="宋体" w:hAnsi="宋体" w:cs="宋体" w:eastAsia="宋体" w:hint="default"/>
                <w:sz w:val="21"/>
                <w:szCs w:val="21"/>
              </w:rPr>
            </w:pPr>
            <w:r>
              <w:rPr>
                <w:rFonts w:ascii="宋体" w:hAnsi="宋体" w:cs="宋体" w:eastAsia="宋体" w:hint="default"/>
                <w:spacing w:val="18"/>
                <w:sz w:val="21"/>
                <w:szCs w:val="21"/>
              </w:rPr>
              <w:t>公安智能感知大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数据平台</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400,000.00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6,666.67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393,333.33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455" w:right="139" w:hanging="315"/>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109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8" w:right="105"/>
              <w:jc w:val="both"/>
              <w:rPr>
                <w:rFonts w:ascii="宋体" w:hAnsi="宋体" w:cs="宋体" w:eastAsia="宋体" w:hint="default"/>
                <w:sz w:val="21"/>
                <w:szCs w:val="21"/>
              </w:rPr>
            </w:pPr>
            <w:r>
              <w:rPr>
                <w:rFonts w:ascii="宋体" w:hAnsi="宋体" w:cs="宋体" w:eastAsia="宋体" w:hint="default"/>
                <w:spacing w:val="18"/>
                <w:sz w:val="21"/>
                <w:szCs w:val="21"/>
              </w:rPr>
              <w:t>视频图像分布式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8"/>
                <w:sz w:val="21"/>
                <w:szCs w:val="21"/>
              </w:rPr>
              <w:t>联网与智能化应</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用平台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339,166.67</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229,166.67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455" w:right="139" w:hanging="315"/>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109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8" w:right="105"/>
              <w:jc w:val="both"/>
              <w:rPr>
                <w:rFonts w:ascii="宋体" w:hAnsi="宋体" w:cs="宋体" w:eastAsia="宋体" w:hint="default"/>
                <w:sz w:val="21"/>
                <w:szCs w:val="21"/>
              </w:rPr>
            </w:pPr>
            <w:r>
              <w:rPr>
                <w:rFonts w:ascii="宋体" w:hAnsi="宋体" w:cs="宋体" w:eastAsia="宋体" w:hint="default"/>
                <w:spacing w:val="18"/>
                <w:sz w:val="21"/>
                <w:szCs w:val="21"/>
              </w:rPr>
              <w:t>项目智慧社区服</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8"/>
                <w:sz w:val="21"/>
                <w:szCs w:val="21"/>
              </w:rPr>
              <w:t>务管理平台补贴</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130,555.56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150,000.00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69,202.90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211,352.66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455" w:right="139" w:hanging="315"/>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73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8" w:right="104"/>
              <w:jc w:val="left"/>
              <w:rPr>
                <w:rFonts w:ascii="宋体" w:hAnsi="宋体" w:cs="宋体" w:eastAsia="宋体" w:hint="default"/>
                <w:sz w:val="21"/>
                <w:szCs w:val="21"/>
              </w:rPr>
            </w:pPr>
            <w:r>
              <w:rPr>
                <w:rFonts w:ascii="宋体" w:hAnsi="宋体" w:cs="宋体" w:eastAsia="宋体" w:hint="default"/>
                <w:sz w:val="21"/>
                <w:szCs w:val="21"/>
              </w:rPr>
              <w:t>VEEKEE</w:t>
            </w:r>
            <w:r>
              <w:rPr>
                <w:rFonts w:ascii="宋体" w:hAnsi="宋体" w:cs="宋体" w:eastAsia="宋体" w:hint="default"/>
                <w:spacing w:val="15"/>
                <w:sz w:val="21"/>
                <w:szCs w:val="21"/>
              </w:rPr>
              <w:t> </w:t>
            </w:r>
            <w:r>
              <w:rPr>
                <w:rFonts w:ascii="宋体" w:hAnsi="宋体" w:cs="宋体" w:eastAsia="宋体" w:hint="default"/>
                <w:spacing w:val="5"/>
                <w:sz w:val="21"/>
                <w:szCs w:val="21"/>
              </w:rPr>
              <w:t>云服务中</w:t>
            </w:r>
            <w:r>
              <w:rPr>
                <w:rFonts w:ascii="宋体" w:hAnsi="宋体" w:cs="宋体" w:eastAsia="宋体" w:hint="default"/>
                <w:w w:val="100"/>
                <w:sz w:val="21"/>
                <w:szCs w:val="21"/>
              </w:rPr>
              <w:t> </w:t>
            </w:r>
            <w:r>
              <w:rPr>
                <w:rFonts w:ascii="宋体" w:hAnsi="宋体" w:cs="宋体" w:eastAsia="宋体" w:hint="default"/>
                <w:sz w:val="21"/>
                <w:szCs w:val="21"/>
              </w:rPr>
              <w:t>间件平台</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455" w:right="139" w:hanging="315"/>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732"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5"/>
              <w:ind w:left="108" w:right="103"/>
              <w:jc w:val="left"/>
              <w:rPr>
                <w:rFonts w:ascii="宋体" w:hAnsi="宋体" w:cs="宋体" w:eastAsia="宋体" w:hint="default"/>
                <w:sz w:val="21"/>
                <w:szCs w:val="21"/>
              </w:rPr>
            </w:pPr>
            <w:r>
              <w:rPr>
                <w:rFonts w:ascii="Times New Roman" w:hAnsi="Times New Roman" w:cs="Times New Roman" w:eastAsia="Times New Roman" w:hint="default"/>
                <w:sz w:val="21"/>
                <w:szCs w:val="21"/>
              </w:rPr>
              <w:t>12358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大数据公共</w:t>
            </w:r>
            <w:r>
              <w:rPr>
                <w:rFonts w:ascii="宋体" w:hAnsi="宋体" w:cs="宋体" w:eastAsia="宋体" w:hint="default"/>
                <w:w w:val="100"/>
                <w:sz w:val="21"/>
                <w:szCs w:val="21"/>
              </w:rPr>
              <w:t> </w:t>
            </w:r>
            <w:r>
              <w:rPr>
                <w:rFonts w:ascii="宋体" w:hAnsi="宋体" w:cs="宋体" w:eastAsia="宋体" w:hint="default"/>
                <w:sz w:val="21"/>
                <w:szCs w:val="21"/>
              </w:rPr>
              <w:t>服务平台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3,529,411.77</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3,529,411.77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455" w:right="139" w:hanging="315"/>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217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8" w:right="103"/>
              <w:jc w:val="both"/>
              <w:rPr>
                <w:rFonts w:ascii="宋体" w:hAnsi="宋体" w:cs="宋体" w:eastAsia="宋体" w:hint="default"/>
                <w:sz w:val="21"/>
                <w:szCs w:val="21"/>
              </w:rPr>
            </w:pPr>
            <w:r>
              <w:rPr>
                <w:rFonts w:ascii="宋体" w:hAnsi="宋体" w:cs="宋体" w:eastAsia="宋体" w:hint="default"/>
                <w:spacing w:val="2"/>
                <w:sz w:val="21"/>
                <w:szCs w:val="21"/>
              </w:rPr>
              <w:t>区域教育云平台</w:t>
            </w:r>
            <w:r>
              <w:rPr>
                <w:rFonts w:ascii="宋体" w:hAnsi="宋体" w:cs="宋体" w:eastAsia="宋体" w:hint="default"/>
                <w:spacing w:val="2"/>
                <w:sz w:val="21"/>
                <w:szCs w:val="21"/>
              </w:rPr>
              <w:t>-</w:t>
            </w:r>
            <w:r>
              <w:rPr>
                <w:rFonts w:ascii="宋体" w:hAnsi="宋体" w:cs="宋体" w:eastAsia="宋体" w:hint="default"/>
                <w:spacing w:val="-85"/>
                <w:sz w:val="21"/>
                <w:szCs w:val="21"/>
              </w:rPr>
              <w:t> </w:t>
            </w:r>
            <w:r>
              <w:rPr>
                <w:rFonts w:ascii="宋体" w:hAnsi="宋体" w:cs="宋体" w:eastAsia="宋体" w:hint="default"/>
                <w:spacing w:val="18"/>
                <w:sz w:val="21"/>
                <w:szCs w:val="21"/>
              </w:rPr>
              <w:t>深圳市战略性新</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0"/>
                <w:sz w:val="21"/>
                <w:szCs w:val="21"/>
              </w:rPr>
              <w:t>兴产业（互联网产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0"/>
                <w:sz w:val="21"/>
                <w:szCs w:val="21"/>
              </w:rPr>
              <w:t>业）发展专项资金</w:t>
            </w:r>
          </w:p>
          <w:p>
            <w:pPr>
              <w:pStyle w:val="TableParagraph"/>
              <w:spacing w:line="297" w:lineRule="auto" w:before="20"/>
              <w:ind w:left="108" w:right="103"/>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年第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批</w:t>
            </w:r>
            <w:r>
              <w:rPr>
                <w:rFonts w:ascii="宋体" w:hAnsi="宋体" w:cs="宋体" w:eastAsia="宋体" w:hint="default"/>
                <w:w w:val="100"/>
                <w:sz w:val="21"/>
                <w:szCs w:val="21"/>
              </w:rPr>
              <w:t> </w:t>
            </w:r>
            <w:r>
              <w:rPr>
                <w:rFonts w:ascii="宋体" w:hAnsi="宋体" w:cs="宋体" w:eastAsia="宋体" w:hint="default"/>
                <w:sz w:val="21"/>
                <w:szCs w:val="21"/>
              </w:rPr>
              <w:t>扶持计划）</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83,333.33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83,333.33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4" w:lineRule="auto"/>
              <w:ind w:left="455" w:right="139" w:hanging="315"/>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37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3,999,134.00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21"/>
                <w:szCs w:val="21"/>
              </w:rPr>
            </w:pPr>
            <w:r>
              <w:rPr>
                <w:rFonts w:ascii="Times New Roman"/>
                <w:sz w:val="21"/>
              </w:rPr>
              <w:t>550,000.00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3,831,948.00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3,306,666.66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4,023,852.66</w:t>
            </w:r>
          </w:p>
        </w:tc>
        <w:tc>
          <w:tcPr>
            <w:tcW w:w="11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7" w:footer="979" w:top="1120" w:bottom="1160" w:left="60" w:right="560"/>
        </w:sectPr>
      </w:pPr>
    </w:p>
    <w:p>
      <w:pPr>
        <w:pStyle w:val="BodyText"/>
        <w:spacing w:line="240" w:lineRule="auto" w:before="36"/>
        <w:ind w:left="1197" w:right="983"/>
        <w:jc w:val="center"/>
      </w:pPr>
      <w:r>
        <w:rPr/>
        <w:t>其他说明：</w:t>
      </w:r>
    </w:p>
    <w:p>
      <w:pPr>
        <w:pStyle w:val="BodyText"/>
        <w:spacing w:line="240" w:lineRule="auto" w:before="56"/>
        <w:ind w:left="1697" w:right="-18"/>
        <w:jc w:val="left"/>
      </w:pPr>
      <w:r>
        <w:rPr/>
        <w:t>□适用 √不适用</w:t>
      </w:r>
    </w:p>
    <w:p>
      <w:pPr>
        <w:pStyle w:val="Heading4"/>
        <w:spacing w:line="240" w:lineRule="auto" w:before="58"/>
        <w:ind w:left="1217" w:right="-18"/>
        <w:jc w:val="left"/>
        <w:rPr>
          <w:b w:val="0"/>
          <w:bCs w:val="0"/>
        </w:rPr>
      </w:pPr>
      <w:r>
        <w:rPr>
          <w:rFonts w:ascii="Times New Roman" w:hAnsi="Times New Roman" w:cs="Times New Roman" w:eastAsia="Times New Roman" w:hint="default"/>
        </w:rPr>
        <w:t>43</w:t>
      </w:r>
      <w:r>
        <w:rPr/>
        <w:t>、</w:t>
      </w:r>
      <w:r>
        <w:rPr>
          <w:spacing w:val="-21"/>
        </w:rPr>
        <w:t> </w:t>
      </w:r>
      <w:r>
        <w:rPr/>
        <w:t>其他非流动负债</w:t>
      </w:r>
      <w:r>
        <w:rPr>
          <w:b w:val="0"/>
          <w:bCs w:val="0"/>
        </w:rPr>
      </w:r>
    </w:p>
    <w:p>
      <w:pPr>
        <w:pStyle w:val="BodyText"/>
        <w:spacing w:line="240" w:lineRule="auto" w:before="40"/>
        <w:ind w:left="1697" w:right="-18"/>
        <w:jc w:val="left"/>
      </w:pPr>
      <w:r>
        <w:rPr/>
        <w:t>□适用 √不适用</w:t>
      </w:r>
    </w:p>
    <w:p>
      <w:pPr>
        <w:pStyle w:val="Heading4"/>
        <w:spacing w:line="240" w:lineRule="auto" w:before="58"/>
        <w:ind w:left="1071" w:right="985"/>
        <w:jc w:val="center"/>
        <w:rPr>
          <w:b w:val="0"/>
          <w:bCs w:val="0"/>
        </w:rPr>
      </w:pPr>
      <w:r>
        <w:rPr>
          <w:rFonts w:ascii="Times New Roman" w:hAnsi="Times New Roman" w:cs="Times New Roman" w:eastAsia="Times New Roman" w:hint="default"/>
        </w:rPr>
        <w:t>44</w:t>
      </w:r>
      <w:r>
        <w:rPr/>
        <w:t>、</w:t>
      </w:r>
      <w:r>
        <w:rPr>
          <w:spacing w:val="-23"/>
        </w:rPr>
        <w:t> </w:t>
      </w:r>
      <w:r>
        <w:rPr/>
        <w:t>股本</w:t>
      </w:r>
      <w:r>
        <w:rPr>
          <w:b w:val="0"/>
          <w:bCs w:val="0"/>
        </w:rPr>
      </w:r>
    </w:p>
    <w:p>
      <w:pPr>
        <w:pStyle w:val="BodyText"/>
        <w:spacing w:line="240" w:lineRule="auto" w:before="40"/>
        <w:ind w:left="16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2268" w:val="left" w:leader="none"/>
        </w:tabs>
        <w:spacing w:line="240" w:lineRule="auto" w:before="139"/>
        <w:ind w:left="1217" w:right="0"/>
        <w:jc w:val="left"/>
      </w:pPr>
      <w:r>
        <w:rPr>
          <w:spacing w:val="-1"/>
        </w:rPr>
        <w:t>单位：元</w:t>
        <w:tab/>
        <w:t>币种：人民币</w:t>
      </w:r>
    </w:p>
    <w:p>
      <w:pPr>
        <w:spacing w:after="0" w:line="240" w:lineRule="auto"/>
        <w:jc w:val="left"/>
        <w:sectPr>
          <w:type w:val="continuous"/>
          <w:pgSz w:w="11910" w:h="16840"/>
          <w:pgMar w:top="1580" w:bottom="280" w:left="60" w:right="560"/>
          <w:cols w:num="2" w:equalWidth="0">
            <w:col w:w="3275" w:space="3247"/>
            <w:col w:w="4768"/>
          </w:cols>
        </w:sectPr>
      </w:pPr>
    </w:p>
    <w:p>
      <w:pPr>
        <w:spacing w:line="240" w:lineRule="auto" w:before="11"/>
        <w:rPr>
          <w:rFonts w:ascii="宋体" w:hAnsi="宋体" w:cs="宋体" w:eastAsia="宋体" w:hint="default"/>
          <w:sz w:val="23"/>
          <w:szCs w:val="23"/>
        </w:rPr>
      </w:pPr>
    </w:p>
    <w:tbl>
      <w:tblPr>
        <w:tblW w:w="0" w:type="auto"/>
        <w:jc w:val="left"/>
        <w:tblInd w:w="123" w:type="dxa"/>
        <w:tblLayout w:type="fixed"/>
        <w:tblCellMar>
          <w:top w:w="0" w:type="dxa"/>
          <w:left w:w="0" w:type="dxa"/>
          <w:bottom w:w="0" w:type="dxa"/>
          <w:right w:w="0" w:type="dxa"/>
        </w:tblCellMar>
        <w:tblLook w:val="01E0"/>
      </w:tblPr>
      <w:tblGrid>
        <w:gridCol w:w="848"/>
        <w:gridCol w:w="1558"/>
        <w:gridCol w:w="1561"/>
        <w:gridCol w:w="425"/>
        <w:gridCol w:w="566"/>
        <w:gridCol w:w="1277"/>
        <w:gridCol w:w="1561"/>
        <w:gridCol w:w="1558"/>
      </w:tblGrid>
      <w:tr>
        <w:trPr>
          <w:trHeight w:val="370" w:hRule="exact"/>
        </w:trPr>
        <w:tc>
          <w:tcPr>
            <w:tcW w:w="8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20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35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3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58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35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810" w:hRule="exact"/>
        </w:trPr>
        <w:tc>
          <w:tcPr>
            <w:tcW w:w="84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4" w:lineRule="auto"/>
              <w:ind w:left="564" w:right="563"/>
              <w:jc w:val="center"/>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4" w:lineRule="auto"/>
              <w:ind w:left="100" w:right="101"/>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72" w:right="170"/>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小计</w:t>
            </w:r>
          </w:p>
        </w:tc>
        <w:tc>
          <w:tcPr>
            <w:tcW w:w="1558" w:type="dxa"/>
            <w:vMerge/>
            <w:tcBorders>
              <w:left w:val="single" w:sz="4" w:space="0" w:color="000000"/>
              <w:bottom w:val="single" w:sz="4" w:space="0" w:color="000000"/>
              <w:right w:val="single" w:sz="4" w:space="0" w:color="000000"/>
            </w:tcBorders>
          </w:tcPr>
          <w:p>
            <w:pPr/>
          </w:p>
        </w:tc>
      </w:tr>
      <w:tr>
        <w:trPr>
          <w:trHeight w:val="732"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312" w:right="98" w:hanging="209"/>
              <w:jc w:val="left"/>
              <w:rPr>
                <w:rFonts w:ascii="宋体" w:hAnsi="宋体" w:cs="宋体" w:eastAsia="宋体" w:hint="default"/>
                <w:sz w:val="21"/>
                <w:szCs w:val="21"/>
              </w:rPr>
            </w:pPr>
            <w:r>
              <w:rPr>
                <w:rFonts w:ascii="宋体" w:hAnsi="宋体" w:cs="宋体" w:eastAsia="宋体" w:hint="default"/>
                <w:sz w:val="21"/>
                <w:szCs w:val="21"/>
              </w:rPr>
              <w:t>股份总</w:t>
            </w:r>
            <w:r>
              <w:rPr>
                <w:rFonts w:ascii="宋体" w:hAnsi="宋体" w:cs="宋体" w:eastAsia="宋体" w:hint="default"/>
                <w:spacing w:val="-102"/>
                <w:sz w:val="21"/>
                <w:szCs w:val="21"/>
              </w:rPr>
              <w:t> </w:t>
            </w:r>
            <w:r>
              <w:rPr>
                <w:rFonts w:ascii="宋体" w:hAnsi="宋体" w:cs="宋体" w:eastAsia="宋体" w:hint="default"/>
                <w:sz w:val="21"/>
                <w:szCs w:val="21"/>
              </w:rPr>
              <w:t>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1" w:right="0"/>
              <w:jc w:val="left"/>
              <w:rPr>
                <w:rFonts w:ascii="Times New Roman" w:hAnsi="Times New Roman" w:cs="Times New Roman" w:eastAsia="Times New Roman" w:hint="default"/>
                <w:sz w:val="21"/>
                <w:szCs w:val="21"/>
              </w:rPr>
            </w:pPr>
            <w:r>
              <w:rPr>
                <w:rFonts w:ascii="Times New Roman"/>
                <w:sz w:val="21"/>
              </w:rPr>
              <w:t>407,097,800.00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120,159,152.00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3" w:right="0"/>
              <w:jc w:val="center"/>
              <w:rPr>
                <w:rFonts w:ascii="Times New Roman" w:hAnsi="Times New Roman" w:cs="Times New Roman" w:eastAsia="Times New Roman" w:hint="default"/>
                <w:sz w:val="21"/>
                <w:szCs w:val="21"/>
              </w:rPr>
            </w:pPr>
            <w:r>
              <w:rPr>
                <w:rFonts w:ascii="Times New Roman"/>
                <w:sz w:val="21"/>
              </w:rPr>
              <w:t>-572,480.00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8" w:right="0"/>
              <w:jc w:val="center"/>
              <w:rPr>
                <w:rFonts w:ascii="Times New Roman" w:hAnsi="Times New Roman" w:cs="Times New Roman" w:eastAsia="Times New Roman" w:hint="default"/>
                <w:sz w:val="21"/>
                <w:szCs w:val="21"/>
              </w:rPr>
            </w:pPr>
            <w:r>
              <w:rPr>
                <w:rFonts w:ascii="Times New Roman"/>
                <w:sz w:val="21"/>
              </w:rPr>
              <w:t>119,586,672.00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1" w:right="0"/>
              <w:jc w:val="left"/>
              <w:rPr>
                <w:rFonts w:ascii="Times New Roman" w:hAnsi="Times New Roman" w:cs="Times New Roman" w:eastAsia="Times New Roman" w:hint="default"/>
                <w:sz w:val="21"/>
                <w:szCs w:val="21"/>
              </w:rPr>
            </w:pPr>
            <w:r>
              <w:rPr>
                <w:rFonts w:ascii="Times New Roman"/>
                <w:sz w:val="21"/>
              </w:rPr>
              <w:t>526,684,472.00</w:t>
            </w:r>
          </w:p>
        </w:tc>
      </w:tr>
    </w:tbl>
    <w:p>
      <w:pPr>
        <w:pStyle w:val="BodyText"/>
        <w:spacing w:line="240" w:lineRule="auto" w:before="26"/>
        <w:ind w:left="237" w:right="264"/>
        <w:jc w:val="left"/>
      </w:pPr>
      <w:r>
        <w:rPr/>
        <w:t>其他说明：</w:t>
      </w:r>
    </w:p>
    <w:p>
      <w:pPr>
        <w:pStyle w:val="BodyText"/>
        <w:spacing w:line="297" w:lineRule="auto" w:before="133"/>
        <w:ind w:left="237" w:right="264" w:firstLine="480"/>
        <w:jc w:val="left"/>
      </w:pPr>
      <w:r>
        <w:rPr/>
        <w:t>注 </w:t>
      </w:r>
      <w:r>
        <w:rPr>
          <w:rFonts w:ascii="Times New Roman" w:hAnsi="Times New Roman" w:cs="Times New Roman" w:eastAsia="Times New Roman" w:hint="default"/>
          <w:spacing w:val="-3"/>
        </w:rPr>
        <w:t>1</w:t>
      </w:r>
      <w:r>
        <w:rPr>
          <w:spacing w:val="-3"/>
        </w:rPr>
        <w:t>：经中国证券监督管理委员会证监许可〔</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2382</w:t>
      </w:r>
      <w:r>
        <w:rPr>
          <w:rFonts w:ascii="Times New Roman" w:hAnsi="Times New Roman" w:cs="Times New Roman" w:eastAsia="Times New Roman" w:hint="default"/>
          <w:spacing w:val="7"/>
        </w:rPr>
        <w:t> </w:t>
      </w:r>
      <w:r>
        <w:rPr>
          <w:spacing w:val="-3"/>
        </w:rPr>
        <w:t>号文《关于核准南威软件股份有限</w:t>
      </w:r>
      <w:r>
        <w:rPr>
          <w:w w:val="100"/>
        </w:rPr>
        <w:t> </w:t>
      </w:r>
      <w:r>
        <w:rPr/>
        <w:t>公司配股的批复》核准，公司以</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日为配股股权登记日，按上交所收市后公司总股本</w:t>
      </w:r>
    </w:p>
    <w:p>
      <w:pPr>
        <w:pStyle w:val="BodyText"/>
        <w:spacing w:line="297" w:lineRule="auto" w:before="13"/>
        <w:ind w:left="237" w:right="528"/>
        <w:jc w:val="both"/>
      </w:pPr>
      <w:r>
        <w:rPr>
          <w:rFonts w:ascii="Times New Roman" w:hAnsi="Times New Roman" w:cs="Times New Roman" w:eastAsia="Times New Roman" w:hint="default"/>
        </w:rPr>
        <w:t>407,097,800</w:t>
      </w:r>
      <w:r>
        <w:rPr>
          <w:rFonts w:ascii="Times New Roman" w:hAnsi="Times New Roman" w:cs="Times New Roman" w:eastAsia="Times New Roman" w:hint="default"/>
          <w:spacing w:val="-1"/>
        </w:rPr>
        <w:t> </w:t>
      </w:r>
      <w:r>
        <w:rPr/>
        <w:t>股为基数，每</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股配</w:t>
      </w:r>
      <w:r>
        <w:rPr>
          <w:spacing w:val="-54"/>
        </w:rPr>
        <w:t> </w:t>
      </w:r>
      <w:r>
        <w:rPr>
          <w:rFonts w:ascii="Times New Roman" w:hAnsi="Times New Roman" w:cs="Times New Roman" w:eastAsia="Times New Roman" w:hint="default"/>
        </w:rPr>
        <w:t>2.9980377</w:t>
      </w:r>
      <w:r>
        <w:rPr>
          <w:rFonts w:ascii="Times New Roman" w:hAnsi="Times New Roman" w:cs="Times New Roman" w:eastAsia="Times New Roman" w:hint="default"/>
          <w:spacing w:val="-1"/>
        </w:rPr>
        <w:t> </w:t>
      </w:r>
      <w:r>
        <w:rPr/>
        <w:t>股的比例向全体股东配售股份</w:t>
      </w:r>
      <w:r>
        <w:rPr>
          <w:spacing w:val="-54"/>
        </w:rPr>
        <w:t> </w:t>
      </w:r>
      <w:r>
        <w:rPr>
          <w:rFonts w:ascii="Times New Roman" w:hAnsi="Times New Roman" w:cs="Times New Roman" w:eastAsia="Times New Roman" w:hint="default"/>
        </w:rPr>
        <w:t>122,049,456</w:t>
      </w:r>
      <w:r>
        <w:rPr>
          <w:rFonts w:ascii="Times New Roman" w:hAnsi="Times New Roman" w:cs="Times New Roman" w:eastAsia="Times New Roman" w:hint="default"/>
          <w:spacing w:val="-3"/>
        </w:rPr>
        <w:t> </w:t>
      </w:r>
      <w:r>
        <w:rPr/>
        <w:t>股，本次</w:t>
      </w:r>
      <w:r>
        <w:rPr>
          <w:w w:val="100"/>
        </w:rPr>
        <w:t> </w:t>
      </w:r>
      <w:r>
        <w:rPr/>
        <w:t>配股发行价为每股人民币</w:t>
      </w:r>
      <w:r>
        <w:rPr>
          <w:spacing w:val="-46"/>
        </w:rPr>
        <w:t> </w:t>
      </w:r>
      <w:r>
        <w:rPr>
          <w:rFonts w:ascii="Times New Roman" w:hAnsi="Times New Roman" w:cs="Times New Roman" w:eastAsia="Times New Roman" w:hint="default"/>
        </w:rPr>
        <w:t>5.50</w:t>
      </w:r>
      <w:r>
        <w:rPr>
          <w:rFonts w:ascii="Times New Roman" w:hAnsi="Times New Roman" w:cs="Times New Roman" w:eastAsia="Times New Roman" w:hint="default"/>
          <w:spacing w:val="10"/>
        </w:rPr>
        <w:t> </w:t>
      </w:r>
      <w:r>
        <w:rPr>
          <w:spacing w:val="-4"/>
        </w:rPr>
        <w:t>元。本次配股实际配售人民币普通股（</w:t>
      </w:r>
      <w:r>
        <w:rPr>
          <w:rFonts w:ascii="Times New Roman" w:hAnsi="Times New Roman" w:cs="Times New Roman" w:eastAsia="Times New Roman" w:hint="default"/>
          <w:spacing w:val="-4"/>
        </w:rPr>
        <w:t>A</w:t>
      </w:r>
      <w:r>
        <w:rPr>
          <w:rFonts w:ascii="Times New Roman" w:hAnsi="Times New Roman" w:cs="Times New Roman" w:eastAsia="Times New Roman" w:hint="default"/>
          <w:spacing w:val="12"/>
        </w:rPr>
        <w:t> </w:t>
      </w:r>
      <w:r>
        <w:rPr>
          <w:spacing w:val="-3"/>
        </w:rPr>
        <w:t>股）</w:t>
      </w:r>
      <w:r>
        <w:rPr>
          <w:rFonts w:ascii="Times New Roman" w:hAnsi="Times New Roman" w:cs="Times New Roman" w:eastAsia="Times New Roman" w:hint="default"/>
          <w:spacing w:val="-3"/>
        </w:rPr>
        <w:t>120,159,152</w:t>
      </w:r>
      <w:r>
        <w:rPr>
          <w:rFonts w:ascii="Times New Roman" w:hAnsi="Times New Roman" w:cs="Times New Roman" w:eastAsia="Times New Roman" w:hint="default"/>
          <w:spacing w:val="8"/>
        </w:rPr>
        <w:t> </w:t>
      </w:r>
      <w:r>
        <w:rPr>
          <w:spacing w:val="-7"/>
        </w:rPr>
        <w:t>股，实际</w:t>
      </w:r>
      <w:r>
        <w:rPr>
          <w:spacing w:val="-101"/>
        </w:rPr>
        <w:t> </w:t>
      </w:r>
      <w:r>
        <w:rPr>
          <w:spacing w:val="-101"/>
        </w:rPr>
      </w:r>
      <w:r>
        <w:rPr/>
        <w:t>募集的资金净额为人民币</w:t>
      </w:r>
      <w:r>
        <w:rPr>
          <w:spacing w:val="-58"/>
        </w:rPr>
        <w:t> </w:t>
      </w:r>
      <w:r>
        <w:rPr>
          <w:rFonts w:ascii="Times New Roman" w:hAnsi="Times New Roman" w:cs="Times New Roman" w:eastAsia="Times New Roman" w:hint="default"/>
        </w:rPr>
        <w:t>651,709,203.12</w:t>
      </w:r>
      <w:r>
        <w:rPr>
          <w:rFonts w:ascii="Times New Roman" w:hAnsi="Times New Roman" w:cs="Times New Roman" w:eastAsia="Times New Roman" w:hint="default"/>
          <w:spacing w:val="-4"/>
        </w:rPr>
        <w:t> </w:t>
      </w:r>
      <w:r>
        <w:rPr/>
        <w:t>元，变更后的注册资本为人民币</w:t>
      </w:r>
      <w:r>
        <w:rPr>
          <w:spacing w:val="-55"/>
        </w:rPr>
        <w:t> </w:t>
      </w:r>
      <w:r>
        <w:rPr>
          <w:rFonts w:ascii="Times New Roman" w:hAnsi="Times New Roman" w:cs="Times New Roman" w:eastAsia="Times New Roman" w:hint="default"/>
        </w:rPr>
        <w:t>527,256,952.00</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股本</w:t>
      </w:r>
    </w:p>
    <w:p>
      <w:pPr>
        <w:pStyle w:val="BodyText"/>
        <w:spacing w:line="240" w:lineRule="auto" w:before="13"/>
        <w:ind w:left="237" w:right="264"/>
        <w:jc w:val="left"/>
      </w:pPr>
      <w:r>
        <w:rPr/>
        <w:t>总数为</w:t>
      </w:r>
      <w:r>
        <w:rPr>
          <w:spacing w:val="-42"/>
        </w:rPr>
        <w:t> </w:t>
      </w:r>
      <w:r>
        <w:rPr>
          <w:rFonts w:ascii="Times New Roman" w:hAnsi="Times New Roman" w:cs="Times New Roman" w:eastAsia="Times New Roman" w:hint="default"/>
        </w:rPr>
        <w:t>527,256,952.00</w:t>
      </w:r>
      <w:r>
        <w:rPr>
          <w:rFonts w:ascii="Times New Roman" w:hAnsi="Times New Roman" w:cs="Times New Roman" w:eastAsia="Times New Roman" w:hint="default"/>
          <w:spacing w:val="11"/>
        </w:rPr>
        <w:t> </w:t>
      </w:r>
      <w:r>
        <w:rPr>
          <w:spacing w:val="-4"/>
        </w:rPr>
        <w:t>元。经上海证券交易所同意，公司本次配股共计配售的</w:t>
      </w:r>
      <w:r>
        <w:rPr>
          <w:spacing w:val="-44"/>
        </w:rPr>
        <w:t> </w:t>
      </w:r>
      <w:r>
        <w:rPr>
          <w:rFonts w:ascii="Times New Roman" w:hAnsi="Times New Roman" w:cs="Times New Roman" w:eastAsia="Times New Roman" w:hint="default"/>
        </w:rPr>
        <w:t>120,159,152</w:t>
      </w:r>
      <w:r>
        <w:rPr>
          <w:rFonts w:ascii="Times New Roman" w:hAnsi="Times New Roman" w:cs="Times New Roman" w:eastAsia="Times New Roman" w:hint="default"/>
          <w:spacing w:val="11"/>
        </w:rPr>
        <w:t> </w:t>
      </w:r>
      <w:r>
        <w:rPr/>
        <w:t>股人民</w:t>
      </w:r>
    </w:p>
    <w:p>
      <w:pPr>
        <w:pStyle w:val="BodyText"/>
        <w:spacing w:line="240" w:lineRule="auto" w:before="69"/>
        <w:ind w:left="237" w:right="264"/>
        <w:jc w:val="left"/>
      </w:pPr>
      <w:r>
        <w:rPr/>
        <w:t>币普通股将于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日起上市流通。</w:t>
      </w:r>
    </w:p>
    <w:p>
      <w:pPr>
        <w:pStyle w:val="BodyText"/>
        <w:spacing w:line="240" w:lineRule="auto" w:before="69"/>
        <w:ind w:left="657" w:right="264"/>
        <w:jc w:val="left"/>
      </w:pPr>
      <w:r>
        <w:rPr/>
        <w:t>注</w:t>
      </w:r>
      <w:r>
        <w:rPr>
          <w:spacing w:val="-45"/>
        </w:rPr>
        <w:t> </w:t>
      </w:r>
      <w:r>
        <w:rPr>
          <w:rFonts w:ascii="Times New Roman" w:hAnsi="Times New Roman" w:cs="Times New Roman" w:eastAsia="Times New Roman" w:hint="default"/>
        </w:rPr>
        <w:t>2:2018</w:t>
      </w:r>
      <w:r>
        <w:rPr>
          <w:rFonts w:ascii="Times New Roman" w:hAnsi="Times New Roman" w:cs="Times New Roman" w:eastAsia="Times New Roman" w:hint="default"/>
          <w:spacing w:val="8"/>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spacing w:val="-3"/>
        </w:rPr>
        <w:t>日，公司完成股权激励计划首次授予及预留部分限制性股票回购注销工</w:t>
      </w:r>
    </w:p>
    <w:p>
      <w:pPr>
        <w:pStyle w:val="BodyText"/>
        <w:spacing w:line="304" w:lineRule="auto" w:before="69"/>
        <w:ind w:left="237" w:right="264"/>
        <w:jc w:val="left"/>
      </w:pPr>
      <w:r>
        <w:rPr>
          <w:spacing w:val="-4"/>
        </w:rPr>
        <w:t>作，董事会根据股东大会的授权对不符合解锁条件的</w:t>
      </w:r>
      <w:r>
        <w:rPr>
          <w:spacing w:val="-42"/>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名激励对象合计持有的</w:t>
      </w:r>
      <w:r>
        <w:rPr>
          <w:spacing w:val="-42"/>
        </w:rPr>
        <w:t> </w:t>
      </w:r>
      <w:r>
        <w:rPr>
          <w:rFonts w:ascii="Times New Roman" w:hAnsi="Times New Roman" w:cs="Times New Roman" w:eastAsia="Times New Roman" w:hint="default"/>
        </w:rPr>
        <w:t>572,480</w:t>
      </w:r>
      <w:r>
        <w:rPr>
          <w:rFonts w:ascii="Times New Roman" w:hAnsi="Times New Roman" w:cs="Times New Roman" w:eastAsia="Times New Roman" w:hint="default"/>
          <w:spacing w:val="9"/>
        </w:rPr>
        <w:t> </w:t>
      </w:r>
      <w:r>
        <w:rPr/>
        <w:t>股已获授</w:t>
      </w:r>
      <w:r>
        <w:rPr>
          <w:spacing w:val="-101"/>
        </w:rPr>
        <w:t> </w:t>
      </w:r>
      <w:r>
        <w:rPr>
          <w:spacing w:val="-101"/>
        </w:rPr>
      </w:r>
      <w:r>
        <w:rPr/>
        <w:t>但尚未解锁的限制性股票进行回购注销。本次回购注销完成后公司注册资本及股本均为</w:t>
      </w:r>
      <w:r>
        <w:rPr>
          <w:w w:val="100"/>
        </w:rPr>
        <w:t> </w:t>
      </w:r>
      <w:r>
        <w:rPr>
          <w:rFonts w:ascii="Times New Roman" w:hAnsi="Times New Roman" w:cs="Times New Roman" w:eastAsia="Times New Roman" w:hint="default"/>
        </w:rPr>
        <w:t>526,684,472.00 </w:t>
      </w:r>
      <w:r>
        <w:rPr/>
        <w:t>元。</w:t>
      </w:r>
    </w:p>
    <w:p>
      <w:pPr>
        <w:pStyle w:val="Heading4"/>
        <w:spacing w:line="240" w:lineRule="auto" w:before="66"/>
        <w:ind w:left="237" w:right="264"/>
        <w:jc w:val="left"/>
        <w:rPr>
          <w:b w:val="0"/>
          <w:bCs w:val="0"/>
        </w:rPr>
      </w:pPr>
      <w:r>
        <w:rPr>
          <w:rFonts w:ascii="Times New Roman" w:hAnsi="Times New Roman" w:cs="Times New Roman" w:eastAsia="Times New Roman" w:hint="default"/>
        </w:rPr>
        <w:t>45</w:t>
      </w:r>
      <w:r>
        <w:rPr/>
        <w:t>、</w:t>
      </w:r>
      <w:r>
        <w:rPr>
          <w:spacing w:val="-22"/>
        </w:rPr>
        <w:t> </w:t>
      </w:r>
      <w:r>
        <w:rPr/>
        <w:t>其他权益工具</w:t>
      </w:r>
      <w:r>
        <w:rPr>
          <w:b w:val="0"/>
          <w:bCs w:val="0"/>
        </w:rPr>
      </w:r>
    </w:p>
    <w:p>
      <w:pPr>
        <w:pStyle w:val="Heading4"/>
        <w:spacing w:line="240" w:lineRule="auto" w:before="129"/>
        <w:ind w:left="237" w:right="264"/>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1"/>
        </w:rPr>
        <w:t> </w:t>
      </w:r>
      <w:r>
        <w:rPr/>
        <w:t>期末发行在外的优先股、永续债等其他金融工具基本情况</w:t>
      </w:r>
      <w:r>
        <w:rPr>
          <w:b w:val="0"/>
          <w:bCs w:val="0"/>
        </w:rPr>
      </w:r>
    </w:p>
    <w:p>
      <w:pPr>
        <w:pStyle w:val="BodyText"/>
        <w:spacing w:line="240" w:lineRule="auto" w:before="129"/>
        <w:ind w:left="717" w:right="264"/>
        <w:jc w:val="left"/>
      </w:pPr>
      <w:r>
        <w:rPr/>
        <w:t>□适用 √不适用</w:t>
      </w:r>
    </w:p>
    <w:p>
      <w:pPr>
        <w:pStyle w:val="Heading4"/>
        <w:spacing w:line="240" w:lineRule="auto" w:before="145"/>
        <w:ind w:left="237" w:right="264"/>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0"/>
        </w:rPr>
        <w:t> </w:t>
      </w:r>
      <w:r>
        <w:rPr/>
        <w:t>期末发行在外的优先股、永续债等金融工具变动情况表</w:t>
      </w:r>
      <w:r>
        <w:rPr>
          <w:b w:val="0"/>
          <w:bCs w:val="0"/>
        </w:rPr>
      </w:r>
    </w:p>
    <w:p>
      <w:pPr>
        <w:pStyle w:val="BodyText"/>
        <w:spacing w:line="314" w:lineRule="auto" w:before="129"/>
        <w:ind w:left="657" w:right="264" w:firstLine="60"/>
        <w:jc w:val="left"/>
      </w:pPr>
      <w:r>
        <w:rPr/>
        <w:t>□适用</w:t>
      </w:r>
      <w:r>
        <w:rPr>
          <w:spacing w:val="-2"/>
        </w:rPr>
        <w:t> </w:t>
      </w:r>
      <w:r>
        <w:rPr/>
        <w:t>√不适用</w:t>
      </w:r>
      <w:r>
        <w:rPr>
          <w:w w:val="100"/>
        </w:rPr>
        <w:t> </w:t>
      </w:r>
      <w:r>
        <w:rPr>
          <w:spacing w:val="-2"/>
        </w:rPr>
        <w:t>其他权益工具本期增减变动情况、变动原因说明，以及相关会计处理的依据：</w:t>
      </w:r>
    </w:p>
    <w:p>
      <w:pPr>
        <w:pStyle w:val="BodyText"/>
        <w:spacing w:line="314" w:lineRule="auto" w:before="20"/>
        <w:ind w:left="657" w:right="7354"/>
        <w:jc w:val="left"/>
        <w:rPr>
          <w:rFonts w:ascii="宋体" w:hAnsi="宋体" w:cs="宋体" w:eastAsia="宋体" w:hint="default"/>
        </w:rPr>
      </w:pPr>
      <w:r>
        <w:rPr/>
        <w:t>□适用 √不适用</w:t>
      </w:r>
      <w:r>
        <w:rPr>
          <w:w w:val="100"/>
        </w:rPr>
        <w:t> </w:t>
      </w:r>
      <w:r>
        <w:rPr/>
        <w:t>其他说明</w:t>
      </w:r>
      <w:r>
        <w:rPr>
          <w:rFonts w:ascii="宋体" w:hAnsi="宋体" w:cs="宋体" w:eastAsia="宋体" w:hint="default"/>
        </w:rPr>
        <w:t>:</w:t>
      </w:r>
    </w:p>
    <w:p>
      <w:pPr>
        <w:pStyle w:val="BodyText"/>
        <w:spacing w:line="240" w:lineRule="auto" w:before="20"/>
        <w:ind w:left="657" w:right="264"/>
        <w:jc w:val="left"/>
      </w:pPr>
      <w:r>
        <w:rPr/>
        <w:t>□适用 √不适用</w:t>
      </w:r>
    </w:p>
    <w:p>
      <w:pPr>
        <w:pStyle w:val="Heading4"/>
        <w:spacing w:line="240" w:lineRule="auto" w:before="68"/>
        <w:ind w:left="237" w:right="264"/>
        <w:jc w:val="left"/>
        <w:rPr>
          <w:b w:val="0"/>
          <w:bCs w:val="0"/>
        </w:rPr>
      </w:pPr>
      <w:r>
        <w:rPr>
          <w:rFonts w:ascii="Times New Roman" w:hAnsi="Times New Roman" w:cs="Times New Roman" w:eastAsia="Times New Roman" w:hint="default"/>
        </w:rPr>
        <w:t>46</w:t>
      </w:r>
      <w:r>
        <w:rPr/>
        <w:t>、</w:t>
      </w:r>
      <w:r>
        <w:rPr>
          <w:spacing w:val="-22"/>
        </w:rPr>
        <w:t> </w:t>
      </w:r>
      <w:r>
        <w:rPr/>
        <w:t>资本公积</w:t>
      </w:r>
      <w:r>
        <w:rPr>
          <w:b w:val="0"/>
          <w:bCs w:val="0"/>
        </w:rPr>
      </w:r>
    </w:p>
    <w:p>
      <w:pPr>
        <w:pStyle w:val="BodyText"/>
        <w:spacing w:line="240" w:lineRule="auto" w:before="43"/>
        <w:ind w:left="717" w:right="264"/>
        <w:jc w:val="left"/>
      </w:pPr>
      <w:r>
        <w:rPr/>
        <w:t>√适用 □不适用</w:t>
      </w:r>
    </w:p>
    <w:p>
      <w:pPr>
        <w:pStyle w:val="BodyText"/>
        <w:tabs>
          <w:tab w:pos="1051" w:val="left" w:leader="none"/>
        </w:tabs>
        <w:spacing w:line="271" w:lineRule="exact"/>
        <w:ind w:left="0" w:right="5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64"/>
        <w:gridCol w:w="1774"/>
        <w:gridCol w:w="1808"/>
        <w:gridCol w:w="1790"/>
        <w:gridCol w:w="1789"/>
      </w:tblGrid>
      <w:tr>
        <w:trPr>
          <w:trHeight w:val="370"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6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6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6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30"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8" w:right="103"/>
              <w:jc w:val="left"/>
              <w:rPr>
                <w:rFonts w:ascii="宋体" w:hAnsi="宋体" w:cs="宋体" w:eastAsia="宋体" w:hint="default"/>
                <w:sz w:val="21"/>
                <w:szCs w:val="21"/>
              </w:rPr>
            </w:pPr>
            <w:r>
              <w:rPr>
                <w:rFonts w:ascii="宋体" w:hAnsi="宋体" w:cs="宋体" w:eastAsia="宋体" w:hint="default"/>
                <w:spacing w:val="-6"/>
                <w:sz w:val="21"/>
                <w:szCs w:val="21"/>
              </w:rPr>
              <w:t>资本溢价（股本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溢价）</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177,040,909.43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537,290,939.20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3,939,182.47</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710,392,666.16</w:t>
            </w:r>
          </w:p>
        </w:tc>
      </w:tr>
      <w:tr>
        <w:trPr>
          <w:trHeight w:val="370"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3,301,931.05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4,576,004.38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10,065,810.76</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-2,187,875.33</w:t>
            </w:r>
          </w:p>
        </w:tc>
      </w:tr>
      <w:tr>
        <w:trPr>
          <w:trHeight w:val="370"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180,342,840.48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541,866,943.58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14,004,993.23</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708,204,790.83</w:t>
            </w:r>
          </w:p>
        </w:tc>
      </w:tr>
    </w:tbl>
    <w:p>
      <w:pPr>
        <w:pStyle w:val="BodyText"/>
        <w:spacing w:line="241" w:lineRule="exact"/>
        <w:ind w:left="237" w:right="264"/>
        <w:jc w:val="left"/>
      </w:pPr>
      <w:r>
        <w:rPr/>
        <w:t>其他说明，包括本期增减变动情况、变动原因说明：</w:t>
      </w:r>
    </w:p>
    <w:p>
      <w:pPr>
        <w:spacing w:after="0" w:line="241" w:lineRule="exact"/>
        <w:jc w:val="left"/>
        <w:sectPr>
          <w:pgSz w:w="11910" w:h="16840"/>
          <w:pgMar w:header="857" w:footer="979" w:top="1120" w:bottom="1160" w:left="1040" w:right="1260"/>
        </w:sectPr>
      </w:pPr>
    </w:p>
    <w:p>
      <w:pPr>
        <w:spacing w:line="240" w:lineRule="auto" w:before="5"/>
        <w:rPr>
          <w:rFonts w:ascii="宋体" w:hAnsi="宋体" w:cs="宋体" w:eastAsia="宋体" w:hint="default"/>
          <w:sz w:val="24"/>
          <w:szCs w:val="24"/>
        </w:rPr>
      </w:pPr>
    </w:p>
    <w:p>
      <w:pPr>
        <w:pStyle w:val="BodyText"/>
        <w:spacing w:line="240" w:lineRule="auto" w:before="36"/>
        <w:ind w:left="717" w:right="0"/>
        <w:jc w:val="left"/>
      </w:pPr>
      <w:r>
        <w:rPr/>
        <w:t>注</w:t>
      </w:r>
      <w:r>
        <w:rPr>
          <w:spacing w:val="-55"/>
        </w:rPr>
        <w:t> </w:t>
      </w:r>
      <w:r>
        <w:rPr>
          <w:rFonts w:ascii="Times New Roman" w:hAnsi="Times New Roman" w:cs="Times New Roman" w:eastAsia="Times New Roman" w:hint="default"/>
        </w:rPr>
        <w:t>1</w:t>
      </w:r>
      <w:r>
        <w:rPr/>
        <w:t>：股本溢价变动原因：</w:t>
      </w:r>
    </w:p>
    <w:p>
      <w:pPr>
        <w:pStyle w:val="BodyText"/>
        <w:spacing w:line="304" w:lineRule="auto" w:before="69"/>
        <w:ind w:left="237" w:right="136" w:firstLine="420"/>
        <w:jc w:val="both"/>
      </w:pPr>
      <w:r>
        <w:rPr/>
        <w:t>本期增加系</w:t>
      </w:r>
      <w:r>
        <w:rPr>
          <w:rFonts w:ascii="Times New Roman" w:hAnsi="Times New Roman" w:cs="Times New Roman" w:eastAsia="Times New Roman" w:hint="default"/>
        </w:rPr>
        <w:t>:</w:t>
      </w:r>
      <w:r>
        <w:rPr/>
        <w:t>①本期增加</w:t>
      </w:r>
      <w:r>
        <w:rPr>
          <w:spacing w:val="-56"/>
        </w:rPr>
        <w:t> </w:t>
      </w:r>
      <w:r>
        <w:rPr>
          <w:rFonts w:ascii="Times New Roman" w:hAnsi="Times New Roman" w:cs="Times New Roman" w:eastAsia="Times New Roman" w:hint="default"/>
        </w:rPr>
        <w:t>531,550,051.12</w:t>
      </w:r>
      <w:r>
        <w:rPr>
          <w:rFonts w:ascii="Times New Roman" w:hAnsi="Times New Roman" w:cs="Times New Roman" w:eastAsia="Times New Roman" w:hint="default"/>
          <w:spacing w:val="-4"/>
        </w:rPr>
        <w:t> </w:t>
      </w:r>
      <w:r>
        <w:rPr/>
        <w:t>元系本期配股形成。②限制性股票激励计划首次授予</w:t>
      </w:r>
      <w:r>
        <w:rPr>
          <w:w w:val="100"/>
        </w:rPr>
        <w:t> </w:t>
      </w:r>
      <w:r>
        <w:rPr>
          <w:spacing w:val="-2"/>
        </w:rPr>
        <w:t>股票第二期解锁及预留授予股票第一期解锁的相应已以权益结算的股份支付计入资本公积的累计</w:t>
      </w:r>
      <w:r>
        <w:rPr>
          <w:spacing w:val="-25"/>
        </w:rPr>
        <w:t> </w:t>
      </w:r>
      <w:r>
        <w:rPr>
          <w:spacing w:val="-25"/>
        </w:rPr>
      </w:r>
      <w:r>
        <w:rPr/>
        <w:t>金额</w:t>
      </w:r>
      <w:r>
        <w:rPr>
          <w:spacing w:val="-55"/>
        </w:rPr>
        <w:t> </w:t>
      </w:r>
      <w:r>
        <w:rPr>
          <w:rFonts w:ascii="Times New Roman" w:hAnsi="Times New Roman" w:cs="Times New Roman" w:eastAsia="Times New Roman" w:hint="default"/>
        </w:rPr>
        <w:t>5,740,888.08</w:t>
      </w:r>
      <w:r>
        <w:rPr>
          <w:rFonts w:ascii="Times New Roman" w:hAnsi="Times New Roman" w:cs="Times New Roman" w:eastAsia="Times New Roman" w:hint="default"/>
          <w:spacing w:val="-2"/>
        </w:rPr>
        <w:t> </w:t>
      </w:r>
      <w:r>
        <w:rPr/>
        <w:t>元从其他资本公积转入股本溢价。</w:t>
      </w:r>
    </w:p>
    <w:p>
      <w:pPr>
        <w:pStyle w:val="BodyText"/>
        <w:spacing w:line="314" w:lineRule="auto" w:before="6"/>
        <w:ind w:left="237" w:right="130" w:firstLine="420"/>
        <w:jc w:val="both"/>
      </w:pPr>
      <w:r>
        <w:rPr>
          <w:spacing w:val="-2"/>
        </w:rPr>
        <w:t>本期减少系：本期对完成首次授予及预留部分限制性股票回购注销工作，对不符合解锁条件</w:t>
      </w:r>
      <w:r>
        <w:rPr>
          <w:w w:val="100"/>
        </w:rPr>
        <w:t> </w:t>
      </w:r>
      <w:r>
        <w:rPr/>
        <w:t>的</w:t>
      </w:r>
      <w:r>
        <w:rPr>
          <w:spacing w:val="-46"/>
        </w:rPr>
        <w:t> </w:t>
      </w:r>
      <w:r>
        <w:rPr>
          <w:rFonts w:ascii="宋体" w:hAnsi="宋体" w:cs="宋体" w:eastAsia="宋体" w:hint="default"/>
        </w:rPr>
        <w:t>28</w:t>
      </w:r>
      <w:r>
        <w:rPr>
          <w:rFonts w:ascii="宋体" w:hAnsi="宋体" w:cs="宋体" w:eastAsia="宋体" w:hint="default"/>
          <w:spacing w:val="-48"/>
        </w:rPr>
        <w:t> </w:t>
      </w:r>
      <w:r>
        <w:rPr/>
        <w:t>名首次授予对象合计持有的</w:t>
      </w:r>
      <w:r>
        <w:rPr>
          <w:spacing w:val="-46"/>
        </w:rPr>
        <w:t> </w:t>
      </w:r>
      <w:r>
        <w:rPr>
          <w:rFonts w:ascii="Times New Roman" w:hAnsi="Times New Roman" w:cs="Times New Roman" w:eastAsia="Times New Roman" w:hint="default"/>
        </w:rPr>
        <w:t>572,480</w:t>
      </w:r>
      <w:r>
        <w:rPr>
          <w:rFonts w:ascii="Times New Roman" w:hAnsi="Times New Roman" w:cs="Times New Roman" w:eastAsia="Times New Roman" w:hint="default"/>
          <w:spacing w:val="4"/>
        </w:rPr>
        <w:t> </w:t>
      </w:r>
      <w:r>
        <w:rPr>
          <w:spacing w:val="-3"/>
        </w:rPr>
        <w:t>股已获授权未解锁的限制性股票进行回购注销，相应减</w:t>
      </w:r>
    </w:p>
    <w:p>
      <w:pPr>
        <w:pStyle w:val="BodyText"/>
        <w:spacing w:line="288" w:lineRule="exact"/>
        <w:ind w:left="237" w:right="0"/>
        <w:jc w:val="both"/>
      </w:pPr>
      <w:r>
        <w:rPr/>
        <w:t>少股本溢价</w:t>
      </w:r>
      <w:r>
        <w:rPr>
          <w:spacing w:val="-52"/>
        </w:rPr>
        <w:t> </w:t>
      </w:r>
      <w:r>
        <w:rPr>
          <w:rFonts w:ascii="Times New Roman" w:hAnsi="Times New Roman" w:cs="Times New Roman" w:eastAsia="Times New Roman" w:hint="default"/>
        </w:rPr>
        <w:t>3,939,182.47</w:t>
      </w:r>
      <w:r>
        <w:rPr>
          <w:rFonts w:ascii="Times New Roman" w:hAnsi="Times New Roman" w:cs="Times New Roman" w:eastAsia="Times New Roman" w:hint="default"/>
          <w:spacing w:val="-2"/>
        </w:rPr>
        <w:t> </w:t>
      </w:r>
      <w:r>
        <w:rPr/>
        <w:t>元。</w:t>
      </w:r>
    </w:p>
    <w:p>
      <w:pPr>
        <w:pStyle w:val="BodyText"/>
        <w:spacing w:line="240" w:lineRule="auto" w:before="69"/>
        <w:ind w:left="657" w:right="0"/>
        <w:jc w:val="left"/>
      </w:pPr>
      <w:r>
        <w:rPr/>
        <w:t>注</w:t>
      </w:r>
      <w:r>
        <w:rPr>
          <w:spacing w:val="-53"/>
        </w:rPr>
        <w:t> </w:t>
      </w:r>
      <w:r>
        <w:rPr>
          <w:rFonts w:ascii="Times New Roman" w:hAnsi="Times New Roman" w:cs="Times New Roman" w:eastAsia="Times New Roman" w:hint="default"/>
        </w:rPr>
        <w:t>2</w:t>
      </w:r>
      <w:r>
        <w:rPr/>
        <w:t>：其他资本公积变动原因：</w:t>
      </w:r>
    </w:p>
    <w:p>
      <w:pPr>
        <w:pStyle w:val="BodyText"/>
        <w:spacing w:line="240" w:lineRule="auto" w:before="69"/>
        <w:ind w:left="657" w:right="0"/>
        <w:jc w:val="left"/>
      </w:pPr>
      <w:r>
        <w:rPr>
          <w:w w:val="100"/>
        </w:rPr>
        <w:t>本期</w:t>
      </w:r>
      <w:r>
        <w:rPr>
          <w:spacing w:val="-3"/>
          <w:w w:val="100"/>
        </w:rPr>
        <w:t>增</w:t>
      </w:r>
      <w:r>
        <w:rPr>
          <w:w w:val="100"/>
        </w:rPr>
        <w:t>加</w:t>
      </w:r>
      <w:r>
        <w:rPr>
          <w:spacing w:val="-3"/>
          <w:w w:val="100"/>
        </w:rPr>
        <w:t>系</w:t>
      </w:r>
      <w:r>
        <w:rPr>
          <w:spacing w:val="-106"/>
          <w:w w:val="100"/>
        </w:rPr>
        <w:t>：</w:t>
      </w:r>
      <w:r>
        <w:rPr>
          <w:spacing w:val="-3"/>
          <w:w w:val="100"/>
        </w:rPr>
        <w:t>①</w:t>
      </w:r>
      <w:r>
        <w:rPr>
          <w:w w:val="100"/>
        </w:rPr>
        <w:t>本</w:t>
      </w:r>
      <w:r>
        <w:rPr>
          <w:spacing w:val="-3"/>
          <w:w w:val="100"/>
        </w:rPr>
        <w:t>期</w:t>
      </w:r>
      <w:r>
        <w:rPr>
          <w:w w:val="100"/>
        </w:rPr>
        <w:t>公</w:t>
      </w:r>
      <w:r>
        <w:rPr>
          <w:spacing w:val="-3"/>
          <w:w w:val="100"/>
        </w:rPr>
        <w:t>司限</w:t>
      </w:r>
      <w:r>
        <w:rPr>
          <w:w w:val="100"/>
        </w:rPr>
        <w:t>制性</w:t>
      </w:r>
      <w:r>
        <w:rPr>
          <w:spacing w:val="-3"/>
          <w:w w:val="100"/>
        </w:rPr>
        <w:t>股</w:t>
      </w:r>
      <w:r>
        <w:rPr>
          <w:w w:val="100"/>
        </w:rPr>
        <w:t>票</w:t>
      </w:r>
      <w:r>
        <w:rPr>
          <w:spacing w:val="-3"/>
          <w:w w:val="100"/>
        </w:rPr>
        <w:t>应</w:t>
      </w:r>
      <w:r>
        <w:rPr>
          <w:w w:val="100"/>
        </w:rPr>
        <w:t>分</w:t>
      </w:r>
      <w:r>
        <w:rPr>
          <w:spacing w:val="-3"/>
          <w:w w:val="100"/>
        </w:rPr>
        <w:t>摊</w:t>
      </w:r>
      <w:r>
        <w:rPr>
          <w:w w:val="100"/>
        </w:rPr>
        <w:t>的</w:t>
      </w:r>
      <w:r>
        <w:rPr>
          <w:spacing w:val="-3"/>
          <w:w w:val="100"/>
        </w:rPr>
        <w:t>成</w:t>
      </w:r>
      <w:r>
        <w:rPr>
          <w:w w:val="100"/>
        </w:rPr>
        <w:t>本</w:t>
      </w:r>
      <w:r>
        <w:rPr>
          <w:spacing w:val="-3"/>
          <w:w w:val="100"/>
        </w:rPr>
        <w:t>费</w:t>
      </w:r>
      <w:r>
        <w:rPr>
          <w:w w:val="100"/>
        </w:rPr>
        <w:t>用为</w:t>
      </w:r>
      <w:r>
        <w:rPr>
          <w:spacing w:val="-74"/>
        </w:rPr>
        <w:t> </w:t>
      </w:r>
      <w:r>
        <w:rPr>
          <w:rFonts w:ascii="Times New Roman" w:hAnsi="Times New Roman" w:cs="Times New Roman" w:eastAsia="Times New Roman" w:hint="default"/>
          <w:w w:val="100"/>
        </w:rPr>
        <w:t>3,32</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,891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27</w:t>
      </w:r>
      <w:r>
        <w:rPr>
          <w:rFonts w:ascii="Times New Roman" w:hAnsi="Times New Roman" w:cs="Times New Roman" w:eastAsia="Times New Roman" w:hint="default"/>
          <w:spacing w:val="-22"/>
        </w:rPr>
        <w:t> </w:t>
      </w:r>
      <w:r>
        <w:rPr>
          <w:w w:val="100"/>
        </w:rPr>
        <w:t>元</w:t>
      </w:r>
      <w:r>
        <w:rPr>
          <w:spacing w:val="-3"/>
          <w:w w:val="100"/>
        </w:rPr>
        <w:t>计</w:t>
      </w:r>
      <w:r>
        <w:rPr>
          <w:w w:val="100"/>
        </w:rPr>
        <w:t>入</w:t>
      </w:r>
      <w:r>
        <w:rPr>
          <w:spacing w:val="-3"/>
          <w:w w:val="100"/>
        </w:rPr>
        <w:t>其</w:t>
      </w:r>
      <w:r>
        <w:rPr>
          <w:w w:val="100"/>
        </w:rPr>
        <w:t>他资</w:t>
      </w:r>
      <w:r>
        <w:rPr>
          <w:spacing w:val="-3"/>
          <w:w w:val="100"/>
        </w:rPr>
        <w:t>本</w:t>
      </w:r>
      <w:r>
        <w:rPr>
          <w:w w:val="100"/>
        </w:rPr>
        <w:t>公</w:t>
      </w:r>
      <w:r>
        <w:rPr>
          <w:spacing w:val="-3"/>
          <w:w w:val="100"/>
        </w:rPr>
        <w:t>积</w:t>
      </w:r>
      <w:r>
        <w:rPr>
          <w:w w:val="100"/>
        </w:rPr>
        <w:t>。</w:t>
      </w:r>
    </w:p>
    <w:p>
      <w:pPr>
        <w:pStyle w:val="BodyText"/>
        <w:spacing w:line="314" w:lineRule="auto" w:before="70"/>
        <w:ind w:left="237" w:right="138"/>
        <w:jc w:val="both"/>
      </w:pPr>
      <w:r>
        <w:rPr>
          <w:spacing w:val="-2"/>
        </w:rPr>
        <w:t>②本期因转让福建神威系统集成有限责任公司部份股权，原收购价款与应享有的相关可辨认净资</w:t>
      </w:r>
      <w:r>
        <w:rPr>
          <w:spacing w:val="-25"/>
        </w:rPr>
        <w:t> </w:t>
      </w:r>
      <w:r>
        <w:rPr>
          <w:spacing w:val="-25"/>
        </w:rPr>
      </w:r>
      <w:r>
        <w:rPr>
          <w:spacing w:val="-1"/>
        </w:rPr>
        <w:t>产份额公允价值的差额计入其他资本公积</w:t>
      </w:r>
      <w:r>
        <w:rPr>
          <w:rFonts w:ascii="Times New Roman" w:hAnsi="Times New Roman" w:cs="Times New Roman" w:eastAsia="Times New Roman" w:hint="default"/>
          <w:spacing w:val="-1"/>
        </w:rPr>
        <w:t>-1,252,113.11</w:t>
      </w:r>
      <w:r>
        <w:rPr>
          <w:rFonts w:ascii="Times New Roman" w:hAnsi="Times New Roman" w:cs="Times New Roman" w:eastAsia="Times New Roman" w:hint="default"/>
          <w:spacing w:val="41"/>
        </w:rPr>
        <w:t> </w:t>
      </w:r>
      <w:r>
        <w:rPr>
          <w:spacing w:val="-2"/>
        </w:rPr>
        <w:t>元于本期转出。</w:t>
      </w:r>
    </w:p>
    <w:p>
      <w:pPr>
        <w:pStyle w:val="BodyText"/>
        <w:spacing w:line="309" w:lineRule="auto"/>
        <w:ind w:left="237" w:right="138" w:firstLine="420"/>
        <w:jc w:val="both"/>
      </w:pPr>
      <w:r>
        <w:rPr>
          <w:spacing w:val="-2"/>
        </w:rPr>
        <w:t>本期减少系：①限制性股票激励计划首次授予股票第二期解锁及预留授予股票第一期解锁的</w:t>
      </w:r>
      <w:r>
        <w:rPr>
          <w:w w:val="100"/>
        </w:rPr>
        <w:t> </w:t>
      </w:r>
      <w:r>
        <w:rPr/>
        <w:t>相应已以权益结算的股份支付计入资本公积的累计金额</w:t>
      </w:r>
      <w:r>
        <w:rPr>
          <w:spacing w:val="-55"/>
        </w:rPr>
        <w:t> </w:t>
      </w:r>
      <w:r>
        <w:rPr>
          <w:rFonts w:ascii="Times New Roman" w:hAnsi="Times New Roman" w:cs="Times New Roman" w:eastAsia="Times New Roman" w:hint="default"/>
        </w:rPr>
        <w:t>5,740,888.08</w:t>
      </w:r>
      <w:r>
        <w:rPr>
          <w:rFonts w:ascii="Times New Roman" w:hAnsi="Times New Roman" w:cs="Times New Roman" w:eastAsia="Times New Roman" w:hint="default"/>
          <w:spacing w:val="-2"/>
        </w:rPr>
        <w:t> </w:t>
      </w:r>
      <w:r>
        <w:rPr/>
        <w:t>元从其他资本公积转入股本</w:t>
      </w:r>
      <w:r>
        <w:rPr>
          <w:w w:val="100"/>
        </w:rPr>
        <w:t> </w:t>
      </w:r>
      <w:r>
        <w:rPr>
          <w:spacing w:val="-2"/>
        </w:rPr>
        <w:t>溢价。②本期收购福建南慧大数据科技有限公司少数股权，收购价款与应享有的相关可辨认净资</w:t>
      </w:r>
      <w:r>
        <w:rPr>
          <w:spacing w:val="-26"/>
        </w:rPr>
        <w:t> </w:t>
      </w:r>
      <w:r>
        <w:rPr>
          <w:spacing w:val="-26"/>
        </w:rPr>
      </w:r>
      <w:r>
        <w:rPr/>
        <w:t>产份额公允价值的差额</w:t>
      </w:r>
      <w:r>
        <w:rPr>
          <w:spacing w:val="-57"/>
        </w:rPr>
        <w:t> </w:t>
      </w:r>
      <w:r>
        <w:rPr>
          <w:rFonts w:ascii="Times New Roman" w:hAnsi="Times New Roman" w:cs="Times New Roman" w:eastAsia="Times New Roman" w:hint="default"/>
        </w:rPr>
        <w:t>439,768.99</w:t>
      </w:r>
      <w:r>
        <w:rPr>
          <w:rFonts w:ascii="Times New Roman" w:hAnsi="Times New Roman" w:cs="Times New Roman" w:eastAsia="Times New Roman" w:hint="default"/>
          <w:spacing w:val="-4"/>
        </w:rPr>
        <w:t> </w:t>
      </w:r>
      <w:r>
        <w:rPr/>
        <w:t>元冲减资本公积。③限制性股票允许税前扣除金额与会计准则</w:t>
      </w:r>
    </w:p>
    <w:p>
      <w:pPr>
        <w:pStyle w:val="BodyText"/>
        <w:spacing w:line="304" w:lineRule="auto" w:before="2"/>
        <w:ind w:left="237" w:right="138"/>
        <w:jc w:val="both"/>
      </w:pPr>
      <w:r>
        <w:rPr/>
        <w:t>规定确认的与股份支付相关的成本费用时间性差异影响减少其他资本公积</w:t>
      </w:r>
      <w:r>
        <w:rPr>
          <w:spacing w:val="-56"/>
        </w:rPr>
        <w:t> </w:t>
      </w:r>
      <w:r>
        <w:rPr>
          <w:rFonts w:ascii="Times New Roman" w:hAnsi="Times New Roman" w:cs="Times New Roman" w:eastAsia="Times New Roman" w:hint="default"/>
        </w:rPr>
        <w:t>714,768.51</w:t>
      </w:r>
      <w:r>
        <w:rPr>
          <w:rFonts w:ascii="Times New Roman" w:hAnsi="Times New Roman" w:cs="Times New Roman" w:eastAsia="Times New Roman" w:hint="default"/>
          <w:spacing w:val="-3"/>
        </w:rPr>
        <w:t> </w:t>
      </w:r>
      <w:r>
        <w:rPr/>
        <w:t>元。④因成</w:t>
      </w:r>
      <w:r>
        <w:rPr>
          <w:w w:val="100"/>
        </w:rPr>
        <w:t> </w:t>
      </w:r>
      <w:r>
        <w:rPr>
          <w:spacing w:val="-2"/>
        </w:rPr>
        <w:t>都四方伟业软件有限公司除净损益以外所有者权益的其他变动，公司按权益法核算减少资本公积</w:t>
      </w:r>
      <w:r>
        <w:rPr>
          <w:spacing w:val="-25"/>
        </w:rPr>
        <w:t> </w:t>
      </w:r>
      <w:r>
        <w:rPr>
          <w:spacing w:val="-25"/>
        </w:rPr>
      </w:r>
      <w:r>
        <w:rPr>
          <w:rFonts w:ascii="Times New Roman" w:hAnsi="Times New Roman" w:cs="Times New Roman" w:eastAsia="Times New Roman" w:hint="default"/>
        </w:rPr>
        <w:t>3,170,385.18</w:t>
      </w:r>
      <w:r>
        <w:rPr>
          <w:rFonts w:ascii="Times New Roman" w:hAnsi="Times New Roman" w:cs="Times New Roman" w:eastAsia="Times New Roman" w:hint="default"/>
          <w:spacing w:val="2"/>
        </w:rPr>
        <w:t> </w:t>
      </w:r>
      <w:r>
        <w:rPr>
          <w:spacing w:val="-3"/>
        </w:rPr>
        <w:t>元。</w:t>
      </w:r>
      <w:r>
        <w:rPr/>
      </w:r>
    </w:p>
    <w:p>
      <w:pPr>
        <w:pStyle w:val="Heading4"/>
        <w:spacing w:line="281" w:lineRule="exact" w:before="0"/>
        <w:ind w:left="237" w:right="0"/>
        <w:jc w:val="both"/>
        <w:rPr>
          <w:b w:val="0"/>
          <w:bCs w:val="0"/>
        </w:rPr>
      </w:pPr>
      <w:r>
        <w:rPr>
          <w:rFonts w:ascii="Times New Roman" w:hAnsi="Times New Roman" w:cs="Times New Roman" w:eastAsia="Times New Roman" w:hint="default"/>
        </w:rPr>
        <w:t>47</w:t>
      </w:r>
      <w:r>
        <w:rPr/>
        <w:t>、</w:t>
      </w:r>
      <w:r>
        <w:rPr>
          <w:spacing w:val="-23"/>
        </w:rPr>
        <w:t> </w:t>
      </w:r>
      <w:r>
        <w:rPr/>
        <w:t>库存股</w:t>
      </w:r>
      <w:r>
        <w:rPr>
          <w:b w:val="0"/>
          <w:bCs w:val="0"/>
        </w:rPr>
      </w:r>
    </w:p>
    <w:p>
      <w:pPr>
        <w:pStyle w:val="BodyText"/>
        <w:spacing w:line="240" w:lineRule="auto" w:before="40"/>
        <w:ind w:left="717" w:right="0"/>
        <w:jc w:val="left"/>
      </w:pPr>
      <w:r>
        <w:rPr/>
        <w:t>√适用 □不适用</w:t>
      </w:r>
    </w:p>
    <w:p>
      <w:pPr>
        <w:pStyle w:val="BodyText"/>
        <w:tabs>
          <w:tab w:pos="1051" w:val="left" w:leader="none"/>
        </w:tabs>
        <w:spacing w:line="274" w:lineRule="exact"/>
        <w:ind w:left="0" w:right="1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68"/>
        <w:gridCol w:w="1762"/>
        <w:gridCol w:w="1788"/>
        <w:gridCol w:w="1802"/>
        <w:gridCol w:w="1803"/>
      </w:tblGrid>
      <w:tr>
        <w:trPr>
          <w:trHeight w:val="37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3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8" w:right="104"/>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制</w:t>
            </w:r>
            <w:r>
              <w:rPr>
                <w:rFonts w:ascii="宋体" w:hAnsi="宋体" w:cs="宋体" w:eastAsia="宋体" w:hint="default"/>
                <w:spacing w:val="-69"/>
                <w:sz w:val="21"/>
                <w:szCs w:val="21"/>
              </w:rPr>
              <w:t> </w:t>
            </w:r>
            <w:r>
              <w:rPr>
                <w:rFonts w:ascii="宋体" w:hAnsi="宋体" w:cs="宋体" w:eastAsia="宋体" w:hint="default"/>
                <w:sz w:val="21"/>
                <w:szCs w:val="21"/>
              </w:rPr>
              <w:t>性</w:t>
            </w:r>
            <w:r>
              <w:rPr>
                <w:rFonts w:ascii="宋体" w:hAnsi="宋体" w:cs="宋体" w:eastAsia="宋体" w:hint="default"/>
                <w:spacing w:val="-69"/>
                <w:sz w:val="21"/>
                <w:szCs w:val="21"/>
              </w:rPr>
              <w:t> </w:t>
            </w: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票</w:t>
            </w:r>
            <w:r>
              <w:rPr>
                <w:rFonts w:ascii="宋体" w:hAnsi="宋体" w:cs="宋体" w:eastAsia="宋体" w:hint="default"/>
                <w:spacing w:val="-69"/>
                <w:sz w:val="21"/>
                <w:szCs w:val="21"/>
              </w:rPr>
              <w:t> </w:t>
            </w:r>
            <w:r>
              <w:rPr>
                <w:rFonts w:ascii="宋体" w:hAnsi="宋体" w:cs="宋体" w:eastAsia="宋体" w:hint="default"/>
                <w:sz w:val="21"/>
                <w:szCs w:val="21"/>
              </w:rPr>
              <w:t>激</w:t>
            </w:r>
            <w:r>
              <w:rPr>
                <w:rFonts w:ascii="宋体" w:hAnsi="宋体" w:cs="宋体" w:eastAsia="宋体" w:hint="default"/>
                <w:w w:val="100"/>
                <w:sz w:val="21"/>
                <w:szCs w:val="21"/>
              </w:rPr>
              <w:t> </w:t>
            </w:r>
            <w:r>
              <w:rPr>
                <w:rFonts w:ascii="宋体" w:hAnsi="宋体" w:cs="宋体" w:eastAsia="宋体" w:hint="default"/>
                <w:sz w:val="21"/>
                <w:szCs w:val="21"/>
              </w:rPr>
              <w:t>励</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36" w:right="0"/>
              <w:jc w:val="left"/>
              <w:rPr>
                <w:rFonts w:ascii="Times New Roman" w:hAnsi="Times New Roman" w:cs="Times New Roman" w:eastAsia="Times New Roman" w:hint="default"/>
                <w:sz w:val="21"/>
                <w:szCs w:val="21"/>
              </w:rPr>
            </w:pPr>
            <w:r>
              <w:rPr>
                <w:rFonts w:ascii="Times New Roman"/>
                <w:sz w:val="21"/>
              </w:rPr>
              <w:t>39,887,176.32</w:t>
            </w:r>
          </w:p>
        </w:tc>
        <w:tc>
          <w:tcPr>
            <w:tcW w:w="178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77" w:right="0"/>
              <w:jc w:val="left"/>
              <w:rPr>
                <w:rFonts w:ascii="Times New Roman" w:hAnsi="Times New Roman" w:cs="Times New Roman" w:eastAsia="Times New Roman" w:hint="default"/>
                <w:sz w:val="21"/>
                <w:szCs w:val="21"/>
              </w:rPr>
            </w:pPr>
            <w:r>
              <w:rPr>
                <w:rFonts w:ascii="Times New Roman"/>
                <w:sz w:val="21"/>
              </w:rPr>
              <w:t>24,154,507.70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77" w:right="0"/>
              <w:jc w:val="left"/>
              <w:rPr>
                <w:rFonts w:ascii="Times New Roman" w:hAnsi="Times New Roman" w:cs="Times New Roman" w:eastAsia="Times New Roman" w:hint="default"/>
                <w:sz w:val="21"/>
                <w:szCs w:val="21"/>
              </w:rPr>
            </w:pPr>
            <w:r>
              <w:rPr>
                <w:rFonts w:ascii="Times New Roman"/>
                <w:sz w:val="21"/>
              </w:rPr>
              <w:t>15,732,668.62</w:t>
            </w:r>
          </w:p>
        </w:tc>
      </w:tr>
      <w:tr>
        <w:trPr>
          <w:trHeight w:val="37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21"/>
                <w:szCs w:val="21"/>
              </w:rPr>
            </w:pPr>
            <w:r>
              <w:rPr>
                <w:rFonts w:ascii="Times New Roman"/>
                <w:sz w:val="21"/>
              </w:rPr>
              <w:t>39,887,176.32</w:t>
            </w:r>
          </w:p>
        </w:tc>
        <w:tc>
          <w:tcPr>
            <w:tcW w:w="178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7" w:right="0"/>
              <w:jc w:val="left"/>
              <w:rPr>
                <w:rFonts w:ascii="Times New Roman" w:hAnsi="Times New Roman" w:cs="Times New Roman" w:eastAsia="Times New Roman" w:hint="default"/>
                <w:sz w:val="21"/>
                <w:szCs w:val="21"/>
              </w:rPr>
            </w:pPr>
            <w:r>
              <w:rPr>
                <w:rFonts w:ascii="Times New Roman"/>
                <w:sz w:val="21"/>
              </w:rPr>
              <w:t>24,154,507.70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7" w:right="0"/>
              <w:jc w:val="left"/>
              <w:rPr>
                <w:rFonts w:ascii="Times New Roman" w:hAnsi="Times New Roman" w:cs="Times New Roman" w:eastAsia="Times New Roman" w:hint="default"/>
                <w:sz w:val="21"/>
                <w:szCs w:val="21"/>
              </w:rPr>
            </w:pPr>
            <w:r>
              <w:rPr>
                <w:rFonts w:ascii="Times New Roman"/>
                <w:sz w:val="21"/>
              </w:rPr>
              <w:t>15,732,668.62</w:t>
            </w:r>
          </w:p>
        </w:tc>
      </w:tr>
    </w:tbl>
    <w:p>
      <w:pPr>
        <w:pStyle w:val="BodyText"/>
        <w:spacing w:line="241" w:lineRule="exact"/>
        <w:ind w:left="237" w:right="0"/>
        <w:jc w:val="left"/>
      </w:pPr>
      <w:r>
        <w:rPr/>
        <w:t>其他说明，包括本期增减变动情况、变动原因说明：</w:t>
      </w:r>
    </w:p>
    <w:p>
      <w:pPr>
        <w:pStyle w:val="BodyText"/>
        <w:spacing w:line="240" w:lineRule="auto" w:before="75"/>
        <w:ind w:left="717" w:right="0"/>
        <w:jc w:val="left"/>
      </w:pPr>
      <w:r>
        <w:rPr/>
        <w:t>注</w:t>
      </w:r>
      <w:r>
        <w:rPr>
          <w:spacing w:val="-55"/>
        </w:rPr>
        <w:t> </w:t>
      </w:r>
      <w:r>
        <w:rPr>
          <w:rFonts w:ascii="Times New Roman" w:hAnsi="Times New Roman" w:cs="Times New Roman" w:eastAsia="Times New Roman" w:hint="default"/>
        </w:rPr>
        <w:t>1</w:t>
      </w:r>
      <w:r>
        <w:rPr/>
        <w:t>：根据公司</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年年度股东大会审议通过《关于公司</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年度利润分配的预案》，以</w:t>
      </w:r>
    </w:p>
    <w:p>
      <w:pPr>
        <w:pStyle w:val="BodyText"/>
        <w:spacing w:line="240" w:lineRule="auto" w:before="69"/>
        <w:ind w:left="237" w:right="0"/>
        <w:jc w:val="left"/>
      </w:pPr>
      <w:r>
        <w:rPr/>
        <w:t>截止</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日的总股本</w:t>
      </w:r>
      <w:r>
        <w:rPr>
          <w:spacing w:val="-53"/>
        </w:rPr>
        <w:t> </w:t>
      </w:r>
      <w:r>
        <w:rPr>
          <w:rFonts w:ascii="Times New Roman" w:hAnsi="Times New Roman" w:cs="Times New Roman" w:eastAsia="Times New Roman" w:hint="default"/>
        </w:rPr>
        <w:t>527,256,952</w:t>
      </w:r>
      <w:r>
        <w:rPr>
          <w:rFonts w:ascii="Times New Roman" w:hAnsi="Times New Roman" w:cs="Times New Roman" w:eastAsia="Times New Roman" w:hint="default"/>
          <w:spacing w:val="-4"/>
        </w:rPr>
        <w:t> </w:t>
      </w:r>
      <w:r>
        <w:rPr/>
        <w:t>股为基数，每股派发现金红利</w:t>
      </w:r>
      <w:r>
        <w:rPr>
          <w:spacing w:val="-54"/>
        </w:rPr>
        <w:t> </w:t>
      </w:r>
      <w:r>
        <w:rPr>
          <w:rFonts w:ascii="Times New Roman" w:hAnsi="Times New Roman" w:cs="Times New Roman" w:eastAsia="Times New Roman" w:hint="default"/>
        </w:rPr>
        <w:t>0.20</w:t>
      </w:r>
      <w:r>
        <w:rPr>
          <w:rFonts w:ascii="Times New Roman" w:hAnsi="Times New Roman" w:cs="Times New Roman" w:eastAsia="Times New Roman" w:hint="default"/>
          <w:spacing w:val="-1"/>
        </w:rPr>
        <w:t> </w:t>
      </w:r>
      <w:r>
        <w:rPr/>
        <w:t>元（含税），分</w:t>
      </w:r>
    </w:p>
    <w:p>
      <w:pPr>
        <w:pStyle w:val="BodyText"/>
        <w:spacing w:line="240" w:lineRule="auto" w:before="70"/>
        <w:ind w:left="237" w:right="0"/>
        <w:jc w:val="left"/>
      </w:pPr>
      <w:r>
        <w:rPr/>
        <w:t>配股利中对限制性股份分配股利</w:t>
      </w:r>
      <w:r>
        <w:rPr>
          <w:spacing w:val="-54"/>
        </w:rPr>
        <w:t> </w:t>
      </w:r>
      <w:r>
        <w:rPr>
          <w:rFonts w:ascii="Times New Roman" w:hAnsi="Times New Roman" w:cs="Times New Roman" w:eastAsia="Times New Roman" w:hint="default"/>
        </w:rPr>
        <w:t>909,422.40</w:t>
      </w:r>
      <w:r>
        <w:rPr>
          <w:rFonts w:ascii="Times New Roman" w:hAnsi="Times New Roman" w:cs="Times New Roman" w:eastAsia="Times New Roman" w:hint="default"/>
          <w:spacing w:val="-1"/>
        </w:rPr>
        <w:t> </w:t>
      </w:r>
      <w:r>
        <w:rPr/>
        <w:t>元，相应减少库存股</w:t>
      </w:r>
      <w:r>
        <w:rPr>
          <w:spacing w:val="-54"/>
        </w:rPr>
        <w:t> </w:t>
      </w:r>
      <w:r>
        <w:rPr>
          <w:rFonts w:ascii="Times New Roman" w:hAnsi="Times New Roman" w:cs="Times New Roman" w:eastAsia="Times New Roman" w:hint="default"/>
        </w:rPr>
        <w:t>909,422.40</w:t>
      </w:r>
      <w:r>
        <w:rPr>
          <w:rFonts w:ascii="Times New Roman" w:hAnsi="Times New Roman" w:cs="Times New Roman" w:eastAsia="Times New Roman" w:hint="default"/>
          <w:spacing w:val="-4"/>
        </w:rPr>
        <w:t> </w:t>
      </w:r>
      <w:r>
        <w:rPr/>
        <w:t>元。</w:t>
      </w:r>
    </w:p>
    <w:p>
      <w:pPr>
        <w:pStyle w:val="BodyText"/>
        <w:spacing w:line="240" w:lineRule="auto" w:before="69"/>
        <w:ind w:left="657" w:right="0"/>
        <w:jc w:val="left"/>
        <w:rPr>
          <w:rFonts w:ascii="Times New Roman" w:hAnsi="Times New Roman" w:cs="Times New Roman" w:eastAsia="Times New Roman" w:hint="default"/>
        </w:rPr>
      </w:pPr>
      <w:r>
        <w:rPr>
          <w:w w:val="100"/>
        </w:rPr>
        <w:t>注</w:t>
      </w:r>
      <w:r>
        <w:rPr>
          <w:spacing w:val="-57"/>
        </w:rPr>
        <w:t> </w:t>
      </w:r>
      <w:r>
        <w:rPr>
          <w:rFonts w:ascii="Times New Roman" w:hAnsi="Times New Roman" w:cs="Times New Roman" w:eastAsia="Times New Roman" w:hint="default"/>
          <w:spacing w:val="-1"/>
          <w:w w:val="100"/>
        </w:rPr>
        <w:t>2</w:t>
      </w:r>
      <w:r>
        <w:rPr>
          <w:spacing w:val="-108"/>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spacing w:val="-7"/>
        </w:rPr>
        <w:t> </w:t>
      </w:r>
      <w:r>
        <w:rPr>
          <w:w w:val="100"/>
        </w:rPr>
        <w:t>年</w:t>
      </w:r>
      <w:r>
        <w:rPr>
          <w:spacing w:val="-6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7"/>
        </w:rPr>
        <w:t> </w:t>
      </w:r>
      <w:r>
        <w:rPr>
          <w:w w:val="100"/>
        </w:rPr>
        <w:t>月</w:t>
      </w:r>
      <w:r>
        <w:rPr>
          <w:spacing w:val="-57"/>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0</w:t>
      </w:r>
      <w:r>
        <w:rPr>
          <w:rFonts w:ascii="Times New Roman" w:hAnsi="Times New Roman" w:cs="Times New Roman" w:eastAsia="Times New Roman" w:hint="default"/>
          <w:spacing w:val="-5"/>
        </w:rPr>
        <w:t> </w:t>
      </w:r>
      <w:r>
        <w:rPr>
          <w:w w:val="100"/>
        </w:rPr>
        <w:t>日</w:t>
      </w:r>
      <w:r>
        <w:rPr>
          <w:spacing w:val="-108"/>
          <w:w w:val="100"/>
        </w:rPr>
        <w:t>，</w:t>
      </w:r>
      <w:r>
        <w:rPr>
          <w:spacing w:val="-3"/>
          <w:w w:val="100"/>
        </w:rPr>
        <w:t>公</w:t>
      </w:r>
      <w:r>
        <w:rPr>
          <w:w w:val="100"/>
        </w:rPr>
        <w:t>司配</w:t>
      </w:r>
      <w:r>
        <w:rPr>
          <w:spacing w:val="-3"/>
          <w:w w:val="100"/>
        </w:rPr>
        <w:t>股</w:t>
      </w:r>
      <w:r>
        <w:rPr>
          <w:w w:val="100"/>
        </w:rPr>
        <w:t>新</w:t>
      </w:r>
      <w:r>
        <w:rPr>
          <w:spacing w:val="-3"/>
          <w:w w:val="100"/>
        </w:rPr>
        <w:t>增</w:t>
      </w:r>
      <w:r>
        <w:rPr>
          <w:w w:val="100"/>
        </w:rPr>
        <w:t>股</w:t>
      </w:r>
      <w:r>
        <w:rPr>
          <w:spacing w:val="-3"/>
          <w:w w:val="100"/>
        </w:rPr>
        <w:t>份</w:t>
      </w:r>
      <w:r>
        <w:rPr>
          <w:w w:val="100"/>
        </w:rPr>
        <w:t>上</w:t>
      </w:r>
      <w:r>
        <w:rPr>
          <w:spacing w:val="-3"/>
          <w:w w:val="100"/>
        </w:rPr>
        <w:t>市</w:t>
      </w:r>
      <w:r>
        <w:rPr>
          <w:w w:val="100"/>
        </w:rPr>
        <w:t>流</w:t>
      </w:r>
      <w:r>
        <w:rPr>
          <w:spacing w:val="-3"/>
          <w:w w:val="100"/>
        </w:rPr>
        <w:t>通</w:t>
      </w:r>
      <w:r>
        <w:rPr>
          <w:spacing w:val="-108"/>
          <w:w w:val="100"/>
        </w:rPr>
        <w:t>，</w:t>
      </w:r>
      <w:r>
        <w:rPr>
          <w:w w:val="100"/>
        </w:rPr>
        <w:t>本次</w:t>
      </w:r>
      <w:r>
        <w:rPr>
          <w:spacing w:val="-3"/>
          <w:w w:val="100"/>
        </w:rPr>
        <w:t>配</w:t>
      </w:r>
      <w:r>
        <w:rPr>
          <w:w w:val="100"/>
        </w:rPr>
        <w:t>售</w:t>
      </w:r>
      <w:r>
        <w:rPr>
          <w:spacing w:val="-3"/>
          <w:w w:val="100"/>
        </w:rPr>
        <w:t>增</w:t>
      </w:r>
      <w:r>
        <w:rPr>
          <w:w w:val="100"/>
        </w:rPr>
        <w:t>加</w:t>
      </w:r>
      <w:r>
        <w:rPr>
          <w:spacing w:val="-3"/>
          <w:w w:val="100"/>
        </w:rPr>
        <w:t>的</w:t>
      </w:r>
      <w:r>
        <w:rPr>
          <w:w w:val="100"/>
        </w:rPr>
        <w:t>股</w:t>
      </w:r>
      <w:r>
        <w:rPr>
          <w:spacing w:val="-3"/>
          <w:w w:val="100"/>
        </w:rPr>
        <w:t>份</w:t>
      </w:r>
      <w:r>
        <w:rPr>
          <w:w w:val="100"/>
        </w:rPr>
        <w:t>总</w:t>
      </w:r>
      <w:r>
        <w:rPr>
          <w:spacing w:val="-3"/>
          <w:w w:val="100"/>
        </w:rPr>
        <w:t>数</w:t>
      </w:r>
      <w:r>
        <w:rPr>
          <w:w w:val="100"/>
        </w:rPr>
        <w:t>为</w:t>
      </w:r>
      <w:r>
        <w:rPr>
          <w:spacing w:val="-57"/>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9,152</w:t>
      </w:r>
    </w:p>
    <w:p>
      <w:pPr>
        <w:pStyle w:val="BodyText"/>
        <w:spacing w:line="240" w:lineRule="auto" w:before="69"/>
        <w:ind w:left="237" w:right="0"/>
        <w:jc w:val="left"/>
      </w:pPr>
      <w:r>
        <w:rPr>
          <w:spacing w:val="-4"/>
        </w:rPr>
        <w:t>股，公司本次限制性股票激励计划首次授予限制性股票价格由</w:t>
      </w:r>
      <w:r>
        <w:rPr>
          <w:spacing w:val="-40"/>
        </w:rPr>
        <w:t> </w:t>
      </w:r>
      <w:r>
        <w:rPr>
          <w:rFonts w:ascii="Times New Roman" w:hAnsi="Times New Roman" w:cs="Times New Roman" w:eastAsia="Times New Roman" w:hint="default"/>
        </w:rPr>
        <w:t>8.985</w:t>
      </w:r>
      <w:r>
        <w:rPr>
          <w:rFonts w:ascii="Times New Roman" w:hAnsi="Times New Roman" w:cs="Times New Roman" w:eastAsia="Times New Roman" w:hint="default"/>
          <w:spacing w:val="13"/>
        </w:rPr>
        <w:t> </w:t>
      </w:r>
      <w:r>
        <w:rPr/>
        <w:t>元</w:t>
      </w:r>
      <w:r>
        <w:rPr>
          <w:rFonts w:ascii="Times New Roman" w:hAnsi="Times New Roman" w:cs="Times New Roman" w:eastAsia="Times New Roman" w:hint="default"/>
        </w:rPr>
        <w:t>/</w:t>
      </w:r>
      <w:r>
        <w:rPr/>
        <w:t>股调整为</w:t>
      </w:r>
      <w:r>
        <w:rPr>
          <w:spacing w:val="-40"/>
        </w:rPr>
        <w:t> </w:t>
      </w:r>
      <w:r>
        <w:rPr>
          <w:rFonts w:ascii="Times New Roman" w:hAnsi="Times New Roman" w:cs="Times New Roman" w:eastAsia="Times New Roman" w:hint="default"/>
        </w:rPr>
        <w:t>8.1393</w:t>
      </w:r>
      <w:r>
        <w:rPr>
          <w:rFonts w:ascii="Times New Roman" w:hAnsi="Times New Roman" w:cs="Times New Roman" w:eastAsia="Times New Roman" w:hint="default"/>
          <w:spacing w:val="13"/>
        </w:rPr>
        <w:t> </w:t>
      </w:r>
      <w:r>
        <w:rPr>
          <w:spacing w:val="-12"/>
        </w:rPr>
        <w:t>元</w:t>
      </w:r>
      <w:r>
        <w:rPr>
          <w:rFonts w:ascii="Times New Roman" w:hAnsi="Times New Roman" w:cs="Times New Roman" w:eastAsia="Times New Roman" w:hint="default"/>
          <w:spacing w:val="-12"/>
        </w:rPr>
        <w:t>/</w:t>
      </w:r>
      <w:r>
        <w:rPr>
          <w:spacing w:val="-12"/>
        </w:rPr>
        <w:t>股，预</w:t>
      </w:r>
    </w:p>
    <w:p>
      <w:pPr>
        <w:pStyle w:val="BodyText"/>
        <w:spacing w:line="240" w:lineRule="auto" w:before="69"/>
        <w:ind w:left="237" w:right="0"/>
        <w:jc w:val="left"/>
      </w:pPr>
      <w:r>
        <w:rPr/>
        <w:t>留股份的限制性股票价格由</w:t>
      </w:r>
      <w:r>
        <w:rPr>
          <w:spacing w:val="-54"/>
        </w:rPr>
        <w:t> </w:t>
      </w:r>
      <w:r>
        <w:rPr>
          <w:rFonts w:ascii="Times New Roman" w:hAnsi="Times New Roman" w:cs="Times New Roman" w:eastAsia="Times New Roman" w:hint="default"/>
        </w:rPr>
        <w:t>7.14</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股调整为</w:t>
      </w:r>
      <w:r>
        <w:rPr>
          <w:spacing w:val="-54"/>
        </w:rPr>
        <w:t> </w:t>
      </w:r>
      <w:r>
        <w:rPr>
          <w:rFonts w:ascii="Times New Roman" w:hAnsi="Times New Roman" w:cs="Times New Roman" w:eastAsia="Times New Roman" w:hint="default"/>
        </w:rPr>
        <w:t>6.4679</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股。相应减少库存股</w:t>
      </w:r>
      <w:r>
        <w:rPr>
          <w:spacing w:val="-56"/>
        </w:rPr>
        <w:t> </w:t>
      </w:r>
      <w:r>
        <w:rPr>
          <w:rFonts w:ascii="Times New Roman" w:hAnsi="Times New Roman" w:cs="Times New Roman" w:eastAsia="Times New Roman" w:hint="default"/>
        </w:rPr>
        <w:t>3,754,352.62</w:t>
      </w:r>
      <w:r>
        <w:rPr>
          <w:rFonts w:ascii="Times New Roman" w:hAnsi="Times New Roman" w:cs="Times New Roman" w:eastAsia="Times New Roman" w:hint="default"/>
          <w:spacing w:val="-1"/>
        </w:rPr>
        <w:t> </w:t>
      </w:r>
      <w:r>
        <w:rPr>
          <w:spacing w:val="-3"/>
        </w:rPr>
        <w:t>元。</w:t>
      </w:r>
      <w:r>
        <w:rPr/>
      </w:r>
    </w:p>
    <w:p>
      <w:pPr>
        <w:pStyle w:val="BodyText"/>
        <w:spacing w:line="297" w:lineRule="auto" w:before="69"/>
        <w:ind w:left="237" w:right="0" w:firstLine="420"/>
        <w:jc w:val="left"/>
      </w:pPr>
      <w:r>
        <w:rPr/>
        <w:t>注</w:t>
      </w:r>
      <w:r>
        <w:rPr>
          <w:spacing w:val="-55"/>
        </w:rPr>
        <w:t> </w:t>
      </w: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w:t>
      </w:r>
      <w:r>
        <w:rPr/>
        <w:t>公司第三届董事会第二十八次会议审议通过了《关于回购注销部分</w:t>
      </w:r>
      <w:r>
        <w:rPr>
          <w:w w:val="100"/>
        </w:rPr>
        <w:t> </w:t>
      </w:r>
      <w:r>
        <w:rPr>
          <w:spacing w:val="-4"/>
        </w:rPr>
        <w:t>激励对象已获授但尚未解除限售的限制性股票及调整回购价格的议案》。同意对上述共计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spacing w:val="-3"/>
        </w:rPr>
        <w:t>名首</w:t>
      </w:r>
      <w:r>
        <w:rPr/>
      </w:r>
    </w:p>
    <w:p>
      <w:pPr>
        <w:pStyle w:val="BodyText"/>
        <w:spacing w:line="240" w:lineRule="auto" w:before="13"/>
        <w:ind w:left="237" w:right="0"/>
        <w:jc w:val="left"/>
      </w:pPr>
      <w:r>
        <w:rPr/>
        <w:t>次授予或预留授予的激励对象所持有的共计</w:t>
      </w:r>
      <w:r>
        <w:rPr>
          <w:spacing w:val="-56"/>
        </w:rPr>
        <w:t> </w:t>
      </w:r>
      <w:r>
        <w:rPr>
          <w:rFonts w:ascii="Times New Roman" w:hAnsi="Times New Roman" w:cs="Times New Roman" w:eastAsia="Times New Roman" w:hint="default"/>
        </w:rPr>
        <w:t>572,480</w:t>
      </w:r>
      <w:r>
        <w:rPr>
          <w:rFonts w:ascii="Times New Roman" w:hAnsi="Times New Roman" w:cs="Times New Roman" w:eastAsia="Times New Roman" w:hint="default"/>
          <w:spacing w:val="-3"/>
        </w:rPr>
        <w:t> </w:t>
      </w:r>
      <w:r>
        <w:rPr/>
        <w:t>股已获授但不具备解锁条件的限制性股票进</w:t>
      </w:r>
    </w:p>
    <w:p>
      <w:pPr>
        <w:pStyle w:val="BodyText"/>
        <w:spacing w:line="240" w:lineRule="auto" w:before="69"/>
        <w:ind w:left="237" w:right="0"/>
        <w:jc w:val="left"/>
      </w:pPr>
      <w:r>
        <w:rPr/>
        <w:t>行回购注销。相应减少股存股</w:t>
      </w:r>
      <w:r>
        <w:rPr>
          <w:spacing w:val="-53"/>
        </w:rPr>
        <w:t> </w:t>
      </w:r>
      <w:r>
        <w:rPr>
          <w:rFonts w:ascii="Times New Roman" w:hAnsi="Times New Roman" w:cs="Times New Roman" w:eastAsia="Times New Roman" w:hint="default"/>
        </w:rPr>
        <w:t>4,511,662.44 </w:t>
      </w:r>
      <w:r>
        <w:rPr>
          <w:spacing w:val="-3"/>
        </w:rPr>
        <w:t>元。</w:t>
      </w:r>
      <w:r>
        <w:rPr/>
      </w:r>
    </w:p>
    <w:p>
      <w:pPr>
        <w:pStyle w:val="BodyText"/>
        <w:spacing w:line="240" w:lineRule="auto" w:before="69"/>
        <w:ind w:left="657" w:right="0"/>
        <w:jc w:val="left"/>
      </w:pPr>
      <w:r>
        <w:rPr/>
        <w:t>注</w:t>
      </w:r>
      <w:r>
        <w:rPr>
          <w:spacing w:val="-46"/>
        </w:rPr>
        <w:t> </w:t>
      </w:r>
      <w:r>
        <w:rPr>
          <w:rFonts w:ascii="Times New Roman" w:hAnsi="Times New Roman" w:cs="Times New Roman" w:eastAsia="Times New Roman" w:hint="default"/>
        </w:rPr>
        <w:t>4:2018</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spacing w:val="-3"/>
        </w:rPr>
        <w:t>日，公司第三届董事会第三十次会议审议通过了《关于限制性股票激励</w:t>
      </w:r>
    </w:p>
    <w:p>
      <w:pPr>
        <w:pStyle w:val="BodyText"/>
        <w:spacing w:line="297" w:lineRule="auto" w:before="69"/>
        <w:ind w:left="237" w:right="127"/>
        <w:jc w:val="left"/>
      </w:pPr>
      <w:r>
        <w:rPr/>
        <w:t>计划首次授予股票第二期解锁及预留授予股票第一期解锁的议案》。同意对符合条件的</w:t>
      </w:r>
      <w:r>
        <w:rPr>
          <w:spacing w:val="-53"/>
        </w:rPr>
        <w:t> </w:t>
      </w:r>
      <w:r>
        <w:rPr>
          <w:rFonts w:ascii="Times New Roman" w:hAnsi="Times New Roman" w:cs="Times New Roman" w:eastAsia="Times New Roman" w:hint="default"/>
        </w:rPr>
        <w:t>138</w:t>
      </w:r>
      <w:r>
        <w:rPr>
          <w:rFonts w:ascii="Times New Roman" w:hAnsi="Times New Roman" w:cs="Times New Roman" w:eastAsia="Times New Roman" w:hint="default"/>
          <w:spacing w:val="-4"/>
        </w:rPr>
        <w:t> </w:t>
      </w:r>
      <w:r>
        <w:rPr/>
        <w:t>名首</w:t>
      </w:r>
      <w:r>
        <w:rPr>
          <w:w w:val="100"/>
        </w:rPr>
        <w:t> </w:t>
      </w:r>
      <w:r>
        <w:rPr/>
        <w:t>次授予激励对象的限制性股票实施第二期解锁，可解锁比例</w:t>
      </w:r>
      <w:r>
        <w:rPr>
          <w:spacing w:val="-57"/>
        </w:rPr>
        <w:t> </w:t>
      </w:r>
      <w:r>
        <w:rPr>
          <w:rFonts w:ascii="Times New Roman" w:hAnsi="Times New Roman" w:cs="Times New Roman" w:eastAsia="Times New Roman" w:hint="default"/>
        </w:rPr>
        <w:t>30%</w:t>
      </w:r>
      <w:r>
        <w:rPr/>
        <w:t>；对符合条件的</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名预留授予激</w:t>
      </w:r>
    </w:p>
    <w:p>
      <w:pPr>
        <w:spacing w:after="0" w:line="297" w:lineRule="auto"/>
        <w:jc w:val="left"/>
        <w:sectPr>
          <w:pgSz w:w="11910" w:h="16840"/>
          <w:pgMar w:header="857" w:footer="979" w:top="1120" w:bottom="1160" w:left="1040" w:right="1660"/>
        </w:sectPr>
      </w:pPr>
    </w:p>
    <w:p>
      <w:pPr>
        <w:spacing w:line="240" w:lineRule="auto" w:before="5"/>
        <w:rPr>
          <w:rFonts w:ascii="宋体" w:hAnsi="宋体" w:cs="宋体" w:eastAsia="宋体" w:hint="default"/>
          <w:sz w:val="24"/>
          <w:szCs w:val="24"/>
        </w:rPr>
      </w:pPr>
    </w:p>
    <w:p>
      <w:pPr>
        <w:pStyle w:val="BodyText"/>
        <w:spacing w:line="297" w:lineRule="auto" w:before="36"/>
        <w:ind w:left="237" w:right="225"/>
        <w:jc w:val="left"/>
      </w:pPr>
      <w:r>
        <w:rPr/>
        <w:t>励对象的限制性股票实施第一期解锁，可解锁比例</w:t>
      </w:r>
      <w:r>
        <w:rPr>
          <w:spacing w:val="-57"/>
        </w:rPr>
        <w:t> </w:t>
      </w:r>
      <w:r>
        <w:rPr>
          <w:rFonts w:ascii="Times New Roman" w:hAnsi="Times New Roman" w:cs="Times New Roman" w:eastAsia="Times New Roman" w:hint="default"/>
        </w:rPr>
        <w:t>50%</w:t>
      </w:r>
      <w:r>
        <w:rPr/>
        <w:t>，本次解锁股份合计</w:t>
      </w:r>
      <w:r>
        <w:rPr>
          <w:spacing w:val="-55"/>
        </w:rPr>
        <w:t> </w:t>
      </w:r>
      <w:r>
        <w:rPr>
          <w:rFonts w:ascii="Times New Roman" w:hAnsi="Times New Roman" w:cs="Times New Roman" w:eastAsia="Times New Roman" w:hint="default"/>
        </w:rPr>
        <w:t>1,939,856</w:t>
      </w:r>
      <w:r>
        <w:rPr>
          <w:rFonts w:ascii="Times New Roman" w:hAnsi="Times New Roman" w:cs="Times New Roman" w:eastAsia="Times New Roman" w:hint="default"/>
          <w:spacing w:val="-2"/>
        </w:rPr>
        <w:t> </w:t>
      </w:r>
      <w:r>
        <w:rPr/>
        <w:t>股。相应</w:t>
      </w:r>
      <w:r>
        <w:rPr>
          <w:w w:val="100"/>
        </w:rPr>
        <w:t> </w:t>
      </w:r>
      <w:r>
        <w:rPr/>
        <w:t>减少库存股</w:t>
      </w:r>
      <w:r>
        <w:rPr>
          <w:spacing w:val="-53"/>
        </w:rPr>
        <w:t> </w:t>
      </w:r>
      <w:r>
        <w:rPr>
          <w:rFonts w:ascii="Times New Roman" w:hAnsi="Times New Roman" w:cs="Times New Roman" w:eastAsia="Times New Roman" w:hint="default"/>
        </w:rPr>
        <w:t>14,979,070.24</w:t>
      </w:r>
      <w:r>
        <w:rPr>
          <w:rFonts w:ascii="Times New Roman" w:hAnsi="Times New Roman" w:cs="Times New Roman" w:eastAsia="Times New Roman" w:hint="default"/>
          <w:spacing w:val="-3"/>
        </w:rPr>
        <w:t> </w:t>
      </w:r>
      <w:r>
        <w:rPr/>
        <w:t>元。</w:t>
      </w:r>
    </w:p>
    <w:p>
      <w:pPr>
        <w:pStyle w:val="Heading4"/>
        <w:spacing w:line="287" w:lineRule="exact" w:before="0"/>
        <w:ind w:left="237" w:right="0"/>
        <w:jc w:val="left"/>
        <w:rPr>
          <w:b w:val="0"/>
          <w:bCs w:val="0"/>
        </w:rPr>
      </w:pPr>
      <w:r>
        <w:rPr>
          <w:rFonts w:ascii="Times New Roman" w:hAnsi="Times New Roman" w:cs="Times New Roman" w:eastAsia="Times New Roman" w:hint="default"/>
        </w:rPr>
        <w:t>48</w:t>
      </w:r>
      <w:r>
        <w:rPr/>
        <w:t>、</w:t>
      </w:r>
      <w:r>
        <w:rPr>
          <w:spacing w:val="-22"/>
        </w:rPr>
        <w:t> </w:t>
      </w:r>
      <w:r>
        <w:rPr/>
        <w:t>其他综合收益</w:t>
      </w:r>
      <w:r>
        <w:rPr>
          <w:b w:val="0"/>
          <w:bCs w:val="0"/>
        </w:rPr>
      </w:r>
    </w:p>
    <w:p>
      <w:pPr>
        <w:pStyle w:val="BodyText"/>
        <w:spacing w:line="240" w:lineRule="auto" w:before="40"/>
        <w:ind w:left="717" w:right="0"/>
        <w:jc w:val="left"/>
      </w:pPr>
      <w:r>
        <w:rPr/>
        <w:t>□适用 √不适用</w:t>
      </w:r>
    </w:p>
    <w:p>
      <w:pPr>
        <w:pStyle w:val="Heading4"/>
        <w:spacing w:line="240" w:lineRule="auto" w:before="58"/>
        <w:ind w:left="237" w:right="0"/>
        <w:jc w:val="left"/>
        <w:rPr>
          <w:b w:val="0"/>
          <w:bCs w:val="0"/>
        </w:rPr>
      </w:pPr>
      <w:r>
        <w:rPr>
          <w:rFonts w:ascii="Times New Roman" w:hAnsi="Times New Roman" w:cs="Times New Roman" w:eastAsia="Times New Roman" w:hint="default"/>
        </w:rPr>
        <w:t>49</w:t>
      </w:r>
      <w:r>
        <w:rPr/>
        <w:t>、</w:t>
      </w:r>
      <w:r>
        <w:rPr>
          <w:spacing w:val="-22"/>
        </w:rPr>
        <w:t> </w:t>
      </w:r>
      <w:r>
        <w:rPr/>
        <w:t>专项储备</w:t>
      </w:r>
      <w:r>
        <w:rPr>
          <w:b w:val="0"/>
          <w:bCs w:val="0"/>
        </w:rPr>
      </w:r>
    </w:p>
    <w:p>
      <w:pPr>
        <w:pStyle w:val="BodyText"/>
        <w:spacing w:line="240" w:lineRule="auto" w:before="40"/>
        <w:ind w:left="717" w:right="0"/>
        <w:jc w:val="left"/>
      </w:pPr>
      <w:r>
        <w:rPr/>
        <w:t>□适用 √不适用</w:t>
      </w:r>
    </w:p>
    <w:p>
      <w:pPr>
        <w:pStyle w:val="Heading4"/>
        <w:spacing w:line="240" w:lineRule="auto" w:before="58"/>
        <w:ind w:left="237" w:right="0"/>
        <w:jc w:val="left"/>
        <w:rPr>
          <w:b w:val="0"/>
          <w:bCs w:val="0"/>
        </w:rPr>
      </w:pPr>
      <w:r>
        <w:rPr>
          <w:rFonts w:ascii="Times New Roman" w:hAnsi="Times New Roman" w:cs="Times New Roman" w:eastAsia="Times New Roman" w:hint="default"/>
        </w:rPr>
        <w:t>50</w:t>
      </w:r>
      <w:r>
        <w:rPr/>
        <w:t>、</w:t>
      </w:r>
      <w:r>
        <w:rPr>
          <w:spacing w:val="-22"/>
        </w:rPr>
        <w:t> </w:t>
      </w:r>
      <w:r>
        <w:rPr/>
        <w:t>盈余公积</w:t>
      </w:r>
      <w:r>
        <w:rPr>
          <w:b w:val="0"/>
          <w:bCs w:val="0"/>
        </w:rPr>
      </w:r>
    </w:p>
    <w:p>
      <w:pPr>
        <w:pStyle w:val="BodyText"/>
        <w:spacing w:line="240" w:lineRule="auto" w:before="40"/>
        <w:ind w:left="717" w:right="0"/>
        <w:jc w:val="left"/>
      </w:pPr>
      <w:r>
        <w:rPr/>
        <w:t>√适用 □不适用</w:t>
      </w:r>
    </w:p>
    <w:p>
      <w:pPr>
        <w:pStyle w:val="BodyText"/>
        <w:tabs>
          <w:tab w:pos="1051" w:val="left" w:leader="none"/>
        </w:tabs>
        <w:spacing w:line="274" w:lineRule="exact"/>
        <w:ind w:left="0" w:right="1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61"/>
        <w:gridCol w:w="1784"/>
        <w:gridCol w:w="1791"/>
        <w:gridCol w:w="1800"/>
        <w:gridCol w:w="1791"/>
      </w:tblGrid>
      <w:tr>
        <w:trPr>
          <w:trHeight w:val="372"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6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70"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2"/>
              <w:jc w:val="right"/>
              <w:rPr>
                <w:rFonts w:ascii="Times New Roman" w:hAnsi="Times New Roman" w:cs="Times New Roman" w:eastAsia="Times New Roman" w:hint="default"/>
                <w:sz w:val="21"/>
                <w:szCs w:val="21"/>
              </w:rPr>
            </w:pPr>
            <w:r>
              <w:rPr>
                <w:rFonts w:ascii="Times New Roman"/>
                <w:spacing w:val="-1"/>
                <w:sz w:val="21"/>
              </w:rPr>
              <w:t>53,401,869.29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4"/>
              <w:jc w:val="right"/>
              <w:rPr>
                <w:rFonts w:ascii="Times New Roman" w:hAnsi="Times New Roman" w:cs="Times New Roman" w:eastAsia="Times New Roman" w:hint="default"/>
                <w:sz w:val="21"/>
                <w:szCs w:val="21"/>
              </w:rPr>
            </w:pPr>
            <w:r>
              <w:rPr>
                <w:rFonts w:ascii="Times New Roman"/>
                <w:spacing w:val="-1"/>
                <w:sz w:val="21"/>
              </w:rPr>
              <w:t>11,616,683.43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1"/>
              <w:jc w:val="right"/>
              <w:rPr>
                <w:rFonts w:ascii="Times New Roman" w:hAnsi="Times New Roman" w:cs="Times New Roman" w:eastAsia="Times New Roman" w:hint="default"/>
                <w:sz w:val="21"/>
                <w:szCs w:val="21"/>
              </w:rPr>
            </w:pPr>
            <w:r>
              <w:rPr>
                <w:rFonts w:ascii="Times New Roman"/>
                <w:spacing w:val="-1"/>
                <w:sz w:val="21"/>
              </w:rPr>
              <w:t>934,486.47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2"/>
              <w:jc w:val="right"/>
              <w:rPr>
                <w:rFonts w:ascii="Times New Roman" w:hAnsi="Times New Roman" w:cs="Times New Roman" w:eastAsia="Times New Roman" w:hint="default"/>
                <w:sz w:val="21"/>
                <w:szCs w:val="21"/>
              </w:rPr>
            </w:pPr>
            <w:r>
              <w:rPr>
                <w:rFonts w:ascii="Times New Roman"/>
                <w:spacing w:val="-1"/>
                <w:sz w:val="21"/>
              </w:rPr>
              <w:t>64,084,066.25</w:t>
            </w:r>
          </w:p>
        </w:tc>
      </w:tr>
      <w:tr>
        <w:trPr>
          <w:trHeight w:val="370"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84"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84"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84"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84"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2"/>
              <w:jc w:val="right"/>
              <w:rPr>
                <w:rFonts w:ascii="Times New Roman" w:hAnsi="Times New Roman" w:cs="Times New Roman" w:eastAsia="Times New Roman" w:hint="default"/>
                <w:sz w:val="21"/>
                <w:szCs w:val="21"/>
              </w:rPr>
            </w:pPr>
            <w:r>
              <w:rPr>
                <w:rFonts w:ascii="Times New Roman"/>
                <w:spacing w:val="-1"/>
                <w:sz w:val="21"/>
              </w:rPr>
              <w:t>53,401,869.29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4"/>
              <w:jc w:val="right"/>
              <w:rPr>
                <w:rFonts w:ascii="Times New Roman" w:hAnsi="Times New Roman" w:cs="Times New Roman" w:eastAsia="Times New Roman" w:hint="default"/>
                <w:sz w:val="21"/>
                <w:szCs w:val="21"/>
              </w:rPr>
            </w:pPr>
            <w:r>
              <w:rPr>
                <w:rFonts w:ascii="Times New Roman"/>
                <w:spacing w:val="-1"/>
                <w:sz w:val="21"/>
              </w:rPr>
              <w:t>11,616,683.43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1"/>
              <w:jc w:val="right"/>
              <w:rPr>
                <w:rFonts w:ascii="Times New Roman" w:hAnsi="Times New Roman" w:cs="Times New Roman" w:eastAsia="Times New Roman" w:hint="default"/>
                <w:sz w:val="21"/>
                <w:szCs w:val="21"/>
              </w:rPr>
            </w:pPr>
            <w:r>
              <w:rPr>
                <w:rFonts w:ascii="Times New Roman"/>
                <w:spacing w:val="-1"/>
                <w:sz w:val="21"/>
              </w:rPr>
              <w:t>934,486.47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2"/>
              <w:jc w:val="right"/>
              <w:rPr>
                <w:rFonts w:ascii="Times New Roman" w:hAnsi="Times New Roman" w:cs="Times New Roman" w:eastAsia="Times New Roman" w:hint="default"/>
                <w:sz w:val="21"/>
                <w:szCs w:val="21"/>
              </w:rPr>
            </w:pPr>
            <w:r>
              <w:rPr>
                <w:rFonts w:ascii="Times New Roman"/>
                <w:spacing w:val="-1"/>
                <w:sz w:val="21"/>
              </w:rPr>
              <w:t>64,084,066.25</w:t>
            </w:r>
          </w:p>
        </w:tc>
      </w:tr>
    </w:tbl>
    <w:p>
      <w:pPr>
        <w:pStyle w:val="BodyText"/>
        <w:spacing w:line="355" w:lineRule="auto" w:before="26"/>
        <w:ind w:left="717" w:right="0" w:hanging="480"/>
        <w:jc w:val="left"/>
      </w:pPr>
      <w:r>
        <w:rPr/>
        <w:t>盈余公积说明，包括本期增减变动情况、变动原因说明：</w:t>
      </w:r>
      <w:r>
        <w:rPr>
          <w:w w:val="100"/>
        </w:rPr>
        <w:t> </w:t>
      </w:r>
      <w:r>
        <w:rPr>
          <w:spacing w:val="-3"/>
        </w:rPr>
        <w:t>注：本期减少系因公司处置福建神威系统集成有限责任公司（以下简称“福建神威”）部份</w:t>
      </w:r>
    </w:p>
    <w:p>
      <w:pPr>
        <w:pStyle w:val="BodyText"/>
        <w:spacing w:line="259" w:lineRule="exact"/>
        <w:ind w:left="237" w:right="0"/>
        <w:jc w:val="left"/>
      </w:pPr>
      <w:r>
        <w:rPr/>
        <w:t>股权丧失了控制权但仍能够对福建神威施加重大影响。在编制母公司个别报表时改按权益法核算</w:t>
      </w:r>
    </w:p>
    <w:p>
      <w:pPr>
        <w:pStyle w:val="BodyText"/>
        <w:spacing w:line="297" w:lineRule="auto" w:before="85"/>
        <w:ind w:left="237" w:right="0"/>
        <w:jc w:val="left"/>
      </w:pPr>
      <w:r>
        <w:rPr>
          <w:spacing w:val="-1"/>
        </w:rPr>
        <w:t>时减少留存收益</w:t>
      </w:r>
      <w:r>
        <w:rPr>
          <w:rFonts w:ascii="Times New Roman" w:hAnsi="Times New Roman" w:cs="Times New Roman" w:eastAsia="Times New Roman" w:hint="default"/>
          <w:spacing w:val="-1"/>
        </w:rPr>
        <w:t>9,344,864.66</w:t>
      </w:r>
      <w:r>
        <w:rPr>
          <w:spacing w:val="-1"/>
        </w:rPr>
        <w:t>元，其中：减少盈余公积</w:t>
      </w:r>
      <w:r>
        <w:rPr>
          <w:rFonts w:ascii="Times New Roman" w:hAnsi="Times New Roman" w:cs="Times New Roman" w:eastAsia="Times New Roman" w:hint="default"/>
          <w:spacing w:val="-1"/>
        </w:rPr>
        <w:t>934,486.47</w:t>
      </w:r>
      <w:r>
        <w:rPr>
          <w:spacing w:val="-1"/>
        </w:rPr>
        <w:t>元，减少未分配利润</w:t>
      </w:r>
      <w:r>
        <w:rPr>
          <w:rFonts w:ascii="Times New Roman" w:hAnsi="Times New Roman" w:cs="Times New Roman" w:eastAsia="Times New Roman" w:hint="default"/>
          <w:spacing w:val="-1"/>
        </w:rPr>
        <w:t>8,410,378.19</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元。在编制合并报表时增加未分配利润</w:t>
      </w:r>
      <w:r>
        <w:rPr>
          <w:rFonts w:ascii="Times New Roman" w:hAnsi="Times New Roman" w:cs="Times New Roman" w:eastAsia="Times New Roman" w:hint="default"/>
        </w:rPr>
        <w:t>934,486.47</w:t>
      </w:r>
      <w:r>
        <w:rPr/>
        <w:t>元，减少盈余公积</w:t>
      </w:r>
      <w:r>
        <w:rPr>
          <w:rFonts w:ascii="Times New Roman" w:hAnsi="Times New Roman" w:cs="Times New Roman" w:eastAsia="Times New Roman" w:hint="default"/>
        </w:rPr>
        <w:t>934,486.47</w:t>
      </w:r>
      <w:r>
        <w:rPr/>
        <w:t>元。</w:t>
      </w:r>
    </w:p>
    <w:p>
      <w:pPr>
        <w:pStyle w:val="Heading4"/>
        <w:spacing w:line="287" w:lineRule="exact" w:before="0"/>
        <w:ind w:left="237" w:right="0"/>
        <w:jc w:val="left"/>
        <w:rPr>
          <w:b w:val="0"/>
          <w:bCs w:val="0"/>
        </w:rPr>
      </w:pPr>
      <w:r>
        <w:rPr>
          <w:rFonts w:ascii="Times New Roman" w:hAnsi="Times New Roman" w:cs="Times New Roman" w:eastAsia="Times New Roman" w:hint="default"/>
        </w:rPr>
        <w:t>51</w:t>
      </w:r>
      <w:r>
        <w:rPr/>
        <w:t>、</w:t>
      </w:r>
      <w:r>
        <w:rPr>
          <w:spacing w:val="-22"/>
        </w:rPr>
        <w:t> </w:t>
      </w:r>
      <w:r>
        <w:rPr/>
        <w:t>未分配利润</w:t>
      </w:r>
      <w:r>
        <w:rPr>
          <w:b w:val="0"/>
          <w:bCs w:val="0"/>
        </w:rPr>
      </w:r>
    </w:p>
    <w:p>
      <w:pPr>
        <w:pStyle w:val="BodyText"/>
        <w:spacing w:line="240" w:lineRule="auto" w:before="43"/>
        <w:ind w:left="717" w:right="0"/>
        <w:jc w:val="left"/>
      </w:pPr>
      <w:r>
        <w:rPr/>
        <w:t>√适用 □不适用</w:t>
      </w:r>
    </w:p>
    <w:p>
      <w:pPr>
        <w:pStyle w:val="BodyText"/>
        <w:tabs>
          <w:tab w:pos="1051" w:val="left" w:leader="none"/>
        </w:tabs>
        <w:spacing w:line="271" w:lineRule="exact"/>
        <w:ind w:left="0" w:right="1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02"/>
        <w:gridCol w:w="2756"/>
        <w:gridCol w:w="2667"/>
      </w:tblGrid>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7"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9"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
              <w:jc w:val="right"/>
              <w:rPr>
                <w:rFonts w:ascii="Times New Roman" w:hAnsi="Times New Roman" w:cs="Times New Roman" w:eastAsia="Times New Roman" w:hint="default"/>
                <w:sz w:val="21"/>
                <w:szCs w:val="21"/>
              </w:rPr>
            </w:pPr>
            <w:r>
              <w:rPr>
                <w:rFonts w:ascii="Times New Roman"/>
                <w:spacing w:val="-1"/>
                <w:sz w:val="21"/>
              </w:rPr>
              <w:t>408,127,113.68</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328,619,427.96</w:t>
            </w:r>
          </w:p>
        </w:tc>
      </w:tr>
      <w:tr>
        <w:trPr>
          <w:trHeight w:val="7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8"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w:t>
            </w:r>
          </w:p>
          <w:p>
            <w:pPr>
              <w:pStyle w:val="TableParagraph"/>
              <w:spacing w:line="240" w:lineRule="auto" w:before="85"/>
              <w:ind w:left="108" w:right="0"/>
              <w:jc w:val="left"/>
              <w:rPr>
                <w:rFonts w:ascii="宋体" w:hAnsi="宋体" w:cs="宋体" w:eastAsia="宋体" w:hint="default"/>
                <w:sz w:val="21"/>
                <w:szCs w:val="21"/>
              </w:rPr>
            </w:pPr>
            <w:r>
              <w:rPr>
                <w:rFonts w:ascii="宋体" w:hAnsi="宋体" w:cs="宋体" w:eastAsia="宋体" w:hint="default"/>
                <w:sz w:val="21"/>
                <w:szCs w:val="21"/>
              </w:rPr>
              <w:t>（调增</w:t>
            </w:r>
            <w:r>
              <w:rPr>
                <w:rFonts w:ascii="宋体" w:hAnsi="宋体" w:cs="宋体" w:eastAsia="宋体" w:hint="default"/>
                <w:sz w:val="21"/>
                <w:szCs w:val="21"/>
              </w:rPr>
              <w:t>+</w:t>
            </w:r>
            <w:r>
              <w:rPr>
                <w:rFonts w:ascii="宋体" w:hAnsi="宋体" w:cs="宋体" w:eastAsia="宋体" w:hint="default"/>
                <w:sz w:val="21"/>
                <w:szCs w:val="21"/>
              </w:rPr>
              <w:t>，调减－）</w:t>
            </w:r>
          </w:p>
        </w:tc>
        <w:tc>
          <w:tcPr>
            <w:tcW w:w="2756"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2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
              <w:jc w:val="right"/>
              <w:rPr>
                <w:rFonts w:ascii="Times New Roman" w:hAnsi="Times New Roman" w:cs="Times New Roman" w:eastAsia="Times New Roman" w:hint="default"/>
                <w:sz w:val="21"/>
                <w:szCs w:val="21"/>
              </w:rPr>
            </w:pPr>
            <w:r>
              <w:rPr>
                <w:rFonts w:ascii="Times New Roman"/>
                <w:spacing w:val="-1"/>
                <w:sz w:val="21"/>
              </w:rPr>
              <w:t>408,127,113.68</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
              <w:jc w:val="right"/>
              <w:rPr>
                <w:rFonts w:ascii="Times New Roman" w:hAnsi="Times New Roman" w:cs="Times New Roman" w:eastAsia="Times New Roman" w:hint="default"/>
                <w:sz w:val="21"/>
                <w:szCs w:val="21"/>
              </w:rPr>
            </w:pPr>
            <w:r>
              <w:rPr>
                <w:rFonts w:ascii="Times New Roman"/>
                <w:spacing w:val="-1"/>
                <w:sz w:val="21"/>
              </w:rPr>
              <w:t>328,619,427.96</w:t>
            </w:r>
          </w:p>
        </w:tc>
      </w:tr>
      <w:tr>
        <w:trPr>
          <w:trHeight w:val="7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8" w:right="127" w:firstLine="420"/>
              <w:jc w:val="left"/>
              <w:rPr>
                <w:rFonts w:ascii="宋体" w:hAnsi="宋体" w:cs="宋体" w:eastAsia="宋体" w:hint="default"/>
                <w:sz w:val="21"/>
                <w:szCs w:val="21"/>
              </w:rPr>
            </w:pPr>
            <w:r>
              <w:rPr>
                <w:rFonts w:ascii="宋体" w:hAnsi="宋体" w:cs="宋体" w:eastAsia="宋体" w:hint="default"/>
                <w:spacing w:val="-2"/>
                <w:sz w:val="21"/>
                <w:szCs w:val="21"/>
              </w:rPr>
              <w:t>加：本期归属于母公司所有者</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11"/>
              <w:jc w:val="right"/>
              <w:rPr>
                <w:rFonts w:ascii="Times New Roman" w:hAnsi="Times New Roman" w:cs="Times New Roman" w:eastAsia="Times New Roman" w:hint="default"/>
                <w:sz w:val="21"/>
                <w:szCs w:val="21"/>
              </w:rPr>
            </w:pPr>
            <w:r>
              <w:rPr>
                <w:rFonts w:ascii="Times New Roman"/>
                <w:spacing w:val="-1"/>
                <w:sz w:val="21"/>
              </w:rPr>
              <w:t>172,523,315.83</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11"/>
              <w:jc w:val="right"/>
              <w:rPr>
                <w:rFonts w:ascii="Times New Roman" w:hAnsi="Times New Roman" w:cs="Times New Roman" w:eastAsia="Times New Roman" w:hint="default"/>
                <w:sz w:val="21"/>
                <w:szCs w:val="21"/>
              </w:rPr>
            </w:pPr>
            <w:r>
              <w:rPr>
                <w:rFonts w:ascii="Times New Roman"/>
                <w:spacing w:val="-1"/>
                <w:sz w:val="21"/>
              </w:rPr>
              <w:t>103,025,506.96</w:t>
            </w:r>
          </w:p>
        </w:tc>
      </w:tr>
      <w:tr>
        <w:trPr>
          <w:trHeight w:val="37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2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21"/>
                <w:szCs w:val="21"/>
              </w:rPr>
            </w:pPr>
            <w:r>
              <w:rPr>
                <w:rFonts w:ascii="Times New Roman"/>
                <w:spacing w:val="-1"/>
                <w:sz w:val="21"/>
              </w:rPr>
              <w:t>11,616,683.43</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11"/>
              <w:jc w:val="right"/>
              <w:rPr>
                <w:rFonts w:ascii="Times New Roman" w:hAnsi="Times New Roman" w:cs="Times New Roman" w:eastAsia="Times New Roman" w:hint="default"/>
                <w:sz w:val="21"/>
                <w:szCs w:val="21"/>
              </w:rPr>
            </w:pPr>
            <w:r>
              <w:rPr>
                <w:rFonts w:ascii="Times New Roman"/>
                <w:spacing w:val="-1"/>
                <w:sz w:val="21"/>
              </w:rPr>
              <w:t>7,254,909.24</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56"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3"/>
              <w:jc w:val="right"/>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56"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3"/>
              <w:jc w:val="right"/>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105,451,390.40</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
              <w:jc w:val="right"/>
              <w:rPr>
                <w:rFonts w:ascii="Times New Roman" w:hAnsi="Times New Roman" w:cs="Times New Roman" w:eastAsia="Times New Roman" w:hint="default"/>
                <w:sz w:val="21"/>
                <w:szCs w:val="21"/>
              </w:rPr>
            </w:pPr>
            <w:r>
              <w:rPr>
                <w:rFonts w:ascii="Times New Roman"/>
                <w:spacing w:val="-1"/>
                <w:sz w:val="21"/>
              </w:rPr>
              <w:t>16,262,912.00</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56"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3"/>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-934,486.47</w:t>
            </w: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2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464,516,842.15</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
              <w:jc w:val="right"/>
              <w:rPr>
                <w:rFonts w:ascii="Times New Roman" w:hAnsi="Times New Roman" w:cs="Times New Roman" w:eastAsia="Times New Roman" w:hint="default"/>
                <w:sz w:val="21"/>
                <w:szCs w:val="21"/>
              </w:rPr>
            </w:pPr>
            <w:r>
              <w:rPr>
                <w:rFonts w:ascii="Times New Roman"/>
                <w:spacing w:val="-1"/>
                <w:sz w:val="21"/>
              </w:rPr>
              <w:t>408,127,113.68</w:t>
            </w:r>
          </w:p>
        </w:tc>
      </w:tr>
    </w:tbl>
    <w:p>
      <w:pPr>
        <w:pStyle w:val="BodyText"/>
        <w:spacing w:line="241" w:lineRule="exact"/>
        <w:ind w:left="659" w:right="0"/>
        <w:jc w:val="left"/>
      </w:pPr>
      <w:r>
        <w:rPr/>
        <w:t>注：其他变动详见附注“七、（五十）盈余公积”。</w:t>
      </w:r>
    </w:p>
    <w:p>
      <w:pPr>
        <w:spacing w:after="0" w:line="241" w:lineRule="exact"/>
        <w:jc w:val="left"/>
        <w:sectPr>
          <w:pgSz w:w="11910" w:h="16840"/>
          <w:pgMar w:header="857" w:footer="979" w:top="1120" w:bottom="1160" w:left="1040" w:right="1660"/>
        </w:sectPr>
      </w:pPr>
    </w:p>
    <w:p>
      <w:pPr>
        <w:spacing w:line="240" w:lineRule="auto" w:before="7"/>
        <w:rPr>
          <w:rFonts w:ascii="宋体" w:hAnsi="宋体" w:cs="宋体" w:eastAsia="宋体" w:hint="default"/>
          <w:sz w:val="18"/>
          <w:szCs w:val="18"/>
        </w:rPr>
      </w:pPr>
    </w:p>
    <w:p>
      <w:pPr>
        <w:pStyle w:val="BodyText"/>
        <w:spacing w:line="240" w:lineRule="auto" w:before="36"/>
        <w:ind w:left="657" w:right="0"/>
        <w:jc w:val="left"/>
      </w:pPr>
      <w:r>
        <w:rPr/>
        <w:t>调整期初未分配利润明细：</w:t>
      </w:r>
    </w:p>
    <w:p>
      <w:pPr>
        <w:pStyle w:val="BodyText"/>
        <w:spacing w:line="282" w:lineRule="exact" w:before="56"/>
        <w:ind w:left="657" w:right="0"/>
        <w:jc w:val="left"/>
      </w:pPr>
      <w:r>
        <w:rPr>
          <w:rFonts w:ascii="Times New Roman" w:hAnsi="Times New Roman" w:cs="Times New Roman" w:eastAsia="Times New Roman"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8"/>
        </w:rPr>
        <w:t> </w:t>
      </w:r>
      <w:r>
        <w:rPr/>
        <w:t>元。</w:t>
      </w:r>
    </w:p>
    <w:p>
      <w:pPr>
        <w:pStyle w:val="BodyText"/>
        <w:spacing w:line="272" w:lineRule="exact"/>
        <w:ind w:left="657" w:right="0"/>
        <w:jc w:val="left"/>
      </w:pPr>
      <w:r>
        <w:rPr>
          <w:rFonts w:ascii="Times New Roman" w:hAnsi="Times New Roman" w:cs="Times New Roman" w:eastAsia="Times New Roman"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6"/>
        </w:rPr>
        <w:t> </w:t>
      </w:r>
      <w:r>
        <w:rPr>
          <w:spacing w:val="-3"/>
        </w:rPr>
        <w:t>元。</w:t>
      </w:r>
      <w:r>
        <w:rPr/>
      </w:r>
    </w:p>
    <w:p>
      <w:pPr>
        <w:pStyle w:val="BodyText"/>
        <w:spacing w:line="272" w:lineRule="exact"/>
        <w:ind w:left="657" w:right="0"/>
        <w:jc w:val="left"/>
      </w:pPr>
      <w:r>
        <w:rPr>
          <w:rFonts w:ascii="Times New Roman" w:hAnsi="Times New Roman" w:cs="Times New Roman" w:eastAsia="Times New Roman"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59"/>
        </w:rPr>
        <w:t> </w:t>
      </w:r>
      <w:r>
        <w:rPr/>
        <w:t>元。</w:t>
      </w:r>
    </w:p>
    <w:p>
      <w:pPr>
        <w:pStyle w:val="BodyText"/>
        <w:spacing w:line="272" w:lineRule="exact"/>
        <w:ind w:left="657" w:right="0"/>
        <w:jc w:val="left"/>
      </w:pPr>
      <w:r>
        <w:rPr>
          <w:rFonts w:ascii="Times New Roman" w:hAnsi="Times New Roman" w:cs="Times New Roman" w:eastAsia="Times New Roman"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7"/>
        </w:rPr>
        <w:t> </w:t>
      </w:r>
      <w:r>
        <w:rPr>
          <w:spacing w:val="-3"/>
        </w:rPr>
        <w:t>元。</w:t>
      </w:r>
      <w:r>
        <w:rPr/>
      </w:r>
    </w:p>
    <w:p>
      <w:pPr>
        <w:pStyle w:val="BodyText"/>
        <w:spacing w:line="281" w:lineRule="exact"/>
        <w:ind w:left="657" w:right="0"/>
        <w:jc w:val="left"/>
      </w:pPr>
      <w:r>
        <w:rPr>
          <w:rFonts w:ascii="Times New Roman" w:hAnsi="Times New Roman" w:cs="Times New Roman" w:eastAsia="Times New Roman"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7"/>
        </w:rPr>
        <w:t> </w:t>
      </w:r>
      <w:r>
        <w:rPr/>
        <w:t>元。</w:t>
      </w:r>
    </w:p>
    <w:p>
      <w:pPr>
        <w:pStyle w:val="Heading4"/>
        <w:spacing w:line="240" w:lineRule="auto" w:before="43"/>
        <w:ind w:left="237" w:right="0"/>
        <w:jc w:val="left"/>
        <w:rPr>
          <w:b w:val="0"/>
          <w:bCs w:val="0"/>
        </w:rPr>
      </w:pPr>
      <w:r>
        <w:rPr>
          <w:rFonts w:ascii="Times New Roman" w:hAnsi="Times New Roman" w:cs="Times New Roman" w:eastAsia="Times New Roman" w:hint="default"/>
        </w:rPr>
        <w:t>52</w:t>
      </w:r>
      <w:r>
        <w:rPr/>
        <w:t>、</w:t>
      </w:r>
      <w:r>
        <w:rPr>
          <w:spacing w:val="-21"/>
        </w:rPr>
        <w:t> </w:t>
      </w:r>
      <w:r>
        <w:rPr/>
        <w:t>营业收入和营业成本</w:t>
      </w:r>
      <w:r>
        <w:rPr>
          <w:b w:val="0"/>
          <w:bCs w:val="0"/>
        </w:rPr>
      </w:r>
    </w:p>
    <w:p>
      <w:pPr>
        <w:pStyle w:val="Heading4"/>
        <w:spacing w:line="240" w:lineRule="auto" w:before="40"/>
        <w:ind w:left="237"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4"/>
        </w:rPr>
        <w:t> </w:t>
      </w:r>
      <w:r>
        <w:rPr/>
        <w:t>营业收入和营业成本情况</w:t>
      </w:r>
      <w:r>
        <w:rPr>
          <w:b w:val="0"/>
          <w:bCs w:val="0"/>
        </w:rPr>
      </w:r>
    </w:p>
    <w:p>
      <w:pPr>
        <w:pStyle w:val="BodyText"/>
        <w:spacing w:line="240" w:lineRule="auto" w:before="43"/>
        <w:ind w:left="717" w:right="0"/>
        <w:jc w:val="left"/>
      </w:pPr>
      <w:r>
        <w:rPr/>
        <w:t>√适用 □不适用</w:t>
      </w:r>
    </w:p>
    <w:p>
      <w:pPr>
        <w:pStyle w:val="BodyText"/>
        <w:tabs>
          <w:tab w:pos="1051" w:val="left" w:leader="none"/>
        </w:tabs>
        <w:spacing w:line="271" w:lineRule="exact"/>
        <w:ind w:left="0" w:right="1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402"/>
        <w:gridCol w:w="1817"/>
        <w:gridCol w:w="1831"/>
        <w:gridCol w:w="1827"/>
        <w:gridCol w:w="1829"/>
      </w:tblGrid>
      <w:tr>
        <w:trPr>
          <w:trHeight w:val="370" w:hRule="exact"/>
        </w:trPr>
        <w:tc>
          <w:tcPr>
            <w:tcW w:w="14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0" w:hRule="exact"/>
        </w:trPr>
        <w:tc>
          <w:tcPr>
            <w:tcW w:w="1402" w:type="dxa"/>
            <w:vMerge/>
            <w:tcBorders>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370"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46"/>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pacing w:val="-1"/>
                <w:sz w:val="21"/>
              </w:rPr>
              <w:t>977,652,628.58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spacing w:val="-1"/>
                <w:sz w:val="21"/>
              </w:rPr>
              <w:t>535,335,255.60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805,616,804.00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537,512,734.41</w:t>
            </w:r>
          </w:p>
        </w:tc>
      </w:tr>
      <w:tr>
        <w:trPr>
          <w:trHeight w:val="370"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46"/>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pacing w:val="-1"/>
                <w:sz w:val="21"/>
              </w:rPr>
              <w:t>1,391,276.69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spacing w:val="-1"/>
                <w:sz w:val="21"/>
              </w:rPr>
              <w:t>332,957.64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1,696,331.82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760,431.53</w:t>
            </w:r>
          </w:p>
        </w:tc>
      </w:tr>
      <w:tr>
        <w:trPr>
          <w:trHeight w:val="37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85"/>
              <w:jc w:val="right"/>
              <w:rPr>
                <w:rFonts w:ascii="宋体" w:hAnsi="宋体" w:cs="宋体" w:eastAsia="宋体" w:hint="default"/>
                <w:sz w:val="21"/>
                <w:szCs w:val="21"/>
              </w:rPr>
            </w:pPr>
            <w:r>
              <w:rPr>
                <w:rFonts w:ascii="宋体" w:hAnsi="宋体" w:cs="宋体" w:eastAsia="宋体" w:hint="default"/>
                <w:sz w:val="21"/>
                <w:szCs w:val="21"/>
              </w:rPr>
              <w:t>合计</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979,043,905.27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1"/>
                <w:sz w:val="21"/>
              </w:rPr>
              <w:t>535,668,213.24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807,313,135.82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538,273,165.94</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979" w:top="1120" w:bottom="1160" w:left="1040" w:right="1660"/>
        </w:sectPr>
      </w:pPr>
    </w:p>
    <w:p>
      <w:pPr>
        <w:pStyle w:val="Heading4"/>
        <w:spacing w:line="240" w:lineRule="auto"/>
        <w:ind w:left="237" w:right="-18"/>
        <w:jc w:val="left"/>
        <w:rPr>
          <w:b w:val="0"/>
          <w:bCs w:val="0"/>
        </w:rPr>
      </w:pPr>
      <w:r>
        <w:rPr>
          <w:rFonts w:ascii="Times New Roman" w:hAnsi="Times New Roman" w:cs="Times New Roman" w:eastAsia="Times New Roman" w:hint="default"/>
        </w:rPr>
        <w:t>53</w:t>
      </w:r>
      <w:r>
        <w:rPr/>
        <w:t>、</w:t>
      </w:r>
      <w:r>
        <w:rPr>
          <w:spacing w:val="-22"/>
        </w:rPr>
        <w:t> </w:t>
      </w:r>
      <w:r>
        <w:rPr/>
        <w:t>税金及附加</w:t>
      </w:r>
      <w:r>
        <w:rPr>
          <w:b w:val="0"/>
          <w:bCs w:val="0"/>
        </w:rPr>
      </w:r>
    </w:p>
    <w:p>
      <w:pPr>
        <w:pStyle w:val="BodyText"/>
        <w:spacing w:line="240" w:lineRule="auto" w:before="43"/>
        <w:ind w:left="7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660"/>
          <w:cols w:num="2" w:equalWidth="0">
            <w:col w:w="2295" w:space="4227"/>
            <w:col w:w="268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833"/>
        <w:gridCol w:w="2993"/>
        <w:gridCol w:w="2993"/>
      </w:tblGrid>
      <w:tr>
        <w:trPr>
          <w:trHeight w:val="374" w:hRule="exact"/>
        </w:trPr>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196"/>
              <w:jc w:val="right"/>
              <w:rPr>
                <w:rFonts w:ascii="宋体" w:hAnsi="宋体" w:cs="宋体" w:eastAsia="宋体" w:hint="default"/>
                <w:sz w:val="21"/>
                <w:szCs w:val="21"/>
              </w:rPr>
            </w:pPr>
            <w:r>
              <w:rPr>
                <w:rFonts w:ascii="宋体" w:hAnsi="宋体" w:cs="宋体" w:eastAsia="宋体" w:hint="default"/>
                <w:sz w:val="21"/>
                <w:szCs w:val="21"/>
              </w:rPr>
              <w:t>项目</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5" w:hRule="exact"/>
        </w:trPr>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3,106,843.50</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2,658,339.88</w:t>
            </w:r>
          </w:p>
        </w:tc>
      </w:tr>
      <w:tr>
        <w:trPr>
          <w:trHeight w:val="377" w:hRule="exact"/>
        </w:trPr>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2,220,334.64</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1,900,960.69</w:t>
            </w:r>
          </w:p>
        </w:tc>
      </w:tr>
      <w:tr>
        <w:trPr>
          <w:trHeight w:val="374" w:hRule="exact"/>
        </w:trPr>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2,067,204.53</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1,543,246.22</w:t>
            </w:r>
          </w:p>
        </w:tc>
      </w:tr>
      <w:tr>
        <w:trPr>
          <w:trHeight w:val="374" w:hRule="exact"/>
        </w:trPr>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33,174.24</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35,230.19</w:t>
            </w:r>
          </w:p>
        </w:tc>
      </w:tr>
      <w:tr>
        <w:trPr>
          <w:trHeight w:val="374" w:hRule="exact"/>
        </w:trPr>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1,199,943.61</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363,898.06</w:t>
            </w:r>
          </w:p>
        </w:tc>
      </w:tr>
      <w:tr>
        <w:trPr>
          <w:trHeight w:val="377" w:hRule="exact"/>
        </w:trPr>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955,097.72</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745,997.24</w:t>
            </w:r>
          </w:p>
        </w:tc>
      </w:tr>
      <w:tr>
        <w:trPr>
          <w:trHeight w:val="374" w:hRule="exact"/>
        </w:trPr>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196"/>
              <w:jc w:val="right"/>
              <w:rPr>
                <w:rFonts w:ascii="宋体" w:hAnsi="宋体" w:cs="宋体" w:eastAsia="宋体" w:hint="default"/>
                <w:sz w:val="21"/>
                <w:szCs w:val="21"/>
              </w:rPr>
            </w:pPr>
            <w:r>
              <w:rPr>
                <w:rFonts w:ascii="宋体" w:hAnsi="宋体" w:cs="宋体" w:eastAsia="宋体" w:hint="default"/>
                <w:sz w:val="21"/>
                <w:szCs w:val="21"/>
              </w:rPr>
              <w:t>合计</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9,582,598.24</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7,247,672.28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40" w:right="1660"/>
        </w:sectPr>
      </w:pPr>
    </w:p>
    <w:p>
      <w:pPr>
        <w:pStyle w:val="BodyText"/>
        <w:spacing w:line="290" w:lineRule="auto" w:before="26"/>
        <w:ind w:left="717" w:right="992" w:hanging="480"/>
        <w:jc w:val="left"/>
      </w:pPr>
      <w:r>
        <w:rPr>
          <w:spacing w:val="-1"/>
        </w:rPr>
        <w:t>其他说明：</w:t>
      </w:r>
      <w:r>
        <w:rPr>
          <w:spacing w:val="-97"/>
        </w:rPr>
        <w:t> </w:t>
      </w:r>
      <w:r>
        <w:rPr>
          <w:spacing w:val="-97"/>
        </w:rPr>
      </w:r>
      <w:r>
        <w:rPr/>
        <w:t>无</w:t>
      </w:r>
    </w:p>
    <w:p>
      <w:pPr>
        <w:pStyle w:val="Heading4"/>
        <w:spacing w:line="240" w:lineRule="auto" w:before="13"/>
        <w:ind w:left="237" w:right="-18"/>
        <w:jc w:val="left"/>
        <w:rPr>
          <w:b w:val="0"/>
          <w:bCs w:val="0"/>
        </w:rPr>
      </w:pPr>
      <w:r>
        <w:rPr>
          <w:rFonts w:ascii="Times New Roman" w:hAnsi="Times New Roman" w:cs="Times New Roman" w:eastAsia="Times New Roman" w:hint="default"/>
        </w:rPr>
        <w:t>54</w:t>
      </w:r>
      <w:r>
        <w:rPr/>
        <w:t>、</w:t>
      </w:r>
      <w:r>
        <w:rPr>
          <w:spacing w:val="-22"/>
        </w:rPr>
        <w:t> </w:t>
      </w:r>
      <w:r>
        <w:rPr/>
        <w:t>销售费用</w:t>
      </w:r>
      <w:r>
        <w:rPr>
          <w:b w:val="0"/>
          <w:bCs w:val="0"/>
        </w:rPr>
      </w:r>
    </w:p>
    <w:p>
      <w:pPr>
        <w:pStyle w:val="BodyText"/>
        <w:spacing w:line="240" w:lineRule="auto" w:before="43"/>
        <w:ind w:left="7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660"/>
          <w:cols w:num="2" w:equalWidth="0">
            <w:col w:w="2295" w:space="4227"/>
            <w:col w:w="26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51"/>
        <w:gridCol w:w="2787"/>
        <w:gridCol w:w="2787"/>
      </w:tblGrid>
      <w:tr>
        <w:trPr>
          <w:trHeight w:val="370"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6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0"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工资薪金</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32,093,238.31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22,596,501.39</w:t>
            </w:r>
          </w:p>
        </w:tc>
      </w:tr>
      <w:tr>
        <w:trPr>
          <w:trHeight w:val="370"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招待宣传费</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14,386,844.35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7,353,843.66</w:t>
            </w:r>
          </w:p>
        </w:tc>
      </w:tr>
      <w:tr>
        <w:trPr>
          <w:trHeight w:val="370"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5,361,656.69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4,275,867.79</w:t>
            </w:r>
          </w:p>
        </w:tc>
      </w:tr>
      <w:tr>
        <w:trPr>
          <w:trHeight w:val="370"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1,936,247.73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1,940,784.76</w:t>
            </w:r>
          </w:p>
        </w:tc>
      </w:tr>
      <w:tr>
        <w:trPr>
          <w:trHeight w:val="372"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水电</w:t>
            </w:r>
            <w:r>
              <w:rPr>
                <w:rFonts w:ascii="Times New Roman" w:hAnsi="Times New Roman" w:cs="Times New Roman" w:eastAsia="Times New Roman" w:hint="default"/>
                <w:sz w:val="21"/>
                <w:szCs w:val="21"/>
              </w:rPr>
              <w:t>/</w:t>
            </w:r>
            <w:r>
              <w:rPr>
                <w:rFonts w:ascii="宋体" w:hAnsi="宋体" w:cs="宋体" w:eastAsia="宋体" w:hint="default"/>
                <w:sz w:val="21"/>
                <w:szCs w:val="21"/>
              </w:rPr>
              <w:t>物业</w:t>
            </w:r>
            <w:r>
              <w:rPr>
                <w:rFonts w:ascii="Times New Roman" w:hAnsi="Times New Roman" w:cs="Times New Roman" w:eastAsia="Times New Roman" w:hint="default"/>
                <w:sz w:val="21"/>
                <w:szCs w:val="21"/>
              </w:rPr>
              <w:t>/</w:t>
            </w:r>
            <w:r>
              <w:rPr>
                <w:rFonts w:ascii="宋体" w:hAnsi="宋体" w:cs="宋体" w:eastAsia="宋体" w:hint="default"/>
                <w:sz w:val="21"/>
                <w:szCs w:val="21"/>
              </w:rPr>
              <w:t>房租费</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1,428,249.69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1,365,494.09</w:t>
            </w:r>
          </w:p>
        </w:tc>
      </w:tr>
      <w:tr>
        <w:trPr>
          <w:trHeight w:val="370"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791,467.16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692,586</w:t>
            </w:r>
          </w:p>
        </w:tc>
      </w:tr>
      <w:tr>
        <w:trPr>
          <w:trHeight w:val="370"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资产折旧摊销</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878,536.06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333,179.41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40" w:right="1660"/>
        </w:sectPr>
      </w:pP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3251"/>
        <w:gridCol w:w="2787"/>
        <w:gridCol w:w="2787"/>
      </w:tblGrid>
      <w:tr>
        <w:trPr>
          <w:trHeight w:val="370"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股权激励报酬</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98,016.65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2,386,819.78</w:t>
            </w:r>
          </w:p>
        </w:tc>
      </w:tr>
      <w:tr>
        <w:trPr>
          <w:trHeight w:val="372" w:hRule="exact"/>
        </w:trPr>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56,974,256.64</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40,945,076.88</w:t>
            </w:r>
          </w:p>
        </w:tc>
      </w:tr>
    </w:tbl>
    <w:p>
      <w:pPr>
        <w:spacing w:after="0" w:line="240" w:lineRule="auto"/>
        <w:jc w:val="right"/>
        <w:rPr>
          <w:rFonts w:ascii="Times New Roman" w:hAnsi="Times New Roman" w:cs="Times New Roman" w:eastAsia="Times New Roman" w:hint="default"/>
          <w:sz w:val="21"/>
          <w:szCs w:val="21"/>
        </w:rPr>
        <w:sectPr>
          <w:pgSz w:w="11910" w:h="16840"/>
          <w:pgMar w:header="857" w:footer="979" w:top="1120" w:bottom="1160" w:left="1060" w:right="1660"/>
        </w:sectPr>
      </w:pPr>
    </w:p>
    <w:p>
      <w:pPr>
        <w:pStyle w:val="BodyText"/>
        <w:spacing w:line="290" w:lineRule="auto" w:before="26"/>
        <w:ind w:left="697" w:right="992" w:hanging="480"/>
        <w:jc w:val="left"/>
      </w:pPr>
      <w:r>
        <w:rPr>
          <w:spacing w:val="-1"/>
        </w:rPr>
        <w:t>其他说明：</w:t>
      </w:r>
      <w:r>
        <w:rPr>
          <w:spacing w:val="-97"/>
        </w:rPr>
        <w:t> </w:t>
      </w:r>
      <w:r>
        <w:rPr>
          <w:spacing w:val="-97"/>
        </w:rPr>
      </w:r>
      <w:r>
        <w:rPr/>
        <w:t>无</w:t>
      </w:r>
    </w:p>
    <w:p>
      <w:pPr>
        <w:pStyle w:val="Heading4"/>
        <w:spacing w:line="240" w:lineRule="auto" w:before="12"/>
        <w:ind w:left="217" w:right="-18"/>
        <w:jc w:val="left"/>
        <w:rPr>
          <w:b w:val="0"/>
          <w:bCs w:val="0"/>
        </w:rPr>
      </w:pPr>
      <w:r>
        <w:rPr>
          <w:rFonts w:ascii="Times New Roman" w:hAnsi="Times New Roman" w:cs="Times New Roman" w:eastAsia="Times New Roman" w:hint="default"/>
        </w:rPr>
        <w:t>55</w:t>
      </w:r>
      <w:r>
        <w:rPr/>
        <w:t>、</w:t>
      </w:r>
      <w:r>
        <w:rPr>
          <w:spacing w:val="-22"/>
        </w:rPr>
        <w:t> </w:t>
      </w:r>
      <w:r>
        <w:rPr/>
        <w:t>管理费用</w:t>
      </w:r>
      <w:r>
        <w:rPr>
          <w:b w:val="0"/>
          <w:bCs w:val="0"/>
        </w:rPr>
      </w:r>
    </w:p>
    <w:p>
      <w:pPr>
        <w:pStyle w:val="BodyText"/>
        <w:spacing w:line="240" w:lineRule="auto" w:before="43"/>
        <w:ind w:left="6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2275" w:space="4247"/>
            <w:col w:w="26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06"/>
        <w:gridCol w:w="2540"/>
        <w:gridCol w:w="2379"/>
      </w:tblGrid>
      <w:tr>
        <w:trPr>
          <w:trHeight w:val="370"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733"/>
              <w:jc w:val="right"/>
              <w:rPr>
                <w:rFonts w:ascii="宋体" w:hAnsi="宋体" w:cs="宋体" w:eastAsia="宋体" w:hint="default"/>
                <w:sz w:val="21"/>
                <w:szCs w:val="21"/>
              </w:rPr>
            </w:pPr>
            <w:r>
              <w:rPr>
                <w:rFonts w:ascii="宋体" w:hAnsi="宋体" w:cs="宋体" w:eastAsia="宋体" w:hint="default"/>
                <w:sz w:val="21"/>
                <w:szCs w:val="21"/>
              </w:rPr>
              <w:t>项目</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3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0"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59,638,172.28</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32,823,720.02</w:t>
            </w:r>
          </w:p>
        </w:tc>
      </w:tr>
      <w:tr>
        <w:trPr>
          <w:trHeight w:val="370"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8,167,375.17</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5,003,368.66</w:t>
            </w:r>
          </w:p>
        </w:tc>
      </w:tr>
      <w:tr>
        <w:trPr>
          <w:trHeight w:val="372"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8,626,762.66</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3,184,257.69</w:t>
            </w:r>
          </w:p>
        </w:tc>
      </w:tr>
      <w:tr>
        <w:trPr>
          <w:trHeight w:val="370"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11,741,711.9</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6,775,711.5</w:t>
            </w:r>
          </w:p>
        </w:tc>
      </w:tr>
      <w:tr>
        <w:trPr>
          <w:trHeight w:val="370"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水电</w:t>
            </w:r>
            <w:r>
              <w:rPr>
                <w:rFonts w:ascii="宋体" w:hAnsi="宋体" w:cs="宋体" w:eastAsia="宋体" w:hint="default"/>
                <w:sz w:val="21"/>
                <w:szCs w:val="21"/>
              </w:rPr>
              <w:t>/</w:t>
            </w:r>
            <w:r>
              <w:rPr>
                <w:rFonts w:ascii="宋体" w:hAnsi="宋体" w:cs="宋体" w:eastAsia="宋体" w:hint="default"/>
                <w:sz w:val="21"/>
                <w:szCs w:val="21"/>
              </w:rPr>
              <w:t>物业</w:t>
            </w:r>
            <w:r>
              <w:rPr>
                <w:rFonts w:ascii="宋体" w:hAnsi="宋体" w:cs="宋体" w:eastAsia="宋体" w:hint="default"/>
                <w:sz w:val="21"/>
                <w:szCs w:val="21"/>
              </w:rPr>
              <w:t>/</w:t>
            </w:r>
            <w:r>
              <w:rPr>
                <w:rFonts w:ascii="宋体" w:hAnsi="宋体" w:cs="宋体" w:eastAsia="宋体" w:hint="default"/>
                <w:sz w:val="21"/>
                <w:szCs w:val="21"/>
              </w:rPr>
              <w:t>房租费</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11,895,174.45</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10,568,539.86</w:t>
            </w:r>
          </w:p>
        </w:tc>
      </w:tr>
      <w:tr>
        <w:trPr>
          <w:trHeight w:val="370"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24,179,980.97</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21,290,374.16</w:t>
            </w:r>
          </w:p>
        </w:tc>
      </w:tr>
      <w:tr>
        <w:trPr>
          <w:trHeight w:val="370"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资产折旧摊销</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16,249,935.45</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9,667,858.07</w:t>
            </w:r>
          </w:p>
        </w:tc>
      </w:tr>
      <w:tr>
        <w:trPr>
          <w:trHeight w:val="370"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8,523,915.75</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2,886,726.97</w:t>
            </w:r>
          </w:p>
        </w:tc>
      </w:tr>
      <w:tr>
        <w:trPr>
          <w:trHeight w:val="372"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车辆费</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2,009,148.8</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1,617,722.89</w:t>
            </w:r>
          </w:p>
        </w:tc>
      </w:tr>
      <w:tr>
        <w:trPr>
          <w:trHeight w:val="370"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股权激励报酬</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1,488,689.88</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4,662,049.99</w:t>
            </w:r>
          </w:p>
        </w:tc>
      </w:tr>
      <w:tr>
        <w:trPr>
          <w:trHeight w:val="370"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5,952,169.31</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4,084,575.53</w:t>
            </w:r>
          </w:p>
        </w:tc>
      </w:tr>
      <w:tr>
        <w:trPr>
          <w:trHeight w:val="370"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733"/>
              <w:jc w:val="right"/>
              <w:rPr>
                <w:rFonts w:ascii="宋体" w:hAnsi="宋体" w:cs="宋体" w:eastAsia="宋体" w:hint="default"/>
                <w:sz w:val="21"/>
                <w:szCs w:val="21"/>
              </w:rPr>
            </w:pPr>
            <w:r>
              <w:rPr>
                <w:rFonts w:ascii="宋体" w:hAnsi="宋体" w:cs="宋体" w:eastAsia="宋体" w:hint="default"/>
                <w:sz w:val="21"/>
                <w:szCs w:val="21"/>
              </w:rPr>
              <w:t>合计</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158,473,036.62</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102,564,905.34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60" w:right="1660"/>
        </w:sectPr>
      </w:pPr>
    </w:p>
    <w:p>
      <w:pPr>
        <w:pStyle w:val="BodyText"/>
        <w:spacing w:line="240" w:lineRule="exact"/>
        <w:ind w:left="697" w:right="-18" w:hanging="480"/>
        <w:jc w:val="left"/>
      </w:pPr>
      <w:r>
        <w:rPr/>
        <w:t>其他说明：</w:t>
      </w:r>
    </w:p>
    <w:p>
      <w:pPr>
        <w:pStyle w:val="BodyText"/>
        <w:spacing w:line="274" w:lineRule="exact"/>
        <w:ind w:left="678" w:right="1344"/>
        <w:jc w:val="center"/>
      </w:pPr>
      <w:r>
        <w:rPr>
          <w:w w:val="100"/>
        </w:rPr>
        <w:t>无</w:t>
      </w:r>
    </w:p>
    <w:p>
      <w:pPr>
        <w:pStyle w:val="Heading4"/>
        <w:spacing w:line="240" w:lineRule="auto" w:before="56"/>
        <w:ind w:left="217" w:right="-18"/>
        <w:jc w:val="left"/>
        <w:rPr>
          <w:b w:val="0"/>
          <w:bCs w:val="0"/>
        </w:rPr>
      </w:pPr>
      <w:r>
        <w:rPr>
          <w:rFonts w:ascii="Times New Roman" w:hAnsi="Times New Roman" w:cs="Times New Roman" w:eastAsia="Times New Roman" w:hint="default"/>
        </w:rPr>
        <w:t>56</w:t>
      </w:r>
      <w:r>
        <w:rPr/>
        <w:t>、</w:t>
      </w:r>
      <w:r>
        <w:rPr>
          <w:spacing w:val="-22"/>
        </w:rPr>
        <w:t> </w:t>
      </w:r>
      <w:r>
        <w:rPr/>
        <w:t>研发费用</w:t>
      </w:r>
      <w:r>
        <w:rPr>
          <w:b w:val="0"/>
          <w:bCs w:val="0"/>
        </w:rPr>
      </w:r>
    </w:p>
    <w:p>
      <w:pPr>
        <w:pStyle w:val="BodyText"/>
        <w:spacing w:line="240" w:lineRule="auto" w:before="43"/>
        <w:ind w:left="6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2275" w:space="4247"/>
            <w:col w:w="26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06"/>
        <w:gridCol w:w="2540"/>
        <w:gridCol w:w="2379"/>
      </w:tblGrid>
      <w:tr>
        <w:trPr>
          <w:trHeight w:val="370"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733"/>
              <w:jc w:val="right"/>
              <w:rPr>
                <w:rFonts w:ascii="宋体" w:hAnsi="宋体" w:cs="宋体" w:eastAsia="宋体" w:hint="default"/>
                <w:sz w:val="21"/>
                <w:szCs w:val="21"/>
              </w:rPr>
            </w:pPr>
            <w:r>
              <w:rPr>
                <w:rFonts w:ascii="宋体" w:hAnsi="宋体" w:cs="宋体" w:eastAsia="宋体" w:hint="default"/>
                <w:sz w:val="21"/>
                <w:szCs w:val="21"/>
              </w:rPr>
              <w:t>项目</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3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0"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17,639,812.96</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10,588,148.75</w:t>
            </w:r>
          </w:p>
        </w:tc>
      </w:tr>
      <w:tr>
        <w:trPr>
          <w:trHeight w:val="370"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外包费用</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3,524,282.48</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3,484,919.88</w:t>
            </w:r>
          </w:p>
        </w:tc>
      </w:tr>
      <w:tr>
        <w:trPr>
          <w:trHeight w:val="370"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限制性股票摊销</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290,058.25</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932,077.83</w:t>
            </w:r>
          </w:p>
        </w:tc>
      </w:tr>
      <w:tr>
        <w:trPr>
          <w:trHeight w:val="370"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767,685.25</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1,650,965.09</w:t>
            </w:r>
          </w:p>
        </w:tc>
      </w:tr>
      <w:tr>
        <w:trPr>
          <w:trHeight w:val="372"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33"/>
              <w:jc w:val="right"/>
              <w:rPr>
                <w:rFonts w:ascii="宋体" w:hAnsi="宋体" w:cs="宋体" w:eastAsia="宋体" w:hint="default"/>
                <w:sz w:val="21"/>
                <w:szCs w:val="21"/>
              </w:rPr>
            </w:pPr>
            <w:r>
              <w:rPr>
                <w:rFonts w:ascii="宋体" w:hAnsi="宋体" w:cs="宋体" w:eastAsia="宋体" w:hint="default"/>
                <w:sz w:val="21"/>
                <w:szCs w:val="21"/>
              </w:rPr>
              <w:t>合计</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22,221,838.94</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16,656,111.55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60" w:right="1660"/>
        </w:sectPr>
      </w:pPr>
    </w:p>
    <w:p>
      <w:pPr>
        <w:pStyle w:val="BodyText"/>
        <w:spacing w:line="239" w:lineRule="exact"/>
        <w:ind w:left="697" w:right="-18" w:hanging="480"/>
        <w:jc w:val="left"/>
      </w:pPr>
      <w:r>
        <w:rPr/>
        <w:t>其他说明：</w:t>
      </w:r>
    </w:p>
    <w:p>
      <w:pPr>
        <w:pStyle w:val="BodyText"/>
        <w:spacing w:line="273" w:lineRule="exact"/>
        <w:ind w:left="678" w:right="1344"/>
        <w:jc w:val="center"/>
      </w:pPr>
      <w:r>
        <w:rPr>
          <w:w w:val="100"/>
        </w:rPr>
        <w:t>无</w:t>
      </w:r>
    </w:p>
    <w:p>
      <w:pPr>
        <w:pStyle w:val="Heading4"/>
        <w:spacing w:line="240" w:lineRule="auto" w:before="58"/>
        <w:ind w:left="217" w:right="-18"/>
        <w:jc w:val="left"/>
        <w:rPr>
          <w:b w:val="0"/>
          <w:bCs w:val="0"/>
        </w:rPr>
      </w:pPr>
      <w:r>
        <w:rPr>
          <w:rFonts w:ascii="Times New Roman" w:hAnsi="Times New Roman" w:cs="Times New Roman" w:eastAsia="Times New Roman" w:hint="default"/>
        </w:rPr>
        <w:t>57</w:t>
      </w:r>
      <w:r>
        <w:rPr/>
        <w:t>、</w:t>
      </w:r>
      <w:r>
        <w:rPr>
          <w:spacing w:val="-22"/>
        </w:rPr>
        <w:t> </w:t>
      </w:r>
      <w:r>
        <w:rPr/>
        <w:t>财务费用</w:t>
      </w:r>
      <w:r>
        <w:rPr>
          <w:b w:val="0"/>
          <w:bCs w:val="0"/>
        </w:rPr>
      </w:r>
    </w:p>
    <w:p>
      <w:pPr>
        <w:pStyle w:val="BodyText"/>
        <w:spacing w:line="240" w:lineRule="auto" w:before="40"/>
        <w:ind w:left="6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2275" w:space="4247"/>
            <w:col w:w="26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06"/>
        <w:gridCol w:w="2540"/>
        <w:gridCol w:w="2379"/>
      </w:tblGrid>
      <w:tr>
        <w:trPr>
          <w:trHeight w:val="370"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3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0"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-17,011,887.53</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-1,546,954.43</w:t>
            </w:r>
          </w:p>
        </w:tc>
      </w:tr>
      <w:tr>
        <w:trPr>
          <w:trHeight w:val="372"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404,726.62</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790,541.81</w:t>
            </w:r>
          </w:p>
        </w:tc>
      </w:tr>
      <w:tr>
        <w:trPr>
          <w:trHeight w:val="370"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13,895,326.24</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1,324,199.49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60" w:right="1660"/>
        </w:sectPr>
      </w:pP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3906"/>
        <w:gridCol w:w="2540"/>
        <w:gridCol w:w="2379"/>
      </w:tblGrid>
      <w:tr>
        <w:trPr>
          <w:trHeight w:val="370"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-0.28</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14,171.95</w:t>
            </w:r>
          </w:p>
        </w:tc>
      </w:tr>
      <w:tr>
        <w:trPr>
          <w:trHeight w:val="372" w:hRule="exact"/>
        </w:trPr>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-2,711,834.95</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581,958.82</w:t>
            </w:r>
          </w:p>
        </w:tc>
      </w:tr>
    </w:tbl>
    <w:p>
      <w:pPr>
        <w:spacing w:after="0" w:line="240" w:lineRule="auto"/>
        <w:jc w:val="right"/>
        <w:rPr>
          <w:rFonts w:ascii="Times New Roman" w:hAnsi="Times New Roman" w:cs="Times New Roman" w:eastAsia="Times New Roman" w:hint="default"/>
          <w:sz w:val="21"/>
          <w:szCs w:val="21"/>
        </w:rPr>
        <w:sectPr>
          <w:pgSz w:w="11910" w:h="16840"/>
          <w:pgMar w:header="857" w:footer="979" w:top="1120" w:bottom="1160" w:left="1060" w:right="1660"/>
        </w:sectPr>
      </w:pPr>
    </w:p>
    <w:p>
      <w:pPr>
        <w:pStyle w:val="BodyText"/>
        <w:spacing w:line="239" w:lineRule="exact"/>
        <w:ind w:left="697" w:right="-18" w:hanging="480"/>
        <w:jc w:val="left"/>
      </w:pPr>
      <w:r>
        <w:rPr/>
        <w:t>其他说明：</w:t>
      </w:r>
    </w:p>
    <w:p>
      <w:pPr>
        <w:pStyle w:val="BodyText"/>
        <w:spacing w:line="273" w:lineRule="exact"/>
        <w:ind w:left="678" w:right="1344"/>
        <w:jc w:val="center"/>
      </w:pPr>
      <w:r>
        <w:rPr>
          <w:w w:val="100"/>
        </w:rPr>
        <w:t>无</w:t>
      </w:r>
    </w:p>
    <w:p>
      <w:pPr>
        <w:pStyle w:val="Heading4"/>
        <w:spacing w:line="240" w:lineRule="auto" w:before="56"/>
        <w:ind w:left="217" w:right="-18"/>
        <w:jc w:val="left"/>
        <w:rPr>
          <w:b w:val="0"/>
          <w:bCs w:val="0"/>
        </w:rPr>
      </w:pPr>
      <w:r>
        <w:rPr>
          <w:rFonts w:ascii="Times New Roman" w:hAnsi="Times New Roman" w:cs="Times New Roman" w:eastAsia="Times New Roman" w:hint="default"/>
        </w:rPr>
        <w:t>58</w:t>
      </w:r>
      <w:r>
        <w:rPr/>
        <w:t>、</w:t>
      </w:r>
      <w:r>
        <w:rPr>
          <w:spacing w:val="-22"/>
        </w:rPr>
        <w:t> </w:t>
      </w:r>
      <w:r>
        <w:rPr/>
        <w:t>资产减值损失</w:t>
      </w:r>
      <w:r>
        <w:rPr>
          <w:b w:val="0"/>
          <w:bCs w:val="0"/>
        </w:rPr>
      </w:r>
    </w:p>
    <w:p>
      <w:pPr>
        <w:pStyle w:val="BodyText"/>
        <w:spacing w:line="240" w:lineRule="auto" w:before="43"/>
        <w:ind w:left="6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2275" w:space="4247"/>
            <w:col w:w="26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15"/>
        <w:gridCol w:w="2508"/>
        <w:gridCol w:w="3001"/>
      </w:tblGrid>
      <w:tr>
        <w:trPr>
          <w:trHeight w:val="370"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6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0"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10,503,754.76</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15,145,146.75</w:t>
            </w:r>
          </w:p>
        </w:tc>
      </w:tr>
      <w:tr>
        <w:trPr>
          <w:trHeight w:val="370"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3,354,289.99</w:t>
            </w:r>
          </w:p>
        </w:tc>
      </w:tr>
      <w:tr>
        <w:trPr>
          <w:trHeight w:val="37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21"/>
                <w:szCs w:val="21"/>
              </w:rPr>
            </w:pPr>
            <w:r>
              <w:rPr>
                <w:rFonts w:ascii="Times New Roman"/>
                <w:spacing w:val="-1"/>
                <w:sz w:val="21"/>
              </w:rPr>
              <w:t>7,256,157.74</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17,759,912.50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18,499,436.74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60" w:right="1660"/>
        </w:sectPr>
      </w:pPr>
    </w:p>
    <w:p>
      <w:pPr>
        <w:pStyle w:val="BodyText"/>
        <w:spacing w:line="290" w:lineRule="auto" w:before="26"/>
        <w:ind w:left="697" w:right="992" w:hanging="480"/>
        <w:jc w:val="left"/>
      </w:pPr>
      <w:r>
        <w:rPr>
          <w:spacing w:val="-1"/>
        </w:rPr>
        <w:t>其他说明：</w:t>
      </w:r>
      <w:r>
        <w:rPr>
          <w:spacing w:val="-97"/>
        </w:rPr>
        <w:t> </w:t>
      </w:r>
      <w:r>
        <w:rPr>
          <w:spacing w:val="-97"/>
        </w:rPr>
      </w:r>
      <w:r>
        <w:rPr/>
        <w:t>无</w:t>
      </w:r>
    </w:p>
    <w:p>
      <w:pPr>
        <w:pStyle w:val="Heading4"/>
        <w:spacing w:line="240" w:lineRule="auto" w:before="14"/>
        <w:ind w:left="217" w:right="-18"/>
        <w:jc w:val="left"/>
        <w:rPr>
          <w:b w:val="0"/>
          <w:bCs w:val="0"/>
        </w:rPr>
      </w:pPr>
      <w:r>
        <w:rPr>
          <w:rFonts w:ascii="Times New Roman" w:hAnsi="Times New Roman" w:cs="Times New Roman" w:eastAsia="Times New Roman" w:hint="default"/>
        </w:rPr>
        <w:t>59</w:t>
      </w:r>
      <w:r>
        <w:rPr/>
        <w:t>、</w:t>
      </w:r>
      <w:r>
        <w:rPr>
          <w:spacing w:val="-22"/>
        </w:rPr>
        <w:t> </w:t>
      </w:r>
      <w:r>
        <w:rPr/>
        <w:t>其他收益</w:t>
      </w:r>
      <w:r>
        <w:rPr>
          <w:b w:val="0"/>
          <w:bCs w:val="0"/>
        </w:rPr>
      </w:r>
    </w:p>
    <w:p>
      <w:pPr>
        <w:pStyle w:val="BodyText"/>
        <w:spacing w:line="240" w:lineRule="auto" w:before="40"/>
        <w:ind w:left="6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2275" w:space="4247"/>
            <w:col w:w="26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7"/>
        <w:gridCol w:w="2484"/>
        <w:gridCol w:w="2943"/>
      </w:tblGrid>
      <w:tr>
        <w:trPr>
          <w:trHeight w:val="37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71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94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增值税即征即退</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14,395,044.59</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9,569,200.38</w:t>
            </w:r>
          </w:p>
        </w:tc>
      </w:tr>
      <w:tr>
        <w:trPr>
          <w:trHeight w:val="37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12358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大数据公共服务平台项目</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3,529,411.77</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6,470,588.23</w:t>
            </w:r>
          </w:p>
        </w:tc>
      </w:tr>
      <w:tr>
        <w:trPr>
          <w:trHeight w:val="73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9"/>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pacing w:val="-12"/>
                <w:sz w:val="21"/>
                <w:szCs w:val="21"/>
              </w:rPr>
              <w:t>年度、</w:t>
            </w:r>
            <w:r>
              <w:rPr>
                <w:rFonts w:ascii="Times New Roman" w:hAnsi="Times New Roman" w:cs="Times New Roman" w:eastAsia="Times New Roman" w:hint="default"/>
                <w:spacing w:val="-12"/>
                <w:sz w:val="21"/>
                <w:szCs w:val="21"/>
              </w:rPr>
              <w:t>2018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年度预研发经费补</w:t>
            </w:r>
            <w:r>
              <w:rPr>
                <w:rFonts w:ascii="宋体" w:hAnsi="宋体" w:cs="宋体" w:eastAsia="宋体" w:hint="default"/>
                <w:w w:val="100"/>
                <w:sz w:val="21"/>
                <w:szCs w:val="21"/>
              </w:rPr>
              <w:t> </w:t>
            </w:r>
            <w:r>
              <w:rPr>
                <w:rFonts w:ascii="宋体" w:hAnsi="宋体" w:cs="宋体" w:eastAsia="宋体" w:hint="default"/>
                <w:sz w:val="21"/>
                <w:szCs w:val="21"/>
              </w:rPr>
              <w:t>助</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1,002,100.00</w:t>
            </w: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智慧政务补贴</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500,000.00</w:t>
            </w: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9"/>
              <w:jc w:val="left"/>
              <w:rPr>
                <w:rFonts w:ascii="宋体" w:hAnsi="宋体" w:cs="宋体" w:eastAsia="宋体" w:hint="default"/>
                <w:sz w:val="21"/>
                <w:szCs w:val="21"/>
              </w:rPr>
            </w:pPr>
            <w:r>
              <w:rPr>
                <w:rFonts w:ascii="宋体" w:hAnsi="宋体" w:cs="宋体" w:eastAsia="宋体" w:hint="default"/>
                <w:sz w:val="21"/>
                <w:szCs w:val="21"/>
              </w:rPr>
              <w:t>泉州市科技局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年度人才创新</w:t>
            </w:r>
            <w:r>
              <w:rPr>
                <w:rFonts w:ascii="宋体" w:hAnsi="宋体" w:cs="宋体" w:eastAsia="宋体" w:hint="default"/>
                <w:w w:val="100"/>
                <w:sz w:val="21"/>
                <w:szCs w:val="21"/>
              </w:rPr>
              <w:t> </w:t>
            </w:r>
            <w:r>
              <w:rPr>
                <w:rFonts w:ascii="宋体" w:hAnsi="宋体" w:cs="宋体" w:eastAsia="宋体" w:hint="default"/>
                <w:sz w:val="21"/>
                <w:szCs w:val="21"/>
              </w:rPr>
              <w:t>创业项目计划经费</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w:t>
            </w: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年度郑州市大数据产业发展专</w:t>
            </w:r>
            <w:r>
              <w:rPr>
                <w:rFonts w:ascii="宋体" w:hAnsi="宋体" w:cs="宋体" w:eastAsia="宋体" w:hint="default"/>
                <w:w w:val="100"/>
                <w:sz w:val="21"/>
                <w:szCs w:val="21"/>
              </w:rPr>
              <w:t> </w:t>
            </w:r>
            <w:r>
              <w:rPr>
                <w:rFonts w:ascii="宋体" w:hAnsi="宋体" w:cs="宋体" w:eastAsia="宋体" w:hint="default"/>
                <w:sz w:val="21"/>
                <w:szCs w:val="21"/>
              </w:rPr>
              <w:t>项资金</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176,000.00</w:t>
            </w: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视频图像分布式联网与智能化应用</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110,000.00</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110,000.00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60" w:right="1660"/>
        </w:sectPr>
      </w:pP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3397"/>
        <w:gridCol w:w="2484"/>
        <w:gridCol w:w="2943"/>
      </w:tblGrid>
      <w:tr>
        <w:trPr>
          <w:trHeight w:val="37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平台</w:t>
            </w:r>
          </w:p>
        </w:tc>
        <w:tc>
          <w:tcPr>
            <w:tcW w:w="2484"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2"/>
              <w:ind w:left="103" w:right="98"/>
              <w:jc w:val="both"/>
              <w:rPr>
                <w:rFonts w:ascii="宋体" w:hAnsi="宋体" w:cs="宋体" w:eastAsia="宋体" w:hint="default"/>
                <w:sz w:val="21"/>
                <w:szCs w:val="21"/>
              </w:rPr>
            </w:pPr>
            <w:r>
              <w:rPr>
                <w:rFonts w:ascii="宋体" w:hAnsi="宋体" w:cs="宋体" w:eastAsia="宋体" w:hint="default"/>
                <w:spacing w:val="8"/>
                <w:sz w:val="21"/>
                <w:szCs w:val="21"/>
              </w:rPr>
              <w:t>区域教育云平台</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深圳市战略性新</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兴产业（互联网产业）发展专项资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金</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83,333.33</w:t>
            </w: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项目智慧社区服务管理平台补贴款</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69,202.90</w:t>
            </w: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智慧云族云服务平台项目政府补助</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33,333.33</w:t>
            </w: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个税返还</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8,915.49</w:t>
            </w: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公安智能感知大数据平台</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6,666.67</w:t>
            </w: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产业升级优惠政策奖励</w:t>
            </w:r>
          </w:p>
        </w:tc>
        <w:tc>
          <w:tcPr>
            <w:tcW w:w="2484"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290,000.00</w:t>
            </w:r>
          </w:p>
        </w:tc>
      </w:tr>
      <w:tr>
        <w:trPr>
          <w:trHeight w:val="73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99"/>
              <w:jc w:val="left"/>
              <w:rPr>
                <w:rFonts w:ascii="宋体" w:hAnsi="宋体" w:cs="宋体" w:eastAsia="宋体" w:hint="default"/>
                <w:sz w:val="21"/>
                <w:szCs w:val="21"/>
              </w:rPr>
            </w:pPr>
            <w:r>
              <w:rPr>
                <w:rFonts w:ascii="宋体" w:hAnsi="宋体" w:cs="宋体" w:eastAsia="宋体" w:hint="default"/>
                <w:spacing w:val="14"/>
                <w:sz w:val="21"/>
                <w:szCs w:val="21"/>
              </w:rPr>
              <w:t>院士专家工作站项目“中国水平</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台”补助</w:t>
            </w:r>
          </w:p>
        </w:tc>
        <w:tc>
          <w:tcPr>
            <w:tcW w:w="2484"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73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8"/>
              <w:jc w:val="left"/>
              <w:rPr>
                <w:rFonts w:ascii="宋体" w:hAnsi="宋体" w:cs="宋体" w:eastAsia="宋体" w:hint="default"/>
                <w:sz w:val="21"/>
                <w:szCs w:val="21"/>
              </w:rPr>
            </w:pPr>
            <w:r>
              <w:rPr>
                <w:rFonts w:ascii="宋体" w:hAnsi="宋体" w:cs="宋体" w:eastAsia="宋体" w:hint="default"/>
                <w:sz w:val="21"/>
                <w:szCs w:val="21"/>
              </w:rPr>
              <w:t>项目海南省人民法院执行指挥建设</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项目（二期）</w: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包省外招标奖励</w:t>
            </w:r>
          </w:p>
        </w:tc>
        <w:tc>
          <w:tcPr>
            <w:tcW w:w="2484"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174,000.00</w:t>
            </w:r>
          </w:p>
        </w:tc>
      </w:tr>
      <w:tr>
        <w:trPr>
          <w:trHeight w:val="73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z w:val="21"/>
                <w:szCs w:val="21"/>
              </w:rPr>
              <w:t>项目“行政执法与刑事司法衔接服</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务平台补贴款</w:t>
            </w:r>
          </w:p>
        </w:tc>
        <w:tc>
          <w:tcPr>
            <w:tcW w:w="2484"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150,000.00</w:t>
            </w:r>
          </w:p>
        </w:tc>
      </w:tr>
      <w:tr>
        <w:trPr>
          <w:trHeight w:val="109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both"/>
              <w:rPr>
                <w:rFonts w:ascii="宋体" w:hAnsi="宋体" w:cs="宋体" w:eastAsia="宋体" w:hint="default"/>
                <w:sz w:val="21"/>
                <w:szCs w:val="21"/>
              </w:rPr>
            </w:pPr>
            <w:r>
              <w:rPr>
                <w:rFonts w:ascii="宋体" w:hAnsi="宋体" w:cs="宋体" w:eastAsia="宋体" w:hint="default"/>
                <w:spacing w:val="6"/>
                <w:sz w:val="21"/>
                <w:szCs w:val="21"/>
              </w:rPr>
              <w:t>省区域发展项目</w:t>
            </w:r>
            <w:r>
              <w:rPr>
                <w:rFonts w:ascii="宋体" w:hAnsi="宋体" w:cs="宋体" w:eastAsia="宋体" w:hint="default"/>
                <w:spacing w:val="6"/>
                <w:sz w:val="21"/>
                <w:szCs w:val="21"/>
              </w:rPr>
              <w:t>"</w:t>
            </w:r>
            <w:r>
              <w:rPr>
                <w:rFonts w:ascii="宋体" w:hAnsi="宋体" w:cs="宋体" w:eastAsia="宋体" w:hint="default"/>
                <w:spacing w:val="6"/>
                <w:sz w:val="21"/>
                <w:szCs w:val="21"/>
              </w:rPr>
              <w:t>城市智能交通物</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联网即插即用式智能接口研发与应</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用示范</w:t>
            </w:r>
            <w:r>
              <w:rPr>
                <w:rFonts w:ascii="宋体" w:hAnsi="宋体" w:cs="宋体" w:eastAsia="宋体" w:hint="default"/>
                <w:sz w:val="21"/>
                <w:szCs w:val="21"/>
              </w:rPr>
              <w:t>"</w:t>
            </w:r>
            <w:r>
              <w:rPr>
                <w:rFonts w:ascii="宋体" w:hAnsi="宋体" w:cs="宋体" w:eastAsia="宋体" w:hint="default"/>
                <w:sz w:val="21"/>
                <w:szCs w:val="21"/>
              </w:rPr>
              <w:t>科技经费</w:t>
            </w:r>
          </w:p>
        </w:tc>
        <w:tc>
          <w:tcPr>
            <w:tcW w:w="2484"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125,000.00</w:t>
            </w:r>
          </w:p>
        </w:tc>
      </w:tr>
      <w:tr>
        <w:trPr>
          <w:trHeight w:val="37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软件认证经费补助</w:t>
            </w:r>
          </w:p>
        </w:tc>
        <w:tc>
          <w:tcPr>
            <w:tcW w:w="2484"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29,000.00</w:t>
            </w:r>
          </w:p>
        </w:tc>
      </w:tr>
      <w:tr>
        <w:trPr>
          <w:trHeight w:val="37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年租房补贴</w:t>
            </w:r>
          </w:p>
        </w:tc>
        <w:tc>
          <w:tcPr>
            <w:tcW w:w="2484"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28,000.00</w:t>
            </w:r>
          </w:p>
        </w:tc>
      </w:tr>
      <w:tr>
        <w:trPr>
          <w:trHeight w:val="37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项目智慧社区服务管理平台补贴款</w:t>
            </w:r>
          </w:p>
        </w:tc>
        <w:tc>
          <w:tcPr>
            <w:tcW w:w="2484"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19,444.44</w:t>
            </w:r>
          </w:p>
        </w:tc>
      </w:tr>
      <w:tr>
        <w:trPr>
          <w:trHeight w:val="37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20,114,008.08</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17,165,233.05</w:t>
            </w:r>
          </w:p>
        </w:tc>
      </w:tr>
    </w:tbl>
    <w:p>
      <w:pPr>
        <w:spacing w:after="0" w:line="240" w:lineRule="auto"/>
        <w:jc w:val="right"/>
        <w:rPr>
          <w:rFonts w:ascii="Times New Roman" w:hAnsi="Times New Roman" w:cs="Times New Roman" w:eastAsia="Times New Roman" w:hint="default"/>
          <w:sz w:val="21"/>
          <w:szCs w:val="21"/>
        </w:rPr>
        <w:sectPr>
          <w:pgSz w:w="11910" w:h="16840"/>
          <w:pgMar w:header="857" w:footer="979" w:top="1120" w:bottom="1160" w:left="1060" w:right="1660"/>
        </w:sectPr>
      </w:pPr>
    </w:p>
    <w:p>
      <w:pPr>
        <w:pStyle w:val="BodyText"/>
        <w:spacing w:line="239" w:lineRule="exact"/>
        <w:ind w:left="697" w:right="-18" w:hanging="480"/>
        <w:jc w:val="left"/>
      </w:pPr>
      <w:r>
        <w:rPr/>
        <w:t>其他说明：</w:t>
      </w:r>
    </w:p>
    <w:p>
      <w:pPr>
        <w:pStyle w:val="BodyText"/>
        <w:spacing w:line="273" w:lineRule="exact"/>
        <w:ind w:left="678" w:right="1344"/>
        <w:jc w:val="center"/>
      </w:pPr>
      <w:r>
        <w:rPr>
          <w:w w:val="100"/>
        </w:rPr>
        <w:t>无</w:t>
      </w:r>
    </w:p>
    <w:p>
      <w:pPr>
        <w:pStyle w:val="Heading4"/>
        <w:spacing w:line="240" w:lineRule="auto" w:before="58"/>
        <w:ind w:left="217" w:right="-18"/>
        <w:jc w:val="left"/>
        <w:rPr>
          <w:b w:val="0"/>
          <w:bCs w:val="0"/>
        </w:rPr>
      </w:pPr>
      <w:r>
        <w:rPr>
          <w:rFonts w:ascii="Times New Roman" w:hAnsi="Times New Roman" w:cs="Times New Roman" w:eastAsia="Times New Roman" w:hint="default"/>
        </w:rPr>
        <w:t>60</w:t>
      </w:r>
      <w:r>
        <w:rPr/>
        <w:t>、</w:t>
      </w:r>
      <w:r>
        <w:rPr>
          <w:spacing w:val="-22"/>
        </w:rPr>
        <w:t> </w:t>
      </w:r>
      <w:r>
        <w:rPr/>
        <w:t>投资收益</w:t>
      </w:r>
      <w:r>
        <w:rPr>
          <w:b w:val="0"/>
          <w:bCs w:val="0"/>
        </w:rPr>
      </w:r>
    </w:p>
    <w:p>
      <w:pPr>
        <w:pStyle w:val="BodyText"/>
        <w:spacing w:line="240" w:lineRule="auto" w:before="40"/>
        <w:ind w:left="6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2275" w:space="4247"/>
            <w:col w:w="26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824"/>
        <w:gridCol w:w="2268"/>
        <w:gridCol w:w="2732"/>
      </w:tblGrid>
      <w:tr>
        <w:trPr>
          <w:trHeight w:val="37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228,688.21</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-1,152,007.32</w:t>
            </w:r>
          </w:p>
        </w:tc>
      </w:tr>
      <w:tr>
        <w:trPr>
          <w:trHeight w:val="372"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34"/>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的金融资产在持有期间的投资收益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34"/>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损益的金融资产取得的投资收益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-5,166,236.57</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9,559,055.86</w:t>
            </w:r>
          </w:p>
        </w:tc>
      </w:tr>
      <w:tr>
        <w:trPr>
          <w:trHeight w:val="37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060" w:right="1660"/>
        </w:sectPr>
      </w:pP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3824"/>
        <w:gridCol w:w="2268"/>
        <w:gridCol w:w="2732"/>
      </w:tblGrid>
      <w:tr>
        <w:trPr>
          <w:trHeight w:val="73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134"/>
              <w:jc w:val="left"/>
              <w:rPr>
                <w:rFonts w:ascii="宋体" w:hAnsi="宋体" w:cs="宋体" w:eastAsia="宋体" w:hint="default"/>
                <w:sz w:val="21"/>
                <w:szCs w:val="21"/>
              </w:rPr>
            </w:pPr>
            <w:r>
              <w:rPr>
                <w:rFonts w:ascii="宋体" w:hAnsi="宋体" w:cs="宋体" w:eastAsia="宋体" w:hint="default"/>
                <w:spacing w:val="-2"/>
                <w:sz w:val="21"/>
                <w:szCs w:val="21"/>
              </w:rPr>
              <w:t>丧失控制权后，剩余股权按公允价值重</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新计量产生的利得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处置子公司产生的投资收益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8,474,174.58</w:t>
            </w:r>
          </w:p>
        </w:tc>
        <w:tc>
          <w:tcPr>
            <w:tcW w:w="273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交易性金融资产产生的投资收益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银行理财产品产生的投资收益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8,894,392.76</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9,192,698.15</w:t>
            </w:r>
          </w:p>
        </w:tc>
      </w:tr>
      <w:tr>
        <w:trPr>
          <w:trHeight w:val="37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12,431,018.98</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17,599,746.69</w:t>
            </w:r>
          </w:p>
        </w:tc>
      </w:tr>
    </w:tbl>
    <w:p>
      <w:pPr>
        <w:spacing w:after="0" w:line="240" w:lineRule="auto"/>
        <w:jc w:val="right"/>
        <w:rPr>
          <w:rFonts w:ascii="Times New Roman" w:hAnsi="Times New Roman" w:cs="Times New Roman" w:eastAsia="Times New Roman" w:hint="default"/>
          <w:sz w:val="21"/>
          <w:szCs w:val="21"/>
        </w:rPr>
        <w:sectPr>
          <w:pgSz w:w="11910" w:h="16840"/>
          <w:pgMar w:header="857" w:footer="979" w:top="1120" w:bottom="1160" w:left="1060" w:right="1660"/>
        </w:sectPr>
      </w:pPr>
    </w:p>
    <w:p>
      <w:pPr>
        <w:pStyle w:val="BodyText"/>
        <w:spacing w:line="239" w:lineRule="exact"/>
        <w:ind w:left="697" w:right="-19" w:hanging="480"/>
        <w:jc w:val="left"/>
      </w:pPr>
      <w:r>
        <w:rPr/>
        <w:t>其他说明：</w:t>
      </w:r>
    </w:p>
    <w:p>
      <w:pPr>
        <w:pStyle w:val="BodyText"/>
        <w:spacing w:line="273" w:lineRule="exact"/>
        <w:ind w:left="678" w:right="1481"/>
        <w:jc w:val="center"/>
      </w:pPr>
      <w:r>
        <w:rPr>
          <w:w w:val="100"/>
        </w:rPr>
        <w:t>无</w:t>
      </w:r>
    </w:p>
    <w:p>
      <w:pPr>
        <w:pStyle w:val="Heading4"/>
        <w:spacing w:line="240" w:lineRule="auto" w:before="58"/>
        <w:ind w:left="217" w:right="-19"/>
        <w:jc w:val="left"/>
        <w:rPr>
          <w:b w:val="0"/>
          <w:bCs w:val="0"/>
        </w:rPr>
      </w:pPr>
      <w:r>
        <w:rPr>
          <w:rFonts w:ascii="Times New Roman" w:hAnsi="Times New Roman" w:cs="Times New Roman" w:eastAsia="Times New Roman" w:hint="default"/>
        </w:rPr>
        <w:t>61</w:t>
      </w:r>
      <w:r>
        <w:rPr/>
        <w:t>、</w:t>
      </w:r>
      <w:r>
        <w:rPr>
          <w:spacing w:val="-21"/>
        </w:rPr>
        <w:t> </w:t>
      </w:r>
      <w:r>
        <w:rPr/>
        <w:t>公允价值变动收益</w:t>
      </w:r>
      <w:r>
        <w:rPr>
          <w:b w:val="0"/>
          <w:bCs w:val="0"/>
        </w:rPr>
      </w:r>
    </w:p>
    <w:p>
      <w:pPr>
        <w:pStyle w:val="BodyText"/>
        <w:spacing w:line="240" w:lineRule="auto" w:before="40"/>
        <w:ind w:left="69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2411" w:space="4110"/>
            <w:col w:w="26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13"/>
        <w:gridCol w:w="2756"/>
        <w:gridCol w:w="2756"/>
      </w:tblGrid>
      <w:tr>
        <w:trPr>
          <w:trHeight w:val="37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1"/>
              <w:jc w:val="right"/>
              <w:rPr>
                <w:rFonts w:ascii="宋体" w:hAnsi="宋体" w:cs="宋体" w:eastAsia="宋体" w:hint="default"/>
                <w:sz w:val="21"/>
                <w:szCs w:val="21"/>
              </w:rPr>
            </w:pPr>
            <w:r>
              <w:rPr>
                <w:rFonts w:ascii="宋体" w:hAnsi="宋体" w:cs="宋体" w:eastAsia="宋体" w:hint="default"/>
                <w:spacing w:val="-2"/>
                <w:sz w:val="21"/>
                <w:szCs w:val="21"/>
              </w:rPr>
              <w:t>产生公允价值变动收益的来源</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30"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52"/>
              <w:jc w:val="left"/>
              <w:rPr>
                <w:rFonts w:ascii="宋体" w:hAnsi="宋体" w:cs="宋体" w:eastAsia="宋体" w:hint="default"/>
                <w:sz w:val="21"/>
                <w:szCs w:val="21"/>
              </w:rPr>
            </w:pPr>
            <w:r>
              <w:rPr>
                <w:rFonts w:ascii="宋体" w:hAnsi="宋体" w:cs="宋体" w:eastAsia="宋体" w:hint="default"/>
                <w:spacing w:val="-2"/>
                <w:sz w:val="21"/>
                <w:szCs w:val="21"/>
              </w:rPr>
              <w:t>以公允价值计量的且其变动计入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当期损益的金融资产</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6,289,240.73</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-5,610,523.91</w:t>
            </w:r>
          </w:p>
        </w:tc>
      </w:tr>
      <w:tr>
        <w:trPr>
          <w:trHeight w:val="730"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5"/>
                <w:sz w:val="21"/>
                <w:szCs w:val="21"/>
              </w:rPr>
              <w:t>其中：衍生金融工具产生的公允价</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值变动收益</w:t>
            </w:r>
          </w:p>
        </w:tc>
        <w:tc>
          <w:tcPr>
            <w:tcW w:w="2756" w:type="dxa"/>
            <w:tcBorders>
              <w:top w:val="single" w:sz="4" w:space="0" w:color="000000"/>
              <w:left w:val="single" w:sz="4" w:space="0" w:color="000000"/>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52"/>
              <w:jc w:val="left"/>
              <w:rPr>
                <w:rFonts w:ascii="宋体" w:hAnsi="宋体" w:cs="宋体" w:eastAsia="宋体" w:hint="default"/>
                <w:sz w:val="21"/>
                <w:szCs w:val="21"/>
              </w:rPr>
            </w:pPr>
            <w:r>
              <w:rPr>
                <w:rFonts w:ascii="宋体" w:hAnsi="宋体" w:cs="宋体" w:eastAsia="宋体" w:hint="default"/>
                <w:spacing w:val="-2"/>
                <w:sz w:val="21"/>
                <w:szCs w:val="21"/>
              </w:rPr>
              <w:t>以公允价值计量的且其变动计入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当期损益的金融负债</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52"/>
              <w:jc w:val="right"/>
              <w:rPr>
                <w:rFonts w:ascii="宋体" w:hAnsi="宋体" w:cs="宋体" w:eastAsia="宋体" w:hint="default"/>
                <w:sz w:val="21"/>
                <w:szCs w:val="21"/>
              </w:rPr>
            </w:pPr>
            <w:r>
              <w:rPr>
                <w:rFonts w:ascii="宋体" w:hAnsi="宋体" w:cs="宋体" w:eastAsia="宋体" w:hint="default"/>
                <w:spacing w:val="-2"/>
                <w:sz w:val="21"/>
                <w:szCs w:val="21"/>
              </w:rPr>
              <w:t>按公允价值计量的投资性房地产</w:t>
            </w:r>
          </w:p>
        </w:tc>
        <w:tc>
          <w:tcPr>
            <w:tcW w:w="2756" w:type="dxa"/>
            <w:tcBorders>
              <w:top w:val="single" w:sz="4" w:space="0" w:color="000000"/>
              <w:left w:val="single" w:sz="4" w:space="0" w:color="000000"/>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3,289,240.73</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-5,610,523.91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60" w:right="1660"/>
        </w:sectPr>
      </w:pPr>
    </w:p>
    <w:p>
      <w:pPr>
        <w:pStyle w:val="BodyText"/>
        <w:spacing w:line="290" w:lineRule="auto" w:before="26"/>
        <w:ind w:left="697" w:right="992" w:hanging="480"/>
        <w:jc w:val="left"/>
      </w:pPr>
      <w:r>
        <w:rPr>
          <w:spacing w:val="-1"/>
        </w:rPr>
        <w:t>其他说明：</w:t>
      </w:r>
      <w:r>
        <w:rPr>
          <w:spacing w:val="-97"/>
        </w:rPr>
        <w:t> </w:t>
      </w:r>
      <w:r>
        <w:rPr>
          <w:spacing w:val="-97"/>
        </w:rPr>
      </w:r>
      <w:r>
        <w:rPr/>
        <w:t>无</w:t>
      </w:r>
    </w:p>
    <w:p>
      <w:pPr>
        <w:pStyle w:val="Heading4"/>
        <w:spacing w:line="240" w:lineRule="auto" w:before="14"/>
        <w:ind w:left="217" w:right="-18"/>
        <w:jc w:val="left"/>
        <w:rPr>
          <w:b w:val="0"/>
          <w:bCs w:val="0"/>
        </w:rPr>
      </w:pPr>
      <w:r>
        <w:rPr>
          <w:rFonts w:ascii="Times New Roman" w:hAnsi="Times New Roman" w:cs="Times New Roman" w:eastAsia="Times New Roman" w:hint="default"/>
        </w:rPr>
        <w:t>62</w:t>
      </w:r>
      <w:r>
        <w:rPr/>
        <w:t>、</w:t>
      </w:r>
      <w:r>
        <w:rPr>
          <w:spacing w:val="-22"/>
        </w:rPr>
        <w:t> </w:t>
      </w:r>
      <w:r>
        <w:rPr/>
        <w:t>资产处置收益</w:t>
      </w:r>
      <w:r>
        <w:rPr>
          <w:b w:val="0"/>
          <w:bCs w:val="0"/>
        </w:rPr>
      </w:r>
    </w:p>
    <w:p>
      <w:pPr>
        <w:pStyle w:val="BodyText"/>
        <w:spacing w:line="240" w:lineRule="auto" w:before="40"/>
        <w:ind w:left="6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2275" w:space="4247"/>
            <w:col w:w="26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41"/>
        <w:gridCol w:w="2940"/>
        <w:gridCol w:w="2943"/>
      </w:tblGrid>
      <w:tr>
        <w:trPr>
          <w:trHeight w:val="370"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3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4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0"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3,603.94</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-100,256.61</w:t>
            </w:r>
          </w:p>
        </w:tc>
      </w:tr>
      <w:tr>
        <w:trPr>
          <w:trHeight w:val="37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3,603.94</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-100,256.61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60" w:right="1660"/>
        </w:sectPr>
      </w:pPr>
    </w:p>
    <w:p>
      <w:pPr>
        <w:pStyle w:val="BodyText"/>
        <w:spacing w:line="239" w:lineRule="exact"/>
        <w:ind w:left="697" w:right="-12" w:hanging="480"/>
        <w:jc w:val="left"/>
      </w:pPr>
      <w:r>
        <w:rPr/>
        <w:t>其他说明：</w:t>
      </w:r>
    </w:p>
    <w:p>
      <w:pPr>
        <w:pStyle w:val="BodyText"/>
        <w:spacing w:line="273" w:lineRule="exact"/>
        <w:ind w:left="697" w:right="-12"/>
        <w:jc w:val="left"/>
      </w:pPr>
      <w:r>
        <w:rPr>
          <w:w w:val="100"/>
        </w:rPr>
        <w:t>无</w:t>
      </w:r>
    </w:p>
    <w:p>
      <w:pPr>
        <w:pStyle w:val="Heading4"/>
        <w:spacing w:line="240" w:lineRule="auto" w:before="58"/>
        <w:ind w:left="217" w:right="-12"/>
        <w:jc w:val="left"/>
        <w:rPr>
          <w:b w:val="0"/>
          <w:bCs w:val="0"/>
        </w:rPr>
      </w:pPr>
      <w:r>
        <w:rPr>
          <w:rFonts w:ascii="Times New Roman" w:hAnsi="Times New Roman" w:cs="Times New Roman" w:eastAsia="Times New Roman" w:hint="default"/>
        </w:rPr>
        <w:t>63</w:t>
      </w:r>
      <w:r>
        <w:rPr/>
        <w:t>、</w:t>
      </w:r>
      <w:r>
        <w:rPr>
          <w:spacing w:val="-22"/>
        </w:rPr>
        <w:t> </w:t>
      </w:r>
      <w:r>
        <w:rPr/>
        <w:t>营业外收入</w:t>
      </w:r>
      <w:r>
        <w:rPr>
          <w:b w:val="0"/>
          <w:bCs w:val="0"/>
        </w:rPr>
      </w:r>
    </w:p>
    <w:p>
      <w:pPr>
        <w:pStyle w:val="BodyText"/>
        <w:spacing w:line="274" w:lineRule="exact" w:before="40"/>
        <w:ind w:left="697" w:right="-12"/>
        <w:jc w:val="left"/>
      </w:pPr>
      <w:r>
        <w:rPr/>
        <w:t>营业外收入情况</w:t>
      </w:r>
    </w:p>
    <w:p>
      <w:pPr>
        <w:pStyle w:val="BodyText"/>
        <w:tabs>
          <w:tab w:pos="1539" w:val="left" w:leader="none"/>
        </w:tabs>
        <w:spacing w:line="274" w:lineRule="exact"/>
        <w:ind w:left="69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8" w:val="left" w:leader="none"/>
        </w:tabs>
        <w:spacing w:line="240" w:lineRule="auto" w:before="138"/>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2380" w:space="4142"/>
            <w:col w:w="26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60"/>
        <w:gridCol w:w="2249"/>
        <w:gridCol w:w="2256"/>
        <w:gridCol w:w="2259"/>
      </w:tblGrid>
      <w:tr>
        <w:trPr>
          <w:trHeight w:val="73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9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9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703" w:right="175" w:hanging="526"/>
              <w:jc w:val="left"/>
              <w:rPr>
                <w:rFonts w:ascii="宋体" w:hAnsi="宋体" w:cs="宋体" w:eastAsia="宋体" w:hint="default"/>
                <w:sz w:val="21"/>
                <w:szCs w:val="21"/>
              </w:rPr>
            </w:pPr>
            <w:r>
              <w:rPr>
                <w:rFonts w:ascii="宋体" w:hAnsi="宋体" w:cs="宋体" w:eastAsia="宋体" w:hint="default"/>
                <w:sz w:val="21"/>
                <w:szCs w:val="21"/>
              </w:rPr>
              <w:t>计入当期非经常性损</w:t>
            </w:r>
            <w:r>
              <w:rPr>
                <w:rFonts w:ascii="宋体" w:hAnsi="宋体" w:cs="宋体" w:eastAsia="宋体" w:hint="default"/>
                <w:w w:val="100"/>
                <w:sz w:val="21"/>
                <w:szCs w:val="21"/>
              </w:rPr>
              <w:t> </w:t>
            </w:r>
            <w:r>
              <w:rPr>
                <w:rFonts w:ascii="宋体" w:hAnsi="宋体" w:cs="宋体" w:eastAsia="宋体" w:hint="default"/>
                <w:sz w:val="21"/>
                <w:szCs w:val="21"/>
              </w:rPr>
              <w:t>益的金额</w:t>
            </w:r>
          </w:p>
        </w:tc>
      </w:tr>
      <w:tr>
        <w:trPr>
          <w:trHeight w:val="370"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3,071,337.62</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1,543,880.63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3,071,337.62</w:t>
            </w:r>
          </w:p>
        </w:tc>
      </w:tr>
      <w:tr>
        <w:trPr>
          <w:trHeight w:val="370"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189,525.08</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29,206.56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189,525.08</w:t>
            </w:r>
          </w:p>
        </w:tc>
      </w:tr>
      <w:tr>
        <w:trPr>
          <w:trHeight w:val="370"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3,260,862.70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1,573,087.19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3,260,862.70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60" w:right="16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979" w:top="1120" w:bottom="1160" w:left="1140" w:right="1660"/>
        </w:sectPr>
      </w:pPr>
    </w:p>
    <w:p>
      <w:pPr>
        <w:pStyle w:val="BodyText"/>
        <w:spacing w:line="240" w:lineRule="auto" w:before="26"/>
        <w:ind w:left="619" w:right="-5"/>
        <w:jc w:val="left"/>
      </w:pPr>
      <w:r>
        <w:rPr>
          <w:spacing w:val="-1"/>
        </w:rPr>
        <w:t>计入当期</w:t>
      </w:r>
      <w:r>
        <w:rPr>
          <w:spacing w:val="-1"/>
          <w:sz w:val="24"/>
          <w:szCs w:val="24"/>
        </w:rPr>
        <w:t>损益</w:t>
      </w:r>
      <w:r>
        <w:rPr>
          <w:spacing w:val="-1"/>
        </w:rPr>
        <w:t>的政府补助</w:t>
      </w:r>
    </w:p>
    <w:p>
      <w:pPr>
        <w:pStyle w:val="BodyText"/>
        <w:spacing w:line="240" w:lineRule="auto" w:before="1"/>
        <w:ind w:left="557" w:right="-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7"/>
          <w:szCs w:val="27"/>
        </w:rPr>
      </w:pPr>
    </w:p>
    <w:p>
      <w:pPr>
        <w:pStyle w:val="BodyText"/>
        <w:tabs>
          <w:tab w:pos="1608" w:val="left" w:leader="none"/>
        </w:tabs>
        <w:spacing w:line="240" w:lineRule="auto"/>
        <w:ind w:left="557" w:right="0"/>
        <w:jc w:val="left"/>
      </w:pPr>
      <w:r>
        <w:rPr>
          <w:spacing w:val="-1"/>
        </w:rPr>
        <w:t>单位：元</w:t>
        <w:tab/>
        <w:t>币种：人民币</w:t>
      </w:r>
    </w:p>
    <w:p>
      <w:pPr>
        <w:spacing w:after="0" w:line="240" w:lineRule="auto"/>
        <w:jc w:val="left"/>
        <w:sectPr>
          <w:type w:val="continuous"/>
          <w:pgSz w:w="11910" w:h="16840"/>
          <w:pgMar w:top="1580" w:bottom="280" w:left="1140" w:right="1660"/>
          <w:cols w:num="2" w:equalWidth="0">
            <w:col w:w="2994" w:space="3108"/>
            <w:col w:w="3008"/>
          </w:cols>
        </w:sectPr>
      </w:pPr>
    </w:p>
    <w:p>
      <w:pPr>
        <w:spacing w:line="240" w:lineRule="auto" w:before="4"/>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3116"/>
        <w:gridCol w:w="1843"/>
        <w:gridCol w:w="1700"/>
        <w:gridCol w:w="2165"/>
      </w:tblGrid>
      <w:tr>
        <w:trPr>
          <w:trHeight w:val="73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866" w:right="180" w:hanging="682"/>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相关</w:t>
            </w:r>
          </w:p>
        </w:tc>
      </w:tr>
      <w:tr>
        <w:trPr>
          <w:trHeight w:val="37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年度政府企业创新奖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21"/>
                <w:szCs w:val="21"/>
              </w:rPr>
            </w:pPr>
            <w:r>
              <w:rPr>
                <w:rFonts w:ascii="Times New Roman"/>
                <w:spacing w:val="-1"/>
                <w:sz w:val="21"/>
              </w:rPr>
              <w:t>500,000.00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境内上市公司再融资奖励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500,000.00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年度授权专利奖励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330,000.00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3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8" w:right="106"/>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5"/>
                <w:sz w:val="21"/>
                <w:szCs w:val="21"/>
              </w:rPr>
              <w:t> </w:t>
            </w:r>
            <w:r>
              <w:rPr>
                <w:rFonts w:ascii="宋体" w:hAnsi="宋体" w:cs="宋体" w:eastAsia="宋体" w:hint="default"/>
                <w:spacing w:val="2"/>
                <w:sz w:val="21"/>
                <w:szCs w:val="21"/>
              </w:rPr>
              <w:t>年度鼓楼区服务业统计市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级与区级奖励资金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3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8" w:right="94"/>
              <w:jc w:val="left"/>
              <w:rPr>
                <w:rFonts w:ascii="宋体" w:hAnsi="宋体" w:cs="宋体" w:eastAsia="宋体" w:hint="default"/>
                <w:sz w:val="21"/>
                <w:szCs w:val="21"/>
              </w:rPr>
            </w:pPr>
            <w:r>
              <w:rPr>
                <w:rFonts w:ascii="宋体" w:hAnsi="宋体" w:cs="宋体" w:eastAsia="宋体" w:hint="default"/>
                <w:spacing w:val="11"/>
                <w:sz w:val="21"/>
                <w:szCs w:val="21"/>
              </w:rPr>
              <w:t>泉州市博士后科研工作站及博</w:t>
            </w:r>
            <w:r>
              <w:rPr>
                <w:rFonts w:ascii="宋体" w:hAnsi="宋体" w:cs="宋体" w:eastAsia="宋体" w:hint="default"/>
                <w:spacing w:val="-77"/>
                <w:sz w:val="21"/>
                <w:szCs w:val="21"/>
              </w:rPr>
              <w:t> </w:t>
            </w:r>
            <w:r>
              <w:rPr>
                <w:rFonts w:ascii="宋体" w:hAnsi="宋体" w:cs="宋体" w:eastAsia="宋体" w:hint="default"/>
                <w:sz w:val="21"/>
                <w:szCs w:val="21"/>
              </w:rPr>
              <w:t>士后科研人员补助资金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3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8" w:right="106"/>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5"/>
                <w:sz w:val="21"/>
                <w:szCs w:val="21"/>
              </w:rPr>
              <w:t> </w:t>
            </w:r>
            <w:r>
              <w:rPr>
                <w:rFonts w:ascii="宋体" w:hAnsi="宋体" w:cs="宋体" w:eastAsia="宋体" w:hint="default"/>
                <w:spacing w:val="2"/>
                <w:sz w:val="21"/>
                <w:szCs w:val="21"/>
              </w:rPr>
              <w:t>年度福建省企业年中及单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项研发经费补助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249,800.00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3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8" w:right="94"/>
              <w:jc w:val="left"/>
              <w:rPr>
                <w:rFonts w:ascii="宋体" w:hAnsi="宋体" w:cs="宋体" w:eastAsia="宋体" w:hint="default"/>
                <w:sz w:val="21"/>
                <w:szCs w:val="21"/>
              </w:rPr>
            </w:pPr>
            <w:r>
              <w:rPr>
                <w:rFonts w:ascii="宋体" w:hAnsi="宋体" w:cs="宋体" w:eastAsia="宋体" w:hint="default"/>
                <w:spacing w:val="11"/>
                <w:sz w:val="21"/>
                <w:szCs w:val="21"/>
              </w:rPr>
              <w:t>两化融合管理体系贯标评定通</w:t>
            </w:r>
            <w:r>
              <w:rPr>
                <w:rFonts w:ascii="宋体" w:hAnsi="宋体" w:cs="宋体" w:eastAsia="宋体" w:hint="default"/>
                <w:spacing w:val="-77"/>
                <w:sz w:val="21"/>
                <w:szCs w:val="21"/>
              </w:rPr>
              <w:t> </w:t>
            </w:r>
            <w:r>
              <w:rPr>
                <w:rFonts w:ascii="宋体" w:hAnsi="宋体" w:cs="宋体" w:eastAsia="宋体" w:hint="default"/>
                <w:sz w:val="21"/>
                <w:szCs w:val="21"/>
              </w:rPr>
              <w:t>过奖励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福建省高新技术企业称号奖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100,000.00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党建工作经费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94,339.62</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3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8" w:right="94"/>
              <w:jc w:val="left"/>
              <w:rPr>
                <w:rFonts w:ascii="宋体" w:hAnsi="宋体" w:cs="宋体" w:eastAsia="宋体" w:hint="default"/>
                <w:sz w:val="21"/>
                <w:szCs w:val="21"/>
              </w:rPr>
            </w:pPr>
            <w:r>
              <w:rPr>
                <w:rFonts w:ascii="宋体" w:hAnsi="宋体" w:cs="宋体" w:eastAsia="宋体" w:hint="default"/>
                <w:spacing w:val="11"/>
                <w:sz w:val="21"/>
                <w:szCs w:val="21"/>
              </w:rPr>
              <w:t>企业知识产权贯标认证补助项</w:t>
            </w:r>
            <w:r>
              <w:rPr>
                <w:rFonts w:ascii="宋体" w:hAnsi="宋体" w:cs="宋体" w:eastAsia="宋体" w:hint="default"/>
                <w:spacing w:val="-77"/>
                <w:sz w:val="21"/>
                <w:szCs w:val="21"/>
              </w:rPr>
              <w:t> </w:t>
            </w:r>
            <w:r>
              <w:rPr>
                <w:rFonts w:ascii="宋体" w:hAnsi="宋体" w:cs="宋体" w:eastAsia="宋体" w:hint="default"/>
                <w:sz w:val="21"/>
                <w:szCs w:val="21"/>
              </w:rPr>
              <w:t>目经费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80,000.00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优惠政策奖励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72,000.00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3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8" w:right="106"/>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5"/>
                <w:sz w:val="21"/>
                <w:szCs w:val="21"/>
              </w:rPr>
              <w:t> </w:t>
            </w:r>
            <w:r>
              <w:rPr>
                <w:rFonts w:ascii="宋体" w:hAnsi="宋体" w:cs="宋体" w:eastAsia="宋体" w:hint="default"/>
                <w:spacing w:val="2"/>
                <w:sz w:val="21"/>
                <w:szCs w:val="21"/>
              </w:rPr>
              <w:t>年度第一批促进服务员限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下企业转型升级奖励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60,000.00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21"/>
                <w:szCs w:val="21"/>
              </w:rPr>
            </w:pPr>
            <w:r>
              <w:rPr>
                <w:rFonts w:ascii="宋体" w:hAnsi="宋体" w:cs="宋体" w:eastAsia="宋体" w:hint="default"/>
                <w:sz w:val="21"/>
                <w:szCs w:val="21"/>
              </w:rPr>
              <w:t>国内发明专利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21"/>
                <w:szCs w:val="21"/>
              </w:rPr>
            </w:pPr>
            <w:r>
              <w:rPr>
                <w:rFonts w:ascii="Times New Roman"/>
                <w:spacing w:val="-1"/>
                <w:sz w:val="21"/>
              </w:rPr>
              <w:t>60,000.00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年重新认定高新技术企业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50,000.00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丰泽区专利奖金奖奖励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50,000.00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招收博士后人员培养经费资助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40,000.00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3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8" w:right="94"/>
              <w:jc w:val="left"/>
              <w:rPr>
                <w:rFonts w:ascii="宋体" w:hAnsi="宋体" w:cs="宋体" w:eastAsia="宋体" w:hint="default"/>
                <w:sz w:val="21"/>
                <w:szCs w:val="21"/>
              </w:rPr>
            </w:pPr>
            <w:r>
              <w:rPr>
                <w:rFonts w:ascii="宋体" w:hAnsi="宋体" w:cs="宋体" w:eastAsia="宋体" w:hint="default"/>
                <w:spacing w:val="11"/>
                <w:sz w:val="21"/>
                <w:szCs w:val="21"/>
              </w:rPr>
              <w:t>福建省科学技术进步奖三等奖</w:t>
            </w:r>
            <w:r>
              <w:rPr>
                <w:rFonts w:ascii="宋体" w:hAnsi="宋体" w:cs="宋体" w:eastAsia="宋体" w:hint="default"/>
                <w:spacing w:val="-77"/>
                <w:sz w:val="21"/>
                <w:szCs w:val="21"/>
              </w:rPr>
              <w:t> </w:t>
            </w:r>
            <w:r>
              <w:rPr>
                <w:rFonts w:ascii="宋体" w:hAnsi="宋体" w:cs="宋体" w:eastAsia="宋体" w:hint="default"/>
                <w:sz w:val="21"/>
                <w:szCs w:val="21"/>
              </w:rPr>
              <w:t>奖金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40,000.00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3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8" w:right="106"/>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5"/>
                <w:sz w:val="21"/>
                <w:szCs w:val="21"/>
              </w:rPr>
              <w:t> </w:t>
            </w:r>
            <w:r>
              <w:rPr>
                <w:rFonts w:ascii="宋体" w:hAnsi="宋体" w:cs="宋体" w:eastAsia="宋体" w:hint="default"/>
                <w:spacing w:val="2"/>
                <w:sz w:val="21"/>
                <w:szCs w:val="21"/>
              </w:rPr>
              <w:t>年度民营企业高层次人才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贡献奖励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27,198.00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3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5"/>
              <w:ind w:left="108" w:right="106"/>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5"/>
                <w:sz w:val="21"/>
                <w:szCs w:val="21"/>
              </w:rPr>
              <w:t> </w:t>
            </w:r>
            <w:r>
              <w:rPr>
                <w:rFonts w:ascii="宋体" w:hAnsi="宋体" w:cs="宋体" w:eastAsia="宋体" w:hint="default"/>
                <w:spacing w:val="2"/>
                <w:sz w:val="21"/>
                <w:szCs w:val="21"/>
              </w:rPr>
              <w:t>年度科技创新券补助专项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18,000.00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省级工程研究院评定奖励金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500,000.00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院士专家工作站建站补助</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250,000.00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专利评奖奖励</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202,000.00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高层次人才奖励金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118,899.00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center"/>
        <w:rPr>
          <w:rFonts w:ascii="宋体" w:hAnsi="宋体" w:cs="宋体" w:eastAsia="宋体" w:hint="default"/>
          <w:sz w:val="21"/>
          <w:szCs w:val="21"/>
        </w:rPr>
        <w:sectPr>
          <w:type w:val="continuous"/>
          <w:pgSz w:w="11910" w:h="16840"/>
          <w:pgMar w:top="1580" w:bottom="280" w:left="1140" w:right="1660"/>
        </w:sectPr>
      </w:pPr>
    </w:p>
    <w:p>
      <w:pPr>
        <w:spacing w:line="240" w:lineRule="auto" w:before="11"/>
        <w:rPr>
          <w:rFonts w:ascii="宋体" w:hAnsi="宋体" w:cs="宋体" w:eastAsia="宋体" w:hint="default"/>
          <w:sz w:val="23"/>
          <w:szCs w:val="23"/>
        </w:rPr>
      </w:pPr>
    </w:p>
    <w:tbl>
      <w:tblPr>
        <w:tblW w:w="0" w:type="auto"/>
        <w:jc w:val="left"/>
        <w:tblInd w:w="237" w:type="dxa"/>
        <w:tblLayout w:type="fixed"/>
        <w:tblCellMar>
          <w:top w:w="0" w:type="dxa"/>
          <w:left w:w="0" w:type="dxa"/>
          <w:bottom w:w="0" w:type="dxa"/>
          <w:right w:w="0" w:type="dxa"/>
        </w:tblCellMar>
        <w:tblLook w:val="01E0"/>
      </w:tblPr>
      <w:tblGrid>
        <w:gridCol w:w="3116"/>
        <w:gridCol w:w="1843"/>
        <w:gridCol w:w="1700"/>
        <w:gridCol w:w="2165"/>
      </w:tblGrid>
      <w:tr>
        <w:trPr>
          <w:trHeight w:val="37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8" w:right="0"/>
              <w:jc w:val="left"/>
              <w:rPr>
                <w:rFonts w:ascii="宋体" w:hAnsi="宋体" w:cs="宋体" w:eastAsia="宋体" w:hint="default"/>
                <w:sz w:val="21"/>
                <w:szCs w:val="21"/>
              </w:rPr>
            </w:pPr>
            <w:r>
              <w:rPr>
                <w:rFonts w:ascii="宋体" w:hAnsi="宋体" w:cs="宋体" w:eastAsia="宋体" w:hint="default"/>
                <w:sz w:val="21"/>
                <w:szCs w:val="21"/>
              </w:rPr>
              <w:t>人才高地企业奖励</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综合改革试点区域扶持基金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3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5"/>
              <w:ind w:left="108" w:right="106"/>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5"/>
                <w:sz w:val="21"/>
                <w:szCs w:val="21"/>
              </w:rPr>
              <w:t> </w:t>
            </w:r>
            <w:r>
              <w:rPr>
                <w:rFonts w:ascii="宋体" w:hAnsi="宋体" w:cs="宋体" w:eastAsia="宋体" w:hint="default"/>
                <w:spacing w:val="2"/>
                <w:sz w:val="21"/>
                <w:szCs w:val="21"/>
              </w:rPr>
              <w:t>年新认定高新技术企业奖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励</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批量交换磁盘拷入录入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84,000.00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专利补助金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35,000.00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年度省级科技创新券补助</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22,000.00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年度失业保险稳岗补贴</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17,981.63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年鼓楼区知识产权奖励</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14,000.00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21" w:right="0"/>
              <w:jc w:val="left"/>
              <w:rPr>
                <w:rFonts w:ascii="Times New Roman" w:hAnsi="Times New Roman" w:cs="Times New Roman" w:eastAsia="Times New Roman" w:hint="default"/>
                <w:sz w:val="21"/>
                <w:szCs w:val="21"/>
              </w:rPr>
            </w:pPr>
            <w:r>
              <w:rPr>
                <w:rFonts w:ascii="Times New Roman"/>
                <w:sz w:val="21"/>
              </w:rPr>
              <w:t>3,071,337.62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21"/>
                <w:szCs w:val="21"/>
              </w:rPr>
            </w:pPr>
            <w:r>
              <w:rPr>
                <w:rFonts w:ascii="Times New Roman"/>
                <w:spacing w:val="-1"/>
                <w:sz w:val="21"/>
              </w:rPr>
              <w:t>1,543,880.63</w:t>
            </w:r>
          </w:p>
        </w:tc>
        <w:tc>
          <w:tcPr>
            <w:tcW w:w="21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57" w:footer="979" w:top="1120" w:bottom="1160" w:left="1040" w:right="1660"/>
        </w:sectPr>
      </w:pPr>
    </w:p>
    <w:p>
      <w:pPr>
        <w:pStyle w:val="BodyText"/>
        <w:spacing w:line="240" w:lineRule="auto" w:before="36"/>
        <w:ind w:left="237" w:right="0"/>
        <w:jc w:val="left"/>
      </w:pPr>
      <w:r>
        <w:rPr/>
        <w:t>其他说明：</w:t>
      </w:r>
    </w:p>
    <w:p>
      <w:pPr>
        <w:pStyle w:val="BodyText"/>
        <w:spacing w:line="240" w:lineRule="auto" w:before="145"/>
        <w:ind w:left="237" w:right="0"/>
        <w:jc w:val="left"/>
      </w:pPr>
      <w:r>
        <w:rPr/>
        <w:t>□适用 √不适用</w:t>
      </w:r>
    </w:p>
    <w:p>
      <w:pPr>
        <w:pStyle w:val="Heading4"/>
        <w:spacing w:line="240" w:lineRule="auto" w:before="68"/>
        <w:ind w:left="237" w:right="0"/>
        <w:jc w:val="left"/>
        <w:rPr>
          <w:b w:val="0"/>
          <w:bCs w:val="0"/>
        </w:rPr>
      </w:pPr>
      <w:r>
        <w:rPr>
          <w:rFonts w:ascii="Times New Roman" w:hAnsi="Times New Roman" w:cs="Times New Roman" w:eastAsia="Times New Roman" w:hint="default"/>
        </w:rPr>
        <w:t>64</w:t>
      </w:r>
      <w:r>
        <w:rPr/>
        <w:t>、</w:t>
      </w:r>
      <w:r>
        <w:rPr>
          <w:spacing w:val="-22"/>
        </w:rPr>
        <w:t> </w:t>
      </w:r>
      <w:r>
        <w:rPr/>
        <w:t>营业外支出</w:t>
      </w:r>
      <w:r>
        <w:rPr>
          <w:b w:val="0"/>
          <w:bCs w:val="0"/>
        </w:rPr>
      </w:r>
    </w:p>
    <w:p>
      <w:pPr>
        <w:pStyle w:val="BodyText"/>
        <w:tabs>
          <w:tab w:pos="1559" w:val="left" w:leader="none"/>
        </w:tabs>
        <w:spacing w:line="240" w:lineRule="auto" w:before="43"/>
        <w:ind w:left="71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660"/>
          <w:cols w:num="2" w:equalWidth="0">
            <w:col w:w="2400" w:space="4122"/>
            <w:col w:w="26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976"/>
        <w:gridCol w:w="2319"/>
        <w:gridCol w:w="2271"/>
        <w:gridCol w:w="2259"/>
      </w:tblGrid>
      <w:tr>
        <w:trPr>
          <w:trHeight w:val="730"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768"/>
              <w:jc w:val="right"/>
              <w:rPr>
                <w:rFonts w:ascii="宋体" w:hAnsi="宋体" w:cs="宋体" w:eastAsia="宋体" w:hint="default"/>
                <w:sz w:val="21"/>
                <w:szCs w:val="21"/>
              </w:rPr>
            </w:pPr>
            <w:r>
              <w:rPr>
                <w:rFonts w:ascii="宋体" w:hAnsi="宋体" w:cs="宋体" w:eastAsia="宋体" w:hint="default"/>
                <w:sz w:val="21"/>
                <w:szCs w:val="21"/>
              </w:rPr>
              <w:t>项目</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703" w:right="175" w:hanging="526"/>
              <w:jc w:val="left"/>
              <w:rPr>
                <w:rFonts w:ascii="宋体" w:hAnsi="宋体" w:cs="宋体" w:eastAsia="宋体" w:hint="default"/>
                <w:sz w:val="21"/>
                <w:szCs w:val="21"/>
              </w:rPr>
            </w:pPr>
            <w:r>
              <w:rPr>
                <w:rFonts w:ascii="宋体" w:hAnsi="宋体" w:cs="宋体" w:eastAsia="宋体" w:hint="default"/>
                <w:sz w:val="21"/>
                <w:szCs w:val="21"/>
              </w:rPr>
              <w:t>计入当期非经常性损</w:t>
            </w:r>
            <w:r>
              <w:rPr>
                <w:rFonts w:ascii="宋体" w:hAnsi="宋体" w:cs="宋体" w:eastAsia="宋体" w:hint="default"/>
                <w:w w:val="100"/>
                <w:sz w:val="21"/>
                <w:szCs w:val="21"/>
              </w:rPr>
              <w:t> </w:t>
            </w:r>
            <w:r>
              <w:rPr>
                <w:rFonts w:ascii="宋体" w:hAnsi="宋体" w:cs="宋体" w:eastAsia="宋体" w:hint="default"/>
                <w:sz w:val="21"/>
                <w:szCs w:val="21"/>
              </w:rPr>
              <w:t>益的金额</w:t>
            </w:r>
          </w:p>
        </w:tc>
      </w:tr>
      <w:tr>
        <w:trPr>
          <w:trHeight w:val="730"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100"/>
              <w:jc w:val="left"/>
              <w:rPr>
                <w:rFonts w:ascii="宋体" w:hAnsi="宋体" w:cs="宋体" w:eastAsia="宋体" w:hint="default"/>
                <w:sz w:val="21"/>
                <w:szCs w:val="21"/>
              </w:rPr>
            </w:pPr>
            <w:r>
              <w:rPr>
                <w:rFonts w:ascii="宋体" w:hAnsi="宋体" w:cs="宋体" w:eastAsia="宋体" w:hint="default"/>
                <w:spacing w:val="7"/>
                <w:sz w:val="21"/>
                <w:szCs w:val="21"/>
              </w:rPr>
              <w:t>非流动资产处置损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失合计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97,249.08</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62,787.62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97,249.08</w:t>
            </w:r>
          </w:p>
        </w:tc>
      </w:tr>
      <w:tr>
        <w:trPr>
          <w:trHeight w:val="730"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left"/>
              <w:rPr>
                <w:rFonts w:ascii="宋体" w:hAnsi="宋体" w:cs="宋体" w:eastAsia="宋体" w:hint="default"/>
                <w:sz w:val="21"/>
                <w:szCs w:val="21"/>
              </w:rPr>
            </w:pPr>
            <w:r>
              <w:rPr>
                <w:rFonts w:ascii="宋体" w:hAnsi="宋体" w:cs="宋体" w:eastAsia="宋体" w:hint="default"/>
                <w:spacing w:val="7"/>
                <w:sz w:val="21"/>
                <w:szCs w:val="21"/>
              </w:rPr>
              <w:t>其中：固定资产处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置损失</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97,249.08</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62,787.62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97,249.08</w:t>
            </w:r>
          </w:p>
        </w:tc>
      </w:tr>
      <w:tr>
        <w:trPr>
          <w:trHeight w:val="370"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1,610,000.00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1,313,400.00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1,610,000.00</w:t>
            </w:r>
          </w:p>
        </w:tc>
      </w:tr>
      <w:tr>
        <w:trPr>
          <w:trHeight w:val="372"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28,675.48</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926,909.07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28,675.48</w:t>
            </w:r>
          </w:p>
        </w:tc>
      </w:tr>
      <w:tr>
        <w:trPr>
          <w:trHeight w:val="370"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70"/>
              <w:jc w:val="right"/>
              <w:rPr>
                <w:rFonts w:ascii="宋体" w:hAnsi="宋体" w:cs="宋体" w:eastAsia="宋体" w:hint="default"/>
                <w:sz w:val="21"/>
                <w:szCs w:val="21"/>
              </w:rPr>
            </w:pPr>
            <w:r>
              <w:rPr>
                <w:rFonts w:ascii="宋体" w:hAnsi="宋体" w:cs="宋体" w:eastAsia="宋体" w:hint="default"/>
                <w:sz w:val="21"/>
                <w:szCs w:val="21"/>
              </w:rPr>
              <w:t>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1,735,924.56</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2,303,096.69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1,735,924.56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40" w:right="1660"/>
        </w:sectPr>
      </w:pPr>
    </w:p>
    <w:p>
      <w:pPr>
        <w:pStyle w:val="BodyText"/>
        <w:spacing w:line="290" w:lineRule="auto" w:before="26"/>
        <w:ind w:left="717" w:right="992" w:hanging="480"/>
        <w:jc w:val="left"/>
      </w:pPr>
      <w:r>
        <w:rPr>
          <w:spacing w:val="-1"/>
        </w:rPr>
        <w:t>其他说明：</w:t>
      </w:r>
      <w:r>
        <w:rPr>
          <w:spacing w:val="-97"/>
        </w:rPr>
        <w:t> </w:t>
      </w:r>
      <w:r>
        <w:rPr>
          <w:spacing w:val="-97"/>
        </w:rPr>
      </w:r>
      <w:r>
        <w:rPr/>
        <w:t>无</w:t>
      </w:r>
    </w:p>
    <w:p>
      <w:pPr>
        <w:pStyle w:val="Heading4"/>
        <w:spacing w:line="240" w:lineRule="auto" w:before="15"/>
        <w:ind w:left="237" w:right="-18"/>
        <w:jc w:val="left"/>
        <w:rPr>
          <w:b w:val="0"/>
          <w:bCs w:val="0"/>
        </w:rPr>
      </w:pPr>
      <w:r>
        <w:rPr>
          <w:rFonts w:ascii="Times New Roman" w:hAnsi="Times New Roman" w:cs="Times New Roman" w:eastAsia="Times New Roman" w:hint="default"/>
        </w:rPr>
        <w:t>65</w:t>
      </w:r>
      <w:r>
        <w:rPr/>
        <w:t>、</w:t>
      </w:r>
      <w:r>
        <w:rPr>
          <w:spacing w:val="-22"/>
        </w:rPr>
        <w:t> </w:t>
      </w:r>
      <w:r>
        <w:rPr/>
        <w:t>所得税费用</w:t>
      </w:r>
      <w:r>
        <w:rPr>
          <w:b w:val="0"/>
          <w:bCs w:val="0"/>
        </w:rPr>
      </w:r>
    </w:p>
    <w:p>
      <w:pPr>
        <w:pStyle w:val="Heading4"/>
        <w:spacing w:line="240" w:lineRule="auto" w:before="40"/>
        <w:ind w:left="237" w:right="-18"/>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5"/>
        </w:rPr>
        <w:t> </w:t>
      </w:r>
      <w:r>
        <w:rPr/>
        <w:t>所得税费用表</w:t>
      </w:r>
      <w:r>
        <w:rPr>
          <w:b w:val="0"/>
          <w:bCs w:val="0"/>
        </w:rPr>
      </w:r>
    </w:p>
    <w:p>
      <w:pPr>
        <w:pStyle w:val="BodyText"/>
        <w:spacing w:line="240" w:lineRule="auto" w:before="43"/>
        <w:ind w:left="7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660"/>
          <w:cols w:num="2" w:equalWidth="0">
            <w:col w:w="2295" w:space="4227"/>
            <w:col w:w="26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33"/>
        <w:gridCol w:w="2854"/>
        <w:gridCol w:w="2837"/>
      </w:tblGrid>
      <w:tr>
        <w:trPr>
          <w:trHeight w:val="370"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9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8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0"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32,609,465.77</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
              <w:jc w:val="right"/>
              <w:rPr>
                <w:rFonts w:ascii="Times New Roman" w:hAnsi="Times New Roman" w:cs="Times New Roman" w:eastAsia="Times New Roman" w:hint="default"/>
                <w:sz w:val="21"/>
                <w:szCs w:val="21"/>
              </w:rPr>
            </w:pPr>
            <w:r>
              <w:rPr>
                <w:rFonts w:ascii="Times New Roman"/>
                <w:spacing w:val="-1"/>
                <w:sz w:val="21"/>
              </w:rPr>
              <w:t>23,207,068.94</w:t>
            </w:r>
          </w:p>
        </w:tc>
      </w:tr>
      <w:tr>
        <w:trPr>
          <w:trHeight w:val="370"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15,986,828.47</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
              <w:jc w:val="right"/>
              <w:rPr>
                <w:rFonts w:ascii="Times New Roman" w:hAnsi="Times New Roman" w:cs="Times New Roman" w:eastAsia="Times New Roman" w:hint="default"/>
                <w:sz w:val="21"/>
                <w:szCs w:val="21"/>
              </w:rPr>
            </w:pPr>
            <w:r>
              <w:rPr>
                <w:rFonts w:ascii="Times New Roman"/>
                <w:spacing w:val="-1"/>
                <w:sz w:val="21"/>
              </w:rPr>
              <w:t>-4,373,529.68</w:t>
            </w:r>
          </w:p>
        </w:tc>
      </w:tr>
      <w:tr>
        <w:trPr>
          <w:trHeight w:val="37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3"/>
              <w:jc w:val="right"/>
              <w:rPr>
                <w:rFonts w:ascii="Times New Roman" w:hAnsi="Times New Roman" w:cs="Times New Roman" w:eastAsia="Times New Roman" w:hint="default"/>
                <w:sz w:val="21"/>
                <w:szCs w:val="21"/>
              </w:rPr>
            </w:pPr>
            <w:r>
              <w:rPr>
                <w:rFonts w:ascii="Times New Roman"/>
                <w:spacing w:val="-1"/>
                <w:sz w:val="21"/>
              </w:rPr>
              <w:t>48,596,294.24</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
              <w:jc w:val="right"/>
              <w:rPr>
                <w:rFonts w:ascii="Times New Roman" w:hAnsi="Times New Roman" w:cs="Times New Roman" w:eastAsia="Times New Roman" w:hint="default"/>
                <w:sz w:val="21"/>
                <w:szCs w:val="21"/>
              </w:rPr>
            </w:pPr>
            <w:r>
              <w:rPr>
                <w:rFonts w:ascii="Times New Roman"/>
                <w:spacing w:val="-1"/>
                <w:sz w:val="21"/>
              </w:rPr>
              <w:t>18,833,539.26</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040" w:right="1660"/>
        </w:sectPr>
      </w:pPr>
    </w:p>
    <w:p>
      <w:pPr>
        <w:pStyle w:val="Heading4"/>
        <w:spacing w:line="240" w:lineRule="auto"/>
        <w:ind w:left="237" w:right="-18"/>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3"/>
        </w:rPr>
        <w:t> </w:t>
      </w:r>
      <w:r>
        <w:rPr/>
        <w:t>会计利润与所得税费用调整过程</w:t>
      </w:r>
      <w:r>
        <w:rPr>
          <w:b w:val="0"/>
          <w:bCs w:val="0"/>
        </w:rPr>
      </w:r>
    </w:p>
    <w:p>
      <w:pPr>
        <w:pStyle w:val="BodyText"/>
        <w:spacing w:line="240" w:lineRule="auto" w:before="43"/>
        <w:ind w:left="7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660"/>
          <w:cols w:num="2" w:equalWidth="0">
            <w:col w:w="3617" w:space="2905"/>
            <w:col w:w="2688"/>
          </w:cols>
        </w:sectPr>
      </w:pPr>
    </w:p>
    <w:p>
      <w:pPr>
        <w:spacing w:line="240" w:lineRule="auto" w:before="11"/>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4268"/>
        <w:gridCol w:w="4554"/>
      </w:tblGrid>
      <w:tr>
        <w:trPr>
          <w:trHeight w:val="372"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5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374" w:hRule="exact"/>
        </w:trPr>
        <w:tc>
          <w:tcPr>
            <w:tcW w:w="426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5"/>
              <w:ind w:left="10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218,438,693.91</w:t>
            </w:r>
          </w:p>
        </w:tc>
      </w:tr>
      <w:tr>
        <w:trPr>
          <w:trHeight w:val="377" w:hRule="exact"/>
        </w:trPr>
        <w:tc>
          <w:tcPr>
            <w:tcW w:w="426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7"/>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04"/>
              <w:jc w:val="right"/>
              <w:rPr>
                <w:rFonts w:ascii="Times New Roman" w:hAnsi="Times New Roman" w:cs="Times New Roman" w:eastAsia="Times New Roman" w:hint="default"/>
                <w:sz w:val="21"/>
                <w:szCs w:val="21"/>
              </w:rPr>
            </w:pPr>
            <w:r>
              <w:rPr>
                <w:rFonts w:ascii="Times New Roman"/>
                <w:spacing w:val="-1"/>
                <w:sz w:val="21"/>
              </w:rPr>
              <w:t>32,765,804.09</w:t>
            </w:r>
          </w:p>
        </w:tc>
      </w:tr>
      <w:tr>
        <w:trPr>
          <w:trHeight w:val="374"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5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599,205.65</w:t>
            </w:r>
          </w:p>
        </w:tc>
      </w:tr>
      <w:tr>
        <w:trPr>
          <w:trHeight w:val="374" w:hRule="exact"/>
        </w:trPr>
        <w:tc>
          <w:tcPr>
            <w:tcW w:w="426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5"/>
              <w:ind w:left="106" w:right="0"/>
              <w:jc w:val="left"/>
              <w:rPr>
                <w:rFonts w:ascii="宋体" w:hAnsi="宋体" w:cs="宋体" w:eastAsia="宋体" w:hint="default"/>
                <w:sz w:val="21"/>
                <w:szCs w:val="21"/>
              </w:rPr>
            </w:pPr>
            <w:r>
              <w:rPr>
                <w:rFonts w:ascii="宋体" w:hAnsi="宋体" w:cs="宋体" w:eastAsia="宋体" w:hint="default"/>
                <w:sz w:val="21"/>
                <w:szCs w:val="21"/>
              </w:rPr>
              <w:t>税率变动的影响</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373,237.78</w:t>
            </w:r>
          </w:p>
        </w:tc>
      </w:tr>
      <w:tr>
        <w:trPr>
          <w:trHeight w:val="374" w:hRule="exact"/>
        </w:trPr>
        <w:tc>
          <w:tcPr>
            <w:tcW w:w="426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54" w:type="dxa"/>
            <w:tcBorders>
              <w:top w:val="single" w:sz="6" w:space="0" w:color="000000"/>
              <w:left w:val="single" w:sz="4" w:space="0" w:color="000000"/>
              <w:bottom w:val="single" w:sz="6" w:space="0" w:color="000000"/>
              <w:right w:val="single" w:sz="6" w:space="0" w:color="000000"/>
            </w:tcBorders>
          </w:tcPr>
          <w:p>
            <w:pPr/>
          </w:p>
        </w:tc>
      </w:tr>
      <w:tr>
        <w:trPr>
          <w:trHeight w:val="377"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5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-1,325,507.09</w:t>
            </w:r>
          </w:p>
        </w:tc>
      </w:tr>
      <w:tr>
        <w:trPr>
          <w:trHeight w:val="374"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5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4,638,309.26</w:t>
            </w:r>
          </w:p>
        </w:tc>
      </w:tr>
      <w:tr>
        <w:trPr>
          <w:trHeight w:val="374" w:hRule="exact"/>
        </w:trPr>
        <w:tc>
          <w:tcPr>
            <w:tcW w:w="426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5"/>
              <w:ind w:left="106" w:right="0"/>
              <w:jc w:val="left"/>
              <w:rPr>
                <w:rFonts w:ascii="宋体" w:hAnsi="宋体" w:cs="宋体" w:eastAsia="宋体" w:hint="default"/>
                <w:sz w:val="21"/>
                <w:szCs w:val="21"/>
              </w:rPr>
            </w:pPr>
            <w:r>
              <w:rPr>
                <w:rFonts w:ascii="宋体" w:hAnsi="宋体" w:cs="宋体" w:eastAsia="宋体" w:hint="default"/>
                <w:sz w:val="21"/>
                <w:szCs w:val="21"/>
              </w:rPr>
              <w:t>研发加计扣除的影响</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-3,671,192.30</w:t>
            </w:r>
          </w:p>
        </w:tc>
      </w:tr>
      <w:tr>
        <w:trPr>
          <w:trHeight w:val="735" w:hRule="exact"/>
        </w:trPr>
        <w:tc>
          <w:tcPr>
            <w:tcW w:w="4268" w:type="dxa"/>
            <w:tcBorders>
              <w:top w:val="single" w:sz="6" w:space="0" w:color="000000"/>
              <w:left w:val="single" w:sz="4" w:space="0" w:color="000000"/>
              <w:bottom w:val="single" w:sz="4" w:space="0" w:color="000000"/>
              <w:right w:val="single" w:sz="4" w:space="0" w:color="000000"/>
            </w:tcBorders>
          </w:tcPr>
          <w:p>
            <w:pPr>
              <w:pStyle w:val="TableParagraph"/>
              <w:spacing w:line="314" w:lineRule="auto" w:before="43"/>
              <w:ind w:left="108" w:right="114"/>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损的影响</w:t>
            </w:r>
          </w:p>
        </w:tc>
        <w:tc>
          <w:tcPr>
            <w:tcW w:w="455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-435,321.97</w:t>
            </w:r>
          </w:p>
        </w:tc>
      </w:tr>
      <w:tr>
        <w:trPr>
          <w:trHeight w:val="737" w:hRule="exact"/>
        </w:trPr>
        <w:tc>
          <w:tcPr>
            <w:tcW w:w="4268" w:type="dxa"/>
            <w:tcBorders>
              <w:top w:val="single" w:sz="4" w:space="0" w:color="000000"/>
              <w:left w:val="single" w:sz="6" w:space="0" w:color="000000"/>
              <w:bottom w:val="single" w:sz="6" w:space="0" w:color="000000"/>
              <w:right w:val="single" w:sz="6" w:space="0" w:color="000000"/>
            </w:tcBorders>
          </w:tcPr>
          <w:p>
            <w:pPr>
              <w:pStyle w:val="TableParagraph"/>
              <w:spacing w:line="314" w:lineRule="auto" w:before="47"/>
              <w:ind w:left="106" w:right="105"/>
              <w:jc w:val="left"/>
              <w:rPr>
                <w:rFonts w:ascii="宋体" w:hAnsi="宋体" w:cs="宋体" w:eastAsia="宋体" w:hint="default"/>
                <w:sz w:val="21"/>
                <w:szCs w:val="21"/>
              </w:rPr>
            </w:pPr>
            <w:r>
              <w:rPr>
                <w:rFonts w:ascii="宋体" w:hAnsi="宋体" w:cs="宋体" w:eastAsia="宋体" w:hint="default"/>
                <w:sz w:val="21"/>
                <w:szCs w:val="21"/>
              </w:rPr>
              <w:t>转回以前年度确认递延税的可抵扣暂时性差</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异或可抵扣亏损的影响</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9,505,765.35</w:t>
            </w:r>
          </w:p>
        </w:tc>
      </w:tr>
      <w:tr>
        <w:trPr>
          <w:trHeight w:val="734" w:hRule="exact"/>
        </w:trPr>
        <w:tc>
          <w:tcPr>
            <w:tcW w:w="4268" w:type="dxa"/>
            <w:tcBorders>
              <w:top w:val="single" w:sz="6" w:space="0" w:color="000000"/>
              <w:left w:val="single" w:sz="4" w:space="0" w:color="000000"/>
              <w:bottom w:val="single" w:sz="4" w:space="0" w:color="000000"/>
              <w:right w:val="single" w:sz="4" w:space="0" w:color="000000"/>
            </w:tcBorders>
          </w:tcPr>
          <w:p>
            <w:pPr>
              <w:pStyle w:val="TableParagraph"/>
              <w:spacing w:line="314" w:lineRule="auto" w:before="42"/>
              <w:ind w:left="108" w:right="114"/>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差异或可抵扣亏损的影响</w:t>
            </w:r>
          </w:p>
        </w:tc>
        <w:tc>
          <w:tcPr>
            <w:tcW w:w="455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6,145,993.47</w:t>
            </w:r>
          </w:p>
        </w:tc>
      </w:tr>
      <w:tr>
        <w:trPr>
          <w:trHeight w:val="374"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5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48,596,294.24</w:t>
            </w:r>
          </w:p>
        </w:tc>
      </w:tr>
    </w:tbl>
    <w:p>
      <w:pPr>
        <w:spacing w:after="0" w:line="240" w:lineRule="auto"/>
        <w:jc w:val="right"/>
        <w:rPr>
          <w:rFonts w:ascii="Times New Roman" w:hAnsi="Times New Roman" w:cs="Times New Roman" w:eastAsia="Times New Roman" w:hint="default"/>
          <w:sz w:val="21"/>
          <w:szCs w:val="21"/>
        </w:rPr>
        <w:sectPr>
          <w:pgSz w:w="11910" w:h="16840"/>
          <w:pgMar w:header="857" w:footer="979" w:top="1120" w:bottom="1160" w:left="1040" w:right="1660"/>
        </w:sectPr>
      </w:pPr>
    </w:p>
    <w:p>
      <w:pPr>
        <w:pStyle w:val="BodyText"/>
        <w:spacing w:line="240" w:lineRule="auto" w:before="26"/>
        <w:ind w:left="237" w:right="-17"/>
        <w:jc w:val="left"/>
      </w:pPr>
      <w:r>
        <w:rPr/>
        <w:t>其他说明：</w:t>
      </w:r>
    </w:p>
    <w:p>
      <w:pPr>
        <w:pStyle w:val="BodyText"/>
        <w:spacing w:line="240" w:lineRule="auto" w:before="58"/>
        <w:ind w:left="237" w:right="-17"/>
        <w:jc w:val="left"/>
      </w:pPr>
      <w:r>
        <w:rPr/>
        <w:t>□适用 √不适用</w:t>
      </w:r>
    </w:p>
    <w:p>
      <w:pPr>
        <w:pStyle w:val="Heading4"/>
        <w:spacing w:line="240" w:lineRule="auto" w:before="56"/>
        <w:ind w:left="237" w:right="-17"/>
        <w:jc w:val="left"/>
        <w:rPr>
          <w:b w:val="0"/>
          <w:bCs w:val="0"/>
        </w:rPr>
      </w:pPr>
      <w:r>
        <w:rPr>
          <w:rFonts w:ascii="Times New Roman" w:hAnsi="Times New Roman" w:cs="Times New Roman" w:eastAsia="Times New Roman" w:hint="default"/>
        </w:rPr>
        <w:t>66</w:t>
      </w:r>
      <w:r>
        <w:rPr/>
        <w:t>、</w:t>
      </w:r>
      <w:r>
        <w:rPr>
          <w:spacing w:val="-22"/>
        </w:rPr>
        <w:t> </w:t>
      </w:r>
      <w:r>
        <w:rPr/>
        <w:t>其他综合收益</w:t>
      </w:r>
      <w:r>
        <w:rPr>
          <w:b w:val="0"/>
          <w:bCs w:val="0"/>
        </w:rPr>
      </w:r>
    </w:p>
    <w:p>
      <w:pPr>
        <w:pStyle w:val="BodyText"/>
        <w:spacing w:line="240" w:lineRule="auto" w:before="43"/>
        <w:ind w:left="237" w:right="-17"/>
        <w:jc w:val="left"/>
      </w:pPr>
      <w:r>
        <w:rPr/>
        <w:t>□适用 √不适用</w:t>
      </w:r>
    </w:p>
    <w:p>
      <w:pPr>
        <w:pStyle w:val="Heading4"/>
        <w:spacing w:line="240" w:lineRule="auto" w:before="56"/>
        <w:ind w:left="237" w:right="-17"/>
        <w:jc w:val="left"/>
        <w:rPr>
          <w:b w:val="0"/>
          <w:bCs w:val="0"/>
        </w:rPr>
      </w:pPr>
      <w:r>
        <w:rPr>
          <w:rFonts w:ascii="Times New Roman" w:hAnsi="Times New Roman" w:cs="Times New Roman" w:eastAsia="Times New Roman" w:hint="default"/>
        </w:rPr>
        <w:t>67</w:t>
      </w:r>
      <w:r>
        <w:rPr/>
        <w:t>、</w:t>
      </w:r>
      <w:r>
        <w:rPr>
          <w:spacing w:val="-21"/>
        </w:rPr>
        <w:t> </w:t>
      </w:r>
      <w:r>
        <w:rPr/>
        <w:t>现金流量表项目</w:t>
      </w:r>
      <w:r>
        <w:rPr>
          <w:b w:val="0"/>
          <w:bCs w:val="0"/>
        </w:rPr>
      </w:r>
    </w:p>
    <w:p>
      <w:pPr>
        <w:pStyle w:val="Heading4"/>
        <w:spacing w:line="240" w:lineRule="auto" w:before="43"/>
        <w:ind w:left="237" w:right="-17"/>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3"/>
        </w:rPr>
        <w:t> </w:t>
      </w:r>
      <w:r>
        <w:rPr/>
        <w:t>收到的其他与经营活动有关的现金</w:t>
      </w:r>
      <w:r>
        <w:rPr>
          <w:b w:val="0"/>
          <w:bCs w:val="0"/>
        </w:rPr>
      </w:r>
    </w:p>
    <w:p>
      <w:pPr>
        <w:pStyle w:val="BodyText"/>
        <w:spacing w:line="240" w:lineRule="auto" w:before="40"/>
        <w:ind w:left="7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660"/>
          <w:cols w:num="2" w:equalWidth="0">
            <w:col w:w="3828" w:space="2693"/>
            <w:col w:w="26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23"/>
        <w:gridCol w:w="2756"/>
        <w:gridCol w:w="2746"/>
      </w:tblGrid>
      <w:tr>
        <w:trPr>
          <w:trHeight w:val="370"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4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2"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21"/>
                <w:szCs w:val="21"/>
              </w:rPr>
            </w:pPr>
            <w:r>
              <w:rPr>
                <w:rFonts w:ascii="宋体" w:hAnsi="宋体" w:cs="宋体" w:eastAsia="宋体" w:hint="default"/>
                <w:sz w:val="21"/>
                <w:szCs w:val="21"/>
              </w:rPr>
              <w:t>非税费返还的政府其他补助</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21"/>
                <w:szCs w:val="21"/>
              </w:rPr>
            </w:pPr>
            <w:r>
              <w:rPr>
                <w:rFonts w:ascii="Times New Roman"/>
                <w:spacing w:val="-1"/>
                <w:sz w:val="21"/>
              </w:rPr>
              <w:t>4,927,819.63</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21"/>
                <w:szCs w:val="21"/>
              </w:rPr>
            </w:pPr>
            <w:r>
              <w:rPr>
                <w:rFonts w:ascii="Times New Roman"/>
                <w:spacing w:val="-1"/>
                <w:sz w:val="21"/>
              </w:rPr>
              <w:t>12,564,880.63</w:t>
            </w:r>
          </w:p>
        </w:tc>
      </w:tr>
      <w:tr>
        <w:trPr>
          <w:trHeight w:val="370"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2,280,593.51</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1,590,036.06</w:t>
            </w:r>
          </w:p>
        </w:tc>
      </w:tr>
      <w:tr>
        <w:trPr>
          <w:trHeight w:val="370"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8"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1,236,686.54</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1,250,784.00</w:t>
            </w:r>
          </w:p>
        </w:tc>
      </w:tr>
      <w:tr>
        <w:trPr>
          <w:trHeight w:val="370"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单位往来</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69,145,192.81</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63,518,465.46</w:t>
            </w:r>
          </w:p>
        </w:tc>
      </w:tr>
      <w:tr>
        <w:trPr>
          <w:trHeight w:val="370"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77,590,292.49</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78,924,166.15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40" w:right="1660"/>
        </w:sectPr>
      </w:pPr>
    </w:p>
    <w:p>
      <w:pPr>
        <w:pStyle w:val="BodyText"/>
        <w:spacing w:line="290" w:lineRule="auto" w:before="26"/>
        <w:ind w:left="717" w:right="0" w:hanging="480"/>
        <w:jc w:val="left"/>
      </w:pPr>
      <w:r>
        <w:rPr>
          <w:spacing w:val="-2"/>
        </w:rPr>
        <w:t>收到的其他与经营活动有关的现金说明：</w:t>
      </w:r>
      <w:r>
        <w:rPr>
          <w:spacing w:val="-69"/>
        </w:rPr>
        <w:t> </w:t>
      </w:r>
      <w:r>
        <w:rPr>
          <w:spacing w:val="-69"/>
        </w:rPr>
      </w:r>
      <w:r>
        <w:rPr/>
        <w:t>无</w:t>
      </w:r>
    </w:p>
    <w:p>
      <w:pPr>
        <w:pStyle w:val="Heading4"/>
        <w:spacing w:line="240" w:lineRule="auto" w:before="12"/>
        <w:ind w:left="237"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3"/>
        </w:rPr>
        <w:t> </w:t>
      </w:r>
      <w:r>
        <w:rPr/>
        <w:t>支付的其他与经营活动有关的现金</w:t>
      </w:r>
      <w:r>
        <w:rPr>
          <w:b w:val="0"/>
          <w:bCs w:val="0"/>
        </w:rPr>
      </w:r>
    </w:p>
    <w:p>
      <w:pPr>
        <w:pStyle w:val="BodyText"/>
        <w:spacing w:line="240" w:lineRule="auto" w:before="43"/>
        <w:ind w:left="7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660"/>
          <w:cols w:num="2" w:equalWidth="0">
            <w:col w:w="4023" w:space="2499"/>
            <w:col w:w="26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23"/>
        <w:gridCol w:w="2736"/>
        <w:gridCol w:w="2765"/>
      </w:tblGrid>
      <w:tr>
        <w:trPr>
          <w:trHeight w:val="370"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3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0"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付现费用</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81,116,713.88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65,198,942.06</w:t>
            </w:r>
          </w:p>
        </w:tc>
      </w:tr>
      <w:tr>
        <w:trPr>
          <w:trHeight w:val="370"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8"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56,977,021.38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76,599,692.17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40" w:right="1660"/>
        </w:sectPr>
      </w:pPr>
    </w:p>
    <w:p>
      <w:pPr>
        <w:spacing w:line="240" w:lineRule="auto" w:before="11"/>
        <w:rPr>
          <w:rFonts w:ascii="宋体" w:hAnsi="宋体" w:cs="宋体" w:eastAsia="宋体"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3323"/>
        <w:gridCol w:w="2736"/>
        <w:gridCol w:w="2765"/>
      </w:tblGrid>
      <w:tr>
        <w:trPr>
          <w:trHeight w:val="370"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8" w:right="0"/>
              <w:jc w:val="left"/>
              <w:rPr>
                <w:rFonts w:ascii="宋体" w:hAnsi="宋体" w:cs="宋体" w:eastAsia="宋体" w:hint="default"/>
                <w:sz w:val="21"/>
                <w:szCs w:val="21"/>
              </w:rPr>
            </w:pPr>
            <w:r>
              <w:rPr>
                <w:rFonts w:ascii="宋体" w:hAnsi="宋体" w:cs="宋体" w:eastAsia="宋体" w:hint="default"/>
                <w:sz w:val="21"/>
                <w:szCs w:val="21"/>
              </w:rPr>
              <w:t>支付银行手续费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404,726.62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790,541.81</w:t>
            </w:r>
          </w:p>
        </w:tc>
      </w:tr>
      <w:tr>
        <w:trPr>
          <w:trHeight w:val="370"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1,704,419.34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1,660,578.57</w:t>
            </w:r>
          </w:p>
        </w:tc>
      </w:tr>
      <w:tr>
        <w:trPr>
          <w:trHeight w:val="372"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21"/>
                <w:szCs w:val="21"/>
              </w:rPr>
            </w:pPr>
            <w:r>
              <w:rPr>
                <w:rFonts w:ascii="Times New Roman"/>
                <w:spacing w:val="-1"/>
                <w:sz w:val="21"/>
              </w:rPr>
              <w:t>140,202,881.22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21"/>
                <w:szCs w:val="21"/>
              </w:rPr>
            </w:pPr>
            <w:r>
              <w:rPr>
                <w:rFonts w:ascii="Times New Roman"/>
                <w:spacing w:val="-1"/>
                <w:sz w:val="21"/>
              </w:rPr>
              <w:t>144,249,754.61</w:t>
            </w:r>
          </w:p>
        </w:tc>
      </w:tr>
    </w:tbl>
    <w:p>
      <w:pPr>
        <w:spacing w:after="0" w:line="240" w:lineRule="auto"/>
        <w:jc w:val="right"/>
        <w:rPr>
          <w:rFonts w:ascii="Times New Roman" w:hAnsi="Times New Roman" w:cs="Times New Roman" w:eastAsia="Times New Roman" w:hint="default"/>
          <w:sz w:val="21"/>
          <w:szCs w:val="21"/>
        </w:rPr>
        <w:sectPr>
          <w:pgSz w:w="11910" w:h="16840"/>
          <w:pgMar w:header="857" w:footer="979" w:top="1120" w:bottom="1160" w:left="1040" w:right="1660"/>
        </w:sectPr>
      </w:pPr>
    </w:p>
    <w:p>
      <w:pPr>
        <w:pStyle w:val="BodyText"/>
        <w:spacing w:line="290" w:lineRule="auto" w:before="26"/>
        <w:ind w:left="717" w:right="0" w:hanging="480"/>
        <w:jc w:val="left"/>
      </w:pPr>
      <w:r>
        <w:rPr>
          <w:spacing w:val="-2"/>
        </w:rPr>
        <w:t>支付的其他与经营活动有关的现金说明：</w:t>
      </w:r>
      <w:r>
        <w:rPr>
          <w:spacing w:val="-69"/>
        </w:rPr>
        <w:t> </w:t>
      </w:r>
      <w:r>
        <w:rPr>
          <w:spacing w:val="-69"/>
        </w:rPr>
      </w:r>
      <w:r>
        <w:rPr/>
        <w:t>无</w:t>
      </w:r>
    </w:p>
    <w:p>
      <w:pPr>
        <w:pStyle w:val="Heading4"/>
        <w:spacing w:line="240" w:lineRule="auto" w:before="14"/>
        <w:ind w:left="237" w:right="0"/>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3"/>
        </w:rPr>
        <w:t> </w:t>
      </w:r>
      <w:r>
        <w:rPr/>
        <w:t>收到的其他与投资活动有关的现金</w:t>
      </w:r>
      <w:r>
        <w:rPr>
          <w:b w:val="0"/>
          <w:bCs w:val="0"/>
        </w:rPr>
      </w:r>
    </w:p>
    <w:p>
      <w:pPr>
        <w:pStyle w:val="BodyText"/>
        <w:spacing w:line="240" w:lineRule="auto" w:before="40"/>
        <w:ind w:left="7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040" w:right="1660"/>
          <w:cols w:num="2" w:equalWidth="0">
            <w:col w:w="4023" w:space="2604"/>
            <w:col w:w="2583"/>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23"/>
        <w:gridCol w:w="2840"/>
        <w:gridCol w:w="2662"/>
      </w:tblGrid>
      <w:tr>
        <w:trPr>
          <w:trHeight w:val="370"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8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9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0"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期限在三个月以上的定期存款</w:t>
            </w:r>
          </w:p>
        </w:tc>
        <w:tc>
          <w:tcPr>
            <w:tcW w:w="2840" w:type="dxa"/>
            <w:tcBorders>
              <w:top w:val="single" w:sz="4" w:space="0" w:color="000000"/>
              <w:left w:val="single" w:sz="4" w:space="0" w:color="000000"/>
              <w:bottom w:val="single" w:sz="4" w:space="0" w:color="000000"/>
              <w:right w:val="single" w:sz="4" w:space="0" w:color="000000"/>
            </w:tcBorders>
          </w:tcPr>
          <w:p>
            <w:pP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66,000,000.00</w:t>
            </w:r>
          </w:p>
        </w:tc>
      </w:tr>
      <w:tr>
        <w:trPr>
          <w:trHeight w:val="372"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40" w:type="dxa"/>
            <w:tcBorders>
              <w:top w:val="single" w:sz="4" w:space="0" w:color="000000"/>
              <w:left w:val="single" w:sz="4" w:space="0" w:color="000000"/>
              <w:bottom w:val="single" w:sz="4" w:space="0" w:color="000000"/>
              <w:right w:val="single" w:sz="4" w:space="0" w:color="000000"/>
            </w:tcBorders>
          </w:tcPr>
          <w:p>
            <w:pP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21"/>
                <w:szCs w:val="21"/>
              </w:rPr>
            </w:pPr>
            <w:r>
              <w:rPr>
                <w:rFonts w:ascii="Times New Roman"/>
                <w:spacing w:val="-1"/>
                <w:sz w:val="21"/>
              </w:rPr>
              <w:t>66,000,000.00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40" w:right="1660"/>
        </w:sectPr>
      </w:pPr>
    </w:p>
    <w:p>
      <w:pPr>
        <w:pStyle w:val="BodyText"/>
        <w:spacing w:line="290" w:lineRule="auto" w:before="26"/>
        <w:ind w:left="717" w:right="0" w:hanging="480"/>
        <w:jc w:val="left"/>
      </w:pPr>
      <w:r>
        <w:rPr>
          <w:spacing w:val="-2"/>
        </w:rPr>
        <w:t>收到的其他与投资活动有关的现金说明：</w:t>
      </w:r>
      <w:r>
        <w:rPr>
          <w:spacing w:val="-69"/>
        </w:rPr>
        <w:t> </w:t>
      </w:r>
      <w:r>
        <w:rPr>
          <w:spacing w:val="-69"/>
        </w:rPr>
      </w:r>
      <w:r>
        <w:rPr/>
        <w:t>无</w:t>
      </w:r>
    </w:p>
    <w:p>
      <w:pPr>
        <w:pStyle w:val="Heading4"/>
        <w:spacing w:line="240" w:lineRule="auto" w:before="14"/>
        <w:ind w:left="237" w:right="0"/>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3"/>
        </w:rPr>
        <w:t> </w:t>
      </w:r>
      <w:r>
        <w:rPr/>
        <w:t>支付的其他与投资活动有关的现金</w:t>
      </w:r>
      <w:r>
        <w:rPr>
          <w:b w:val="0"/>
          <w:bCs w:val="0"/>
        </w:rPr>
      </w:r>
    </w:p>
    <w:p>
      <w:pPr>
        <w:pStyle w:val="BodyText"/>
        <w:spacing w:line="240" w:lineRule="auto" w:before="40"/>
        <w:ind w:left="7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660"/>
          <w:cols w:num="2" w:equalWidth="0">
            <w:col w:w="4023" w:space="2499"/>
            <w:col w:w="26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23"/>
        <w:gridCol w:w="2840"/>
        <w:gridCol w:w="2662"/>
      </w:tblGrid>
      <w:tr>
        <w:trPr>
          <w:trHeight w:val="370"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8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0"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期限在三个月以上的定期存款</w:t>
            </w:r>
          </w:p>
        </w:tc>
        <w:tc>
          <w:tcPr>
            <w:tcW w:w="2840" w:type="dxa"/>
            <w:tcBorders>
              <w:top w:val="single" w:sz="4" w:space="0" w:color="000000"/>
              <w:left w:val="single" w:sz="4" w:space="0" w:color="000000"/>
              <w:bottom w:val="single" w:sz="4" w:space="0" w:color="000000"/>
              <w:right w:val="single" w:sz="4" w:space="0" w:color="000000"/>
            </w:tcBorders>
          </w:tcPr>
          <w:p>
            <w:pP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372"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40" w:type="dxa"/>
            <w:tcBorders>
              <w:top w:val="single" w:sz="4" w:space="0" w:color="000000"/>
              <w:left w:val="single" w:sz="4" w:space="0" w:color="000000"/>
              <w:bottom w:val="single" w:sz="4" w:space="0" w:color="000000"/>
              <w:right w:val="single" w:sz="4" w:space="0" w:color="000000"/>
            </w:tcBorders>
          </w:tcPr>
          <w:p>
            <w:pP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21"/>
                <w:szCs w:val="21"/>
              </w:rPr>
            </w:pPr>
            <w:r>
              <w:rPr>
                <w:rFonts w:ascii="Times New Roman"/>
                <w:spacing w:val="-1"/>
                <w:sz w:val="21"/>
              </w:rPr>
              <w:t>30,000,000.00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40" w:right="1660"/>
        </w:sectPr>
      </w:pPr>
    </w:p>
    <w:p>
      <w:pPr>
        <w:pStyle w:val="BodyText"/>
        <w:spacing w:line="290" w:lineRule="auto" w:before="26"/>
        <w:ind w:left="717" w:right="0" w:hanging="480"/>
        <w:jc w:val="left"/>
      </w:pPr>
      <w:r>
        <w:rPr>
          <w:spacing w:val="-2"/>
        </w:rPr>
        <w:t>支付的其他与投资活动有关的现金说明：</w:t>
      </w:r>
      <w:r>
        <w:rPr>
          <w:spacing w:val="-69"/>
        </w:rPr>
        <w:t> </w:t>
      </w:r>
      <w:r>
        <w:rPr>
          <w:spacing w:val="-69"/>
        </w:rPr>
      </w:r>
      <w:r>
        <w:rPr/>
        <w:t>无</w:t>
      </w:r>
    </w:p>
    <w:p>
      <w:pPr>
        <w:pStyle w:val="Heading4"/>
        <w:spacing w:line="240" w:lineRule="auto" w:before="14"/>
        <w:ind w:left="237" w:right="0"/>
        <w:jc w:val="left"/>
        <w:rPr>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22"/>
        </w:rPr>
        <w:t> </w:t>
      </w:r>
      <w:r>
        <w:rPr/>
        <w:t>收到的其他与筹资活动有关的现金</w:t>
      </w:r>
      <w:r>
        <w:rPr>
          <w:b w:val="0"/>
          <w:bCs w:val="0"/>
        </w:rPr>
      </w:r>
    </w:p>
    <w:p>
      <w:pPr>
        <w:pStyle w:val="BodyText"/>
        <w:spacing w:line="240" w:lineRule="auto" w:before="40"/>
        <w:ind w:left="7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660"/>
          <w:cols w:num="2" w:equalWidth="0">
            <w:col w:w="4023" w:space="2499"/>
            <w:col w:w="26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23"/>
        <w:gridCol w:w="2840"/>
        <w:gridCol w:w="2662"/>
      </w:tblGrid>
      <w:tr>
        <w:trPr>
          <w:trHeight w:val="370"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8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0"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收回票据及保函保证金</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168,204,590.95</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4,990,536.06</w:t>
            </w:r>
          </w:p>
        </w:tc>
      </w:tr>
      <w:tr>
        <w:trPr>
          <w:trHeight w:val="372"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21"/>
                <w:szCs w:val="21"/>
              </w:rPr>
            </w:pPr>
            <w:r>
              <w:rPr>
                <w:rFonts w:ascii="宋体" w:hAnsi="宋体" w:cs="宋体" w:eastAsia="宋体" w:hint="default"/>
                <w:sz w:val="21"/>
                <w:szCs w:val="21"/>
              </w:rPr>
              <w:t>收到其他筹资款项</w:t>
            </w:r>
          </w:p>
        </w:tc>
        <w:tc>
          <w:tcPr>
            <w:tcW w:w="2840" w:type="dxa"/>
            <w:tcBorders>
              <w:top w:val="single" w:sz="4" w:space="0" w:color="000000"/>
              <w:left w:val="single" w:sz="4" w:space="0" w:color="000000"/>
              <w:bottom w:val="single" w:sz="4" w:space="0" w:color="000000"/>
              <w:right w:val="single" w:sz="4" w:space="0" w:color="000000"/>
            </w:tcBorders>
          </w:tcPr>
          <w:p>
            <w:pP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21"/>
                <w:szCs w:val="21"/>
              </w:rPr>
            </w:pPr>
            <w:r>
              <w:rPr>
                <w:rFonts w:ascii="Times New Roman"/>
                <w:spacing w:val="-1"/>
                <w:sz w:val="21"/>
              </w:rPr>
              <w:t>80,000,000.00</w:t>
            </w:r>
          </w:p>
        </w:tc>
      </w:tr>
      <w:tr>
        <w:trPr>
          <w:trHeight w:val="370"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168,204,590.95</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84,990,536.06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40" w:right="1660"/>
        </w:sectPr>
      </w:pPr>
    </w:p>
    <w:p>
      <w:pPr>
        <w:pStyle w:val="BodyText"/>
        <w:spacing w:line="290" w:lineRule="auto" w:before="26"/>
        <w:ind w:left="717" w:right="0" w:hanging="480"/>
        <w:jc w:val="left"/>
      </w:pPr>
      <w:r>
        <w:rPr>
          <w:spacing w:val="-2"/>
        </w:rPr>
        <w:t>收到的其他与筹资活动有关的现金说明：</w:t>
      </w:r>
      <w:r>
        <w:rPr>
          <w:spacing w:val="-69"/>
        </w:rPr>
        <w:t> </w:t>
      </w:r>
      <w:r>
        <w:rPr>
          <w:spacing w:val="-69"/>
        </w:rPr>
      </w:r>
      <w:r>
        <w:rPr/>
        <w:t>无</w:t>
      </w:r>
    </w:p>
    <w:p>
      <w:pPr>
        <w:pStyle w:val="Heading4"/>
        <w:spacing w:line="240" w:lineRule="auto" w:before="14"/>
        <w:ind w:left="237" w:right="0"/>
        <w:jc w:val="left"/>
        <w:rPr>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23"/>
        </w:rPr>
        <w:t> </w:t>
      </w:r>
      <w:r>
        <w:rPr/>
        <w:t>支付的其他与筹资活动有关的现金</w:t>
      </w:r>
      <w:r>
        <w:rPr>
          <w:b w:val="0"/>
          <w:bCs w:val="0"/>
        </w:rPr>
      </w:r>
    </w:p>
    <w:p>
      <w:pPr>
        <w:pStyle w:val="BodyText"/>
        <w:spacing w:line="240" w:lineRule="auto" w:before="40"/>
        <w:ind w:left="7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580" w:bottom="280" w:left="1040" w:right="1660"/>
          <w:cols w:num="2" w:equalWidth="0">
            <w:col w:w="4023" w:space="2499"/>
            <w:col w:w="26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97"/>
        <w:gridCol w:w="2765"/>
        <w:gridCol w:w="2662"/>
      </w:tblGrid>
      <w:tr>
        <w:trPr>
          <w:trHeight w:val="37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5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票据保证金及保函保证金</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140,517,075.42</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93,384,011.63</w:t>
            </w:r>
          </w:p>
        </w:tc>
      </w:tr>
      <w:tr>
        <w:trPr>
          <w:trHeight w:val="37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股票回购支出</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4,477,342.47</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2,324,599.20</w:t>
            </w:r>
          </w:p>
        </w:tc>
      </w:tr>
      <w:tr>
        <w:trPr>
          <w:trHeight w:val="37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支付购买少数股东股权</w:t>
            </w:r>
          </w:p>
        </w:tc>
        <w:tc>
          <w:tcPr>
            <w:tcW w:w="2765" w:type="dxa"/>
            <w:tcBorders>
              <w:top w:val="single" w:sz="4" w:space="0" w:color="000000"/>
              <w:left w:val="single" w:sz="4" w:space="0" w:color="000000"/>
              <w:bottom w:val="single" w:sz="4" w:space="0" w:color="000000"/>
              <w:right w:val="single" w:sz="4" w:space="0" w:color="000000"/>
            </w:tcBorders>
          </w:tcPr>
          <w:p>
            <w:pP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14,584,566.88</w:t>
            </w:r>
          </w:p>
        </w:tc>
      </w:tr>
      <w:tr>
        <w:trPr>
          <w:trHeight w:val="37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支付配股及发行可转债相关费用</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3,155,159.15</w:t>
            </w:r>
          </w:p>
        </w:tc>
        <w:tc>
          <w:tcPr>
            <w:tcW w:w="266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148,149,577.04</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110,293,177.71</w:t>
            </w:r>
          </w:p>
        </w:tc>
      </w:tr>
    </w:tbl>
    <w:p>
      <w:pPr>
        <w:pStyle w:val="BodyText"/>
        <w:spacing w:line="240" w:lineRule="auto" w:before="19"/>
        <w:ind w:left="237" w:right="0"/>
        <w:jc w:val="left"/>
        <w:rPr>
          <w:sz w:val="24"/>
          <w:szCs w:val="24"/>
        </w:rPr>
      </w:pPr>
      <w:r>
        <w:rPr/>
        <w:t>支付的其他与筹资活动有关的现金说明</w:t>
      </w:r>
      <w:r>
        <w:rPr>
          <w:sz w:val="24"/>
          <w:szCs w:val="24"/>
        </w:rPr>
        <w:t>：</w:t>
      </w:r>
    </w:p>
    <w:p>
      <w:pPr>
        <w:spacing w:after="0" w:line="240" w:lineRule="auto"/>
        <w:jc w:val="left"/>
        <w:rPr>
          <w:sz w:val="24"/>
          <w:szCs w:val="24"/>
        </w:rPr>
        <w:sectPr>
          <w:type w:val="continuous"/>
          <w:pgSz w:w="11910" w:h="16840"/>
          <w:pgMar w:top="1580" w:bottom="280" w:left="1040" w:right="1660"/>
        </w:sectPr>
      </w:pPr>
    </w:p>
    <w:p>
      <w:pPr>
        <w:spacing w:line="240" w:lineRule="auto" w:before="7"/>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979" w:top="1120" w:bottom="1160" w:left="1060" w:right="1660"/>
        </w:sectPr>
      </w:pPr>
    </w:p>
    <w:p>
      <w:pPr>
        <w:pStyle w:val="BodyText"/>
        <w:spacing w:line="240" w:lineRule="auto" w:before="36"/>
        <w:ind w:left="697" w:right="-19"/>
        <w:jc w:val="left"/>
      </w:pPr>
      <w:r>
        <w:rPr>
          <w:w w:val="100"/>
        </w:rPr>
        <w:t>无</w:t>
      </w:r>
    </w:p>
    <w:p>
      <w:pPr>
        <w:pStyle w:val="Heading4"/>
        <w:spacing w:line="240" w:lineRule="auto" w:before="56"/>
        <w:ind w:left="217" w:right="-19"/>
        <w:jc w:val="left"/>
        <w:rPr>
          <w:b w:val="0"/>
          <w:bCs w:val="0"/>
        </w:rPr>
      </w:pPr>
      <w:r>
        <w:rPr>
          <w:rFonts w:ascii="Times New Roman" w:hAnsi="Times New Roman" w:cs="Times New Roman" w:eastAsia="Times New Roman" w:hint="default"/>
        </w:rPr>
        <w:t>68</w:t>
      </w:r>
      <w:r>
        <w:rPr/>
        <w:t>、</w:t>
      </w:r>
      <w:r>
        <w:rPr>
          <w:spacing w:val="-21"/>
        </w:rPr>
        <w:t> </w:t>
      </w:r>
      <w:r>
        <w:rPr/>
        <w:t>现金流量表补充资料</w:t>
      </w:r>
      <w:r>
        <w:rPr>
          <w:b w:val="0"/>
          <w:bCs w:val="0"/>
        </w:rPr>
      </w:r>
    </w:p>
    <w:p>
      <w:pPr>
        <w:pStyle w:val="Heading4"/>
        <w:spacing w:line="240" w:lineRule="auto" w:before="43"/>
        <w:ind w:left="217" w:right="-19"/>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7"/>
        </w:rPr>
        <w:t> </w:t>
      </w:r>
      <w:r>
        <w:rPr/>
        <w:t>现金流量表补充资料</w:t>
      </w:r>
      <w:r>
        <w:rPr>
          <w:b w:val="0"/>
          <w:bCs w:val="0"/>
        </w:rPr>
      </w:r>
    </w:p>
    <w:p>
      <w:pPr>
        <w:pStyle w:val="BodyText"/>
        <w:tabs>
          <w:tab w:pos="1539" w:val="left" w:leader="none"/>
        </w:tabs>
        <w:spacing w:line="240" w:lineRule="auto" w:before="40"/>
        <w:ind w:left="697"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2623" w:space="3899"/>
            <w:col w:w="26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66"/>
        <w:gridCol w:w="2552"/>
        <w:gridCol w:w="2307"/>
      </w:tblGrid>
      <w:tr>
        <w:trPr>
          <w:trHeight w:val="372"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4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2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169,842,399.67</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92,035,458.73</w:t>
            </w:r>
          </w:p>
        </w:tc>
      </w:tr>
      <w:tr>
        <w:trPr>
          <w:trHeight w:val="37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17,759,912.50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18,499,436.74</w:t>
            </w:r>
          </w:p>
        </w:tc>
      </w:tr>
      <w:tr>
        <w:trPr>
          <w:trHeight w:val="73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物资产折旧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17,910,891.01</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10,704,665.06</w:t>
            </w:r>
          </w:p>
        </w:tc>
      </w:tr>
      <w:tr>
        <w:trPr>
          <w:trHeight w:val="37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24,171,703.42</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24,122,140.58</w:t>
            </w:r>
          </w:p>
        </w:tc>
      </w:tr>
      <w:tr>
        <w:trPr>
          <w:trHeight w:val="372"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377,741.10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559,177.14</w:t>
            </w:r>
          </w:p>
        </w:tc>
      </w:tr>
      <w:tr>
        <w:trPr>
          <w:trHeight w:val="73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的损失（收益以“－”号填列）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-3,603.94</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100,256.61</w:t>
            </w:r>
          </w:p>
        </w:tc>
      </w:tr>
      <w:tr>
        <w:trPr>
          <w:trHeight w:val="73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89"/>
              <w:jc w:val="left"/>
              <w:rPr>
                <w:rFonts w:ascii="宋体" w:hAnsi="宋体" w:cs="宋体" w:eastAsia="宋体" w:hint="default"/>
                <w:sz w:val="21"/>
                <w:szCs w:val="21"/>
              </w:rPr>
            </w:pPr>
            <w:r>
              <w:rPr>
                <w:rFonts w:ascii="宋体" w:hAnsi="宋体" w:cs="宋体" w:eastAsia="宋体" w:hint="default"/>
                <w:spacing w:val="8"/>
                <w:sz w:val="21"/>
                <w:szCs w:val="21"/>
              </w:rPr>
              <w:t>固定资产报废损失（收益以“－”号填</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97,249.08</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62,787.62</w:t>
            </w:r>
          </w:p>
        </w:tc>
      </w:tr>
      <w:tr>
        <w:trPr>
          <w:trHeight w:val="73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89"/>
              <w:jc w:val="left"/>
              <w:rPr>
                <w:rFonts w:ascii="宋体" w:hAnsi="宋体" w:cs="宋体" w:eastAsia="宋体" w:hint="default"/>
                <w:sz w:val="21"/>
                <w:szCs w:val="21"/>
              </w:rPr>
            </w:pPr>
            <w:r>
              <w:rPr>
                <w:rFonts w:ascii="宋体" w:hAnsi="宋体" w:cs="宋体" w:eastAsia="宋体" w:hint="default"/>
                <w:spacing w:val="8"/>
                <w:sz w:val="21"/>
                <w:szCs w:val="21"/>
              </w:rPr>
              <w:t>公允价值变动损失（收益以“－”号填</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-3,289,240.73</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5,610,523.91</w:t>
            </w:r>
          </w:p>
        </w:tc>
      </w:tr>
      <w:tr>
        <w:trPr>
          <w:trHeight w:val="37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13,895,326.24</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1,324,199.49</w:t>
            </w:r>
          </w:p>
        </w:tc>
      </w:tr>
      <w:tr>
        <w:trPr>
          <w:trHeight w:val="37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-12,431,018.98</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-17,599,746.69</w:t>
            </w:r>
          </w:p>
        </w:tc>
      </w:tr>
      <w:tr>
        <w:trPr>
          <w:trHeight w:val="732"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8"/>
              <w:jc w:val="left"/>
              <w:rPr>
                <w:rFonts w:ascii="宋体" w:hAnsi="宋体" w:cs="宋体" w:eastAsia="宋体" w:hint="default"/>
                <w:sz w:val="21"/>
                <w:szCs w:val="21"/>
              </w:rPr>
            </w:pPr>
            <w:r>
              <w:rPr>
                <w:rFonts w:ascii="宋体" w:hAnsi="宋体" w:cs="宋体" w:eastAsia="宋体" w:hint="default"/>
                <w:spacing w:val="-4"/>
                <w:sz w:val="21"/>
                <w:szCs w:val="21"/>
              </w:rPr>
              <w:t>递延所得税资产减少（增加以“－”号填</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-831,156.86</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-4,387,327.42</w:t>
            </w:r>
          </w:p>
        </w:tc>
      </w:tr>
      <w:tr>
        <w:trPr>
          <w:trHeight w:val="73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4"/>
                <w:sz w:val="21"/>
                <w:szCs w:val="21"/>
              </w:rPr>
              <w:t>递延所得税负债增加（减少以“－”号填</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16,817,985.33</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13,797.74</w:t>
            </w:r>
          </w:p>
        </w:tc>
      </w:tr>
      <w:tr>
        <w:trPr>
          <w:trHeight w:val="37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-190,449,168.94</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-55,576,057.97</w:t>
            </w:r>
          </w:p>
        </w:tc>
      </w:tr>
      <w:tr>
        <w:trPr>
          <w:trHeight w:val="73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4"/>
                <w:sz w:val="21"/>
                <w:szCs w:val="21"/>
              </w:rPr>
              <w:t>经营性应收项目的减少（增加以“－”号</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-527,332,412.40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-350,425,148.73</w:t>
            </w:r>
          </w:p>
        </w:tc>
      </w:tr>
      <w:tr>
        <w:trPr>
          <w:trHeight w:val="73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4"/>
                <w:sz w:val="21"/>
                <w:szCs w:val="21"/>
              </w:rPr>
              <w:t>经营性应付项目的增加（减少以“－”号</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183,625,962.98</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415,030,911.57</w:t>
            </w:r>
          </w:p>
        </w:tc>
      </w:tr>
      <w:tr>
        <w:trPr>
          <w:trHeight w:val="37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20,056,462.46</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-1,666,996.73</w:t>
            </w:r>
          </w:p>
        </w:tc>
      </w:tr>
      <w:tr>
        <w:trPr>
          <w:trHeight w:val="372"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-269,780,968.06</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138,408,077.65</w:t>
            </w:r>
          </w:p>
        </w:tc>
      </w:tr>
      <w:tr>
        <w:trPr>
          <w:trHeight w:val="73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05"/>
              <w:jc w:val="left"/>
              <w:rPr>
                <w:rFonts w:ascii="宋体" w:hAnsi="宋体" w:cs="宋体" w:eastAsia="宋体" w:hint="default"/>
                <w:sz w:val="21"/>
                <w:szCs w:val="21"/>
              </w:rPr>
            </w:pPr>
            <w:r>
              <w:rPr>
                <w:rFonts w:ascii="Times New Roman" w:hAnsi="Times New Roman" w:cs="Times New Roman" w:eastAsia="Times New Roman" w:hint="default"/>
                <w:b/>
                <w:bCs/>
                <w:spacing w:val="2"/>
                <w:sz w:val="21"/>
                <w:szCs w:val="21"/>
              </w:rPr>
              <w:t>2</w:t>
            </w:r>
            <w:r>
              <w:rPr>
                <w:rFonts w:ascii="宋体" w:hAnsi="宋体" w:cs="宋体" w:eastAsia="宋体" w:hint="default"/>
                <w:b/>
                <w:bCs/>
                <w:spacing w:val="2"/>
                <w:sz w:val="21"/>
                <w:szCs w:val="21"/>
              </w:rPr>
              <w:t>．不涉及现金收支的重大投资和筹资活</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1"/>
                <w:szCs w:val="21"/>
              </w:rPr>
              <w:t>动：</w:t>
            </w:r>
            <w:r>
              <w:rPr>
                <w:rFonts w:ascii="宋体" w:hAnsi="宋体" w:cs="宋体" w:eastAsia="宋体" w:hint="default"/>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552"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552"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552"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060" w:right="1660"/>
        </w:sectPr>
      </w:pP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3966"/>
        <w:gridCol w:w="2552"/>
        <w:gridCol w:w="2307"/>
      </w:tblGrid>
      <w:tr>
        <w:trPr>
          <w:trHeight w:val="37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524,466,351.59</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188,433,545.46</w:t>
            </w:r>
          </w:p>
        </w:tc>
      </w:tr>
      <w:tr>
        <w:trPr>
          <w:trHeight w:val="37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188,433,545.46</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289,022,580.77</w:t>
            </w:r>
          </w:p>
        </w:tc>
      </w:tr>
      <w:tr>
        <w:trPr>
          <w:trHeight w:val="372"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552"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552"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336,032,806.13</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-100,589,035.31</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7" w:footer="979" w:top="1120" w:bottom="1160" w:left="1060" w:right="1660"/>
        </w:sectPr>
      </w:pPr>
    </w:p>
    <w:p>
      <w:pPr>
        <w:pStyle w:val="Heading4"/>
        <w:spacing w:line="240" w:lineRule="auto"/>
        <w:ind w:left="217" w:right="-16"/>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2"/>
        </w:rPr>
        <w:t> </w:t>
      </w:r>
      <w:r>
        <w:rPr/>
        <w:t>本期支付的取得子公司的现金净额</w:t>
      </w:r>
      <w:r>
        <w:rPr>
          <w:b w:val="0"/>
          <w:bCs w:val="0"/>
        </w:rPr>
      </w:r>
    </w:p>
    <w:p>
      <w:pPr>
        <w:pStyle w:val="BodyText"/>
        <w:spacing w:line="240" w:lineRule="auto" w:before="40"/>
        <w:ind w:left="69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3808" w:space="2713"/>
            <w:col w:w="2669"/>
          </w:cols>
        </w:sectPr>
      </w:pPr>
    </w:p>
    <w:p>
      <w:pPr>
        <w:spacing w:line="240" w:lineRule="auto" w:before="4"/>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5768"/>
        <w:gridCol w:w="3056"/>
      </w:tblGrid>
      <w:tr>
        <w:trPr>
          <w:trHeight w:val="370" w:hRule="exact"/>
        </w:trPr>
        <w:tc>
          <w:tcPr>
            <w:tcW w:w="5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70" w:hRule="exact"/>
        </w:trPr>
        <w:tc>
          <w:tcPr>
            <w:tcW w:w="5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42,697,690.00</w:t>
            </w:r>
          </w:p>
        </w:tc>
      </w:tr>
      <w:tr>
        <w:trPr>
          <w:trHeight w:val="372" w:hRule="exact"/>
        </w:trPr>
        <w:tc>
          <w:tcPr>
            <w:tcW w:w="5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其中：深圳太极云软技术股份有限公司</w:t>
            </w: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9,248,442.49</w:t>
            </w:r>
          </w:p>
        </w:tc>
      </w:tr>
      <w:tr>
        <w:trPr>
          <w:trHeight w:val="730" w:hRule="exact"/>
        </w:trPr>
        <w:tc>
          <w:tcPr>
            <w:tcW w:w="57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物</w:t>
            </w: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33,449,247.51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60" w:right="1660"/>
        </w:sectPr>
      </w:pPr>
    </w:p>
    <w:p>
      <w:pPr>
        <w:pStyle w:val="BodyText"/>
        <w:spacing w:line="240" w:lineRule="exact"/>
        <w:ind w:left="217" w:right="-16"/>
        <w:jc w:val="left"/>
        <w:rPr>
          <w:rFonts w:ascii="宋体" w:hAnsi="宋体" w:cs="宋体" w:eastAsia="宋体" w:hint="default"/>
        </w:rPr>
      </w:pPr>
      <w:r>
        <w:rPr/>
        <w:t>其他说明</w:t>
      </w:r>
      <w:r>
        <w:rPr>
          <w:rFonts w:ascii="宋体" w:hAnsi="宋体" w:cs="宋体" w:eastAsia="宋体" w:hint="default"/>
        </w:rPr>
        <w:t>:</w:t>
      </w:r>
    </w:p>
    <w:p>
      <w:pPr>
        <w:pStyle w:val="BodyText"/>
        <w:spacing w:line="274" w:lineRule="exact"/>
        <w:ind w:left="697" w:right="-16"/>
        <w:jc w:val="left"/>
      </w:pPr>
      <w:r>
        <w:rPr>
          <w:w w:val="100"/>
        </w:rPr>
        <w:t>无</w:t>
      </w:r>
    </w:p>
    <w:p>
      <w:pPr>
        <w:pStyle w:val="Heading4"/>
        <w:spacing w:line="240" w:lineRule="auto" w:before="56"/>
        <w:ind w:left="217" w:right="-16"/>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2"/>
        </w:rPr>
        <w:t> </w:t>
      </w:r>
      <w:r>
        <w:rPr/>
        <w:t>本期收到的处置子公司的现金净额</w:t>
      </w:r>
      <w:r>
        <w:rPr>
          <w:b w:val="0"/>
          <w:bCs w:val="0"/>
        </w:rPr>
      </w:r>
    </w:p>
    <w:p>
      <w:pPr>
        <w:pStyle w:val="BodyText"/>
        <w:spacing w:line="240" w:lineRule="auto" w:before="43"/>
        <w:ind w:left="69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3808" w:space="2713"/>
            <w:col w:w="2669"/>
          </w:cols>
        </w:sectPr>
      </w:pPr>
    </w:p>
    <w:p>
      <w:pPr>
        <w:spacing w:line="240" w:lineRule="auto" w:before="7"/>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5756"/>
        <w:gridCol w:w="3068"/>
      </w:tblGrid>
      <w:tr>
        <w:trPr>
          <w:trHeight w:val="370"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70"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9,750,000.00</w:t>
            </w:r>
          </w:p>
        </w:tc>
      </w:tr>
      <w:tr>
        <w:trPr>
          <w:trHeight w:val="370"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其中：福建神威系统集成有限责任公司</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9.750.000.00</w:t>
            </w:r>
          </w:p>
        </w:tc>
      </w:tr>
      <w:tr>
        <w:trPr>
          <w:trHeight w:val="370"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9,750,000.00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60" w:right="1660"/>
        </w:sectPr>
      </w:pPr>
    </w:p>
    <w:p>
      <w:pPr>
        <w:pStyle w:val="BodyText"/>
        <w:spacing w:line="239" w:lineRule="exact"/>
        <w:ind w:left="637" w:right="-17"/>
        <w:jc w:val="left"/>
        <w:rPr>
          <w:rFonts w:ascii="宋体" w:hAnsi="宋体" w:cs="宋体" w:eastAsia="宋体" w:hint="default"/>
        </w:rPr>
      </w:pPr>
      <w:r>
        <w:rPr/>
        <w:t>其他说明</w:t>
      </w:r>
      <w:r>
        <w:rPr>
          <w:rFonts w:ascii="宋体" w:hAnsi="宋体" w:cs="宋体" w:eastAsia="宋体" w:hint="default"/>
        </w:rPr>
        <w:t>:</w:t>
      </w:r>
    </w:p>
    <w:p>
      <w:pPr>
        <w:pStyle w:val="BodyText"/>
        <w:spacing w:line="273" w:lineRule="exact"/>
        <w:ind w:left="697" w:right="-17"/>
        <w:jc w:val="left"/>
      </w:pPr>
      <w:r>
        <w:rPr>
          <w:w w:val="100"/>
        </w:rPr>
        <w:t>无</w:t>
      </w:r>
    </w:p>
    <w:p>
      <w:pPr>
        <w:pStyle w:val="Heading4"/>
        <w:spacing w:line="240" w:lineRule="auto" w:before="59"/>
        <w:ind w:left="217" w:right="-17"/>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3"/>
        </w:rPr>
        <w:t> </w:t>
      </w:r>
      <w:r>
        <w:rPr/>
        <w:t>现金和现金等价物的构成</w:t>
      </w:r>
      <w:r>
        <w:rPr>
          <w:b w:val="0"/>
          <w:bCs w:val="0"/>
        </w:rPr>
      </w:r>
    </w:p>
    <w:p>
      <w:pPr>
        <w:pStyle w:val="BodyText"/>
        <w:spacing w:line="240" w:lineRule="auto" w:before="40"/>
        <w:ind w:left="69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660"/>
          <w:cols w:num="2" w:equalWidth="0">
            <w:col w:w="2966" w:space="3556"/>
            <w:col w:w="26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11"/>
        <w:gridCol w:w="2847"/>
        <w:gridCol w:w="2667"/>
      </w:tblGrid>
      <w:tr>
        <w:trPr>
          <w:trHeight w:val="370"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2"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524,466,351.59</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188,433,545.46</w:t>
            </w:r>
          </w:p>
        </w:tc>
      </w:tr>
      <w:tr>
        <w:trPr>
          <w:trHeight w:val="370"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24,675.74</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4,379.40</w:t>
            </w:r>
          </w:p>
        </w:tc>
      </w:tr>
      <w:tr>
        <w:trPr>
          <w:trHeight w:val="370"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523,646,838.46</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161,883,232.97</w:t>
            </w:r>
          </w:p>
        </w:tc>
      </w:tr>
      <w:tr>
        <w:trPr>
          <w:trHeight w:val="730"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47" w:right="0"/>
              <w:jc w:val="left"/>
              <w:rPr>
                <w:rFonts w:ascii="宋体" w:hAnsi="宋体" w:cs="宋体" w:eastAsia="宋体" w:hint="default"/>
                <w:sz w:val="21"/>
                <w:szCs w:val="21"/>
              </w:rPr>
            </w:pPr>
            <w:r>
              <w:rPr>
                <w:rFonts w:ascii="宋体" w:hAnsi="宋体" w:cs="宋体" w:eastAsia="宋体" w:hint="default"/>
                <w:spacing w:val="8"/>
                <w:sz w:val="21"/>
                <w:szCs w:val="21"/>
              </w:rPr>
              <w:t>可随时用于支付的其他货币</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794,837.39</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26,545,933.09</w:t>
            </w:r>
          </w:p>
        </w:tc>
      </w:tr>
      <w:tr>
        <w:trPr>
          <w:trHeight w:val="730"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47" w:right="0"/>
              <w:jc w:val="left"/>
              <w:rPr>
                <w:rFonts w:ascii="宋体" w:hAnsi="宋体" w:cs="宋体" w:eastAsia="宋体" w:hint="default"/>
                <w:sz w:val="21"/>
                <w:szCs w:val="21"/>
              </w:rPr>
            </w:pPr>
            <w:r>
              <w:rPr>
                <w:rFonts w:ascii="宋体" w:hAnsi="宋体" w:cs="宋体" w:eastAsia="宋体" w:hint="default"/>
                <w:spacing w:val="8"/>
                <w:sz w:val="21"/>
                <w:szCs w:val="21"/>
              </w:rPr>
              <w:t>可用于支付的存放中央银行</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2847"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060" w:right="1660"/>
        </w:sectPr>
      </w:pPr>
    </w:p>
    <w:p>
      <w:pPr>
        <w:spacing w:line="240" w:lineRule="auto" w:before="11"/>
        <w:rPr>
          <w:rFonts w:ascii="宋体" w:hAnsi="宋体" w:cs="宋体" w:eastAsia="宋体" w:hint="default"/>
          <w:sz w:val="23"/>
          <w:szCs w:val="23"/>
        </w:rPr>
      </w:pPr>
    </w:p>
    <w:tbl>
      <w:tblPr>
        <w:tblW w:w="0" w:type="auto"/>
        <w:jc w:val="left"/>
        <w:tblInd w:w="123" w:type="dxa"/>
        <w:tblLayout w:type="fixed"/>
        <w:tblCellMar>
          <w:top w:w="0" w:type="dxa"/>
          <w:left w:w="0" w:type="dxa"/>
          <w:bottom w:w="0" w:type="dxa"/>
          <w:right w:w="0" w:type="dxa"/>
        </w:tblCellMar>
        <w:tblLook w:val="01E0"/>
      </w:tblPr>
      <w:tblGrid>
        <w:gridCol w:w="3311"/>
        <w:gridCol w:w="2847"/>
        <w:gridCol w:w="2667"/>
      </w:tblGrid>
      <w:tr>
        <w:trPr>
          <w:trHeight w:val="370"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847"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847"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847"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847"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20" w:right="0"/>
              <w:jc w:val="left"/>
              <w:rPr>
                <w:rFonts w:ascii="Times New Roman" w:hAnsi="Times New Roman" w:cs="Times New Roman" w:eastAsia="Times New Roman" w:hint="default"/>
                <w:sz w:val="21"/>
                <w:szCs w:val="21"/>
              </w:rPr>
            </w:pPr>
            <w:r>
              <w:rPr>
                <w:rFonts w:ascii="Times New Roman"/>
                <w:sz w:val="21"/>
              </w:rPr>
              <w:t>524,466,351.59</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40" w:right="0"/>
              <w:jc w:val="left"/>
              <w:rPr>
                <w:rFonts w:ascii="Times New Roman" w:hAnsi="Times New Roman" w:cs="Times New Roman" w:eastAsia="Times New Roman" w:hint="default"/>
                <w:sz w:val="21"/>
                <w:szCs w:val="21"/>
              </w:rPr>
            </w:pPr>
            <w:r>
              <w:rPr>
                <w:rFonts w:ascii="Times New Roman"/>
                <w:sz w:val="21"/>
              </w:rPr>
              <w:t>188,433,545.46</w:t>
            </w:r>
          </w:p>
        </w:tc>
      </w:tr>
      <w:tr>
        <w:trPr>
          <w:trHeight w:val="730"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5"/>
                <w:sz w:val="21"/>
                <w:szCs w:val="21"/>
              </w:rPr>
              <w:t>其中：母公司或集团内子公司使用</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受限制的现金和现金等价物</w:t>
            </w:r>
          </w:p>
        </w:tc>
        <w:tc>
          <w:tcPr>
            <w:tcW w:w="2847"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237" w:right="0"/>
        <w:jc w:val="left"/>
      </w:pPr>
      <w:r>
        <w:rPr/>
        <w:t>其他说明：</w:t>
      </w:r>
    </w:p>
    <w:p>
      <w:pPr>
        <w:pStyle w:val="BodyText"/>
        <w:spacing w:line="240" w:lineRule="auto" w:before="58"/>
        <w:ind w:left="717" w:right="0"/>
        <w:jc w:val="left"/>
      </w:pPr>
      <w:r>
        <w:rPr/>
        <w:t>□适用 √不适用</w:t>
      </w:r>
    </w:p>
    <w:p>
      <w:pPr>
        <w:spacing w:line="276" w:lineRule="auto" w:before="57"/>
        <w:ind w:left="717" w:right="0"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40" w:lineRule="exact"/>
        <w:ind w:left="717" w:right="0"/>
        <w:jc w:val="left"/>
      </w:pPr>
      <w:r>
        <w:rPr/>
        <w:t>□适用 √不适用</w:t>
      </w:r>
    </w:p>
    <w:p>
      <w:pPr>
        <w:pStyle w:val="Heading4"/>
        <w:spacing w:line="240" w:lineRule="auto" w:before="58"/>
        <w:ind w:left="237" w:right="0"/>
        <w:jc w:val="left"/>
        <w:rPr>
          <w:b w:val="0"/>
          <w:bCs w:val="0"/>
        </w:rPr>
      </w:pPr>
      <w:r>
        <w:rPr>
          <w:rFonts w:ascii="Times New Roman" w:hAnsi="Times New Roman" w:cs="Times New Roman" w:eastAsia="Times New Roman" w:hint="default"/>
        </w:rPr>
        <w:t>70</w:t>
      </w:r>
      <w:r>
        <w:rPr/>
        <w:t>、</w:t>
      </w:r>
      <w:r>
        <w:rPr>
          <w:spacing w:val="-25"/>
        </w:rPr>
        <w:t> </w:t>
      </w:r>
      <w:r>
        <w:rPr/>
        <w:t>所有权或使用权受到限制的资产</w:t>
      </w:r>
      <w:r>
        <w:rPr>
          <w:b w:val="0"/>
          <w:bCs w:val="0"/>
        </w:rPr>
      </w:r>
    </w:p>
    <w:p>
      <w:pPr>
        <w:pStyle w:val="BodyText"/>
        <w:spacing w:line="240" w:lineRule="auto" w:before="40"/>
        <w:ind w:left="717" w:right="0"/>
        <w:jc w:val="left"/>
      </w:pPr>
      <w:r>
        <w:rPr/>
        <w:t>√适用 □不适用</w:t>
      </w:r>
    </w:p>
    <w:p>
      <w:pPr>
        <w:pStyle w:val="BodyText"/>
        <w:tabs>
          <w:tab w:pos="1051" w:val="left" w:leader="none"/>
        </w:tabs>
        <w:spacing w:line="274" w:lineRule="exact"/>
        <w:ind w:left="0" w:right="1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414"/>
        <w:gridCol w:w="2977"/>
        <w:gridCol w:w="4434"/>
      </w:tblGrid>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87"/>
              <w:jc w:val="right"/>
              <w:rPr>
                <w:rFonts w:ascii="宋体" w:hAnsi="宋体" w:cs="宋体" w:eastAsia="宋体" w:hint="default"/>
                <w:sz w:val="21"/>
                <w:szCs w:val="21"/>
              </w:rPr>
            </w:pPr>
            <w:r>
              <w:rPr>
                <w:rFonts w:ascii="宋体" w:hAnsi="宋体" w:cs="宋体" w:eastAsia="宋体" w:hint="default"/>
                <w:sz w:val="21"/>
                <w:szCs w:val="21"/>
              </w:rPr>
              <w:t>项目</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49"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51"/>
              <w:jc w:val="right"/>
              <w:rPr>
                <w:rFonts w:ascii="宋体" w:hAnsi="宋体" w:cs="宋体" w:eastAsia="宋体" w:hint="default"/>
                <w:sz w:val="21"/>
                <w:szCs w:val="21"/>
              </w:rPr>
            </w:pPr>
            <w:r>
              <w:rPr>
                <w:rFonts w:ascii="宋体" w:hAnsi="宋体" w:cs="宋体" w:eastAsia="宋体" w:hint="default"/>
                <w:spacing w:val="-1"/>
                <w:sz w:val="21"/>
                <w:szCs w:val="21"/>
              </w:rPr>
              <w:t>货币资金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75,389,856.21</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银行汇票保证金及银行保函保证金</w:t>
            </w:r>
          </w:p>
        </w:tc>
      </w:tr>
      <w:tr>
        <w:trPr>
          <w:trHeight w:val="372" w:hRule="exact"/>
        </w:trPr>
        <w:tc>
          <w:tcPr>
            <w:tcW w:w="141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2"/>
              <w:ind w:right="451"/>
              <w:jc w:val="right"/>
              <w:rPr>
                <w:rFonts w:ascii="宋体" w:hAnsi="宋体" w:cs="宋体" w:eastAsia="宋体" w:hint="default"/>
                <w:sz w:val="21"/>
                <w:szCs w:val="21"/>
              </w:rPr>
            </w:pPr>
            <w:r>
              <w:rPr>
                <w:rFonts w:ascii="宋体" w:hAnsi="宋体" w:cs="宋体" w:eastAsia="宋体" w:hint="default"/>
                <w:spacing w:val="-1"/>
                <w:sz w:val="21"/>
                <w:szCs w:val="21"/>
              </w:rPr>
              <w:t>固定资产</w:t>
            </w:r>
          </w:p>
        </w:tc>
        <w:tc>
          <w:tcPr>
            <w:tcW w:w="297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60,236,910.79</w:t>
            </w:r>
          </w:p>
        </w:tc>
        <w:tc>
          <w:tcPr>
            <w:tcW w:w="443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楼银行授信抵押</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377" w:hRule="exact"/>
        </w:trPr>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49"/>
              <w:jc w:val="right"/>
              <w:rPr>
                <w:rFonts w:ascii="宋体" w:hAnsi="宋体" w:cs="宋体" w:eastAsia="宋体" w:hint="default"/>
                <w:sz w:val="21"/>
                <w:szCs w:val="21"/>
              </w:rPr>
            </w:pPr>
            <w:r>
              <w:rPr>
                <w:rFonts w:ascii="宋体" w:hAnsi="宋体" w:cs="宋体" w:eastAsia="宋体" w:hint="default"/>
                <w:spacing w:val="-1"/>
                <w:sz w:val="21"/>
                <w:szCs w:val="21"/>
              </w:rPr>
              <w:t>固定资产</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25,841,769.80</w:t>
            </w:r>
          </w:p>
        </w:tc>
        <w:tc>
          <w:tcPr>
            <w:tcW w:w="4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left"/>
              <w:rPr>
                <w:rFonts w:ascii="宋体" w:hAnsi="宋体" w:cs="宋体" w:eastAsia="宋体" w:hint="default"/>
                <w:sz w:val="21"/>
                <w:szCs w:val="21"/>
              </w:rPr>
            </w:pPr>
            <w:r>
              <w:rPr>
                <w:rFonts w:ascii="宋体" w:hAnsi="宋体" w:cs="宋体" w:eastAsia="宋体" w:hint="default"/>
                <w:sz w:val="21"/>
                <w:szCs w:val="21"/>
              </w:rPr>
              <w:t>产权证办理中（注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r>
      <w:tr>
        <w:trPr>
          <w:trHeight w:val="375" w:hRule="exact"/>
        </w:trPr>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449"/>
              <w:jc w:val="right"/>
              <w:rPr>
                <w:rFonts w:ascii="宋体" w:hAnsi="宋体" w:cs="宋体" w:eastAsia="宋体" w:hint="default"/>
                <w:sz w:val="21"/>
                <w:szCs w:val="21"/>
              </w:rPr>
            </w:pPr>
            <w:r>
              <w:rPr>
                <w:rFonts w:ascii="宋体" w:hAnsi="宋体" w:cs="宋体" w:eastAsia="宋体" w:hint="default"/>
                <w:spacing w:val="-1"/>
                <w:sz w:val="21"/>
                <w:szCs w:val="21"/>
              </w:rPr>
              <w:t>固定资产</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36,493,401.76</w:t>
            </w:r>
          </w:p>
        </w:tc>
        <w:tc>
          <w:tcPr>
            <w:tcW w:w="4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5" w:right="0"/>
              <w:jc w:val="left"/>
              <w:rPr>
                <w:rFonts w:ascii="宋体" w:hAnsi="宋体" w:cs="宋体" w:eastAsia="宋体" w:hint="default"/>
                <w:sz w:val="21"/>
                <w:szCs w:val="21"/>
              </w:rPr>
            </w:pPr>
            <w:r>
              <w:rPr>
                <w:rFonts w:ascii="宋体" w:hAnsi="宋体" w:cs="宋体" w:eastAsia="宋体" w:hint="default"/>
                <w:sz w:val="21"/>
                <w:szCs w:val="21"/>
              </w:rPr>
              <w:t>未达到办证时间及条件（注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r>
        <w:trPr>
          <w:trHeight w:val="734" w:hRule="exact"/>
        </w:trPr>
        <w:tc>
          <w:tcPr>
            <w:tcW w:w="1414" w:type="dxa"/>
            <w:tcBorders>
              <w:top w:val="single" w:sz="6" w:space="0" w:color="000000"/>
              <w:left w:val="single" w:sz="6" w:space="0" w:color="000000"/>
              <w:bottom w:val="single" w:sz="4" w:space="0" w:color="000000"/>
              <w:right w:val="single" w:sz="6" w:space="0" w:color="000000"/>
            </w:tcBorders>
          </w:tcPr>
          <w:p>
            <w:pPr>
              <w:pStyle w:val="TableParagraph"/>
              <w:spacing w:line="314" w:lineRule="auto" w:before="42"/>
              <w:ind w:left="106" w:right="67"/>
              <w:jc w:val="left"/>
              <w:rPr>
                <w:rFonts w:ascii="宋体" w:hAnsi="宋体" w:cs="宋体" w:eastAsia="宋体" w:hint="default"/>
                <w:sz w:val="21"/>
                <w:szCs w:val="21"/>
              </w:rPr>
            </w:pPr>
            <w:r>
              <w:rPr>
                <w:rFonts w:ascii="宋体" w:hAnsi="宋体" w:cs="宋体" w:eastAsia="宋体" w:hint="default"/>
                <w:spacing w:val="25"/>
                <w:sz w:val="21"/>
                <w:szCs w:val="21"/>
              </w:rPr>
              <w:t>投资性房地</w:t>
            </w:r>
            <w:r>
              <w:rPr>
                <w:rFonts w:ascii="宋体" w:hAnsi="宋体" w:cs="宋体" w:eastAsia="宋体" w:hint="default"/>
                <w:spacing w:val="-93"/>
                <w:sz w:val="21"/>
                <w:szCs w:val="21"/>
              </w:rPr>
              <w:t> </w:t>
            </w:r>
            <w:r>
              <w:rPr>
                <w:rFonts w:ascii="宋体" w:hAnsi="宋体" w:cs="宋体" w:eastAsia="宋体" w:hint="default"/>
                <w:sz w:val="21"/>
                <w:szCs w:val="21"/>
              </w:rPr>
              <w:t>产</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29,219,468.78</w:t>
            </w:r>
          </w:p>
        </w:tc>
        <w:tc>
          <w:tcPr>
            <w:tcW w:w="4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楼银行授信抵押</w:t>
            </w:r>
          </w:p>
        </w:tc>
      </w:tr>
      <w:tr>
        <w:trPr>
          <w:trHeight w:val="37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51"/>
              <w:jc w:val="right"/>
              <w:rPr>
                <w:rFonts w:ascii="宋体" w:hAnsi="宋体" w:cs="宋体" w:eastAsia="宋体" w:hint="default"/>
                <w:sz w:val="21"/>
                <w:szCs w:val="21"/>
              </w:rPr>
            </w:pPr>
            <w:r>
              <w:rPr>
                <w:rFonts w:ascii="宋体" w:hAnsi="宋体" w:cs="宋体" w:eastAsia="宋体" w:hint="default"/>
                <w:spacing w:val="-1"/>
                <w:sz w:val="21"/>
                <w:szCs w:val="21"/>
              </w:rPr>
              <w:t>无形资产</w:t>
            </w:r>
          </w:p>
        </w:tc>
        <w:tc>
          <w:tcPr>
            <w:tcW w:w="297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2"/>
              <w:ind w:right="107"/>
              <w:jc w:val="right"/>
              <w:rPr>
                <w:rFonts w:ascii="Times New Roman" w:hAnsi="Times New Roman" w:cs="Times New Roman" w:eastAsia="Times New Roman" w:hint="default"/>
                <w:sz w:val="21"/>
                <w:szCs w:val="21"/>
              </w:rPr>
            </w:pPr>
            <w:r>
              <w:rPr>
                <w:rFonts w:ascii="Times New Roman"/>
                <w:spacing w:val="-1"/>
                <w:sz w:val="21"/>
              </w:rPr>
              <w:t>19,199,870.75</w:t>
            </w:r>
          </w:p>
        </w:tc>
        <w:tc>
          <w:tcPr>
            <w:tcW w:w="443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楼土地使用权银行授信抵押</w:t>
            </w:r>
          </w:p>
        </w:tc>
      </w:tr>
      <w:tr>
        <w:trPr>
          <w:trHeight w:val="377"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87"/>
              <w:jc w:val="right"/>
              <w:rPr>
                <w:rFonts w:ascii="宋体" w:hAnsi="宋体" w:cs="宋体" w:eastAsia="宋体" w:hint="default"/>
                <w:sz w:val="21"/>
                <w:szCs w:val="21"/>
              </w:rPr>
            </w:pPr>
            <w:r>
              <w:rPr>
                <w:rFonts w:ascii="宋体" w:hAnsi="宋体" w:cs="宋体" w:eastAsia="宋体" w:hint="default"/>
                <w:sz w:val="21"/>
                <w:szCs w:val="21"/>
              </w:rPr>
              <w:t>合计</w:t>
            </w:r>
          </w:p>
        </w:tc>
        <w:tc>
          <w:tcPr>
            <w:tcW w:w="297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21"/>
                <w:szCs w:val="21"/>
              </w:rPr>
            </w:pPr>
            <w:r>
              <w:rPr>
                <w:rFonts w:ascii="Times New Roman"/>
                <w:spacing w:val="-1"/>
                <w:sz w:val="21"/>
              </w:rPr>
              <w:t>246,381,278.09</w:t>
            </w:r>
          </w:p>
        </w:tc>
        <w:tc>
          <w:tcPr>
            <w:tcW w:w="443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
              <w:ind w:left="107" w:right="0"/>
              <w:jc w:val="left"/>
              <w:rPr>
                <w:rFonts w:ascii="宋体" w:hAnsi="宋体" w:cs="宋体" w:eastAsia="宋体" w:hint="default"/>
                <w:sz w:val="24"/>
                <w:szCs w:val="24"/>
              </w:rPr>
            </w:pPr>
            <w:r>
              <w:rPr>
                <w:rFonts w:ascii="宋体"/>
                <w:sz w:val="24"/>
              </w:rPr>
              <w:t>/</w:t>
            </w:r>
          </w:p>
        </w:tc>
      </w:tr>
    </w:tbl>
    <w:p>
      <w:pPr>
        <w:pStyle w:val="BodyText"/>
        <w:spacing w:line="240" w:lineRule="auto" w:before="26"/>
        <w:ind w:left="237" w:right="0"/>
        <w:jc w:val="left"/>
      </w:pPr>
      <w:r>
        <w:rPr/>
        <w:t>其他说明：</w:t>
      </w:r>
    </w:p>
    <w:p>
      <w:pPr>
        <w:pStyle w:val="BodyText"/>
        <w:spacing w:line="297" w:lineRule="auto" w:before="133"/>
        <w:ind w:left="237" w:right="129" w:firstLine="360"/>
        <w:jc w:val="right"/>
      </w:pPr>
      <w:r>
        <w:rPr/>
        <w:t>注</w:t>
      </w:r>
      <w:r>
        <w:rPr>
          <w:spacing w:val="-40"/>
        </w:rPr>
        <w:t> </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9"/>
        </w:rPr>
        <w:t> </w:t>
      </w:r>
      <w:r>
        <w:rPr/>
        <w:t>年</w:t>
      </w:r>
      <w:r>
        <w:rPr>
          <w:spacing w:val="-40"/>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spacing w:val="-3"/>
        </w:rPr>
        <w:t>日，公司与兴业银行股份有限公司泉州分行签订最高额抵押合同，编号</w:t>
      </w:r>
      <w:r>
        <w:rPr>
          <w:w w:val="100"/>
        </w:rPr>
        <w:t> </w:t>
      </w:r>
      <w:r>
        <w:rPr/>
        <w:t>为兴银泉</w:t>
      </w:r>
      <w:r>
        <w:rPr>
          <w:spacing w:val="-54"/>
        </w:rPr>
        <w:t> </w:t>
      </w:r>
      <w:r>
        <w:rPr>
          <w:rFonts w:ascii="Times New Roman" w:hAnsi="Times New Roman" w:cs="Times New Roman" w:eastAsia="Times New Roman" w:hint="default"/>
        </w:rPr>
        <w:t>04</w:t>
      </w:r>
      <w:r>
        <w:rPr>
          <w:rFonts w:ascii="Times New Roman" w:hAnsi="Times New Roman" w:cs="Times New Roman" w:eastAsia="Times New Roman" w:hint="default"/>
          <w:spacing w:val="-1"/>
        </w:rPr>
        <w:t> </w:t>
      </w:r>
      <w:r>
        <w:rPr/>
        <w:t>抵字第</w:t>
      </w:r>
      <w:r>
        <w:rPr>
          <w:spacing w:val="-56"/>
        </w:rPr>
        <w:t> </w:t>
      </w:r>
      <w:r>
        <w:rPr>
          <w:rFonts w:ascii="Times New Roman" w:hAnsi="Times New Roman" w:cs="Times New Roman" w:eastAsia="Times New Roman" w:hint="default"/>
        </w:rPr>
        <w:t>2016007001</w:t>
      </w:r>
      <w:r>
        <w:rPr>
          <w:rFonts w:ascii="Times New Roman" w:hAnsi="Times New Roman" w:cs="Times New Roman" w:eastAsia="Times New Roman" w:hint="default"/>
          <w:spacing w:val="-3"/>
        </w:rPr>
        <w:t> </w:t>
      </w:r>
      <w:r>
        <w:rPr/>
        <w:t>号，抵押物为泉州市丰泽区丰海路南威大厦</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号楼房产及其土地</w:t>
      </w:r>
    </w:p>
    <w:p>
      <w:pPr>
        <w:pStyle w:val="BodyText"/>
        <w:spacing w:line="240" w:lineRule="auto" w:before="13"/>
        <w:ind w:left="237" w:right="0"/>
        <w:jc w:val="left"/>
        <w:rPr>
          <w:rFonts w:ascii="Times New Roman" w:hAnsi="Times New Roman" w:cs="Times New Roman" w:eastAsia="Times New Roman" w:hint="default"/>
        </w:rPr>
      </w:pPr>
      <w:r>
        <w:rPr/>
        <w:t>使用权，抵押最高本金限额为人民币</w:t>
      </w:r>
      <w:r>
        <w:rPr>
          <w:spacing w:val="-53"/>
        </w:rPr>
        <w:t> </w:t>
      </w:r>
      <w:r>
        <w:rPr>
          <w:rFonts w:ascii="Times New Roman" w:hAnsi="Times New Roman" w:cs="Times New Roman" w:eastAsia="Times New Roman" w:hint="default"/>
        </w:rPr>
        <w:t>4,000.00</w:t>
      </w:r>
      <w:r>
        <w:rPr>
          <w:rFonts w:ascii="Times New Roman" w:hAnsi="Times New Roman" w:cs="Times New Roman" w:eastAsia="Times New Roman" w:hint="default"/>
          <w:spacing w:val="-3"/>
        </w:rPr>
        <w:t> </w:t>
      </w:r>
      <w:r>
        <w:rPr/>
        <w:t>万元整，抵押有效期为</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日至</w:t>
      </w:r>
      <w:r>
        <w:rPr>
          <w:spacing w:val="-55"/>
        </w:rPr>
        <w:t> </w:t>
      </w:r>
      <w:r>
        <w:rPr>
          <w:rFonts w:ascii="Times New Roman" w:hAnsi="Times New Roman" w:cs="Times New Roman" w:eastAsia="Times New Roman" w:hint="default"/>
        </w:rPr>
        <w:t>2019</w:t>
      </w:r>
    </w:p>
    <w:p>
      <w:pPr>
        <w:pStyle w:val="BodyText"/>
        <w:spacing w:line="297" w:lineRule="auto" w:before="70"/>
        <w:ind w:left="237" w:right="0"/>
        <w:jc w:val="left"/>
      </w:pPr>
      <w:r>
        <w:rPr>
          <w:w w:val="100"/>
        </w:rPr>
        <w:t>年</w:t>
      </w:r>
      <w:r>
        <w:rPr>
          <w:spacing w:val="-53"/>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w w:val="100"/>
        </w:rPr>
        <w:t> </w:t>
      </w:r>
      <w:r>
        <w:rPr>
          <w:w w:val="100"/>
        </w:rPr>
        <w:t>月</w:t>
      </w:r>
      <w:r>
        <w:rPr>
          <w:spacing w:val="-53"/>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2"/>
          <w:w w:val="100"/>
        </w:rPr>
        <w:t> </w:t>
      </w:r>
      <w:r>
        <w:rPr>
          <w:spacing w:val="-4"/>
          <w:w w:val="100"/>
        </w:rPr>
        <w:t>日，该抵押合同为公司与兴业银行股份有限公司泉州分行在抵押额度有效期内签订的主</w:t>
      </w:r>
      <w:r>
        <w:rPr>
          <w:w w:val="100"/>
        </w:rPr>
        <w:t> </w:t>
      </w:r>
      <w:r>
        <w:rPr/>
        <w:t>合同项下所有债权提供抵押担保。</w:t>
      </w:r>
    </w:p>
    <w:p>
      <w:pPr>
        <w:pStyle w:val="BodyText"/>
        <w:spacing w:line="297" w:lineRule="auto" w:before="34"/>
        <w:ind w:left="237" w:right="129" w:firstLine="420"/>
        <w:jc w:val="right"/>
      </w:pPr>
      <w:r>
        <w:rPr/>
        <w:t>注</w:t>
      </w:r>
      <w:r>
        <w:rPr>
          <w:spacing w:val="20"/>
        </w:rPr>
        <w:t> </w:t>
      </w:r>
      <w:r>
        <w:rPr>
          <w:rFonts w:ascii="Times New Roman" w:hAnsi="Times New Roman" w:cs="Times New Roman" w:eastAsia="Times New Roman" w:hint="default"/>
          <w:spacing w:val="-2"/>
        </w:rPr>
        <w:t>2</w:t>
      </w:r>
      <w:r>
        <w:rPr>
          <w:spacing w:val="-2"/>
        </w:rPr>
        <w:t>：本公司之子公司福建南威软件有限公司从福州软件园产业基地开发有限公司受让福州</w:t>
      </w:r>
      <w:r>
        <w:rPr>
          <w:w w:val="100"/>
        </w:rPr>
        <w:t> 软件园</w:t>
      </w:r>
      <w:r>
        <w:rPr>
          <w:spacing w:val="-58"/>
          <w:w w:val="100"/>
        </w:rPr>
        <w:t> </w:t>
      </w:r>
      <w:r>
        <w:rPr>
          <w:rFonts w:ascii="Times New Roman" w:hAnsi="Times New Roman" w:cs="Times New Roman" w:eastAsia="Times New Roman" w:hint="default"/>
          <w:w w:val="100"/>
        </w:rPr>
        <w:t>G</w:t>
      </w:r>
      <w:r>
        <w:rPr>
          <w:rFonts w:ascii="Times New Roman" w:hAnsi="Times New Roman" w:cs="Times New Roman" w:eastAsia="Times New Roman" w:hint="default"/>
          <w:spacing w:val="-1"/>
          <w:w w:val="100"/>
        </w:rPr>
        <w:t> </w:t>
      </w:r>
      <w:r>
        <w:rPr>
          <w:w w:val="100"/>
        </w:rPr>
        <w:t>区</w:t>
      </w:r>
      <w:r>
        <w:rPr>
          <w:spacing w:val="-54"/>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2"/>
          <w:w w:val="100"/>
        </w:rPr>
        <w:t> </w:t>
      </w:r>
      <w:r>
        <w:rPr>
          <w:spacing w:val="-8"/>
          <w:w w:val="100"/>
        </w:rPr>
        <w:t>号楼，在受让合同中约定自公司入驻之日起三年内在当地年度缴纳营业税、增值税、</w:t>
      </w:r>
      <w:r>
        <w:rPr>
          <w:w w:val="100"/>
        </w:rPr>
        <w:t> </w:t>
      </w:r>
      <w:r>
        <w:rPr>
          <w:spacing w:val="-2"/>
          <w:w w:val="100"/>
        </w:rPr>
        <w:t>企业所得税总额不低于</w:t>
      </w:r>
      <w:r>
        <w:rPr>
          <w:spacing w:val="-55"/>
          <w:w w:val="100"/>
        </w:rPr>
        <w:t> </w:t>
      </w:r>
      <w:r>
        <w:rPr>
          <w:rFonts w:ascii="Times New Roman" w:hAnsi="Times New Roman" w:cs="Times New Roman" w:eastAsia="Times New Roman" w:hint="default"/>
          <w:spacing w:val="-2"/>
          <w:w w:val="100"/>
        </w:rPr>
        <w:t>1,000 </w:t>
      </w:r>
      <w:r>
        <w:rPr>
          <w:spacing w:val="-23"/>
          <w:w w:val="100"/>
        </w:rPr>
        <w:t>万元，截至</w:t>
      </w:r>
      <w:r>
        <w:rPr>
          <w:spacing w:val="-54"/>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4"/>
          <w:w w:val="100"/>
        </w:rPr>
        <w:t> </w:t>
      </w:r>
      <w:r>
        <w:rPr>
          <w:w w:val="100"/>
        </w:rPr>
        <w:t>年</w:t>
      </w:r>
      <w:r>
        <w:rPr>
          <w:spacing w:val="-54"/>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4"/>
          <w:w w:val="100"/>
        </w:rPr>
        <w:t> </w:t>
      </w:r>
      <w:r>
        <w:rPr>
          <w:w w:val="100"/>
        </w:rPr>
        <w:t>月</w:t>
      </w:r>
      <w:r>
        <w:rPr>
          <w:spacing w:val="-54"/>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4"/>
          <w:w w:val="100"/>
        </w:rPr>
        <w:t> </w:t>
      </w:r>
      <w:r>
        <w:rPr>
          <w:spacing w:val="-8"/>
          <w:w w:val="100"/>
        </w:rPr>
        <w:t>日已达到约定条件，产权证正在办理中。</w:t>
      </w:r>
      <w:r>
        <w:rPr>
          <w:w w:val="100"/>
        </w:rPr>
        <w:t> </w:t>
      </w:r>
      <w:r>
        <w:rPr/>
        <w:t>注</w:t>
      </w:r>
      <w:r>
        <w:rPr>
          <w:spacing w:val="20"/>
        </w:rPr>
        <w:t> </w:t>
      </w:r>
      <w:r>
        <w:rPr>
          <w:rFonts w:ascii="Times New Roman" w:hAnsi="Times New Roman" w:cs="Times New Roman" w:eastAsia="Times New Roman" w:hint="default"/>
          <w:spacing w:val="-2"/>
        </w:rPr>
        <w:t>3</w:t>
      </w:r>
      <w:r>
        <w:rPr>
          <w:spacing w:val="-2"/>
        </w:rPr>
        <w:t>：本公司之子公司福建南威软件有限公司从福州软件园产业基地开发有限公司受让福州</w:t>
      </w:r>
      <w:r>
        <w:rPr>
          <w:w w:val="100"/>
        </w:rPr>
        <w:t> </w:t>
      </w:r>
      <w:r>
        <w:rPr/>
        <w:t>软件园</w:t>
      </w:r>
      <w:r>
        <w:rPr>
          <w:spacing w:val="-54"/>
        </w:rPr>
        <w:t> </w:t>
      </w:r>
      <w:r>
        <w:rPr>
          <w:rFonts w:ascii="Times New Roman" w:hAnsi="Times New Roman" w:cs="Times New Roman" w:eastAsia="Times New Roman" w:hint="default"/>
        </w:rPr>
        <w:t>F</w:t>
      </w:r>
      <w:r>
        <w:rPr>
          <w:rFonts w:ascii="Times New Roman" w:hAnsi="Times New Roman" w:cs="Times New Roman" w:eastAsia="Times New Roman" w:hint="default"/>
          <w:spacing w:val="-6"/>
        </w:rPr>
        <w:t> </w:t>
      </w:r>
      <w:r>
        <w:rPr/>
        <w:t>区</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号楼</w:t>
      </w:r>
      <w:r>
        <w:rPr>
          <w:spacing w:val="-54"/>
        </w:rPr>
        <w:t> </w:t>
      </w:r>
      <w:r>
        <w:rPr>
          <w:rFonts w:ascii="Times New Roman" w:hAnsi="Times New Roman" w:cs="Times New Roman" w:eastAsia="Times New Roman" w:hint="default"/>
        </w:rPr>
        <w:t>6-8</w:t>
      </w:r>
      <w:r>
        <w:rPr>
          <w:rFonts w:ascii="Times New Roman" w:hAnsi="Times New Roman" w:cs="Times New Roman" w:eastAsia="Times New Roman" w:hint="default"/>
          <w:spacing w:val="-1"/>
        </w:rPr>
        <w:t> </w:t>
      </w:r>
      <w:r>
        <w:rPr/>
        <w:t>层，在受让合同中约定根据《福建省电子信息集团关于关联企业购买软件</w:t>
      </w:r>
      <w:r>
        <w:rPr>
          <w:w w:val="100"/>
        </w:rPr>
        <w:t> </w:t>
      </w:r>
      <w:r>
        <w:rPr/>
        <w:t>园</w:t>
      </w:r>
      <w:r>
        <w:rPr>
          <w:spacing w:val="-54"/>
        </w:rPr>
        <w:t> </w:t>
      </w:r>
      <w:r>
        <w:rPr>
          <w:rFonts w:ascii="Times New Roman" w:hAnsi="Times New Roman" w:cs="Times New Roman" w:eastAsia="Times New Roman" w:hint="default"/>
        </w:rPr>
        <w:t>F</w:t>
      </w:r>
      <w:r>
        <w:rPr>
          <w:rFonts w:ascii="Times New Roman" w:hAnsi="Times New Roman" w:cs="Times New Roman" w:eastAsia="Times New Roman" w:hint="default"/>
          <w:spacing w:val="-6"/>
        </w:rPr>
        <w:t> </w:t>
      </w:r>
      <w:r>
        <w:rPr/>
        <w:t>区</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号楼情况说明的函》，各购楼企业</w:t>
      </w:r>
      <w:r>
        <w:rPr>
          <w:spacing w:val="-54"/>
        </w:rPr>
        <w:t> </w:t>
      </w:r>
      <w:r>
        <w:rPr>
          <w:rFonts w:ascii="Times New Roman" w:hAnsi="Times New Roman" w:cs="Times New Roman" w:eastAsia="Times New Roman" w:hint="default"/>
        </w:rPr>
        <w:t>2017-2019</w:t>
      </w:r>
      <w:r>
        <w:rPr>
          <w:rFonts w:ascii="Times New Roman" w:hAnsi="Times New Roman" w:cs="Times New Roman" w:eastAsia="Times New Roman" w:hint="default"/>
          <w:spacing w:val="-1"/>
        </w:rPr>
        <w:t> </w:t>
      </w:r>
      <w:r>
        <w:rPr/>
        <w:t>年三年缴纳所得税及增值税总额新增</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亿</w:t>
      </w:r>
    </w:p>
    <w:p>
      <w:pPr>
        <w:pStyle w:val="BodyText"/>
        <w:spacing w:line="240" w:lineRule="auto" w:before="13"/>
        <w:ind w:left="237" w:right="0"/>
        <w:jc w:val="left"/>
      </w:pPr>
      <w:r>
        <w:rPr>
          <w:spacing w:val="-6"/>
        </w:rPr>
        <w:t>以上，营收 </w:t>
      </w:r>
      <w:r>
        <w:rPr>
          <w:rFonts w:ascii="Times New Roman" w:hAnsi="Times New Roman" w:cs="Times New Roman" w:eastAsia="Times New Roman" w:hint="default"/>
        </w:rPr>
        <w:t>50</w:t>
      </w:r>
      <w:r>
        <w:rPr>
          <w:rFonts w:ascii="Times New Roman" w:hAnsi="Times New Roman" w:cs="Times New Roman" w:eastAsia="Times New Roman" w:hint="default"/>
          <w:spacing w:val="25"/>
        </w:rPr>
        <w:t> </w:t>
      </w:r>
      <w:r>
        <w:rPr>
          <w:spacing w:val="-4"/>
        </w:rPr>
        <w:t>亿元以上，不足由福建省电子信息集团纳税补足，根据转让协议，以上条件达成之</w:t>
      </w:r>
    </w:p>
    <w:p>
      <w:pPr>
        <w:pStyle w:val="BodyText"/>
        <w:spacing w:line="240" w:lineRule="auto" w:before="69"/>
        <w:ind w:left="237" w:right="0"/>
        <w:jc w:val="left"/>
      </w:pPr>
      <w:r>
        <w:rPr/>
        <w:t>日起一年内办妥产权证。截至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日，该房产尚未达到办理产权证的时间及条件。</w:t>
      </w:r>
    </w:p>
    <w:p>
      <w:pPr>
        <w:spacing w:after="0" w:line="240" w:lineRule="auto"/>
        <w:jc w:val="left"/>
        <w:sectPr>
          <w:pgSz w:w="11910" w:h="16840"/>
          <w:pgMar w:header="857" w:footer="979" w:top="1120" w:bottom="1160" w:left="1040" w:right="1660"/>
        </w:sectPr>
      </w:pPr>
    </w:p>
    <w:p>
      <w:pPr>
        <w:spacing w:line="240" w:lineRule="auto" w:before="7"/>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979" w:top="1120" w:bottom="1160" w:left="1060" w:right="1660"/>
        </w:sectPr>
      </w:pPr>
    </w:p>
    <w:p>
      <w:pPr>
        <w:pStyle w:val="Heading4"/>
        <w:spacing w:line="240" w:lineRule="auto"/>
        <w:ind w:left="217" w:right="-18"/>
        <w:jc w:val="left"/>
        <w:rPr>
          <w:b w:val="0"/>
          <w:bCs w:val="0"/>
        </w:rPr>
      </w:pPr>
      <w:r>
        <w:rPr>
          <w:rFonts w:ascii="Times New Roman" w:hAnsi="Times New Roman" w:cs="Times New Roman" w:eastAsia="Times New Roman" w:hint="default"/>
        </w:rPr>
        <w:t>71</w:t>
      </w:r>
      <w:r>
        <w:rPr/>
        <w:t>、</w:t>
      </w:r>
      <w:r>
        <w:rPr>
          <w:spacing w:val="-21"/>
        </w:rPr>
        <w:t> </w:t>
      </w:r>
      <w:r>
        <w:rPr/>
        <w:t>外币货币性项目</w:t>
      </w:r>
      <w:r>
        <w:rPr>
          <w:b w:val="0"/>
          <w:bCs w:val="0"/>
        </w:rPr>
      </w:r>
    </w:p>
    <w:p>
      <w:pPr>
        <w:pStyle w:val="Heading4"/>
        <w:spacing w:line="240" w:lineRule="auto" w:before="40"/>
        <w:ind w:left="217" w:right="-18"/>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6"/>
        </w:rPr>
        <w:t> </w:t>
      </w:r>
      <w:r>
        <w:rPr/>
        <w:t>外币货币性项目</w:t>
      </w:r>
      <w:r>
        <w:rPr>
          <w:b w:val="0"/>
          <w:bCs w:val="0"/>
        </w:rPr>
      </w:r>
    </w:p>
    <w:p>
      <w:pPr>
        <w:pStyle w:val="BodyText"/>
        <w:spacing w:line="240" w:lineRule="auto" w:before="43"/>
        <w:ind w:left="6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7" w:right="0"/>
        <w:jc w:val="left"/>
      </w:pPr>
      <w:r>
        <w:rPr/>
        <w:t>单位：元</w:t>
      </w:r>
    </w:p>
    <w:p>
      <w:pPr>
        <w:spacing w:after="0" w:line="240" w:lineRule="auto"/>
        <w:jc w:val="left"/>
        <w:sectPr>
          <w:type w:val="continuous"/>
          <w:pgSz w:w="11910" w:h="16840"/>
          <w:pgMar w:top="1580" w:bottom="280" w:left="1060" w:right="1660"/>
          <w:cols w:num="2" w:equalWidth="0">
            <w:col w:w="2275" w:space="5719"/>
            <w:col w:w="11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26"/>
        <w:gridCol w:w="1999"/>
        <w:gridCol w:w="2004"/>
        <w:gridCol w:w="1995"/>
      </w:tblGrid>
      <w:tr>
        <w:trPr>
          <w:trHeight w:val="730"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782" w:right="252" w:hanging="526"/>
              <w:jc w:val="left"/>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余额</w:t>
            </w:r>
          </w:p>
        </w:tc>
      </w:tr>
      <w:tr>
        <w:trPr>
          <w:trHeight w:val="370"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0.85</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6.8632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5.83</w:t>
            </w:r>
          </w:p>
        </w:tc>
      </w:tr>
      <w:tr>
        <w:trPr>
          <w:trHeight w:val="372"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0.85</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6.8632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5.83</w:t>
            </w:r>
          </w:p>
        </w:tc>
      </w:tr>
    </w:tbl>
    <w:p>
      <w:pPr>
        <w:pStyle w:val="BodyText"/>
        <w:spacing w:line="290" w:lineRule="auto" w:before="26"/>
        <w:ind w:left="697" w:right="7899" w:hanging="480"/>
        <w:jc w:val="left"/>
      </w:pPr>
      <w:r>
        <w:rPr/>
        <w:t>其他说明：</w:t>
      </w:r>
      <w:r>
        <w:rPr>
          <w:spacing w:val="-102"/>
        </w:rPr>
        <w:t> </w:t>
      </w:r>
      <w:r>
        <w:rPr>
          <w:spacing w:val="-102"/>
        </w:rPr>
      </w:r>
      <w:r>
        <w:rPr/>
        <w:t>无</w:t>
      </w:r>
    </w:p>
    <w:p>
      <w:pPr>
        <w:pStyle w:val="Heading4"/>
        <w:spacing w:line="272" w:lineRule="exact" w:before="43"/>
        <w:ind w:left="644" w:right="116" w:hanging="428"/>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境外经营实体说明，包括对于重要的境外经营实体，应披露其境外主要经营地、记账本位币</w:t>
      </w:r>
      <w:r>
        <w:rPr>
          <w:w w:val="100"/>
        </w:rPr>
        <w:t> </w:t>
      </w:r>
      <w:r>
        <w:rPr/>
        <w:t>及选择依据，记账本位币发生变化的还应披露原因</w:t>
      </w:r>
      <w:r>
        <w:rPr>
          <w:b w:val="0"/>
          <w:bCs w:val="0"/>
        </w:rPr>
      </w:r>
    </w:p>
    <w:p>
      <w:pPr>
        <w:pStyle w:val="BodyText"/>
        <w:spacing w:line="240" w:lineRule="auto" w:before="31"/>
        <w:ind w:left="697" w:right="2631"/>
        <w:jc w:val="left"/>
      </w:pPr>
      <w:r>
        <w:rPr/>
        <w:t>□适用 √不适用</w:t>
      </w:r>
    </w:p>
    <w:p>
      <w:pPr>
        <w:pStyle w:val="Heading4"/>
        <w:spacing w:line="240" w:lineRule="auto" w:before="58"/>
        <w:ind w:left="217" w:right="2631"/>
        <w:jc w:val="left"/>
        <w:rPr>
          <w:b w:val="0"/>
          <w:bCs w:val="0"/>
        </w:rPr>
      </w:pPr>
      <w:r>
        <w:rPr>
          <w:rFonts w:ascii="Times New Roman" w:hAnsi="Times New Roman" w:cs="Times New Roman" w:eastAsia="Times New Roman" w:hint="default"/>
        </w:rPr>
        <w:t>72</w:t>
      </w:r>
      <w:r>
        <w:rPr/>
        <w:t>、</w:t>
      </w:r>
      <w:r>
        <w:rPr>
          <w:spacing w:val="-23"/>
        </w:rPr>
        <w:t> </w:t>
      </w:r>
      <w:r>
        <w:rPr/>
        <w:t>套期</w:t>
      </w:r>
      <w:r>
        <w:rPr>
          <w:b w:val="0"/>
          <w:bCs w:val="0"/>
        </w:rPr>
      </w:r>
    </w:p>
    <w:p>
      <w:pPr>
        <w:pStyle w:val="BodyText"/>
        <w:spacing w:line="240" w:lineRule="auto" w:before="40"/>
        <w:ind w:left="697" w:right="2631"/>
        <w:jc w:val="left"/>
      </w:pPr>
      <w:r>
        <w:rPr/>
        <w:t>□适用 √不适用</w:t>
      </w:r>
    </w:p>
    <w:p>
      <w:pPr>
        <w:pStyle w:val="Heading4"/>
        <w:spacing w:line="240" w:lineRule="auto" w:before="58"/>
        <w:ind w:left="217" w:right="2631"/>
        <w:jc w:val="left"/>
        <w:rPr>
          <w:b w:val="0"/>
          <w:bCs w:val="0"/>
        </w:rPr>
      </w:pPr>
      <w:r>
        <w:rPr>
          <w:rFonts w:ascii="Times New Roman" w:hAnsi="Times New Roman" w:cs="Times New Roman" w:eastAsia="Times New Roman" w:hint="default"/>
        </w:rPr>
        <w:t>73</w:t>
      </w:r>
      <w:r>
        <w:rPr/>
        <w:t>、</w:t>
      </w:r>
      <w:r>
        <w:rPr>
          <w:spacing w:val="-23"/>
        </w:rPr>
        <w:t> </w:t>
      </w:r>
      <w:r>
        <w:rPr/>
        <w:t>政府补助</w:t>
      </w:r>
      <w:r>
        <w:rPr>
          <w:b w:val="0"/>
          <w:bCs w:val="0"/>
        </w:rPr>
      </w:r>
    </w:p>
    <w:p>
      <w:pPr>
        <w:pStyle w:val="Heading4"/>
        <w:spacing w:line="240" w:lineRule="auto" w:before="40"/>
        <w:ind w:left="217" w:right="2631"/>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6"/>
        </w:rPr>
        <w:t> </w:t>
      </w:r>
      <w:r>
        <w:rPr/>
        <w:t>政府补助基本情况</w:t>
      </w:r>
      <w:r>
        <w:rPr>
          <w:b w:val="0"/>
          <w:bCs w:val="0"/>
        </w:rPr>
      </w:r>
    </w:p>
    <w:p>
      <w:pPr>
        <w:pStyle w:val="BodyText"/>
        <w:tabs>
          <w:tab w:pos="1539" w:val="left" w:leader="none"/>
        </w:tabs>
        <w:spacing w:line="240" w:lineRule="auto" w:before="43"/>
        <w:ind w:left="697" w:right="2631"/>
        <w:jc w:val="left"/>
      </w:pPr>
      <w:r>
        <w:rPr/>
        <w:t>√适用</w:t>
        <w:tab/>
        <w:t>□不适用</w:t>
      </w:r>
    </w:p>
    <w:p>
      <w:pPr>
        <w:pStyle w:val="BodyText"/>
        <w:tabs>
          <w:tab w:pos="1051" w:val="left" w:leader="none"/>
        </w:tabs>
        <w:spacing w:line="271" w:lineRule="exact"/>
        <w:ind w:left="0" w:right="1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32"/>
        <w:gridCol w:w="1560"/>
        <w:gridCol w:w="1274"/>
        <w:gridCol w:w="1561"/>
      </w:tblGrid>
      <w:tr>
        <w:trPr>
          <w:trHeight w:val="73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458" w:right="142" w:hanging="315"/>
              <w:jc w:val="left"/>
              <w:rPr>
                <w:rFonts w:ascii="宋体" w:hAnsi="宋体" w:cs="宋体" w:eastAsia="宋体" w:hint="default"/>
                <w:sz w:val="21"/>
                <w:szCs w:val="21"/>
              </w:rPr>
            </w:pPr>
            <w:r>
              <w:rPr>
                <w:rFonts w:ascii="宋体" w:hAnsi="宋体" w:cs="宋体" w:eastAsia="宋体" w:hint="default"/>
                <w:sz w:val="21"/>
                <w:szCs w:val="21"/>
              </w:rPr>
              <w:t>计入当期损益</w:t>
            </w:r>
            <w:r>
              <w:rPr>
                <w:rFonts w:ascii="宋体" w:hAnsi="宋体" w:cs="宋体" w:eastAsia="宋体" w:hint="default"/>
                <w:w w:val="100"/>
                <w:sz w:val="21"/>
                <w:szCs w:val="21"/>
              </w:rPr>
              <w:t> </w:t>
            </w:r>
            <w:r>
              <w:rPr>
                <w:rFonts w:ascii="宋体" w:hAnsi="宋体" w:cs="宋体" w:eastAsia="宋体" w:hint="default"/>
                <w:sz w:val="21"/>
                <w:szCs w:val="21"/>
              </w:rPr>
              <w:t>的金额</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增值税即征即退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14,395,044.59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14,395,044.59</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12358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大数据公共服务平台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3,529,411.77</w:t>
            </w:r>
          </w:p>
        </w:tc>
      </w:tr>
      <w:tr>
        <w:trPr>
          <w:trHeight w:val="109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both"/>
              <w:rPr>
                <w:rFonts w:ascii="宋体" w:hAnsi="宋体" w:cs="宋体" w:eastAsia="宋体" w:hint="default"/>
                <w:sz w:val="21"/>
                <w:szCs w:val="21"/>
              </w:rPr>
            </w:pPr>
            <w:r>
              <w:rPr>
                <w:rFonts w:ascii="宋体" w:hAnsi="宋体" w:cs="宋体" w:eastAsia="宋体" w:hint="default"/>
                <w:spacing w:val="-1"/>
                <w:sz w:val="21"/>
                <w:szCs w:val="21"/>
              </w:rPr>
              <w:t>区域教育云平台</w:t>
            </w:r>
            <w:r>
              <w:rPr>
                <w:rFonts w:ascii="宋体" w:hAnsi="宋体" w:cs="宋体" w:eastAsia="宋体" w:hint="default"/>
                <w:spacing w:val="-1"/>
                <w:sz w:val="21"/>
                <w:szCs w:val="21"/>
              </w:rPr>
              <w:t>-</w:t>
            </w:r>
            <w:r>
              <w:rPr>
                <w:rFonts w:ascii="宋体" w:hAnsi="宋体" w:cs="宋体" w:eastAsia="宋体" w:hint="default"/>
                <w:spacing w:val="-1"/>
                <w:sz w:val="21"/>
                <w:szCs w:val="21"/>
              </w:rPr>
              <w:t>深圳市战略性新兴产业（互联</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网产业）发展专项资金（</w:t>
            </w:r>
            <w:r>
              <w:rPr>
                <w:rFonts w:ascii="宋体" w:hAnsi="宋体" w:cs="宋体" w:eastAsia="宋体" w:hint="default"/>
                <w:sz w:val="21"/>
                <w:szCs w:val="21"/>
              </w:rPr>
              <w:t>2012</w:t>
            </w:r>
            <w:r>
              <w:rPr>
                <w:rFonts w:ascii="宋体" w:hAnsi="宋体" w:cs="宋体" w:eastAsia="宋体" w:hint="default"/>
                <w:spacing w:val="-34"/>
                <w:sz w:val="21"/>
                <w:szCs w:val="21"/>
              </w:rPr>
              <w:t> </w:t>
            </w:r>
            <w:r>
              <w:rPr>
                <w:rFonts w:ascii="宋体" w:hAnsi="宋体" w:cs="宋体" w:eastAsia="宋体" w:hint="default"/>
                <w:sz w:val="21"/>
                <w:szCs w:val="21"/>
              </w:rPr>
              <w:t>年第</w:t>
            </w:r>
            <w:r>
              <w:rPr>
                <w:rFonts w:ascii="宋体" w:hAnsi="宋体" w:cs="宋体" w:eastAsia="宋体" w:hint="default"/>
                <w:spacing w:val="-32"/>
                <w:sz w:val="21"/>
                <w:szCs w:val="21"/>
              </w:rPr>
              <w:t> </w:t>
            </w:r>
            <w:r>
              <w:rPr>
                <w:rFonts w:ascii="宋体" w:hAnsi="宋体" w:cs="宋体" w:eastAsia="宋体" w:hint="default"/>
                <w:sz w:val="21"/>
                <w:szCs w:val="21"/>
              </w:rPr>
              <w:t>5</w:t>
            </w:r>
            <w:r>
              <w:rPr>
                <w:rFonts w:ascii="宋体" w:hAnsi="宋体" w:cs="宋体" w:eastAsia="宋体" w:hint="default"/>
                <w:spacing w:val="-34"/>
                <w:sz w:val="21"/>
                <w:szCs w:val="21"/>
              </w:rPr>
              <w:t> </w:t>
            </w:r>
            <w:r>
              <w:rPr>
                <w:rFonts w:ascii="宋体" w:hAnsi="宋体" w:cs="宋体" w:eastAsia="宋体" w:hint="default"/>
                <w:sz w:val="21"/>
                <w:szCs w:val="21"/>
              </w:rPr>
              <w:t>批扶持计</w:t>
            </w:r>
            <w:r>
              <w:rPr>
                <w:rFonts w:ascii="宋体" w:hAnsi="宋体" w:cs="宋体" w:eastAsia="宋体" w:hint="default"/>
                <w:w w:val="100"/>
                <w:sz w:val="21"/>
                <w:szCs w:val="21"/>
              </w:rPr>
              <w:t> </w:t>
            </w:r>
            <w:r>
              <w:rPr>
                <w:rFonts w:ascii="宋体" w:hAnsi="宋体" w:cs="宋体" w:eastAsia="宋体" w:hint="default"/>
                <w:sz w:val="21"/>
                <w:szCs w:val="21"/>
              </w:rPr>
              <w:t>划）</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83,333.33</w:t>
            </w:r>
          </w:p>
        </w:tc>
      </w:tr>
      <w:tr>
        <w:trPr>
          <w:trHeight w:val="372"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智慧云族云服务平台项目政府补助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33,333.33</w:t>
            </w:r>
          </w:p>
        </w:tc>
      </w:tr>
      <w:tr>
        <w:trPr>
          <w:trHeight w:val="73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5"/>
              <w:jc w:val="left"/>
              <w:rPr>
                <w:rFonts w:ascii="宋体" w:hAnsi="宋体" w:cs="宋体" w:eastAsia="宋体" w:hint="default"/>
                <w:sz w:val="21"/>
                <w:szCs w:val="21"/>
              </w:rPr>
            </w:pPr>
            <w:r>
              <w:rPr>
                <w:rFonts w:ascii="宋体" w:hAnsi="宋体" w:cs="宋体" w:eastAsia="宋体" w:hint="default"/>
                <w:spacing w:val="3"/>
                <w:sz w:val="21"/>
                <w:szCs w:val="21"/>
              </w:rPr>
              <w:t>广东省战略性新兴发展专项资金</w:t>
            </w:r>
            <w:r>
              <w:rPr>
                <w:rFonts w:ascii="宋体" w:hAnsi="宋体" w:cs="宋体" w:eastAsia="宋体" w:hint="default"/>
                <w:spacing w:val="3"/>
                <w:sz w:val="21"/>
                <w:szCs w:val="21"/>
              </w:rPr>
              <w:t>-</w:t>
            </w:r>
            <w:r>
              <w:rPr>
                <w:rFonts w:ascii="宋体" w:hAnsi="宋体" w:cs="宋体" w:eastAsia="宋体" w:hint="default"/>
                <w:spacing w:val="3"/>
                <w:sz w:val="21"/>
                <w:szCs w:val="21"/>
              </w:rPr>
              <w:t>云</w:t>
            </w:r>
            <w:r>
              <w:rPr>
                <w:rFonts w:ascii="宋体" w:hAnsi="宋体" w:cs="宋体" w:eastAsia="宋体" w:hint="default"/>
                <w:spacing w:val="3"/>
                <w:sz w:val="21"/>
                <w:szCs w:val="21"/>
              </w:rPr>
              <w:t>+</w:t>
            </w:r>
            <w:r>
              <w:rPr>
                <w:rFonts w:ascii="宋体" w:hAnsi="宋体" w:cs="宋体" w:eastAsia="宋体" w:hint="default"/>
                <w:spacing w:val="3"/>
                <w:sz w:val="21"/>
                <w:szCs w:val="21"/>
              </w:rPr>
              <w:t>端技术支</w:t>
            </w:r>
            <w:r>
              <w:rPr>
                <w:rFonts w:ascii="宋体" w:hAnsi="宋体" w:cs="宋体" w:eastAsia="宋体" w:hint="default"/>
                <w:spacing w:val="-62"/>
                <w:sz w:val="21"/>
                <w:szCs w:val="21"/>
              </w:rPr>
              <w:t> </w:t>
            </w:r>
            <w:r>
              <w:rPr>
                <w:rFonts w:ascii="宋体" w:hAnsi="宋体" w:cs="宋体" w:eastAsia="宋体" w:hint="default"/>
                <w:sz w:val="21"/>
                <w:szCs w:val="21"/>
              </w:rPr>
              <w:t>撑与服务平台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软件与集成电路产业专项资金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1,251,000.00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pacing w:val="2"/>
                <w:sz w:val="21"/>
                <w:szCs w:val="21"/>
              </w:rPr>
              <w:t>深圳市科技创新委员会高新区处第三批企业资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1,230,000.00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年度、</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年度研发经费补助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1,002,100.00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1,002,100.00</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云与端互动中间件平台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700,000.00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372"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视频图像分布式联网与智能化应用平台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550,000.00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110,000.00</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智慧政务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年度政府企业创新奖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境内上市公司再融资奖励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2"/>
                <w:sz w:val="21"/>
                <w:szCs w:val="21"/>
              </w:rPr>
              <w:t>太极云软统一受理平台软件应用示范项目专项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490,000.00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60" w:right="1660"/>
        </w:sectPr>
      </w:pP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4532"/>
        <w:gridCol w:w="1560"/>
        <w:gridCol w:w="1274"/>
        <w:gridCol w:w="1561"/>
      </w:tblGrid>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年度授权专利奖励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330,000.00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330,000.00</w:t>
            </w:r>
          </w:p>
        </w:tc>
      </w:tr>
      <w:tr>
        <w:trPr>
          <w:trHeight w:val="732"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5"/>
              <w:ind w:left="103"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年度鼓楼区服务业统计市级与区级奖励资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73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pacing w:val="2"/>
                <w:sz w:val="21"/>
                <w:szCs w:val="21"/>
              </w:rPr>
              <w:t>泉州市博士后科研工作站及博士后科研人员补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助资金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项目智慧社区服务管理平台补贴款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69,202.90</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公安智能感知大数据平台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400,000.00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6,666.67</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年度福建省企业年中及单项研发经费补助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249,800.00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249,800.00</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两化融合管理体系贯标评定通过奖励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732"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9"/>
              <w:jc w:val="left"/>
              <w:rPr>
                <w:rFonts w:ascii="宋体" w:hAnsi="宋体" w:cs="宋体" w:eastAsia="宋体" w:hint="default"/>
                <w:sz w:val="21"/>
                <w:szCs w:val="21"/>
              </w:rPr>
            </w:pPr>
            <w:r>
              <w:rPr>
                <w:rFonts w:ascii="宋体" w:hAnsi="宋体" w:cs="宋体" w:eastAsia="宋体" w:hint="default"/>
                <w:sz w:val="21"/>
                <w:szCs w:val="21"/>
              </w:rPr>
              <w:t>泉州市科技局</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年度人才创新创业项目计划</w:t>
            </w:r>
            <w:r>
              <w:rPr>
                <w:rFonts w:ascii="宋体" w:hAnsi="宋体" w:cs="宋体" w:eastAsia="宋体" w:hint="default"/>
                <w:w w:val="100"/>
                <w:sz w:val="21"/>
                <w:szCs w:val="21"/>
              </w:rPr>
              <w:t> </w:t>
            </w:r>
            <w:r>
              <w:rPr>
                <w:rFonts w:ascii="宋体" w:hAnsi="宋体" w:cs="宋体" w:eastAsia="宋体" w:hint="default"/>
                <w:sz w:val="21"/>
                <w:szCs w:val="21"/>
              </w:rPr>
              <w:t>经费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VEEKEE</w:t>
            </w:r>
            <w:r>
              <w:rPr>
                <w:rFonts w:ascii="宋体" w:hAnsi="宋体" w:cs="宋体" w:eastAsia="宋体" w:hint="default"/>
                <w:spacing w:val="-55"/>
                <w:sz w:val="21"/>
                <w:szCs w:val="21"/>
              </w:rPr>
              <w:t> </w:t>
            </w:r>
            <w:r>
              <w:rPr>
                <w:rFonts w:ascii="宋体" w:hAnsi="宋体" w:cs="宋体" w:eastAsia="宋体" w:hint="default"/>
                <w:sz w:val="21"/>
                <w:szCs w:val="21"/>
              </w:rPr>
              <w:t>云服务中间件平台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年度郑州市大数据产业发展专项资金的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176,000.00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176,000.00</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福建省高新技术企业称号奖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党建工作经费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94,339.62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94,339.62</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企业知识产权贯标认证补助项目经费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80,000.00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80,000.00</w:t>
            </w:r>
          </w:p>
        </w:tc>
      </w:tr>
      <w:tr>
        <w:trPr>
          <w:trHeight w:val="372"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优惠政策奖励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72,000.00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72,000.00</w:t>
            </w:r>
          </w:p>
        </w:tc>
      </w:tr>
      <w:tr>
        <w:trPr>
          <w:trHeight w:val="73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3"/>
              <w:ind w:left="103"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年度第一批促进服务员限下企业转型升级</w:t>
            </w:r>
            <w:r>
              <w:rPr>
                <w:rFonts w:ascii="宋体" w:hAnsi="宋体" w:cs="宋体" w:eastAsia="宋体" w:hint="default"/>
                <w:w w:val="100"/>
                <w:sz w:val="21"/>
                <w:szCs w:val="21"/>
              </w:rPr>
              <w:t> </w:t>
            </w:r>
            <w:r>
              <w:rPr>
                <w:rFonts w:ascii="宋体" w:hAnsi="宋体" w:cs="宋体" w:eastAsia="宋体" w:hint="default"/>
                <w:sz w:val="21"/>
                <w:szCs w:val="21"/>
              </w:rPr>
              <w:t>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60,000.00</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国内发明专利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60,000.00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60,000.00</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年重新认定高新技术企业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丰泽区专利奖金奖奖励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招收博士后人员培养经费资助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40,000.00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40,000.00</w:t>
            </w:r>
          </w:p>
        </w:tc>
      </w:tr>
      <w:tr>
        <w:trPr>
          <w:trHeight w:val="372"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福建省科学技术进步奖三等奖奖金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40,000.00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40,000.00</w:t>
            </w:r>
          </w:p>
        </w:tc>
      </w:tr>
      <w:tr>
        <w:trPr>
          <w:trHeight w:val="73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6"/>
              <w:jc w:val="left"/>
              <w:rPr>
                <w:rFonts w:ascii="宋体" w:hAnsi="宋体" w:cs="宋体" w:eastAsia="宋体" w:hint="default"/>
                <w:sz w:val="21"/>
                <w:szCs w:val="21"/>
              </w:rPr>
            </w:pPr>
            <w:r>
              <w:rPr>
                <w:rFonts w:ascii="宋体" w:hAnsi="宋体" w:cs="宋体" w:eastAsia="宋体" w:hint="default"/>
                <w:sz w:val="21"/>
                <w:szCs w:val="21"/>
              </w:rPr>
              <w:t>深圳市福田区科技创新局</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2016</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国家高新</w:t>
            </w:r>
            <w:r>
              <w:rPr>
                <w:rFonts w:ascii="宋体" w:hAnsi="宋体" w:cs="宋体" w:eastAsia="宋体" w:hint="default"/>
                <w:w w:val="100"/>
                <w:sz w:val="21"/>
                <w:szCs w:val="21"/>
              </w:rPr>
              <w:t> </w:t>
            </w:r>
            <w:r>
              <w:rPr>
                <w:rFonts w:ascii="宋体" w:hAnsi="宋体" w:cs="宋体" w:eastAsia="宋体" w:hint="default"/>
                <w:sz w:val="21"/>
                <w:szCs w:val="21"/>
              </w:rPr>
              <w:t>技术企业认定资金支持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年度民营企业高层次人才贡献奖励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27,198.00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27,198.00</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年度科技创新券补助专项资金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18,000.00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18,000.00</w:t>
            </w:r>
          </w:p>
        </w:tc>
      </w:tr>
      <w:tr>
        <w:trPr>
          <w:trHeight w:val="73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z w:val="21"/>
                <w:szCs w:val="21"/>
              </w:rPr>
              <w:t>深圳市市场和质量监督管理委员会</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年第二</w:t>
            </w:r>
            <w:r>
              <w:rPr>
                <w:rFonts w:ascii="宋体" w:hAnsi="宋体" w:cs="宋体" w:eastAsia="宋体" w:hint="default"/>
                <w:w w:val="100"/>
                <w:sz w:val="21"/>
                <w:szCs w:val="21"/>
              </w:rPr>
              <w:t> </w:t>
            </w:r>
            <w:r>
              <w:rPr>
                <w:rFonts w:ascii="宋体" w:hAnsi="宋体" w:cs="宋体" w:eastAsia="宋体" w:hint="default"/>
                <w:sz w:val="21"/>
                <w:szCs w:val="21"/>
              </w:rPr>
              <w:t>批计算机软件著作权资助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37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个税返还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8,915.49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8,915.49</w:t>
            </w:r>
          </w:p>
        </w:tc>
      </w:tr>
      <w:tr>
        <w:trPr>
          <w:trHeight w:val="372"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42,921,497.70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23,185,345.70</w:t>
            </w:r>
          </w:p>
        </w:tc>
      </w:tr>
    </w:tbl>
    <w:p>
      <w:pPr>
        <w:spacing w:line="240" w:lineRule="auto" w:before="10"/>
        <w:rPr>
          <w:rFonts w:ascii="宋体" w:hAnsi="宋体" w:cs="宋体" w:eastAsia="宋体" w:hint="default"/>
          <w:sz w:val="28"/>
          <w:szCs w:val="28"/>
        </w:rPr>
      </w:pPr>
    </w:p>
    <w:p>
      <w:pPr>
        <w:pStyle w:val="Heading4"/>
        <w:spacing w:line="240" w:lineRule="auto"/>
        <w:ind w:left="217" w:right="2631"/>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6"/>
        </w:rPr>
        <w:t> </w:t>
      </w:r>
      <w:r>
        <w:rPr/>
        <w:t>政府补助退回情况</w:t>
      </w:r>
      <w:r>
        <w:rPr>
          <w:b w:val="0"/>
          <w:bCs w:val="0"/>
        </w:rPr>
      </w:r>
    </w:p>
    <w:p>
      <w:pPr>
        <w:pStyle w:val="BodyText"/>
        <w:spacing w:line="314" w:lineRule="auto" w:before="129"/>
        <w:ind w:left="217" w:right="6894" w:firstLine="480"/>
        <w:jc w:val="left"/>
      </w:pPr>
      <w:r>
        <w:rPr/>
        <w:t>□适用 √不适用</w:t>
      </w:r>
      <w:r>
        <w:rPr>
          <w:w w:val="100"/>
        </w:rPr>
        <w:t> </w:t>
      </w:r>
      <w:r>
        <w:rPr/>
        <w:t>其他说明：</w:t>
      </w:r>
    </w:p>
    <w:p>
      <w:pPr>
        <w:spacing w:after="0" w:line="314" w:lineRule="auto"/>
        <w:jc w:val="left"/>
        <w:sectPr>
          <w:pgSz w:w="11910" w:h="16840"/>
          <w:pgMar w:header="857" w:footer="979" w:top="1120" w:bottom="1160" w:left="1060" w:right="1660"/>
        </w:sectPr>
      </w:pP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57" w:footer="979" w:top="1120" w:bottom="1160" w:left="1060" w:right="1560"/>
        </w:sectPr>
      </w:pPr>
    </w:p>
    <w:p>
      <w:pPr>
        <w:pStyle w:val="BodyText"/>
        <w:spacing w:line="240" w:lineRule="auto" w:before="36"/>
        <w:ind w:left="697" w:right="1506"/>
        <w:jc w:val="left"/>
      </w:pPr>
      <w:r>
        <w:rPr>
          <w:w w:val="100"/>
        </w:rPr>
        <w:t>无</w:t>
      </w:r>
    </w:p>
    <w:p>
      <w:pPr>
        <w:pStyle w:val="Heading4"/>
        <w:spacing w:line="240" w:lineRule="auto" w:before="145"/>
        <w:ind w:left="217" w:right="1506"/>
        <w:jc w:val="left"/>
        <w:rPr>
          <w:b w:val="0"/>
          <w:bCs w:val="0"/>
        </w:rPr>
      </w:pPr>
      <w:r>
        <w:rPr>
          <w:rFonts w:ascii="Times New Roman" w:hAnsi="Times New Roman" w:cs="Times New Roman" w:eastAsia="Times New Roman" w:hint="default"/>
        </w:rPr>
        <w:t>74</w:t>
      </w:r>
      <w:r>
        <w:rPr/>
        <w:t>、</w:t>
      </w:r>
      <w:r>
        <w:rPr>
          <w:spacing w:val="-23"/>
        </w:rPr>
        <w:t> </w:t>
      </w:r>
      <w:r>
        <w:rPr/>
        <w:t>其他</w:t>
      </w:r>
      <w:r>
        <w:rPr>
          <w:b w:val="0"/>
          <w:bCs w:val="0"/>
        </w:rPr>
      </w:r>
    </w:p>
    <w:p>
      <w:pPr>
        <w:spacing w:line="367" w:lineRule="auto" w:before="129"/>
        <w:ind w:left="217" w:right="1506" w:firstLine="48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八、合并范围的变更</w:t>
      </w:r>
      <w:r>
        <w:rPr>
          <w:rFonts w:ascii="宋体" w:hAnsi="宋体" w:cs="宋体" w:eastAsia="宋体" w:hint="default"/>
          <w:sz w:val="21"/>
          <w:szCs w:val="21"/>
        </w:rPr>
      </w:r>
    </w:p>
    <w:p>
      <w:pPr>
        <w:pStyle w:val="Heading4"/>
        <w:spacing w:line="240" w:lineRule="auto" w:before="34"/>
        <w:ind w:left="217" w:right="-14"/>
        <w:jc w:val="left"/>
        <w:rPr>
          <w:b w:val="0"/>
          <w:bCs w:val="0"/>
        </w:rPr>
      </w:pPr>
      <w:r>
        <w:rPr>
          <w:rFonts w:ascii="Times New Roman" w:hAnsi="Times New Roman" w:cs="Times New Roman" w:eastAsia="Times New Roman" w:hint="default"/>
        </w:rPr>
        <w:t>1</w:t>
      </w:r>
      <w:r>
        <w:rPr/>
        <w:t>、</w:t>
      </w:r>
      <w:r>
        <w:rPr>
          <w:spacing w:val="-2"/>
        </w:rPr>
        <w:t> </w:t>
      </w:r>
      <w:r>
        <w:rPr/>
        <w:t>非同一控制下企业合并</w:t>
      </w:r>
      <w:r>
        <w:rPr>
          <w:b w:val="0"/>
          <w:bCs w:val="0"/>
        </w:rPr>
      </w:r>
    </w:p>
    <w:p>
      <w:pPr>
        <w:pStyle w:val="BodyText"/>
        <w:spacing w:line="240" w:lineRule="auto" w:before="52"/>
        <w:ind w:left="697" w:right="-14"/>
        <w:jc w:val="left"/>
      </w:pPr>
      <w:r>
        <w:rPr/>
        <w:t>√适用 □不适用</w:t>
      </w:r>
    </w:p>
    <w:p>
      <w:pPr>
        <w:spacing w:before="56"/>
        <w:ind w:left="217" w:right="-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 </w:t>
      </w:r>
      <w:r>
        <w:rPr>
          <w:rFonts w:ascii="Times New Roman" w:hAnsi="Times New Roman" w:cs="Times New Roman" w:eastAsia="Times New Roman" w:hint="default"/>
          <w:b/>
          <w:bCs/>
          <w:spacing w:val="23"/>
          <w:sz w:val="21"/>
          <w:szCs w:val="21"/>
        </w:rPr>
        <w:t> </w:t>
      </w:r>
      <w:r>
        <w:rPr>
          <w:rFonts w:ascii="宋体" w:hAnsi="宋体" w:cs="宋体" w:eastAsia="宋体" w:hint="default"/>
          <w:sz w:val="21"/>
          <w:szCs w:val="21"/>
        </w:rPr>
        <w:t>本期发生的非同一控制下企业合并</w:t>
      </w:r>
    </w:p>
    <w:p>
      <w:pPr>
        <w:pStyle w:val="BodyText"/>
        <w:spacing w:line="240" w:lineRule="auto" w:before="43"/>
        <w:ind w:left="69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580" w:bottom="280" w:left="1060" w:right="1560"/>
          <w:cols w:num="2" w:equalWidth="0">
            <w:col w:w="3799" w:space="272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85"/>
        <w:gridCol w:w="1195"/>
        <w:gridCol w:w="1532"/>
        <w:gridCol w:w="739"/>
        <w:gridCol w:w="427"/>
        <w:gridCol w:w="1196"/>
        <w:gridCol w:w="629"/>
        <w:gridCol w:w="1423"/>
        <w:gridCol w:w="1424"/>
      </w:tblGrid>
      <w:tr>
        <w:trPr>
          <w:trHeight w:val="2890" w:hRule="exact"/>
        </w:trPr>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1"/>
              <w:ind w:left="103" w:right="158"/>
              <w:jc w:val="both"/>
              <w:rPr>
                <w:rFonts w:ascii="宋体" w:hAnsi="宋体" w:cs="宋体" w:eastAsia="宋体" w:hint="default"/>
                <w:sz w:val="21"/>
                <w:szCs w:val="21"/>
              </w:rPr>
            </w:pPr>
            <w:r>
              <w:rPr>
                <w:rFonts w:ascii="宋体" w:hAnsi="宋体" w:cs="宋体" w:eastAsia="宋体" w:hint="default"/>
                <w:sz w:val="21"/>
                <w:szCs w:val="21"/>
              </w:rPr>
              <w:t>被</w:t>
            </w:r>
            <w:r>
              <w:rPr>
                <w:rFonts w:ascii="宋体" w:hAnsi="宋体" w:cs="宋体" w:eastAsia="宋体" w:hint="default"/>
                <w:w w:val="100"/>
                <w:sz w:val="21"/>
                <w:szCs w:val="21"/>
              </w:rPr>
              <w:t> </w:t>
            </w:r>
            <w:r>
              <w:rPr>
                <w:rFonts w:ascii="宋体" w:hAnsi="宋体" w:cs="宋体" w:eastAsia="宋体" w:hint="default"/>
                <w:sz w:val="21"/>
                <w:szCs w:val="21"/>
              </w:rPr>
              <w:t>购</w:t>
            </w:r>
            <w:r>
              <w:rPr>
                <w:rFonts w:ascii="宋体" w:hAnsi="宋体" w:cs="宋体" w:eastAsia="宋体" w:hint="default"/>
                <w:w w:val="100"/>
                <w:sz w:val="21"/>
                <w:szCs w:val="21"/>
              </w:rPr>
              <w:t> </w:t>
            </w:r>
            <w:r>
              <w:rPr>
                <w:rFonts w:ascii="宋体" w:hAnsi="宋体" w:cs="宋体" w:eastAsia="宋体" w:hint="default"/>
                <w:sz w:val="21"/>
                <w:szCs w:val="21"/>
              </w:rPr>
              <w:t>买</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4" w:lineRule="auto"/>
              <w:ind w:left="381" w:right="168" w:hanging="209"/>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时点</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股权取得成本</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4" w:lineRule="auto"/>
              <w:ind w:left="153" w:right="151"/>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40" w:lineRule="auto" w:before="20"/>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1"/>
              <w:ind w:left="103" w:right="101"/>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取</w:t>
            </w:r>
            <w:r>
              <w:rPr>
                <w:rFonts w:ascii="宋体" w:hAnsi="宋体" w:cs="宋体" w:eastAsia="宋体" w:hint="default"/>
                <w:w w:val="100"/>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购买日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204" w:right="203"/>
              <w:jc w:val="both"/>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w w:val="100"/>
                <w:sz w:val="21"/>
                <w:szCs w:val="21"/>
              </w:rPr>
              <w:t> </w:t>
            </w:r>
            <w:r>
              <w:rPr>
                <w:rFonts w:ascii="宋体" w:hAnsi="宋体" w:cs="宋体" w:eastAsia="宋体" w:hint="default"/>
                <w:sz w:val="21"/>
                <w:szCs w:val="21"/>
              </w:rPr>
              <w:t>买</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依</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58"/>
              <w:ind w:left="177" w:right="180"/>
              <w:jc w:val="center"/>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w w:val="100"/>
                <w:sz w:val="21"/>
                <w:szCs w:val="21"/>
              </w:rPr>
              <w:t> </w:t>
            </w:r>
            <w:r>
              <w:rPr>
                <w:rFonts w:ascii="宋体" w:hAnsi="宋体" w:cs="宋体" w:eastAsia="宋体" w:hint="default"/>
                <w:sz w:val="21"/>
                <w:szCs w:val="21"/>
              </w:rPr>
              <w:t>末被购买方</w:t>
            </w:r>
            <w:r>
              <w:rPr>
                <w:rFonts w:ascii="宋体" w:hAnsi="宋体" w:cs="宋体" w:eastAsia="宋体" w:hint="default"/>
                <w:w w:val="100"/>
                <w:sz w:val="21"/>
                <w:szCs w:val="21"/>
              </w:rPr>
              <w:t> </w:t>
            </w:r>
            <w:r>
              <w:rPr>
                <w:rFonts w:ascii="宋体" w:hAnsi="宋体" w:cs="宋体" w:eastAsia="宋体" w:hint="default"/>
                <w:sz w:val="21"/>
                <w:szCs w:val="21"/>
              </w:rPr>
              <w:t>的收入</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58"/>
              <w:ind w:left="180" w:right="177"/>
              <w:jc w:val="both"/>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末被购买方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w:t>
            </w:r>
          </w:p>
        </w:tc>
      </w:tr>
      <w:tr>
        <w:trPr>
          <w:trHeight w:val="7211" w:hRule="exact"/>
        </w:trPr>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4" w:lineRule="auto"/>
              <w:ind w:left="103" w:right="158"/>
              <w:jc w:val="both"/>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w w:val="100"/>
                <w:sz w:val="21"/>
                <w:szCs w:val="21"/>
              </w:rPr>
              <w:t> </w:t>
            </w:r>
            <w:r>
              <w:rPr>
                <w:rFonts w:ascii="宋体" w:hAnsi="宋体" w:cs="宋体" w:eastAsia="宋体" w:hint="default"/>
                <w:sz w:val="21"/>
                <w:szCs w:val="21"/>
              </w:rPr>
              <w:t>圳</w:t>
            </w:r>
            <w:r>
              <w:rPr>
                <w:rFonts w:ascii="宋体" w:hAnsi="宋体" w:cs="宋体" w:eastAsia="宋体" w:hint="default"/>
                <w:w w:val="100"/>
                <w:sz w:val="21"/>
                <w:szCs w:val="21"/>
              </w:rPr>
              <w:t> </w:t>
            </w:r>
            <w:r>
              <w:rPr>
                <w:rFonts w:ascii="宋体" w:hAnsi="宋体" w:cs="宋体" w:eastAsia="宋体" w:hint="default"/>
                <w:sz w:val="21"/>
                <w:szCs w:val="21"/>
              </w:rPr>
              <w:t>太</w:t>
            </w:r>
            <w:r>
              <w:rPr>
                <w:rFonts w:ascii="宋体" w:hAnsi="宋体" w:cs="宋体" w:eastAsia="宋体" w:hint="default"/>
                <w:w w:val="100"/>
                <w:sz w:val="21"/>
                <w:szCs w:val="21"/>
              </w:rPr>
              <w:t> </w:t>
            </w:r>
            <w:r>
              <w:rPr>
                <w:rFonts w:ascii="宋体" w:hAnsi="宋体" w:cs="宋体" w:eastAsia="宋体" w:hint="default"/>
                <w:sz w:val="21"/>
                <w:szCs w:val="21"/>
              </w:rPr>
              <w:t>极</w:t>
            </w:r>
            <w:r>
              <w:rPr>
                <w:rFonts w:ascii="宋体" w:hAnsi="宋体" w:cs="宋体" w:eastAsia="宋体" w:hint="default"/>
                <w:w w:val="100"/>
                <w:sz w:val="21"/>
                <w:szCs w:val="21"/>
              </w:rPr>
              <w:t> </w:t>
            </w:r>
            <w:r>
              <w:rPr>
                <w:rFonts w:ascii="宋体" w:hAnsi="宋体" w:cs="宋体" w:eastAsia="宋体" w:hint="default"/>
                <w:sz w:val="21"/>
                <w:szCs w:val="21"/>
              </w:rPr>
              <w:t>云</w:t>
            </w:r>
            <w:r>
              <w:rPr>
                <w:rFonts w:ascii="宋体" w:hAnsi="宋体" w:cs="宋体" w:eastAsia="宋体" w:hint="default"/>
                <w:w w:val="100"/>
                <w:sz w:val="21"/>
                <w:szCs w:val="21"/>
              </w:rPr>
              <w:t> </w:t>
            </w:r>
            <w:r>
              <w:rPr>
                <w:rFonts w:ascii="宋体" w:hAnsi="宋体" w:cs="宋体" w:eastAsia="宋体" w:hint="default"/>
                <w:sz w:val="21"/>
                <w:szCs w:val="21"/>
              </w:rPr>
              <w:t>软</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2018-11-28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213,488,450.00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242" w:right="0"/>
              <w:jc w:val="left"/>
              <w:rPr>
                <w:rFonts w:ascii="Times New Roman" w:hAnsi="Times New Roman" w:cs="Times New Roman" w:eastAsia="Times New Roman" w:hint="default"/>
                <w:sz w:val="21"/>
                <w:szCs w:val="21"/>
              </w:rPr>
            </w:pPr>
            <w:r>
              <w:rPr>
                <w:rFonts w:ascii="Times New Roman"/>
                <w:sz w:val="21"/>
              </w:rPr>
              <w:t>61%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314" w:lineRule="auto"/>
              <w:ind w:left="103" w:right="101"/>
              <w:jc w:val="both"/>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2018-11-28</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302"/>
              <w:jc w:val="both"/>
              <w:rPr>
                <w:rFonts w:ascii="宋体" w:hAnsi="宋体" w:cs="宋体" w:eastAsia="宋体" w:hint="default"/>
                <w:sz w:val="21"/>
                <w:szCs w:val="21"/>
              </w:rPr>
            </w:pPr>
            <w:r>
              <w:rPr>
                <w:rFonts w:ascii="宋体" w:hAnsi="宋体" w:cs="宋体" w:eastAsia="宋体" w:hint="default"/>
                <w:sz w:val="21"/>
                <w:szCs w:val="21"/>
              </w:rPr>
              <w:t>办</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更</w:t>
            </w:r>
            <w:r>
              <w:rPr>
                <w:rFonts w:ascii="宋体" w:hAnsi="宋体" w:cs="宋体" w:eastAsia="宋体" w:hint="default"/>
                <w:w w:val="100"/>
                <w:sz w:val="21"/>
                <w:szCs w:val="21"/>
              </w:rPr>
              <w:t> </w:t>
            </w:r>
            <w:r>
              <w:rPr>
                <w:rFonts w:ascii="宋体" w:hAnsi="宋体" w:cs="宋体" w:eastAsia="宋体" w:hint="default"/>
                <w:sz w:val="21"/>
                <w:szCs w:val="21"/>
              </w:rPr>
              <w:t>登</w:t>
            </w:r>
            <w:r>
              <w:rPr>
                <w:rFonts w:ascii="宋体" w:hAnsi="宋体" w:cs="宋体" w:eastAsia="宋体" w:hint="default"/>
                <w:w w:val="100"/>
                <w:sz w:val="21"/>
                <w:szCs w:val="21"/>
              </w:rPr>
              <w:t> </w:t>
            </w:r>
            <w:r>
              <w:rPr>
                <w:rFonts w:ascii="宋体" w:hAnsi="宋体" w:cs="宋体" w:eastAsia="宋体" w:hint="default"/>
                <w:sz w:val="21"/>
                <w:szCs w:val="21"/>
              </w:rPr>
              <w:t>记</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接</w:t>
            </w:r>
            <w:r>
              <w:rPr>
                <w:rFonts w:ascii="宋体" w:hAnsi="宋体" w:cs="宋体" w:eastAsia="宋体" w:hint="default"/>
                <w:w w:val="100"/>
                <w:sz w:val="21"/>
                <w:szCs w:val="21"/>
              </w:rPr>
              <w:t> </w:t>
            </w:r>
            <w:r>
              <w:rPr>
                <w:rFonts w:ascii="宋体" w:hAnsi="宋体" w:cs="宋体" w:eastAsia="宋体" w:hint="default"/>
                <w:sz w:val="21"/>
                <w:szCs w:val="21"/>
              </w:rPr>
              <w:t>手</w:t>
            </w:r>
            <w:r>
              <w:rPr>
                <w:rFonts w:ascii="宋体" w:hAnsi="宋体" w:cs="宋体" w:eastAsia="宋体" w:hint="default"/>
                <w:w w:val="100"/>
                <w:sz w:val="21"/>
                <w:szCs w:val="21"/>
              </w:rPr>
              <w:t> </w:t>
            </w:r>
            <w:r>
              <w:rPr>
                <w:rFonts w:ascii="宋体" w:hAnsi="宋体" w:cs="宋体" w:eastAsia="宋体" w:hint="default"/>
                <w:sz w:val="21"/>
                <w:szCs w:val="21"/>
              </w:rPr>
              <w:t>续</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70,309,720.97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24,897,286.14</w:t>
            </w:r>
          </w:p>
        </w:tc>
      </w:tr>
    </w:tbl>
    <w:p>
      <w:pPr>
        <w:pStyle w:val="BodyText"/>
        <w:spacing w:line="240" w:lineRule="auto" w:before="26"/>
        <w:ind w:left="217" w:right="0"/>
        <w:jc w:val="left"/>
      </w:pPr>
      <w:r>
        <w:rPr/>
        <w:t>其他说明：</w:t>
      </w:r>
    </w:p>
    <w:p>
      <w:pPr>
        <w:spacing w:after="0" w:line="240" w:lineRule="auto"/>
        <w:jc w:val="left"/>
        <w:sectPr>
          <w:type w:val="continuous"/>
          <w:pgSz w:w="11910" w:h="16840"/>
          <w:pgMar w:top="1580" w:bottom="280" w:left="1060" w:right="1560"/>
        </w:sectPr>
      </w:pPr>
    </w:p>
    <w:p>
      <w:pPr>
        <w:spacing w:line="240" w:lineRule="auto" w:before="5"/>
        <w:rPr>
          <w:rFonts w:ascii="宋体" w:hAnsi="宋体" w:cs="宋体" w:eastAsia="宋体" w:hint="default"/>
          <w:sz w:val="24"/>
          <w:szCs w:val="24"/>
        </w:rPr>
      </w:pPr>
    </w:p>
    <w:p>
      <w:pPr>
        <w:pStyle w:val="BodyText"/>
        <w:spacing w:line="314" w:lineRule="auto" w:before="36"/>
        <w:ind w:left="217" w:right="229" w:firstLine="480"/>
        <w:jc w:val="both"/>
      </w:pPr>
      <w:r>
        <w:rPr>
          <w:spacing w:val="-3"/>
        </w:rPr>
        <w:t>注：非同一控制下企业合并的被购买方包括深圳太极云软技术股份有限公司及其子公司。其</w:t>
      </w:r>
      <w:r>
        <w:rPr>
          <w:w w:val="100"/>
        </w:rPr>
        <w:t> </w:t>
      </w:r>
      <w:r>
        <w:rPr/>
        <w:t>子公司具体名单如下</w:t>
      </w:r>
      <w:r>
        <w:rPr>
          <w:spacing w:val="53"/>
        </w:rPr>
        <w:t> </w:t>
      </w:r>
      <w:r>
        <w:rPr>
          <w:spacing w:val="-5"/>
        </w:rPr>
        <w:t>：深圳太极云软技术股份有限公司、天津太极云商技术有限公司、惠州微极</w:t>
      </w:r>
      <w:r>
        <w:rPr>
          <w:spacing w:val="-95"/>
        </w:rPr>
        <w:t> </w:t>
      </w:r>
      <w:r>
        <w:rPr>
          <w:spacing w:val="-95"/>
        </w:rPr>
      </w:r>
      <w:r>
        <w:rPr>
          <w:spacing w:val="-1"/>
        </w:rPr>
        <w:t>云软科技有限公司、江苏太极软件有限公司、开封市大数据城市研究院有限公司、黑龙江云软信</w:t>
      </w:r>
      <w:r>
        <w:rPr>
          <w:spacing w:val="-55"/>
        </w:rPr>
        <w:t> </w:t>
      </w:r>
      <w:r>
        <w:rPr>
          <w:spacing w:val="-55"/>
        </w:rPr>
      </w:r>
      <w:r>
        <w:rPr/>
        <w:t>息技术有限公司。本公司具体持股情况详见附注</w:t>
      </w:r>
      <w:r>
        <w:rPr>
          <w:spacing w:val="-4"/>
        </w:rPr>
        <w:t> </w:t>
      </w:r>
      <w:r>
        <w:rPr/>
        <w:t>“九、在其他主体中的权益（一）”。</w:t>
      </w:r>
    </w:p>
    <w:p>
      <w:pPr>
        <w:spacing w:before="3"/>
        <w:ind w:left="21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Times New Roman" w:hAnsi="Times New Roman" w:cs="Times New Roman" w:eastAsia="Times New Roman" w:hint="default"/>
          <w:b/>
          <w:bCs/>
          <w:spacing w:val="26"/>
          <w:sz w:val="21"/>
          <w:szCs w:val="21"/>
        </w:rPr>
        <w:t> </w:t>
      </w:r>
      <w:r>
        <w:rPr>
          <w:rFonts w:ascii="宋体" w:hAnsi="宋体" w:cs="宋体" w:eastAsia="宋体" w:hint="default"/>
          <w:sz w:val="21"/>
          <w:szCs w:val="21"/>
        </w:rPr>
        <w:t>合并成本及商誉</w:t>
      </w:r>
    </w:p>
    <w:p>
      <w:pPr>
        <w:pStyle w:val="BodyText"/>
        <w:spacing w:line="240" w:lineRule="auto" w:before="40"/>
        <w:ind w:left="699" w:right="0"/>
        <w:jc w:val="left"/>
      </w:pPr>
      <w:r>
        <w:rPr/>
        <w:t>√适用 □不适用</w:t>
      </w:r>
    </w:p>
    <w:p>
      <w:pPr>
        <w:pStyle w:val="BodyText"/>
        <w:tabs>
          <w:tab w:pos="1051" w:val="left" w:leader="none"/>
        </w:tabs>
        <w:spacing w:line="274" w:lineRule="exact"/>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372"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46" w:right="0"/>
              <w:jc w:val="left"/>
              <w:rPr>
                <w:rFonts w:ascii="宋体" w:hAnsi="宋体" w:cs="宋体" w:eastAsia="宋体" w:hint="default"/>
                <w:sz w:val="21"/>
                <w:szCs w:val="21"/>
              </w:rPr>
            </w:pPr>
            <w:r>
              <w:rPr>
                <w:rFonts w:ascii="宋体" w:hAnsi="宋体" w:cs="宋体" w:eastAsia="宋体" w:hint="default"/>
                <w:sz w:val="21"/>
                <w:szCs w:val="21"/>
              </w:rPr>
              <w:t>深圳太极云软技术股份有限公司</w:t>
            </w:r>
          </w:p>
        </w:tc>
      </w:tr>
      <w:tr>
        <w:trPr>
          <w:trHeight w:val="370"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213,488,450.00</w:t>
            </w:r>
          </w:p>
        </w:tc>
      </w:tr>
      <w:tr>
        <w:trPr>
          <w:trHeight w:val="370"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213,488,450.00</w:t>
            </w:r>
          </w:p>
        </w:tc>
      </w:tr>
      <w:tr>
        <w:trPr>
          <w:trHeight w:val="370"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34,937,900.31</w:t>
            </w:r>
          </w:p>
        </w:tc>
      </w:tr>
      <w:tr>
        <w:trPr>
          <w:trHeight w:val="730"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80"/>
              <w:jc w:val="left"/>
              <w:rPr>
                <w:rFonts w:ascii="宋体" w:hAnsi="宋体" w:cs="宋体" w:eastAsia="宋体" w:hint="default"/>
                <w:sz w:val="21"/>
                <w:szCs w:val="21"/>
              </w:rPr>
            </w:pPr>
            <w:r>
              <w:rPr>
                <w:rFonts w:ascii="宋体" w:hAnsi="宋体" w:cs="宋体" w:eastAsia="宋体" w:hint="default"/>
                <w:spacing w:val="-2"/>
                <w:sz w:val="21"/>
                <w:szCs w:val="21"/>
              </w:rPr>
              <w:t>商誉</w:t>
            </w:r>
            <w:r>
              <w:rPr>
                <w:rFonts w:ascii="宋体" w:hAnsi="宋体" w:cs="宋体" w:eastAsia="宋体" w:hint="default"/>
                <w:spacing w:val="-2"/>
                <w:sz w:val="21"/>
                <w:szCs w:val="21"/>
              </w:rPr>
              <w:t>/</w:t>
            </w:r>
            <w:r>
              <w:rPr>
                <w:rFonts w:ascii="宋体" w:hAnsi="宋体" w:cs="宋体" w:eastAsia="宋体" w:hint="default"/>
                <w:spacing w:val="-2"/>
                <w:sz w:val="21"/>
                <w:szCs w:val="21"/>
              </w:rPr>
              <w:t>合并成本小于取得的可辨认净资产公允价</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值份额的金额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178,550,549.69</w:t>
            </w:r>
          </w:p>
        </w:tc>
      </w:tr>
    </w:tbl>
    <w:p>
      <w:pPr>
        <w:spacing w:line="240" w:lineRule="auto" w:before="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57" w:footer="979" w:top="1120" w:bottom="1160" w:left="1060" w:right="1560"/>
        </w:sectPr>
      </w:pPr>
    </w:p>
    <w:p>
      <w:pPr>
        <w:pStyle w:val="BodyText"/>
        <w:spacing w:line="314" w:lineRule="auto" w:before="36"/>
        <w:ind w:left="217" w:right="0"/>
        <w:jc w:val="left"/>
      </w:pPr>
      <w:r>
        <w:rPr>
          <w:spacing w:val="-2"/>
        </w:rPr>
        <w:t>合并成本公允价值、或有对价及其变动的说明：</w:t>
      </w:r>
      <w:r>
        <w:rPr>
          <w:spacing w:val="-66"/>
        </w:rPr>
        <w:t> </w:t>
      </w:r>
      <w:r>
        <w:rPr>
          <w:spacing w:val="-66"/>
        </w:rPr>
      </w:r>
      <w:r>
        <w:rPr/>
        <w:t>无</w:t>
      </w:r>
    </w:p>
    <w:p>
      <w:pPr>
        <w:pStyle w:val="BodyText"/>
        <w:spacing w:line="314" w:lineRule="auto" w:before="20"/>
        <w:ind w:left="217" w:right="2560"/>
        <w:jc w:val="left"/>
      </w:pPr>
      <w:r>
        <w:rPr>
          <w:spacing w:val="-2"/>
        </w:rPr>
        <w:t>商誉构成的说明：</w:t>
      </w:r>
      <w:r>
        <w:rPr>
          <w:spacing w:val="-90"/>
        </w:rPr>
        <w:t> </w:t>
      </w:r>
      <w:r>
        <w:rPr>
          <w:spacing w:val="-90"/>
        </w:rPr>
      </w:r>
      <w:r>
        <w:rPr/>
        <w:t>无</w:t>
      </w:r>
    </w:p>
    <w:p>
      <w:pPr>
        <w:pStyle w:val="BodyText"/>
        <w:spacing w:line="314" w:lineRule="auto" w:before="20"/>
        <w:ind w:left="217" w:right="3349"/>
        <w:jc w:val="left"/>
      </w:pPr>
      <w:r>
        <w:rPr>
          <w:spacing w:val="-1"/>
        </w:rPr>
        <w:t>其他说明：</w:t>
      </w:r>
      <w:r>
        <w:rPr>
          <w:spacing w:val="-97"/>
        </w:rPr>
        <w:t> </w:t>
      </w:r>
      <w:r>
        <w:rPr>
          <w:spacing w:val="-97"/>
        </w:rPr>
      </w:r>
      <w:r>
        <w:rPr/>
        <w:t>无</w:t>
      </w:r>
    </w:p>
    <w:p>
      <w:pPr>
        <w:pStyle w:val="Heading4"/>
        <w:spacing w:line="240" w:lineRule="auto" w:before="3"/>
        <w:ind w:left="217" w:right="0"/>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4"/>
        </w:rPr>
        <w:t> </w:t>
      </w:r>
      <w:r>
        <w:rPr/>
        <w:t>被购买方于</w:t>
      </w:r>
      <w:r>
        <w:rPr>
          <w:rFonts w:ascii="宋体" w:hAnsi="宋体" w:cs="宋体" w:eastAsia="宋体" w:hint="default"/>
          <w:b w:val="0"/>
          <w:bCs w:val="0"/>
        </w:rPr>
        <w:t>购买</w:t>
      </w:r>
      <w:r>
        <w:rPr/>
        <w:t>日可辨认资产、负债</w:t>
      </w:r>
      <w:r>
        <w:rPr>
          <w:b w:val="0"/>
          <w:bCs w:val="0"/>
        </w:rPr>
      </w:r>
    </w:p>
    <w:p>
      <w:pPr>
        <w:pStyle w:val="BodyText"/>
        <w:spacing w:line="240" w:lineRule="auto" w:before="43"/>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8" w:val="left" w:leader="none"/>
        </w:tabs>
        <w:spacing w:line="240" w:lineRule="auto" w:before="167"/>
        <w:ind w:left="217" w:right="0"/>
        <w:jc w:val="left"/>
      </w:pPr>
      <w:r>
        <w:rPr>
          <w:spacing w:val="-1"/>
        </w:rPr>
        <w:t>单位：元</w:t>
        <w:tab/>
        <w:t>币种：人民币</w:t>
      </w:r>
    </w:p>
    <w:p>
      <w:pPr>
        <w:spacing w:after="0" w:line="240" w:lineRule="auto"/>
        <w:jc w:val="left"/>
        <w:sectPr>
          <w:type w:val="continuous"/>
          <w:pgSz w:w="11910" w:h="16840"/>
          <w:pgMar w:top="1580" w:bottom="280" w:left="1060" w:right="1560"/>
          <w:cols w:num="2" w:equalWidth="0">
            <w:col w:w="4632" w:space="189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31"/>
        <w:gridCol w:w="3246"/>
        <w:gridCol w:w="3773"/>
      </w:tblGrid>
      <w:tr>
        <w:trPr>
          <w:trHeight w:val="370" w:hRule="exact"/>
        </w:trPr>
        <w:tc>
          <w:tcPr>
            <w:tcW w:w="2031" w:type="dxa"/>
            <w:vMerge w:val="restart"/>
            <w:tcBorders>
              <w:top w:val="single" w:sz="4" w:space="0" w:color="000000"/>
              <w:left w:val="single" w:sz="4" w:space="0" w:color="000000"/>
              <w:right w:val="single" w:sz="4" w:space="0" w:color="000000"/>
            </w:tcBorders>
          </w:tcPr>
          <w:p>
            <w:pPr/>
          </w:p>
        </w:tc>
        <w:tc>
          <w:tcPr>
            <w:tcW w:w="70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273" w:right="0"/>
              <w:jc w:val="left"/>
              <w:rPr>
                <w:rFonts w:ascii="宋体" w:hAnsi="宋体" w:cs="宋体" w:eastAsia="宋体" w:hint="default"/>
                <w:sz w:val="21"/>
                <w:szCs w:val="21"/>
              </w:rPr>
            </w:pPr>
            <w:r>
              <w:rPr>
                <w:rFonts w:ascii="宋体" w:hAnsi="宋体" w:cs="宋体" w:eastAsia="宋体" w:hint="default"/>
                <w:sz w:val="21"/>
                <w:szCs w:val="21"/>
              </w:rPr>
              <w:t>深圳太极云软技术股份有限公司</w:t>
            </w:r>
          </w:p>
        </w:tc>
      </w:tr>
      <w:tr>
        <w:trPr>
          <w:trHeight w:val="379" w:hRule="exact"/>
        </w:trPr>
        <w:tc>
          <w:tcPr>
            <w:tcW w:w="2031" w:type="dxa"/>
            <w:vMerge/>
            <w:tcBorders>
              <w:left w:val="single" w:sz="4" w:space="0" w:color="000000"/>
              <w:bottom w:val="single" w:sz="4" w:space="0" w:color="000000"/>
              <w:right w:val="single" w:sz="4" w:space="0" w:color="000000"/>
            </w:tcBorders>
          </w:tcPr>
          <w:p>
            <w:pP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21"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384"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370"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232,543,401.13</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214,059,765.15</w:t>
            </w:r>
          </w:p>
        </w:tc>
      </w:tr>
      <w:tr>
        <w:trPr>
          <w:trHeight w:val="370"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12,040,992.49</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12,040,992.49</w:t>
            </w:r>
          </w:p>
        </w:tc>
      </w:tr>
      <w:tr>
        <w:trPr>
          <w:trHeight w:val="370"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55,365,903.38</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55,365,903.38</w:t>
            </w:r>
          </w:p>
        </w:tc>
      </w:tr>
      <w:tr>
        <w:trPr>
          <w:trHeight w:val="373"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60,726,419.23</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Times New Roman" w:hAnsi="Times New Roman" w:cs="Times New Roman" w:eastAsia="Times New Roman" w:hint="default"/>
                <w:sz w:val="21"/>
                <w:szCs w:val="21"/>
              </w:rPr>
            </w:pPr>
            <w:r>
              <w:rPr>
                <w:rFonts w:ascii="Times New Roman"/>
                <w:spacing w:val="-1"/>
                <w:sz w:val="21"/>
              </w:rPr>
              <w:t>57,525,641.26</w:t>
            </w:r>
          </w:p>
        </w:tc>
      </w:tr>
      <w:tr>
        <w:trPr>
          <w:trHeight w:val="370"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4,923,269.22</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3,773,349.21</w:t>
            </w:r>
          </w:p>
        </w:tc>
      </w:tr>
      <w:tr>
        <w:trPr>
          <w:trHeight w:val="370"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32,937,984.54</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18,805,046.54</w:t>
            </w:r>
          </w:p>
        </w:tc>
      </w:tr>
      <w:tr>
        <w:trPr>
          <w:trHeight w:val="370"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47,109,961.27</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47,109,961.27</w:t>
            </w:r>
          </w:p>
        </w:tc>
      </w:tr>
      <w:tr>
        <w:trPr>
          <w:trHeight w:val="370"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其他资产</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19,438,871.00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19,438,871.00</w:t>
            </w:r>
          </w:p>
        </w:tc>
      </w:tr>
      <w:tr>
        <w:trPr>
          <w:trHeight w:val="370"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174,877,587.98</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173,029,224.38</w:t>
            </w:r>
          </w:p>
        </w:tc>
      </w:tr>
      <w:tr>
        <w:trPr>
          <w:trHeight w:val="372"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32,600,000.00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32,600,000.00</w:t>
            </w:r>
          </w:p>
        </w:tc>
      </w:tr>
      <w:tr>
        <w:trPr>
          <w:trHeight w:val="370"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30,854,976.90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30,854,976.90</w:t>
            </w:r>
          </w:p>
        </w:tc>
      </w:tr>
      <w:tr>
        <w:trPr>
          <w:trHeight w:val="370"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2,151,663.89</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303,300.29</w:t>
            </w:r>
          </w:p>
        </w:tc>
      </w:tr>
      <w:tr>
        <w:trPr>
          <w:trHeight w:val="370"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51,685,140.37</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51,685,140.37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060" w:right="1560"/>
        </w:sectPr>
      </w:pP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2031"/>
        <w:gridCol w:w="3246"/>
        <w:gridCol w:w="3773"/>
      </w:tblGrid>
      <w:tr>
        <w:trPr>
          <w:trHeight w:val="370"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42,142,291.29</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42,142,291.29</w:t>
            </w:r>
          </w:p>
        </w:tc>
      </w:tr>
      <w:tr>
        <w:trPr>
          <w:trHeight w:val="370"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其他负债</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15,443,515.53</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15,443,515.53</w:t>
            </w:r>
          </w:p>
        </w:tc>
      </w:tr>
      <w:tr>
        <w:trPr>
          <w:trHeight w:val="372"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6"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57,665,813.15</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41,030,540.77</w:t>
            </w:r>
          </w:p>
        </w:tc>
      </w:tr>
      <w:tr>
        <w:trPr>
          <w:trHeight w:val="370"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6"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22,727,912.84</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16,240,156.61</w:t>
            </w:r>
          </w:p>
        </w:tc>
      </w:tr>
      <w:tr>
        <w:trPr>
          <w:trHeight w:val="370"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6"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34,937,900.31</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24,790,384.16</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367" w:lineRule="auto"/>
        <w:ind w:left="217" w:right="5135"/>
        <w:jc w:val="left"/>
      </w:pPr>
      <w:r>
        <w:rPr>
          <w:spacing w:val="-2"/>
        </w:rPr>
        <w:t>可辨认资产、负债公允价值的确认方法：</w:t>
      </w:r>
      <w:r>
        <w:rPr>
          <w:spacing w:val="-69"/>
        </w:rPr>
        <w:t> </w:t>
      </w:r>
      <w:r>
        <w:rPr>
          <w:spacing w:val="-69"/>
        </w:rPr>
      </w:r>
      <w:r>
        <w:rPr/>
        <w:t>无</w:t>
      </w:r>
    </w:p>
    <w:p>
      <w:pPr>
        <w:pStyle w:val="BodyText"/>
        <w:spacing w:line="314" w:lineRule="auto" w:before="34"/>
        <w:ind w:left="217" w:right="5135"/>
        <w:jc w:val="left"/>
      </w:pPr>
      <w:r>
        <w:rPr>
          <w:spacing w:val="-2"/>
        </w:rPr>
        <w:t>企业合并中承担的被购买方的或有负债：</w:t>
      </w:r>
      <w:r>
        <w:rPr>
          <w:spacing w:val="-69"/>
        </w:rPr>
        <w:t> </w:t>
      </w:r>
      <w:r>
        <w:rPr>
          <w:spacing w:val="-69"/>
        </w:rPr>
      </w:r>
      <w:r>
        <w:rPr/>
        <w:t>无</w:t>
      </w:r>
    </w:p>
    <w:p>
      <w:pPr>
        <w:pStyle w:val="BodyText"/>
        <w:spacing w:line="314" w:lineRule="auto" w:before="20"/>
        <w:ind w:left="217" w:right="7999"/>
        <w:jc w:val="left"/>
      </w:pPr>
      <w:r>
        <w:rPr/>
        <w:t>其他说明：</w:t>
      </w:r>
      <w:r>
        <w:rPr>
          <w:spacing w:val="-103"/>
        </w:rPr>
        <w:t> </w:t>
      </w:r>
      <w:r>
        <w:rPr>
          <w:spacing w:val="-103"/>
        </w:rPr>
      </w:r>
      <w:r>
        <w:rPr/>
        <w:t>无</w:t>
      </w:r>
    </w:p>
    <w:p>
      <w:pPr>
        <w:spacing w:line="345" w:lineRule="auto" w:before="80"/>
        <w:ind w:left="697" w:right="0"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23"/>
          <w:sz w:val="21"/>
          <w:szCs w:val="21"/>
        </w:rPr>
        <w:t> </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68" w:lineRule="exact"/>
        <w:ind w:left="217" w:right="0"/>
        <w:jc w:val="left"/>
      </w:pPr>
      <w:r>
        <w:rPr/>
        <w:t>□适用 √不适用</w:t>
      </w:r>
    </w:p>
    <w:p>
      <w:pPr>
        <w:pStyle w:val="Heading4"/>
        <w:spacing w:line="297" w:lineRule="auto" w:before="145"/>
        <w:ind w:left="644" w:right="216" w:hanging="428"/>
        <w:jc w:val="left"/>
        <w:rPr>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51"/>
        </w:rPr>
        <w:t> </w:t>
      </w:r>
      <w:r>
        <w:rPr/>
        <w:t>购买日或合并当期期末无法合理确定合并对价或被购买方可辨认资产、负债公允价值的相关</w:t>
      </w:r>
      <w:r>
        <w:rPr>
          <w:w w:val="100"/>
        </w:rPr>
        <w:t> </w:t>
      </w:r>
      <w:r>
        <w:rPr/>
        <w:t>说明</w:t>
      </w:r>
      <w:r>
        <w:rPr>
          <w:b w:val="0"/>
          <w:bCs w:val="0"/>
        </w:rPr>
      </w:r>
    </w:p>
    <w:p>
      <w:pPr>
        <w:pStyle w:val="BodyText"/>
        <w:tabs>
          <w:tab w:pos="1059" w:val="left" w:leader="none"/>
        </w:tabs>
        <w:spacing w:line="240" w:lineRule="auto" w:before="95"/>
        <w:ind w:left="217" w:right="0"/>
        <w:jc w:val="left"/>
      </w:pPr>
      <w:r>
        <w:rPr/>
        <w:t>□适用</w:t>
        <w:tab/>
        <w:t>√不适用</w:t>
      </w:r>
    </w:p>
    <w:p>
      <w:pPr>
        <w:pStyle w:val="Heading4"/>
        <w:spacing w:line="240" w:lineRule="auto" w:before="145"/>
        <w:ind w:left="217" w:right="0"/>
        <w:jc w:val="left"/>
        <w:rPr>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25"/>
        </w:rPr>
        <w:t> </w:t>
      </w:r>
      <w:r>
        <w:rPr/>
        <w:t>其他说明</w:t>
      </w:r>
      <w:r>
        <w:rPr>
          <w:b w:val="0"/>
          <w:bCs w:val="0"/>
        </w:rPr>
      </w:r>
    </w:p>
    <w:p>
      <w:pPr>
        <w:pStyle w:val="BodyText"/>
        <w:tabs>
          <w:tab w:pos="1059" w:val="left" w:leader="none"/>
        </w:tabs>
        <w:spacing w:line="240" w:lineRule="auto" w:before="129"/>
        <w:ind w:left="217" w:right="0"/>
        <w:jc w:val="left"/>
      </w:pPr>
      <w:r>
        <w:rPr/>
        <w:t>□适用</w:t>
        <w:tab/>
        <w:t>√不适用</w:t>
      </w:r>
    </w:p>
    <w:p>
      <w:pPr>
        <w:pStyle w:val="Heading4"/>
        <w:spacing w:line="240" w:lineRule="auto" w:before="145"/>
        <w:ind w:left="217" w:right="0"/>
        <w:jc w:val="left"/>
        <w:rPr>
          <w:b w:val="0"/>
          <w:bCs w:val="0"/>
        </w:rPr>
      </w:pPr>
      <w:r>
        <w:rPr>
          <w:rFonts w:ascii="Times New Roman" w:hAnsi="Times New Roman" w:cs="Times New Roman" w:eastAsia="Times New Roman" w:hint="default"/>
        </w:rPr>
        <w:t>2</w:t>
      </w:r>
      <w:r>
        <w:rPr/>
        <w:t>、</w:t>
      </w:r>
      <w:r>
        <w:rPr>
          <w:spacing w:val="1"/>
        </w:rPr>
        <w:t> </w:t>
      </w:r>
      <w:r>
        <w:rPr/>
        <w:t>同一控制下企业合并</w:t>
      </w:r>
      <w:r>
        <w:rPr>
          <w:b w:val="0"/>
          <w:bCs w:val="0"/>
        </w:rPr>
      </w:r>
    </w:p>
    <w:p>
      <w:pPr>
        <w:pStyle w:val="BodyText"/>
        <w:spacing w:line="240" w:lineRule="auto" w:before="129"/>
        <w:ind w:left="697" w:right="0"/>
        <w:jc w:val="left"/>
      </w:pPr>
      <w:r>
        <w:rPr/>
        <w:t>□适用 √不适用</w:t>
      </w:r>
    </w:p>
    <w:p>
      <w:pPr>
        <w:pStyle w:val="Heading4"/>
        <w:spacing w:line="240" w:lineRule="auto" w:before="145"/>
        <w:ind w:left="217" w:right="0"/>
        <w:jc w:val="left"/>
        <w:rPr>
          <w:b w:val="0"/>
          <w:bCs w:val="0"/>
        </w:rPr>
      </w:pPr>
      <w:r>
        <w:rPr>
          <w:rFonts w:ascii="Times New Roman" w:hAnsi="Times New Roman" w:cs="Times New Roman" w:eastAsia="Times New Roman" w:hint="default"/>
        </w:rPr>
        <w:t>3</w:t>
      </w:r>
      <w:r>
        <w:rPr/>
        <w:t>、</w:t>
      </w:r>
      <w:r>
        <w:rPr>
          <w:spacing w:val="-1"/>
        </w:rPr>
        <w:t> </w:t>
      </w:r>
      <w:r>
        <w:rPr/>
        <w:t>反向购买</w:t>
      </w:r>
      <w:r>
        <w:rPr>
          <w:b w:val="0"/>
          <w:bCs w:val="0"/>
        </w:rPr>
      </w:r>
    </w:p>
    <w:p>
      <w:pPr>
        <w:pStyle w:val="BodyText"/>
        <w:spacing w:line="240" w:lineRule="auto" w:before="129"/>
        <w:ind w:left="697" w:right="0"/>
        <w:jc w:val="left"/>
      </w:pPr>
      <w:r>
        <w:rPr/>
        <w:t>□适用 √不适用</w:t>
      </w:r>
    </w:p>
    <w:p>
      <w:pPr>
        <w:spacing w:after="0" w:line="240" w:lineRule="auto"/>
        <w:jc w:val="left"/>
        <w:sectPr>
          <w:pgSz w:w="11910" w:h="16840"/>
          <w:pgMar w:header="857" w:footer="979" w:top="1120" w:bottom="1160" w:left="10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3"/>
          <w:footerReference w:type="default" r:id="rId64"/>
          <w:pgSz w:w="16840" w:h="11910" w:orient="landscape"/>
          <w:pgMar w:header="857" w:footer="980" w:top="1120" w:bottom="1160" w:left="1300" w:right="1380"/>
          <w:pgNumType w:start="200"/>
        </w:sectPr>
      </w:pPr>
    </w:p>
    <w:p>
      <w:pPr>
        <w:pStyle w:val="Heading4"/>
        <w:spacing w:line="240" w:lineRule="auto" w:before="172"/>
        <w:ind w:left="140" w:right="0"/>
        <w:jc w:val="left"/>
        <w:rPr>
          <w:b w:val="0"/>
          <w:bCs w:val="0"/>
        </w:rPr>
      </w:pPr>
      <w:r>
        <w:rPr>
          <w:rFonts w:ascii="Times New Roman" w:hAnsi="Times New Roman" w:cs="Times New Roman" w:eastAsia="Times New Roman" w:hint="default"/>
        </w:rPr>
        <w:t>4</w:t>
      </w:r>
      <w:r>
        <w:rPr/>
        <w:t>、</w:t>
      </w:r>
      <w:r>
        <w:rPr>
          <w:spacing w:val="-1"/>
        </w:rPr>
        <w:t> </w:t>
      </w:r>
      <w:r>
        <w:rPr/>
        <w:t>处置子公司</w:t>
      </w:r>
      <w:r>
        <w:rPr>
          <w:b w:val="0"/>
          <w:bCs w:val="0"/>
        </w:rPr>
      </w:r>
    </w:p>
    <w:p>
      <w:pPr>
        <w:pStyle w:val="BodyText"/>
        <w:spacing w:line="274" w:lineRule="exact" w:before="40"/>
        <w:ind w:left="620" w:right="0"/>
        <w:jc w:val="left"/>
      </w:pPr>
      <w:r>
        <w:rPr>
          <w:spacing w:val="-2"/>
        </w:rPr>
        <w:t>是否存在单次处置对子公司投资即丧失控制权的情形</w:t>
      </w:r>
    </w:p>
    <w:p>
      <w:pPr>
        <w:pStyle w:val="BodyText"/>
        <w:spacing w:line="274" w:lineRule="exact"/>
        <w:ind w:left="620"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tabs>
          <w:tab w:pos="1085" w:val="left" w:leader="none"/>
        </w:tabs>
        <w:spacing w:line="240" w:lineRule="auto"/>
        <w:ind w:left="14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580" w:bottom="280" w:left="1300" w:right="1380"/>
          <w:cols w:num="2" w:equalWidth="0">
            <w:col w:w="5455" w:space="6319"/>
            <w:col w:w="2386"/>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629"/>
        <w:gridCol w:w="1351"/>
        <w:gridCol w:w="746"/>
        <w:gridCol w:w="893"/>
        <w:gridCol w:w="890"/>
        <w:gridCol w:w="1068"/>
        <w:gridCol w:w="1352"/>
        <w:gridCol w:w="1025"/>
        <w:gridCol w:w="1222"/>
        <w:gridCol w:w="1222"/>
        <w:gridCol w:w="1186"/>
        <w:gridCol w:w="1222"/>
        <w:gridCol w:w="1097"/>
      </w:tblGrid>
      <w:tr>
        <w:trPr>
          <w:trHeight w:val="2170"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14" w:lineRule="auto"/>
              <w:ind w:left="98" w:right="96"/>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43" w:right="0"/>
              <w:jc w:val="left"/>
              <w:rPr>
                <w:rFonts w:ascii="宋体" w:hAnsi="宋体" w:cs="宋体" w:eastAsia="宋体" w:hint="default"/>
                <w:sz w:val="21"/>
                <w:szCs w:val="21"/>
              </w:rPr>
            </w:pPr>
            <w:r>
              <w:rPr>
                <w:rFonts w:ascii="宋体" w:hAnsi="宋体" w:cs="宋体" w:eastAsia="宋体" w:hint="default"/>
                <w:sz w:val="21"/>
                <w:szCs w:val="21"/>
              </w:rPr>
              <w:t>股权处置价款</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14" w:lineRule="auto"/>
              <w:ind w:left="50" w:right="50"/>
              <w:jc w:val="left"/>
              <w:rPr>
                <w:rFonts w:ascii="宋体" w:hAnsi="宋体" w:cs="宋体" w:eastAsia="宋体" w:hint="default"/>
                <w:sz w:val="21"/>
                <w:szCs w:val="21"/>
              </w:rPr>
            </w:pPr>
            <w:r>
              <w:rPr>
                <w:rFonts w:ascii="宋体" w:hAnsi="宋体" w:cs="宋体" w:eastAsia="宋体" w:hint="default"/>
                <w:sz w:val="21"/>
                <w:szCs w:val="21"/>
              </w:rPr>
              <w:t>股权处</w:t>
            </w:r>
            <w:r>
              <w:rPr>
                <w:rFonts w:ascii="宋体" w:hAnsi="宋体" w:cs="宋体" w:eastAsia="宋体" w:hint="default"/>
                <w:spacing w:val="-102"/>
                <w:sz w:val="21"/>
                <w:szCs w:val="21"/>
              </w:rPr>
              <w:t> </w:t>
            </w:r>
            <w:r>
              <w:rPr>
                <w:rFonts w:ascii="宋体" w:hAnsi="宋体" w:cs="宋体" w:eastAsia="宋体" w:hint="default"/>
                <w:sz w:val="21"/>
                <w:szCs w:val="21"/>
              </w:rPr>
              <w:t>置比例</w:t>
            </w:r>
          </w:p>
          <w:p>
            <w:pPr>
              <w:pStyle w:val="TableParagraph"/>
              <w:spacing w:line="240" w:lineRule="auto" w:before="20"/>
              <w:ind w:left="6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4" w:lineRule="auto"/>
              <w:ind w:left="230" w:right="17" w:hanging="209"/>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4" w:lineRule="auto"/>
              <w:ind w:left="19" w:right="17"/>
              <w:jc w:val="left"/>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权的时点</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14" w:lineRule="auto"/>
              <w:ind w:left="2" w:right="0"/>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时点的确定</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40" w:right="36"/>
              <w:jc w:val="center"/>
              <w:rPr>
                <w:rFonts w:ascii="宋体" w:hAnsi="宋体" w:cs="宋体" w:eastAsia="宋体" w:hint="default"/>
                <w:sz w:val="21"/>
                <w:szCs w:val="21"/>
              </w:rPr>
            </w:pPr>
            <w:r>
              <w:rPr>
                <w:rFonts w:ascii="宋体" w:hAnsi="宋体" w:cs="宋体" w:eastAsia="宋体" w:hint="default"/>
                <w:spacing w:val="-1"/>
                <w:sz w:val="21"/>
                <w:szCs w:val="21"/>
              </w:rPr>
              <w:t>处置价款与处</w:t>
            </w:r>
            <w:r>
              <w:rPr>
                <w:rFonts w:ascii="宋体" w:hAnsi="宋体" w:cs="宋体" w:eastAsia="宋体" w:hint="default"/>
                <w:w w:val="100"/>
                <w:sz w:val="21"/>
                <w:szCs w:val="21"/>
              </w:rPr>
              <w:t> </w:t>
            </w:r>
            <w:r>
              <w:rPr>
                <w:rFonts w:ascii="宋体" w:hAnsi="宋体" w:cs="宋体" w:eastAsia="宋体" w:hint="default"/>
                <w:spacing w:val="-1"/>
                <w:sz w:val="21"/>
                <w:szCs w:val="21"/>
              </w:rPr>
              <w:t>置投资对应的</w:t>
            </w:r>
            <w:r>
              <w:rPr>
                <w:rFonts w:ascii="宋体" w:hAnsi="宋体" w:cs="宋体" w:eastAsia="宋体" w:hint="default"/>
                <w:w w:val="100"/>
                <w:sz w:val="21"/>
                <w:szCs w:val="21"/>
              </w:rPr>
              <w:t> </w:t>
            </w:r>
            <w:r>
              <w:rPr>
                <w:rFonts w:ascii="宋体" w:hAnsi="宋体" w:cs="宋体" w:eastAsia="宋体" w:hint="default"/>
                <w:spacing w:val="-1"/>
                <w:sz w:val="21"/>
                <w:szCs w:val="21"/>
              </w:rPr>
              <w:t>合并财务报表</w:t>
            </w:r>
            <w:r>
              <w:rPr>
                <w:rFonts w:ascii="宋体" w:hAnsi="宋体" w:cs="宋体" w:eastAsia="宋体" w:hint="default"/>
                <w:w w:val="100"/>
                <w:sz w:val="21"/>
                <w:szCs w:val="21"/>
              </w:rPr>
              <w:t> </w:t>
            </w:r>
            <w:r>
              <w:rPr>
                <w:rFonts w:ascii="宋体" w:hAnsi="宋体" w:cs="宋体" w:eastAsia="宋体" w:hint="default"/>
                <w:spacing w:val="-1"/>
                <w:sz w:val="21"/>
                <w:szCs w:val="21"/>
              </w:rPr>
              <w:t>层面享有该子</w:t>
            </w:r>
            <w:r>
              <w:rPr>
                <w:rFonts w:ascii="宋体" w:hAnsi="宋体" w:cs="宋体" w:eastAsia="宋体" w:hint="default"/>
                <w:w w:val="100"/>
                <w:sz w:val="21"/>
                <w:szCs w:val="21"/>
              </w:rPr>
              <w:t> </w:t>
            </w:r>
            <w:r>
              <w:rPr>
                <w:rFonts w:ascii="宋体" w:hAnsi="宋体" w:cs="宋体" w:eastAsia="宋体" w:hint="default"/>
                <w:spacing w:val="-1"/>
                <w:sz w:val="21"/>
                <w:szCs w:val="21"/>
              </w:rPr>
              <w:t>公司净资产份</w:t>
            </w:r>
            <w:r>
              <w:rPr>
                <w:rFonts w:ascii="宋体" w:hAnsi="宋体" w:cs="宋体" w:eastAsia="宋体" w:hint="default"/>
                <w:w w:val="100"/>
                <w:sz w:val="21"/>
                <w:szCs w:val="21"/>
              </w:rPr>
              <w:t> </w:t>
            </w:r>
            <w:r>
              <w:rPr>
                <w:rFonts w:ascii="宋体" w:hAnsi="宋体" w:cs="宋体" w:eastAsia="宋体" w:hint="default"/>
                <w:sz w:val="21"/>
                <w:szCs w:val="21"/>
              </w:rPr>
              <w:t>额的差额</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0"/>
                <w:szCs w:val="30"/>
              </w:rPr>
            </w:pPr>
          </w:p>
          <w:p>
            <w:pPr>
              <w:pStyle w:val="TableParagraph"/>
              <w:spacing w:line="314" w:lineRule="auto"/>
              <w:ind w:right="-3" w:firstLine="86"/>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1"/>
              <w:ind w:left="79" w:right="77"/>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权的账面价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1"/>
              <w:ind w:left="79" w:right="77"/>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权的公允价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62" w:right="57"/>
              <w:jc w:val="center"/>
              <w:rPr>
                <w:rFonts w:ascii="宋体" w:hAnsi="宋体" w:cs="宋体" w:eastAsia="宋体" w:hint="default"/>
                <w:sz w:val="21"/>
                <w:szCs w:val="21"/>
              </w:rPr>
            </w:pPr>
            <w:r>
              <w:rPr>
                <w:rFonts w:ascii="宋体" w:hAnsi="宋体" w:cs="宋体" w:eastAsia="宋体" w:hint="default"/>
                <w:sz w:val="21"/>
                <w:szCs w:val="21"/>
              </w:rPr>
              <w:t>按照公允价</w:t>
            </w:r>
            <w:r>
              <w:rPr>
                <w:rFonts w:ascii="宋体" w:hAnsi="宋体" w:cs="宋体" w:eastAsia="宋体" w:hint="default"/>
                <w:w w:val="100"/>
                <w:sz w:val="21"/>
                <w:szCs w:val="21"/>
              </w:rPr>
              <w:t> </w:t>
            </w:r>
            <w:r>
              <w:rPr>
                <w:rFonts w:ascii="宋体" w:hAnsi="宋体" w:cs="宋体" w:eastAsia="宋体" w:hint="default"/>
                <w:sz w:val="21"/>
                <w:szCs w:val="21"/>
              </w:rPr>
              <w:t>值重新计量</w:t>
            </w:r>
            <w:r>
              <w:rPr>
                <w:rFonts w:ascii="宋体" w:hAnsi="宋体" w:cs="宋体" w:eastAsia="宋体" w:hint="default"/>
                <w:w w:val="100"/>
                <w:sz w:val="21"/>
                <w:szCs w:val="21"/>
              </w:rPr>
              <w:t> </w:t>
            </w:r>
            <w:r>
              <w:rPr>
                <w:rFonts w:ascii="宋体" w:hAnsi="宋体" w:cs="宋体" w:eastAsia="宋体" w:hint="default"/>
                <w:sz w:val="21"/>
                <w:szCs w:val="21"/>
              </w:rPr>
              <w:t>剩余股权产</w:t>
            </w:r>
            <w:r>
              <w:rPr>
                <w:rFonts w:ascii="宋体" w:hAnsi="宋体" w:cs="宋体" w:eastAsia="宋体" w:hint="default"/>
                <w:w w:val="100"/>
                <w:sz w:val="21"/>
                <w:szCs w:val="21"/>
              </w:rPr>
              <w:t> </w:t>
            </w:r>
            <w:r>
              <w:rPr>
                <w:rFonts w:ascii="宋体" w:hAnsi="宋体" w:cs="宋体" w:eastAsia="宋体" w:hint="default"/>
                <w:sz w:val="21"/>
                <w:szCs w:val="21"/>
              </w:rPr>
              <w:t>生的利得或</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79" w:right="77"/>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权公允价值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的确定方法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及主要假设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6" w:right="15"/>
              <w:jc w:val="center"/>
              <w:rPr>
                <w:rFonts w:ascii="宋体" w:hAnsi="宋体" w:cs="宋体" w:eastAsia="宋体" w:hint="default"/>
                <w:sz w:val="21"/>
                <w:szCs w:val="21"/>
              </w:rPr>
            </w:pPr>
            <w:r>
              <w:rPr>
                <w:rFonts w:ascii="宋体" w:hAnsi="宋体" w:cs="宋体" w:eastAsia="宋体" w:hint="default"/>
                <w:sz w:val="21"/>
                <w:szCs w:val="21"/>
              </w:rPr>
              <w:t>与原子公司</w:t>
            </w:r>
            <w:r>
              <w:rPr>
                <w:rFonts w:ascii="宋体" w:hAnsi="宋体" w:cs="宋体" w:eastAsia="宋体" w:hint="default"/>
                <w:w w:val="100"/>
                <w:sz w:val="21"/>
                <w:szCs w:val="21"/>
              </w:rPr>
              <w:t> </w:t>
            </w:r>
            <w:r>
              <w:rPr>
                <w:rFonts w:ascii="宋体" w:hAnsi="宋体" w:cs="宋体" w:eastAsia="宋体" w:hint="default"/>
                <w:sz w:val="21"/>
                <w:szCs w:val="21"/>
              </w:rPr>
              <w:t>股权投资相</w:t>
            </w:r>
            <w:r>
              <w:rPr>
                <w:rFonts w:ascii="宋体" w:hAnsi="宋体" w:cs="宋体" w:eastAsia="宋体" w:hint="default"/>
                <w:w w:val="100"/>
                <w:sz w:val="21"/>
                <w:szCs w:val="21"/>
              </w:rPr>
              <w:t> </w:t>
            </w:r>
            <w:r>
              <w:rPr>
                <w:rFonts w:ascii="宋体" w:hAnsi="宋体" w:cs="宋体" w:eastAsia="宋体" w:hint="default"/>
                <w:sz w:val="21"/>
                <w:szCs w:val="21"/>
              </w:rPr>
              <w:t>关的其他综</w:t>
            </w:r>
            <w:r>
              <w:rPr>
                <w:rFonts w:ascii="宋体" w:hAnsi="宋体" w:cs="宋体" w:eastAsia="宋体" w:hint="default"/>
                <w:w w:val="100"/>
                <w:sz w:val="21"/>
                <w:szCs w:val="21"/>
              </w:rPr>
              <w:t> </w:t>
            </w:r>
            <w:r>
              <w:rPr>
                <w:rFonts w:ascii="宋体" w:hAnsi="宋体" w:cs="宋体" w:eastAsia="宋体" w:hint="default"/>
                <w:sz w:val="21"/>
                <w:szCs w:val="21"/>
              </w:rPr>
              <w:t>合收益转入</w:t>
            </w:r>
            <w:r>
              <w:rPr>
                <w:rFonts w:ascii="宋体" w:hAnsi="宋体" w:cs="宋体" w:eastAsia="宋体" w:hint="default"/>
                <w:w w:val="100"/>
                <w:sz w:val="21"/>
                <w:szCs w:val="21"/>
              </w:rPr>
              <w:t> </w:t>
            </w:r>
            <w:r>
              <w:rPr>
                <w:rFonts w:ascii="宋体" w:hAnsi="宋体" w:cs="宋体" w:eastAsia="宋体" w:hint="default"/>
                <w:sz w:val="21"/>
                <w:szCs w:val="21"/>
              </w:rPr>
              <w:t>投资损益的</w:t>
            </w:r>
            <w:r>
              <w:rPr>
                <w:rFonts w:ascii="宋体" w:hAnsi="宋体" w:cs="宋体" w:eastAsia="宋体" w:hint="default"/>
                <w:w w:val="100"/>
                <w:sz w:val="21"/>
                <w:szCs w:val="21"/>
              </w:rPr>
              <w:t> </w:t>
            </w:r>
            <w:r>
              <w:rPr>
                <w:rFonts w:ascii="宋体" w:hAnsi="宋体" w:cs="宋体" w:eastAsia="宋体" w:hint="default"/>
                <w:sz w:val="21"/>
                <w:szCs w:val="21"/>
              </w:rPr>
              <w:t>金额</w:t>
            </w:r>
          </w:p>
        </w:tc>
      </w:tr>
      <w:tr>
        <w:trPr>
          <w:trHeight w:val="1916"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both"/>
              <w:rPr>
                <w:rFonts w:ascii="宋体" w:hAnsi="宋体" w:cs="宋体" w:eastAsia="宋体" w:hint="default"/>
                <w:sz w:val="21"/>
                <w:szCs w:val="21"/>
              </w:rPr>
            </w:pPr>
            <w:r>
              <w:rPr>
                <w:rFonts w:ascii="宋体" w:hAnsi="宋体" w:cs="宋体" w:eastAsia="宋体" w:hint="default"/>
                <w:sz w:val="21"/>
                <w:szCs w:val="21"/>
              </w:rPr>
              <w:t>福建</w:t>
            </w:r>
          </w:p>
          <w:p>
            <w:pPr>
              <w:pStyle w:val="TableParagraph"/>
              <w:spacing w:line="237" w:lineRule="auto"/>
              <w:ind w:right="195"/>
              <w:jc w:val="both"/>
              <w:rPr>
                <w:rFonts w:ascii="宋体" w:hAnsi="宋体" w:cs="宋体" w:eastAsia="宋体" w:hint="default"/>
                <w:sz w:val="21"/>
                <w:szCs w:val="21"/>
              </w:rPr>
            </w:pPr>
            <w:r>
              <w:rPr>
                <w:rFonts w:ascii="宋体" w:hAnsi="宋体" w:cs="宋体" w:eastAsia="宋体" w:hint="default"/>
                <w:sz w:val="21"/>
                <w:szCs w:val="21"/>
              </w:rPr>
              <w:t>神威</w:t>
            </w:r>
            <w:r>
              <w:rPr>
                <w:rFonts w:ascii="宋体" w:hAnsi="宋体" w:cs="宋体" w:eastAsia="宋体" w:hint="default"/>
                <w:spacing w:val="-103"/>
                <w:sz w:val="21"/>
                <w:szCs w:val="21"/>
              </w:rPr>
              <w:t> </w:t>
            </w:r>
            <w:r>
              <w:rPr>
                <w:rFonts w:ascii="宋体" w:hAnsi="宋体" w:cs="宋体" w:eastAsia="宋体" w:hint="default"/>
                <w:sz w:val="21"/>
                <w:szCs w:val="21"/>
              </w:rPr>
              <w:t>系统</w:t>
            </w:r>
            <w:r>
              <w:rPr>
                <w:rFonts w:ascii="宋体" w:hAnsi="宋体" w:cs="宋体" w:eastAsia="宋体" w:hint="default"/>
                <w:spacing w:val="-103"/>
                <w:sz w:val="21"/>
                <w:szCs w:val="21"/>
              </w:rPr>
              <w:t> </w:t>
            </w:r>
            <w:r>
              <w:rPr>
                <w:rFonts w:ascii="宋体" w:hAnsi="宋体" w:cs="宋体" w:eastAsia="宋体" w:hint="default"/>
                <w:sz w:val="21"/>
                <w:szCs w:val="21"/>
              </w:rPr>
              <w:t>集成</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69" w:right="0"/>
              <w:jc w:val="left"/>
              <w:rPr>
                <w:rFonts w:ascii="Times New Roman" w:hAnsi="Times New Roman" w:cs="Times New Roman" w:eastAsia="Times New Roman" w:hint="default"/>
                <w:sz w:val="21"/>
                <w:szCs w:val="21"/>
              </w:rPr>
            </w:pPr>
            <w:r>
              <w:rPr>
                <w:rFonts w:ascii="Times New Roman"/>
                <w:sz w:val="21"/>
              </w:rPr>
              <w:t>25,500,000.00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转让</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8"/>
                <w:szCs w:val="28"/>
              </w:rPr>
            </w:pPr>
          </w:p>
          <w:p>
            <w:pPr>
              <w:pStyle w:val="TableParagraph"/>
              <w:spacing w:line="314" w:lineRule="auto"/>
              <w:ind w:left="422" w:right="0" w:hanging="420"/>
              <w:jc w:val="left"/>
              <w:rPr>
                <w:rFonts w:ascii="宋体" w:hAnsi="宋体" w:cs="宋体" w:eastAsia="宋体" w:hint="default"/>
                <w:sz w:val="21"/>
                <w:szCs w:val="21"/>
              </w:rPr>
            </w:pPr>
            <w:r>
              <w:rPr>
                <w:rFonts w:ascii="宋体" w:hAnsi="宋体" w:cs="宋体" w:eastAsia="宋体" w:hint="default"/>
                <w:sz w:val="21"/>
                <w:szCs w:val="21"/>
              </w:rPr>
              <w:t>完成工商变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更</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9,726,287.71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 w:right="-1"/>
              <w:jc w:val="left"/>
              <w:rPr>
                <w:rFonts w:ascii="Times New Roman" w:hAnsi="Times New Roman" w:cs="Times New Roman" w:eastAsia="Times New Roman" w:hint="default"/>
                <w:sz w:val="21"/>
                <w:szCs w:val="21"/>
              </w:rPr>
            </w:pPr>
            <w:r>
              <w:rPr>
                <w:rFonts w:ascii="Times New Roman"/>
                <w:sz w:val="21"/>
              </w:rPr>
              <w:t>15,155,135.34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15,155,135.34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5" w:right="0"/>
              <w:jc w:val="left"/>
              <w:rPr>
                <w:rFonts w:ascii="Times New Roman" w:hAnsi="Times New Roman" w:cs="Times New Roman" w:eastAsia="Times New Roman" w:hint="default"/>
                <w:sz w:val="21"/>
                <w:szCs w:val="21"/>
              </w:rPr>
            </w:pPr>
            <w:r>
              <w:rPr>
                <w:rFonts w:ascii="Times New Roman"/>
                <w:sz w:val="21"/>
              </w:rPr>
              <w:t>8,474,174.59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8"/>
                <w:szCs w:val="28"/>
              </w:rPr>
            </w:pPr>
          </w:p>
          <w:p>
            <w:pPr>
              <w:pStyle w:val="TableParagraph"/>
              <w:spacing w:line="314" w:lineRule="auto"/>
              <w:ind w:left="79" w:right="77"/>
              <w:jc w:val="left"/>
              <w:rPr>
                <w:rFonts w:ascii="宋体" w:hAnsi="宋体" w:cs="宋体" w:eastAsia="宋体" w:hint="default"/>
                <w:sz w:val="21"/>
                <w:szCs w:val="21"/>
              </w:rPr>
            </w:pPr>
            <w:r>
              <w:rPr>
                <w:rFonts w:ascii="宋体" w:hAnsi="宋体" w:cs="宋体" w:eastAsia="宋体" w:hint="default"/>
                <w:sz w:val="21"/>
                <w:szCs w:val="21"/>
              </w:rPr>
              <w:t>参考上年股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权转让估值</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 w:right="-3"/>
              <w:jc w:val="left"/>
              <w:rPr>
                <w:rFonts w:ascii="Times New Roman" w:hAnsi="Times New Roman" w:cs="Times New Roman" w:eastAsia="Times New Roman" w:hint="default"/>
                <w:sz w:val="21"/>
                <w:szCs w:val="21"/>
              </w:rPr>
            </w:pPr>
            <w:r>
              <w:rPr>
                <w:rFonts w:ascii="Times New Roman"/>
                <w:spacing w:val="-2"/>
                <w:sz w:val="21"/>
              </w:rPr>
              <w:t>1,252,113.11</w:t>
            </w:r>
          </w:p>
        </w:tc>
      </w:tr>
    </w:tbl>
    <w:p>
      <w:pPr>
        <w:pStyle w:val="BodyText"/>
        <w:spacing w:line="240" w:lineRule="auto" w:before="7"/>
        <w:ind w:left="140" w:right="5329"/>
        <w:jc w:val="left"/>
        <w:rPr>
          <w:sz w:val="24"/>
          <w:szCs w:val="24"/>
        </w:rPr>
      </w:pPr>
      <w:r>
        <w:rPr/>
        <w:t>其他说明</w:t>
      </w:r>
      <w:r>
        <w:rPr>
          <w:sz w:val="24"/>
          <w:szCs w:val="24"/>
        </w:rPr>
        <w:t>：</w:t>
      </w:r>
    </w:p>
    <w:p>
      <w:pPr>
        <w:pStyle w:val="BodyText"/>
        <w:spacing w:line="314" w:lineRule="auto" w:before="81"/>
        <w:ind w:left="140" w:right="5329" w:firstLine="480"/>
        <w:jc w:val="left"/>
      </w:pPr>
      <w:r>
        <w:rPr/>
        <w:t>□适用</w:t>
      </w:r>
      <w:r>
        <w:rPr>
          <w:spacing w:val="-2"/>
        </w:rPr>
        <w:t> </w:t>
      </w:r>
      <w:r>
        <w:rPr/>
        <w:t>√不适用</w:t>
      </w:r>
      <w:r>
        <w:rPr>
          <w:w w:val="100"/>
        </w:rPr>
        <w:t> </w:t>
      </w:r>
      <w:r>
        <w:rPr>
          <w:spacing w:val="-2"/>
        </w:rPr>
        <w:t>是否存在通过多次交易分步处置对子公司投资且在本期丧失控制权的情形</w:t>
      </w:r>
    </w:p>
    <w:p>
      <w:pPr>
        <w:pStyle w:val="BodyText"/>
        <w:spacing w:line="240" w:lineRule="auto" w:before="20"/>
        <w:ind w:left="140" w:right="5329"/>
        <w:jc w:val="left"/>
      </w:pPr>
      <w:r>
        <w:rPr/>
        <w:t>□适用 √不适用</w:t>
      </w:r>
    </w:p>
    <w:p>
      <w:pPr>
        <w:spacing w:line="400" w:lineRule="atLeast" w:before="36"/>
        <w:ind w:left="620" w:right="5329" w:hanging="48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304" w:lineRule="auto" w:before="8"/>
        <w:ind w:left="620" w:right="0"/>
        <w:jc w:val="left"/>
      </w:pPr>
      <w:r>
        <w:rPr/>
        <w:t>√适用</w:t>
      </w:r>
      <w:r>
        <w:rPr>
          <w:spacing w:val="-2"/>
        </w:rPr>
        <w:t> </w:t>
      </w:r>
      <w:r>
        <w:rPr/>
        <w:t>□不适用</w:t>
      </w:r>
      <w:r>
        <w:rPr>
          <w:w w:val="100"/>
        </w:rPr>
        <w:t> </w:t>
      </w:r>
      <w:r>
        <w:rPr>
          <w:spacing w:val="-6"/>
        </w:rPr>
        <w:t>本年因新设立子公司增加并表单位如下：北京南威文旅科技有限公司、福建南威通科技有限公司、福建小电科技有限公司、福建轻停科技有限公司、</w:t>
      </w:r>
    </w:p>
    <w:p>
      <w:pPr>
        <w:pStyle w:val="BodyText"/>
        <w:spacing w:line="240" w:lineRule="auto" w:before="28"/>
        <w:ind w:left="140" w:right="0"/>
        <w:jc w:val="left"/>
      </w:pPr>
      <w:r>
        <w:rPr/>
        <w:t>福建红点科技有限公司、福建无涯商业运营管理有限公司、福建毫波科技有限公司、福建城视科技有限公司、吉林南威吉福信息技术有限公司、南威智</w:t>
      </w:r>
    </w:p>
    <w:p>
      <w:pPr>
        <w:spacing w:after="0" w:line="240" w:lineRule="auto"/>
        <w:jc w:val="left"/>
        <w:sectPr>
          <w:type w:val="continuous"/>
          <w:pgSz w:w="16840" w:h="11910" w:orient="landscape"/>
          <w:pgMar w:top="1580" w:bottom="28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14" w:lineRule="auto"/>
        <w:ind w:left="140" w:right="0"/>
        <w:jc w:val="left"/>
      </w:pPr>
      <w:r>
        <w:rPr>
          <w:spacing w:val="-2"/>
        </w:rPr>
        <w:t>慧城市（将乐）科技有限公司、福建通证科技有限公司、福建省南安智慧城市科技发展有限公司、南威政通科技有限公司、河南省南威信息技术有限公</w:t>
      </w:r>
      <w:r>
        <w:rPr>
          <w:spacing w:val="18"/>
        </w:rPr>
        <w:t> </w:t>
      </w:r>
      <w:r>
        <w:rPr>
          <w:spacing w:val="18"/>
        </w:rPr>
      </w:r>
      <w:r>
        <w:rPr/>
        <w:t>司、湖北省南楚信息技术有限公司、衡阳智慧城市科技发展有限公司。具体持股情况详见“九、在其他主体中的权益”。</w:t>
      </w:r>
    </w:p>
    <w:p>
      <w:pPr>
        <w:pStyle w:val="BodyText"/>
        <w:spacing w:line="297" w:lineRule="auto" w:before="20"/>
        <w:ind w:left="560" w:right="0"/>
        <w:jc w:val="left"/>
      </w:pPr>
      <w:r>
        <w:rPr>
          <w:spacing w:val="-2"/>
        </w:rPr>
        <w:t>本期因转让福建神威系统集成有限责任公司</w:t>
      </w:r>
      <w:r>
        <w:rPr/>
        <w:t> </w:t>
      </w:r>
      <w:r>
        <w:rPr>
          <w:rFonts w:ascii="Times New Roman" w:hAnsi="Times New Roman" w:cs="Times New Roman" w:eastAsia="Times New Roman" w:hint="default"/>
          <w:spacing w:val="-2"/>
        </w:rPr>
        <w:t>51%</w:t>
      </w:r>
      <w:r>
        <w:rPr>
          <w:spacing w:val="-2"/>
        </w:rPr>
        <w:t>股权，故期末未将其财务状态纳入合并报表，但将其转让前的经营成果纳入本期合并报告。</w:t>
      </w:r>
      <w:r>
        <w:rPr>
          <w:spacing w:val="-43"/>
        </w:rPr>
        <w:t> </w:t>
      </w:r>
      <w:r>
        <w:rPr>
          <w:spacing w:val="-43"/>
        </w:rPr>
      </w:r>
      <w:r>
        <w:rPr/>
        <w:t>本期因注销减少并表单位为：北京万创聚力资产管理有限公司。</w:t>
      </w:r>
    </w:p>
    <w:p>
      <w:pPr>
        <w:pStyle w:val="Heading4"/>
        <w:spacing w:line="240" w:lineRule="auto" w:before="18"/>
        <w:ind w:left="140" w:right="0"/>
        <w:jc w:val="left"/>
        <w:rPr>
          <w:b w:val="0"/>
          <w:bCs w:val="0"/>
        </w:rPr>
      </w:pPr>
      <w:r>
        <w:rPr>
          <w:rFonts w:ascii="Times New Roman" w:hAnsi="Times New Roman" w:cs="Times New Roman" w:eastAsia="Times New Roman" w:hint="default"/>
        </w:rPr>
        <w:t>6</w:t>
      </w:r>
      <w:r>
        <w:rPr/>
        <w:t>、</w:t>
      </w:r>
      <w:r>
        <w:rPr>
          <w:spacing w:val="-2"/>
        </w:rPr>
        <w:t> </w:t>
      </w:r>
      <w:r>
        <w:rPr/>
        <w:t>其他</w:t>
      </w:r>
      <w:r>
        <w:rPr>
          <w:b w:val="0"/>
          <w:bCs w:val="0"/>
        </w:rPr>
      </w:r>
    </w:p>
    <w:p>
      <w:pPr>
        <w:pStyle w:val="BodyText"/>
        <w:tabs>
          <w:tab w:pos="1462" w:val="left" w:leader="none"/>
        </w:tabs>
        <w:spacing w:line="240" w:lineRule="auto" w:before="41"/>
        <w:ind w:left="620" w:right="0"/>
        <w:jc w:val="left"/>
      </w:pPr>
      <w:r>
        <w:rPr>
          <w:spacing w:val="-1"/>
        </w:rPr>
        <w:t>□适用</w:t>
        <w:tab/>
      </w:r>
      <w:r>
        <w:rPr>
          <w:spacing w:val="-2"/>
        </w:rPr>
        <w:t>√不适用</w:t>
      </w:r>
    </w:p>
    <w:p>
      <w:pPr>
        <w:spacing w:after="0" w:line="240" w:lineRule="auto"/>
        <w:jc w:val="left"/>
        <w:sectPr>
          <w:pgSz w:w="16840" w:h="11910" w:orient="landscape"/>
          <w:pgMar w:header="857" w:footer="980" w:top="1120" w:bottom="1160" w:left="1300" w:right="1400"/>
        </w:sectPr>
      </w:pPr>
    </w:p>
    <w:p>
      <w:pPr>
        <w:spacing w:line="240" w:lineRule="auto" w:before="7"/>
        <w:rPr>
          <w:rFonts w:ascii="宋体" w:hAnsi="宋体" w:cs="宋体" w:eastAsia="宋体" w:hint="default"/>
          <w:sz w:val="29"/>
          <w:szCs w:val="29"/>
        </w:rPr>
      </w:pPr>
    </w:p>
    <w:p>
      <w:pPr>
        <w:pStyle w:val="Heading4"/>
        <w:spacing w:line="283" w:lineRule="auto"/>
        <w:ind w:right="6629"/>
        <w:jc w:val="left"/>
        <w:rPr>
          <w:b w:val="0"/>
          <w:bCs w:val="0"/>
        </w:rPr>
      </w:pPr>
      <w:r>
        <w:rPr/>
        <w:t>九、在其他主体中的权益</w:t>
      </w:r>
      <w:r>
        <w:rPr>
          <w:spacing w:val="-100"/>
        </w:rPr>
        <w:t> </w:t>
      </w:r>
      <w:r>
        <w:rPr>
          <w:spacing w:val="-100"/>
        </w:rPr>
      </w:r>
      <w:r>
        <w:rPr>
          <w:rFonts w:ascii="Times New Roman" w:hAnsi="Times New Roman" w:cs="Times New Roman" w:eastAsia="Times New Roman" w:hint="default"/>
        </w:rPr>
        <w:t>1</w:t>
      </w:r>
      <w:r>
        <w:rPr/>
        <w:t>、 在子公司中的权益</w:t>
      </w:r>
      <w:r>
        <w:rPr>
          <w:spacing w:val="-105"/>
        </w:rPr>
        <w:t> </w:t>
      </w:r>
      <w:r>
        <w:rPr>
          <w:spacing w:val="-105"/>
        </w:rPr>
      </w:r>
      <w:r>
        <w:rPr>
          <w:rFonts w:ascii="Times New Roman" w:hAnsi="Times New Roman" w:cs="Times New Roman" w:eastAsia="Times New Roman" w:hint="default"/>
        </w:rPr>
        <w:t>(1).  </w:t>
      </w:r>
      <w:r>
        <w:rPr>
          <w:rFonts w:ascii="Times New Roman" w:hAnsi="Times New Roman" w:cs="Times New Roman" w:eastAsia="Times New Roman" w:hint="default"/>
          <w:spacing w:val="30"/>
        </w:rPr>
        <w:t> </w:t>
      </w:r>
      <w:r>
        <w:rPr/>
        <w:t>企业集团的构成</w:t>
      </w:r>
      <w:r>
        <w:rPr>
          <w:b w:val="0"/>
          <w:bCs w:val="0"/>
        </w:rPr>
      </w:r>
    </w:p>
    <w:p>
      <w:pPr>
        <w:pStyle w:val="BodyText"/>
        <w:spacing w:line="240" w:lineRule="auto" w:before="1"/>
        <w:ind w:left="698" w:right="2631"/>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89"/>
        <w:gridCol w:w="708"/>
        <w:gridCol w:w="994"/>
        <w:gridCol w:w="1560"/>
        <w:gridCol w:w="991"/>
        <w:gridCol w:w="853"/>
        <w:gridCol w:w="1030"/>
      </w:tblGrid>
      <w:tr>
        <w:trPr>
          <w:trHeight w:val="370" w:hRule="exact"/>
        </w:trPr>
        <w:tc>
          <w:tcPr>
            <w:tcW w:w="268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022" w:right="1022"/>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708" w:type="dxa"/>
            <w:vMerge w:val="restart"/>
            <w:tcBorders>
              <w:top w:val="single" w:sz="4" w:space="0" w:color="000000"/>
              <w:left w:val="single" w:sz="4" w:space="0" w:color="000000"/>
              <w:right w:val="single" w:sz="4" w:space="0" w:color="000000"/>
            </w:tcBorders>
          </w:tcPr>
          <w:p>
            <w:pPr>
              <w:pStyle w:val="TableParagraph"/>
              <w:spacing w:line="314" w:lineRule="auto" w:before="42"/>
              <w:ind w:left="139" w:right="134"/>
              <w:jc w:val="both"/>
              <w:rPr>
                <w:rFonts w:ascii="宋体" w:hAnsi="宋体" w:cs="宋体" w:eastAsia="宋体" w:hint="default"/>
                <w:sz w:val="21"/>
                <w:szCs w:val="21"/>
              </w:rPr>
            </w:pPr>
            <w:r>
              <w:rPr>
                <w:rFonts w:ascii="宋体" w:hAnsi="宋体" w:cs="宋体" w:eastAsia="宋体" w:hint="default"/>
                <w:sz w:val="21"/>
                <w:szCs w:val="21"/>
              </w:rPr>
              <w:t>主要</w:t>
            </w:r>
            <w:r>
              <w:rPr>
                <w:rFonts w:ascii="宋体" w:hAnsi="宋体" w:cs="宋体" w:eastAsia="宋体" w:hint="default"/>
                <w:spacing w:val="-103"/>
                <w:sz w:val="21"/>
                <w:szCs w:val="21"/>
              </w:rPr>
              <w:t> </w:t>
            </w: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7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35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38"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297" w:right="299"/>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r>
      <w:tr>
        <w:trPr>
          <w:trHeight w:val="720" w:hRule="exact"/>
        </w:trPr>
        <w:tc>
          <w:tcPr>
            <w:tcW w:w="268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left="249" w:right="0"/>
              <w:jc w:val="left"/>
              <w:rPr>
                <w:rFonts w:ascii="宋体" w:hAnsi="宋体" w:cs="宋体" w:eastAsia="宋体" w:hint="default"/>
                <w:sz w:val="24"/>
                <w:szCs w:val="24"/>
              </w:rPr>
            </w:pPr>
            <w:r>
              <w:rPr>
                <w:rFonts w:ascii="宋体" w:hAnsi="宋体" w:cs="宋体" w:eastAsia="宋体" w:hint="default"/>
                <w:sz w:val="24"/>
                <w:szCs w:val="24"/>
              </w:rPr>
              <w:t>直接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left="179" w:right="0"/>
              <w:jc w:val="left"/>
              <w:rPr>
                <w:rFonts w:ascii="宋体" w:hAnsi="宋体" w:cs="宋体" w:eastAsia="宋体" w:hint="default"/>
                <w:sz w:val="24"/>
                <w:szCs w:val="24"/>
              </w:rPr>
            </w:pPr>
            <w:r>
              <w:rPr>
                <w:rFonts w:ascii="宋体" w:hAnsi="宋体" w:cs="宋体" w:eastAsia="宋体" w:hint="default"/>
                <w:sz w:val="24"/>
                <w:szCs w:val="24"/>
              </w:rPr>
              <w:t>间接</w:t>
            </w:r>
          </w:p>
        </w:tc>
        <w:tc>
          <w:tcPr>
            <w:tcW w:w="1030" w:type="dxa"/>
            <w:vMerge/>
            <w:tcBorders>
              <w:left w:val="single" w:sz="4" w:space="0" w:color="000000"/>
              <w:bottom w:val="single" w:sz="4" w:space="0" w:color="000000"/>
              <w:right w:val="single" w:sz="4" w:space="0" w:color="000000"/>
            </w:tcBorders>
          </w:tcPr>
          <w:p>
            <w:pPr/>
          </w:p>
        </w:tc>
      </w:tr>
      <w:tr>
        <w:trPr>
          <w:trHeight w:val="372"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北京南威科技有限公司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宁德南威软件有限公司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宁德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宁德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101"/>
              <w:jc w:val="left"/>
              <w:rPr>
                <w:rFonts w:ascii="宋体" w:hAnsi="宋体" w:cs="宋体" w:eastAsia="宋体" w:hint="default"/>
                <w:sz w:val="21"/>
                <w:szCs w:val="21"/>
              </w:rPr>
            </w:pPr>
            <w:r>
              <w:rPr>
                <w:rFonts w:ascii="宋体" w:hAnsi="宋体" w:cs="宋体" w:eastAsia="宋体" w:hint="default"/>
                <w:spacing w:val="12"/>
                <w:sz w:val="21"/>
                <w:szCs w:val="21"/>
              </w:rPr>
              <w:t>厦门市南威软件科技有限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厦门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厦门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福建南威软件有限公司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西安南威信息科技有限责</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任公司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西安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西安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成都南威软件有限公司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72"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新疆南威软件有限公司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昌吉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昌吉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江西南威软件有限公司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南平南威软件有限公司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南平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南平</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101"/>
              <w:jc w:val="left"/>
              <w:rPr>
                <w:rFonts w:ascii="宋体" w:hAnsi="宋体" w:cs="宋体" w:eastAsia="宋体" w:hint="default"/>
                <w:sz w:val="21"/>
                <w:szCs w:val="21"/>
              </w:rPr>
            </w:pPr>
            <w:r>
              <w:rPr>
                <w:rFonts w:ascii="宋体" w:hAnsi="宋体" w:cs="宋体" w:eastAsia="宋体" w:hint="default"/>
                <w:spacing w:val="12"/>
                <w:sz w:val="21"/>
                <w:szCs w:val="21"/>
              </w:rPr>
              <w:t>上海南信信息科技有限公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重庆南威信息技术有限公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重庆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重庆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北京万创聚力科技有限公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72"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平潭力信软件有限公司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平潭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平潭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网链科技集团有限公司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安徽国正信息科技有限公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浙江易政信息技术有限公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南京迅奇信信息技术有限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北京南威水科技术有限公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2"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1"/>
              <w:jc w:val="left"/>
              <w:rPr>
                <w:rFonts w:ascii="宋体" w:hAnsi="宋体" w:cs="宋体" w:eastAsia="宋体" w:hint="default"/>
                <w:sz w:val="21"/>
                <w:szCs w:val="21"/>
              </w:rPr>
            </w:pPr>
            <w:r>
              <w:rPr>
                <w:rFonts w:ascii="宋体" w:hAnsi="宋体" w:cs="宋体" w:eastAsia="宋体" w:hint="default"/>
                <w:spacing w:val="12"/>
                <w:sz w:val="21"/>
                <w:szCs w:val="21"/>
              </w:rPr>
              <w:t>安溪县南威信息科技有限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安溪</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安溪</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101"/>
              <w:jc w:val="left"/>
              <w:rPr>
                <w:rFonts w:ascii="宋体" w:hAnsi="宋体" w:cs="宋体" w:eastAsia="宋体" w:hint="default"/>
                <w:sz w:val="21"/>
                <w:szCs w:val="21"/>
              </w:rPr>
            </w:pPr>
            <w:r>
              <w:rPr>
                <w:rFonts w:ascii="宋体" w:hAnsi="宋体" w:cs="宋体" w:eastAsia="宋体" w:hint="default"/>
                <w:spacing w:val="12"/>
                <w:sz w:val="21"/>
                <w:szCs w:val="21"/>
              </w:rPr>
              <w:t>福建南慧大数据科技有限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大数据应用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0" w:lineRule="auto"/>
        <w:jc w:val="left"/>
        <w:rPr>
          <w:rFonts w:ascii="宋体" w:hAnsi="宋体" w:cs="宋体" w:eastAsia="宋体" w:hint="default"/>
          <w:sz w:val="21"/>
          <w:szCs w:val="21"/>
        </w:rPr>
        <w:sectPr>
          <w:headerReference w:type="default" r:id="rId65"/>
          <w:footerReference w:type="default" r:id="rId66"/>
          <w:pgSz w:w="11910" w:h="16840"/>
          <w:pgMar w:header="857" w:footer="979" w:top="1120" w:bottom="1160" w:left="1580" w:right="1140"/>
          <w:pgNumType w:start="202"/>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689"/>
        <w:gridCol w:w="708"/>
        <w:gridCol w:w="994"/>
        <w:gridCol w:w="1560"/>
        <w:gridCol w:w="991"/>
        <w:gridCol w:w="853"/>
        <w:gridCol w:w="1030"/>
      </w:tblGrid>
      <w:tr>
        <w:trPr>
          <w:trHeight w:val="732"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1"/>
              <w:jc w:val="left"/>
              <w:rPr>
                <w:rFonts w:ascii="宋体" w:hAnsi="宋体" w:cs="宋体" w:eastAsia="宋体" w:hint="default"/>
                <w:sz w:val="21"/>
                <w:szCs w:val="21"/>
              </w:rPr>
            </w:pPr>
            <w:r>
              <w:rPr>
                <w:rFonts w:ascii="宋体" w:hAnsi="宋体" w:cs="宋体" w:eastAsia="宋体" w:hint="default"/>
                <w:spacing w:val="12"/>
                <w:sz w:val="21"/>
                <w:szCs w:val="21"/>
              </w:rPr>
              <w:t>福建南威资产管理有限公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资产管理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甘肃南威信息技术有限公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兰州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兰州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北京万创聚力资产管理有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资产管理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59" w:right="0"/>
              <w:jc w:val="center"/>
              <w:rPr>
                <w:rFonts w:ascii="Times New Roman" w:hAnsi="Times New Roman" w:cs="Times New Roman" w:eastAsia="Times New Roman" w:hint="default"/>
                <w:sz w:val="21"/>
                <w:szCs w:val="21"/>
              </w:rPr>
            </w:pPr>
            <w:r>
              <w:rPr>
                <w:rFonts w:ascii="Times New Roman"/>
                <w:sz w:val="21"/>
              </w:rPr>
              <w:t>100.00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6"/>
                <w:sz w:val="21"/>
                <w:szCs w:val="21"/>
              </w:rPr>
              <w:t>南威软件（海南）有限公司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海口</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海口</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51.00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宁波宁威信息科技有限公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101"/>
              <w:jc w:val="left"/>
              <w:rPr>
                <w:rFonts w:ascii="宋体" w:hAnsi="宋体" w:cs="宋体" w:eastAsia="宋体" w:hint="default"/>
                <w:sz w:val="21"/>
                <w:szCs w:val="21"/>
              </w:rPr>
            </w:pPr>
            <w:r>
              <w:rPr>
                <w:rFonts w:ascii="宋体" w:hAnsi="宋体" w:cs="宋体" w:eastAsia="宋体" w:hint="default"/>
                <w:spacing w:val="12"/>
                <w:sz w:val="21"/>
                <w:szCs w:val="21"/>
              </w:rPr>
              <w:t>上海宜喆智能科技有限公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智能科技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2"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1"/>
              <w:jc w:val="left"/>
              <w:rPr>
                <w:rFonts w:ascii="宋体" w:hAnsi="宋体" w:cs="宋体" w:eastAsia="宋体" w:hint="default"/>
                <w:sz w:val="21"/>
                <w:szCs w:val="21"/>
              </w:rPr>
            </w:pPr>
            <w:r>
              <w:rPr>
                <w:rFonts w:ascii="宋体" w:hAnsi="宋体" w:cs="宋体" w:eastAsia="宋体" w:hint="default"/>
                <w:spacing w:val="12"/>
                <w:sz w:val="21"/>
                <w:szCs w:val="21"/>
              </w:rPr>
              <w:t>安徽睿谷微云智慧科技有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智能科技</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66" w:right="0"/>
              <w:jc w:val="center"/>
              <w:rPr>
                <w:rFonts w:ascii="Times New Roman" w:hAnsi="Times New Roman" w:cs="Times New Roman" w:eastAsia="Times New Roman" w:hint="default"/>
                <w:sz w:val="21"/>
                <w:szCs w:val="21"/>
              </w:rPr>
            </w:pPr>
            <w:r>
              <w:rPr>
                <w:rFonts w:ascii="Times New Roman"/>
                <w:sz w:val="21"/>
              </w:rPr>
              <w:t>70.00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福建宜喆智能科技有限公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智能科技</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66" w:right="0"/>
              <w:jc w:val="center"/>
              <w:rPr>
                <w:rFonts w:ascii="Times New Roman" w:hAnsi="Times New Roman" w:cs="Times New Roman" w:eastAsia="Times New Roman" w:hint="default"/>
                <w:sz w:val="21"/>
                <w:szCs w:val="21"/>
              </w:rPr>
            </w:pPr>
            <w:r>
              <w:rPr>
                <w:rFonts w:ascii="Times New Roman"/>
                <w:sz w:val="21"/>
              </w:rPr>
              <w:t>51.00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江苏南威汇鼎信息技术有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pacing w:val="-6"/>
                <w:sz w:val="21"/>
                <w:szCs w:val="21"/>
              </w:rPr>
              <w:t>智慧城市（泉州丰泽）运营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管理有限公司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智慧城市运营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福建威盾科技有限公司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泉州威盾智能交通系统有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72"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广西弘政软件有限公司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南宁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南宁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福建腾匠科技有限公司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福建致远数据科技有限责</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任公司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福建众帮科技有限公司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泉州双创聚力科技有限责</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任公司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6"/>
                <w:sz w:val="21"/>
                <w:szCs w:val="21"/>
              </w:rPr>
              <w:t>前海昱虹南威信息科技（深</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圳）有限公司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2"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1"/>
              <w:jc w:val="left"/>
              <w:rPr>
                <w:rFonts w:ascii="宋体" w:hAnsi="宋体" w:cs="宋体" w:eastAsia="宋体" w:hint="default"/>
                <w:sz w:val="21"/>
                <w:szCs w:val="21"/>
              </w:rPr>
            </w:pPr>
            <w:r>
              <w:rPr>
                <w:rFonts w:ascii="宋体" w:hAnsi="宋体" w:cs="宋体" w:eastAsia="宋体" w:hint="default"/>
                <w:spacing w:val="12"/>
                <w:sz w:val="21"/>
                <w:szCs w:val="21"/>
              </w:rPr>
              <w:t>河南联政创威信息技术有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郑州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郑州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59" w:right="0"/>
              <w:jc w:val="center"/>
              <w:rPr>
                <w:rFonts w:ascii="Times New Roman" w:hAnsi="Times New Roman" w:cs="Times New Roman" w:eastAsia="Times New Roman" w:hint="default"/>
                <w:sz w:val="21"/>
                <w:szCs w:val="21"/>
              </w:rPr>
            </w:pPr>
            <w:r>
              <w:rPr>
                <w:rFonts w:ascii="Times New Roman"/>
                <w:sz w:val="21"/>
              </w:rPr>
              <w:t>100.00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宿州国正信息科技有限公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宿州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宿州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智能信息</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59" w:right="0"/>
              <w:jc w:val="center"/>
              <w:rPr>
                <w:rFonts w:ascii="Times New Roman" w:hAnsi="Times New Roman" w:cs="Times New Roman" w:eastAsia="Times New Roman" w:hint="default"/>
                <w:sz w:val="21"/>
                <w:szCs w:val="21"/>
              </w:rPr>
            </w:pPr>
            <w:r>
              <w:rPr>
                <w:rFonts w:ascii="Times New Roman"/>
                <w:sz w:val="21"/>
              </w:rPr>
              <w:t>100.00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北京南威文旅科技有限公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0" w:lineRule="auto"/>
        <w:jc w:val="left"/>
        <w:rPr>
          <w:rFonts w:ascii="宋体" w:hAnsi="宋体" w:cs="宋体" w:eastAsia="宋体" w:hint="default"/>
          <w:sz w:val="21"/>
          <w:szCs w:val="21"/>
        </w:rPr>
        <w:sectPr>
          <w:pgSz w:w="11910" w:h="16840"/>
          <w:pgMar w:header="857" w:footer="979" w:top="1120" w:bottom="116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689"/>
        <w:gridCol w:w="708"/>
        <w:gridCol w:w="994"/>
        <w:gridCol w:w="1560"/>
        <w:gridCol w:w="991"/>
        <w:gridCol w:w="853"/>
        <w:gridCol w:w="1030"/>
      </w:tblGrid>
      <w:tr>
        <w:trPr>
          <w:trHeight w:val="732"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1"/>
              <w:jc w:val="left"/>
              <w:rPr>
                <w:rFonts w:ascii="宋体" w:hAnsi="宋体" w:cs="宋体" w:eastAsia="宋体" w:hint="default"/>
                <w:sz w:val="21"/>
                <w:szCs w:val="21"/>
              </w:rPr>
            </w:pPr>
            <w:r>
              <w:rPr>
                <w:rFonts w:ascii="宋体" w:hAnsi="宋体" w:cs="宋体" w:eastAsia="宋体" w:hint="default"/>
                <w:spacing w:val="12"/>
                <w:sz w:val="21"/>
                <w:szCs w:val="21"/>
              </w:rPr>
              <w:t>福建南威通平台科技有限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福建小电科技有限公司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center"/>
              <w:rPr>
                <w:rFonts w:ascii="Times New Roman" w:hAnsi="Times New Roman" w:cs="Times New Roman" w:eastAsia="Times New Roman" w:hint="default"/>
                <w:sz w:val="21"/>
                <w:szCs w:val="21"/>
              </w:rPr>
            </w:pPr>
            <w:r>
              <w:rPr>
                <w:rFonts w:ascii="Times New Roman"/>
                <w:sz w:val="21"/>
              </w:rPr>
              <w:t>100.00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福建轻停科技有限公司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网络信息</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center"/>
              <w:rPr>
                <w:rFonts w:ascii="Times New Roman" w:hAnsi="Times New Roman" w:cs="Times New Roman" w:eastAsia="Times New Roman" w:hint="default"/>
                <w:sz w:val="21"/>
                <w:szCs w:val="21"/>
              </w:rPr>
            </w:pPr>
            <w:r>
              <w:rPr>
                <w:rFonts w:ascii="Times New Roman"/>
                <w:sz w:val="21"/>
              </w:rPr>
              <w:t>100.00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福建红点科技有限公司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center"/>
              <w:rPr>
                <w:rFonts w:ascii="Times New Roman" w:hAnsi="Times New Roman" w:cs="Times New Roman" w:eastAsia="Times New Roman" w:hint="default"/>
                <w:sz w:val="21"/>
                <w:szCs w:val="21"/>
              </w:rPr>
            </w:pPr>
            <w:r>
              <w:rPr>
                <w:rFonts w:ascii="Times New Roman"/>
                <w:sz w:val="21"/>
              </w:rPr>
              <w:t>100.00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福建无涯商业运营管理有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商业运营管理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59" w:right="0"/>
              <w:jc w:val="center"/>
              <w:rPr>
                <w:rFonts w:ascii="Times New Roman" w:hAnsi="Times New Roman" w:cs="Times New Roman" w:eastAsia="Times New Roman" w:hint="default"/>
                <w:sz w:val="21"/>
                <w:szCs w:val="21"/>
              </w:rPr>
            </w:pPr>
            <w:r>
              <w:rPr>
                <w:rFonts w:ascii="Times New Roman"/>
                <w:sz w:val="21"/>
              </w:rPr>
              <w:t>100.00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福建毫波科技有限公司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计算机技术</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center"/>
              <w:rPr>
                <w:rFonts w:ascii="Times New Roman" w:hAnsi="Times New Roman" w:cs="Times New Roman" w:eastAsia="Times New Roman" w:hint="default"/>
                <w:sz w:val="21"/>
                <w:szCs w:val="21"/>
              </w:rPr>
            </w:pPr>
            <w:r>
              <w:rPr>
                <w:rFonts w:ascii="Times New Roman"/>
                <w:sz w:val="21"/>
              </w:rPr>
              <w:t>100.00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72"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福建城视科技有限公司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计算机技术</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9" w:right="0"/>
              <w:jc w:val="center"/>
              <w:rPr>
                <w:rFonts w:ascii="Times New Roman" w:hAnsi="Times New Roman" w:cs="Times New Roman" w:eastAsia="Times New Roman" w:hint="default"/>
                <w:sz w:val="21"/>
                <w:szCs w:val="21"/>
              </w:rPr>
            </w:pPr>
            <w:r>
              <w:rPr>
                <w:rFonts w:ascii="Times New Roman"/>
                <w:sz w:val="21"/>
              </w:rPr>
              <w:t>100.00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101"/>
              <w:jc w:val="left"/>
              <w:rPr>
                <w:rFonts w:ascii="宋体" w:hAnsi="宋体" w:cs="宋体" w:eastAsia="宋体" w:hint="default"/>
                <w:sz w:val="21"/>
                <w:szCs w:val="21"/>
              </w:rPr>
            </w:pPr>
            <w:r>
              <w:rPr>
                <w:rFonts w:ascii="宋体" w:hAnsi="宋体" w:cs="宋体" w:eastAsia="宋体" w:hint="default"/>
                <w:spacing w:val="12"/>
                <w:sz w:val="21"/>
                <w:szCs w:val="21"/>
              </w:rPr>
              <w:t>吉林南威吉福信息技术有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pacing w:val="-6"/>
                <w:sz w:val="21"/>
                <w:szCs w:val="21"/>
              </w:rPr>
              <w:t>南威智慧城市（将乐）科技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将乐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将乐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福建通证科技有限公司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福建省南安智慧城市科技</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发展有限公司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南安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南安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南威政通科技有限公司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2"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1"/>
              <w:jc w:val="left"/>
              <w:rPr>
                <w:rFonts w:ascii="宋体" w:hAnsi="宋体" w:cs="宋体" w:eastAsia="宋体" w:hint="default"/>
                <w:sz w:val="21"/>
                <w:szCs w:val="21"/>
              </w:rPr>
            </w:pPr>
            <w:r>
              <w:rPr>
                <w:rFonts w:ascii="宋体" w:hAnsi="宋体" w:cs="宋体" w:eastAsia="宋体" w:hint="default"/>
                <w:spacing w:val="12"/>
                <w:sz w:val="21"/>
                <w:szCs w:val="21"/>
              </w:rPr>
              <w:t>河南省南威信息技术有限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郑州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郑州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湖北省南楚信息技术有限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衡阳智慧城市科技发展有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衡阳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衡阳</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深圳太极云软技术股份有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并购</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天津太极云商技术有限公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59" w:right="0"/>
              <w:jc w:val="center"/>
              <w:rPr>
                <w:rFonts w:ascii="Times New Roman" w:hAnsi="Times New Roman" w:cs="Times New Roman" w:eastAsia="Times New Roman" w:hint="default"/>
                <w:sz w:val="21"/>
                <w:szCs w:val="21"/>
              </w:rPr>
            </w:pPr>
            <w:r>
              <w:rPr>
                <w:rFonts w:ascii="Times New Roman"/>
                <w:sz w:val="21"/>
              </w:rPr>
              <w:t>100.00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并购</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惠州微极云软科技有限公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惠州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惠州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59" w:right="0"/>
              <w:jc w:val="center"/>
              <w:rPr>
                <w:rFonts w:ascii="Times New Roman" w:hAnsi="Times New Roman" w:cs="Times New Roman" w:eastAsia="Times New Roman" w:hint="default"/>
                <w:sz w:val="21"/>
                <w:szCs w:val="21"/>
              </w:rPr>
            </w:pPr>
            <w:r>
              <w:rPr>
                <w:rFonts w:ascii="Times New Roman"/>
                <w:sz w:val="21"/>
              </w:rPr>
              <w:t>100.00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并购</w:t>
            </w:r>
          </w:p>
        </w:tc>
      </w:tr>
      <w:tr>
        <w:trPr>
          <w:trHeight w:val="372"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江苏太极软件有限公司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9" w:right="0"/>
              <w:jc w:val="center"/>
              <w:rPr>
                <w:rFonts w:ascii="Times New Roman" w:hAnsi="Times New Roman" w:cs="Times New Roman" w:eastAsia="Times New Roman" w:hint="default"/>
                <w:sz w:val="21"/>
                <w:szCs w:val="21"/>
              </w:rPr>
            </w:pPr>
            <w:r>
              <w:rPr>
                <w:rFonts w:ascii="Times New Roman"/>
                <w:sz w:val="21"/>
              </w:rPr>
              <w:t>100.00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并购</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开封市大数据城市研究院</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开封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开封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66" w:right="0"/>
              <w:jc w:val="center"/>
              <w:rPr>
                <w:rFonts w:ascii="Times New Roman" w:hAnsi="Times New Roman" w:cs="Times New Roman" w:eastAsia="Times New Roman" w:hint="default"/>
                <w:sz w:val="21"/>
                <w:szCs w:val="21"/>
              </w:rPr>
            </w:pPr>
            <w:r>
              <w:rPr>
                <w:rFonts w:ascii="Times New Roman"/>
                <w:sz w:val="21"/>
              </w:rPr>
              <w:t>80.00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并购</w:t>
            </w:r>
          </w:p>
        </w:tc>
      </w:tr>
      <w:tr>
        <w:trPr>
          <w:trHeight w:val="73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2"/>
                <w:sz w:val="21"/>
                <w:szCs w:val="21"/>
              </w:rPr>
              <w:t>黑龙江云软信息技术有限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6"/>
              <w:jc w:val="left"/>
              <w:rPr>
                <w:rFonts w:ascii="宋体" w:hAnsi="宋体" w:cs="宋体" w:eastAsia="宋体" w:hint="default"/>
                <w:sz w:val="21"/>
                <w:szCs w:val="21"/>
              </w:rPr>
            </w:pPr>
            <w:r>
              <w:rPr>
                <w:rFonts w:ascii="宋体" w:hAnsi="宋体" w:cs="宋体" w:eastAsia="宋体" w:hint="default"/>
                <w:spacing w:val="35"/>
                <w:sz w:val="21"/>
                <w:szCs w:val="21"/>
              </w:rPr>
              <w:t>哈尔</w:t>
            </w:r>
            <w:r>
              <w:rPr>
                <w:rFonts w:ascii="宋体" w:hAnsi="宋体" w:cs="宋体" w:eastAsia="宋体" w:hint="default"/>
                <w:spacing w:val="-101"/>
                <w:sz w:val="21"/>
                <w:szCs w:val="21"/>
              </w:rPr>
              <w:t> </w:t>
            </w:r>
            <w:r>
              <w:rPr>
                <w:rFonts w:ascii="宋体" w:hAnsi="宋体" w:cs="宋体" w:eastAsia="宋体" w:hint="default"/>
                <w:sz w:val="21"/>
                <w:szCs w:val="21"/>
              </w:rPr>
              <w:t>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66" w:right="0"/>
              <w:jc w:val="center"/>
              <w:rPr>
                <w:rFonts w:ascii="Times New Roman" w:hAnsi="Times New Roman" w:cs="Times New Roman" w:eastAsia="Times New Roman" w:hint="default"/>
                <w:sz w:val="21"/>
                <w:szCs w:val="21"/>
              </w:rPr>
            </w:pPr>
            <w:r>
              <w:rPr>
                <w:rFonts w:ascii="Times New Roman"/>
                <w:sz w:val="21"/>
              </w:rPr>
              <w:t>70.00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并购</w:t>
            </w:r>
          </w:p>
        </w:tc>
      </w:tr>
    </w:tbl>
    <w:p>
      <w:pPr>
        <w:pStyle w:val="BodyText"/>
        <w:spacing w:line="240" w:lineRule="exact"/>
        <w:ind w:right="2631"/>
        <w:jc w:val="left"/>
      </w:pPr>
      <w:r>
        <w:rPr/>
        <w:t>在子公司的持股比例不同于表决权比例的说明：</w:t>
      </w:r>
    </w:p>
    <w:p>
      <w:pPr>
        <w:pStyle w:val="BodyText"/>
        <w:spacing w:line="237" w:lineRule="auto" w:before="2"/>
        <w:ind w:right="47" w:firstLine="419"/>
        <w:jc w:val="left"/>
      </w:pPr>
      <w:r>
        <w:rPr/>
        <w:t>无</w:t>
      </w:r>
      <w:r>
        <w:rPr>
          <w:w w:val="100"/>
        </w:rPr>
        <w:t> </w:t>
      </w: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271" w:lineRule="exact"/>
        <w:ind w:left="638" w:right="2631"/>
        <w:jc w:val="left"/>
      </w:pPr>
      <w:r>
        <w:rPr>
          <w:w w:val="100"/>
        </w:rPr>
        <w:t>无</w:t>
      </w:r>
    </w:p>
    <w:p>
      <w:pPr>
        <w:spacing w:after="0" w:line="271" w:lineRule="exact"/>
        <w:jc w:val="left"/>
        <w:sectPr>
          <w:pgSz w:w="11910" w:h="16840"/>
          <w:pgMar w:header="857" w:footer="979" w:top="1120" w:bottom="1160" w:left="1580" w:right="1140"/>
        </w:sectPr>
      </w:pPr>
    </w:p>
    <w:p>
      <w:pPr>
        <w:spacing w:line="240" w:lineRule="auto" w:before="12"/>
        <w:rPr>
          <w:rFonts w:ascii="宋体" w:hAnsi="宋体" w:cs="宋体" w:eastAsia="宋体" w:hint="default"/>
          <w:sz w:val="24"/>
          <w:szCs w:val="24"/>
        </w:rPr>
      </w:pPr>
    </w:p>
    <w:p>
      <w:pPr>
        <w:pStyle w:val="BodyText"/>
        <w:spacing w:line="240" w:lineRule="auto" w:before="36"/>
        <w:ind w:left="638" w:right="3786" w:hanging="420"/>
        <w:jc w:val="left"/>
      </w:pPr>
      <w:r>
        <w:rPr>
          <w:spacing w:val="-2"/>
        </w:rPr>
        <w:t>对于纳入合并范围的重要的结构化主体，控制的依据：</w:t>
      </w:r>
      <w:r>
        <w:rPr>
          <w:spacing w:val="-59"/>
        </w:rPr>
        <w:t> </w:t>
      </w:r>
      <w:r>
        <w:rPr>
          <w:spacing w:val="-59"/>
        </w:rPr>
      </w:r>
      <w:r>
        <w:rPr/>
        <w:t>无</w:t>
      </w:r>
    </w:p>
    <w:p>
      <w:pPr>
        <w:pStyle w:val="BodyText"/>
        <w:spacing w:line="274" w:lineRule="exact" w:before="22"/>
        <w:ind w:left="638" w:right="5242" w:hanging="420"/>
        <w:jc w:val="left"/>
      </w:pPr>
      <w:r>
        <w:rPr>
          <w:spacing w:val="-2"/>
        </w:rPr>
        <w:t>确定公司是代理人还是委托人的依据：</w:t>
      </w:r>
      <w:r>
        <w:rPr>
          <w:spacing w:val="-72"/>
        </w:rPr>
        <w:t> </w:t>
      </w:r>
      <w:r>
        <w:rPr>
          <w:spacing w:val="-72"/>
        </w:rPr>
      </w:r>
      <w:r>
        <w:rPr/>
        <w:t>无</w:t>
      </w:r>
    </w:p>
    <w:p>
      <w:pPr>
        <w:pStyle w:val="BodyText"/>
        <w:spacing w:line="246" w:lineRule="exact"/>
        <w:ind w:right="2631"/>
        <w:jc w:val="left"/>
      </w:pPr>
      <w:r>
        <w:rPr/>
        <w:t>其他说明：</w:t>
      </w:r>
    </w:p>
    <w:p>
      <w:pPr>
        <w:pStyle w:val="BodyText"/>
        <w:spacing w:line="314" w:lineRule="auto" w:before="75"/>
        <w:ind w:right="135" w:firstLine="419"/>
        <w:jc w:val="left"/>
      </w:pPr>
      <w:r>
        <w:rPr/>
        <w:t>注</w:t>
      </w:r>
      <w:r>
        <w:rPr>
          <w:spacing w:val="-53"/>
        </w:rPr>
        <w:t> </w:t>
      </w: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26</w:t>
      </w:r>
      <w:r>
        <w:rPr>
          <w:rFonts w:ascii="宋体" w:hAnsi="宋体" w:cs="宋体" w:eastAsia="宋体" w:hint="default"/>
          <w:spacing w:val="-53"/>
        </w:rPr>
        <w:t> </w:t>
      </w:r>
      <w:r>
        <w:rPr/>
        <w:t>日，北京思明德大数据科技有限公司迁址至泉州并更名为福建南慧大</w:t>
      </w:r>
      <w:r>
        <w:rPr>
          <w:w w:val="100"/>
        </w:rPr>
        <w:t> </w:t>
      </w:r>
      <w:r>
        <w:rPr/>
        <w:t>数据科技有限公司。</w:t>
      </w:r>
    </w:p>
    <w:p>
      <w:pPr>
        <w:pStyle w:val="BodyText"/>
        <w:spacing w:line="240" w:lineRule="auto" w:before="20"/>
        <w:ind w:left="638" w:right="47"/>
        <w:jc w:val="left"/>
      </w:pPr>
      <w:r>
        <w:rPr/>
        <w:t>注</w:t>
      </w:r>
      <w:r>
        <w:rPr>
          <w:spacing w:val="-54"/>
        </w:rPr>
        <w:t> </w:t>
      </w:r>
      <w:r>
        <w:rPr>
          <w:rFonts w:ascii="宋体" w:hAnsi="宋体" w:cs="宋体" w:eastAsia="宋体" w:hint="default"/>
        </w:rPr>
        <w:t>2</w:t>
      </w:r>
      <w:r>
        <w:rPr/>
        <w:t>：</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3"/>
        </w:rPr>
        <w:t> </w:t>
      </w:r>
      <w:r>
        <w:rPr>
          <w:rFonts w:ascii="宋体" w:hAnsi="宋体" w:cs="宋体" w:eastAsia="宋体" w:hint="default"/>
        </w:rPr>
        <w:t>19</w:t>
      </w:r>
      <w:r>
        <w:rPr>
          <w:rFonts w:ascii="宋体" w:hAnsi="宋体" w:cs="宋体" w:eastAsia="宋体" w:hint="default"/>
          <w:spacing w:val="-54"/>
        </w:rPr>
        <w:t> </w:t>
      </w:r>
      <w:r>
        <w:rPr/>
        <w:t>日福建网链科技有限公司更名为网链科技集团有限公司</w:t>
      </w:r>
    </w:p>
    <w:p>
      <w:pPr>
        <w:pStyle w:val="BodyText"/>
        <w:spacing w:line="314" w:lineRule="auto" w:before="85"/>
        <w:ind w:right="47" w:firstLine="419"/>
        <w:jc w:val="left"/>
      </w:pPr>
      <w:r>
        <w:rPr/>
        <w:t>注</w:t>
      </w:r>
      <w:r>
        <w:rPr>
          <w:spacing w:val="-53"/>
        </w:rPr>
        <w:t> </w:t>
      </w: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2"/>
        </w:rPr>
        <w:t> </w:t>
      </w:r>
      <w:r>
        <w:rPr>
          <w:rFonts w:ascii="宋体" w:hAnsi="宋体" w:cs="宋体" w:eastAsia="宋体" w:hint="default"/>
        </w:rPr>
        <w:t>4</w:t>
      </w:r>
      <w:r>
        <w:rPr>
          <w:rFonts w:ascii="宋体" w:hAnsi="宋体" w:cs="宋体" w:eastAsia="宋体" w:hint="default"/>
          <w:spacing w:val="-55"/>
        </w:rPr>
        <w:t> </w:t>
      </w:r>
      <w:r>
        <w:rPr/>
        <w:t>日，北京万创聚力科技有限公司迁址至泉州并更名为福建南腾科技有限</w:t>
      </w:r>
      <w:r>
        <w:rPr>
          <w:w w:val="100"/>
        </w:rPr>
        <w:t> </w:t>
      </w:r>
      <w:r>
        <w:rPr/>
        <w:t>公司。</w:t>
      </w:r>
    </w:p>
    <w:p>
      <w:pPr>
        <w:pStyle w:val="BodyText"/>
        <w:spacing w:line="240" w:lineRule="auto" w:before="20"/>
        <w:ind w:left="638" w:right="47"/>
        <w:jc w:val="left"/>
      </w:pPr>
      <w:r>
        <w:rPr/>
        <w:t>注</w:t>
      </w:r>
      <w:r>
        <w:rPr>
          <w:spacing w:val="-53"/>
        </w:rPr>
        <w:t> </w:t>
      </w:r>
      <w:r>
        <w:rPr>
          <w:rFonts w:ascii="宋体" w:hAnsi="宋体" w:cs="宋体" w:eastAsia="宋体" w:hint="default"/>
        </w:rPr>
        <w:t>4:</w:t>
      </w:r>
      <w:r>
        <w:rPr>
          <w:rFonts w:ascii="宋体" w:hAnsi="宋体" w:cs="宋体" w:eastAsia="宋体" w:hint="default"/>
          <w:spacing w:val="-1"/>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2"/>
        </w:rPr>
        <w:t> </w:t>
      </w:r>
      <w:r>
        <w:rPr>
          <w:rFonts w:ascii="宋体" w:hAnsi="宋体" w:cs="宋体" w:eastAsia="宋体" w:hint="default"/>
        </w:rPr>
        <w:t>3</w:t>
      </w:r>
      <w:r>
        <w:rPr>
          <w:rFonts w:ascii="宋体" w:hAnsi="宋体" w:cs="宋体" w:eastAsia="宋体" w:hint="default"/>
          <w:spacing w:val="-55"/>
        </w:rPr>
        <w:t> </w:t>
      </w:r>
      <w:r>
        <w:rPr/>
        <w:t>日，公司之子公司深圳太极云软技术股份有限公司收到深圳市市场监督</w:t>
      </w:r>
    </w:p>
    <w:p>
      <w:pPr>
        <w:pStyle w:val="BodyText"/>
        <w:spacing w:line="314" w:lineRule="auto" w:before="85"/>
        <w:ind w:right="134"/>
        <w:jc w:val="left"/>
      </w:pPr>
      <w:r>
        <w:rPr/>
        <w:t>管理局出具的编号为</w:t>
      </w:r>
      <w:r>
        <w:rPr>
          <w:spacing w:val="-56"/>
        </w:rPr>
        <w:t> </w:t>
      </w:r>
      <w:r>
        <w:rPr>
          <w:rFonts w:ascii="宋体" w:hAnsi="宋体" w:cs="宋体" w:eastAsia="宋体" w:hint="default"/>
        </w:rPr>
        <w:t>21902853177</w:t>
      </w:r>
      <w:r>
        <w:rPr>
          <w:rFonts w:ascii="宋体" w:hAnsi="宋体" w:cs="宋体" w:eastAsia="宋体" w:hint="default"/>
          <w:spacing w:val="-55"/>
        </w:rPr>
        <w:t> </w:t>
      </w:r>
      <w:r>
        <w:rPr/>
        <w:t>号《变更（备案）受理通知书》，根据该受理通知书，深圳太</w:t>
      </w:r>
      <w:r>
        <w:rPr>
          <w:w w:val="100"/>
        </w:rPr>
        <w:t> </w:t>
      </w:r>
      <w:r>
        <w:rPr/>
        <w:t>极云软技术股份有限公司名称变更为深圳太极云软技术有限公司。</w:t>
      </w:r>
    </w:p>
    <w:p>
      <w:pPr>
        <w:pStyle w:val="BodyText"/>
        <w:spacing w:line="314" w:lineRule="auto" w:before="20"/>
        <w:ind w:left="532" w:right="496" w:firstLine="105"/>
        <w:jc w:val="left"/>
      </w:pPr>
      <w:r>
        <w:rPr/>
        <w:t>注</w:t>
      </w:r>
      <w:r>
        <w:rPr>
          <w:spacing w:val="-54"/>
        </w:rPr>
        <w:t> </w:t>
      </w:r>
      <w:r>
        <w:rPr>
          <w:rFonts w:ascii="宋体" w:hAnsi="宋体" w:cs="宋体" w:eastAsia="宋体" w:hint="default"/>
        </w:rPr>
        <w:t>5</w:t>
      </w:r>
      <w:r>
        <w:rPr/>
        <w:t>：</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3"/>
        </w:rPr>
        <w:t> </w:t>
      </w:r>
      <w:r>
        <w:rPr>
          <w:rFonts w:ascii="宋体" w:hAnsi="宋体" w:cs="宋体" w:eastAsia="宋体" w:hint="default"/>
        </w:rPr>
        <w:t>28</w:t>
      </w:r>
      <w:r>
        <w:rPr>
          <w:rFonts w:ascii="宋体" w:hAnsi="宋体" w:cs="宋体" w:eastAsia="宋体" w:hint="default"/>
          <w:spacing w:val="-54"/>
        </w:rPr>
        <w:t> </w:t>
      </w:r>
      <w:r>
        <w:rPr/>
        <w:t>日，福建威盾科技有限公司更名为福建威盾科技集团有限公司。</w:t>
      </w:r>
      <w:r>
        <w:rPr>
          <w:w w:val="100"/>
        </w:rPr>
        <w:t> </w:t>
      </w:r>
      <w:r>
        <w:rPr/>
        <w:t>注</w:t>
      </w:r>
      <w:r>
        <w:rPr>
          <w:spacing w:val="-53"/>
        </w:rPr>
        <w:t>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日，南威政通科技有限公司更名为南威政通科技集团有限公司。</w:t>
      </w:r>
    </w:p>
    <w:p>
      <w:pPr>
        <w:pStyle w:val="Heading4"/>
        <w:spacing w:line="271" w:lineRule="exact" w:before="0"/>
        <w:ind w:right="2631"/>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31"/>
        </w:rPr>
        <w:t> </w:t>
      </w:r>
      <w:r>
        <w:rPr/>
        <w:t>重要的非全资子公司</w:t>
      </w:r>
      <w:r>
        <w:rPr>
          <w:b w:val="0"/>
          <w:bCs w:val="0"/>
        </w:rPr>
      </w:r>
    </w:p>
    <w:p>
      <w:pPr>
        <w:pStyle w:val="BodyText"/>
        <w:spacing w:line="240" w:lineRule="auto" w:before="40"/>
        <w:ind w:left="698" w:right="2631"/>
        <w:jc w:val="left"/>
      </w:pPr>
      <w:r>
        <w:rPr/>
        <w:t>√适用 □不适用</w:t>
      </w:r>
    </w:p>
    <w:p>
      <w:pPr>
        <w:pStyle w:val="BodyText"/>
        <w:tabs>
          <w:tab w:pos="946" w:val="left" w:leader="none"/>
        </w:tabs>
        <w:spacing w:line="274" w:lineRule="exact"/>
        <w:ind w:left="0" w:right="1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38"/>
        <w:gridCol w:w="1503"/>
        <w:gridCol w:w="1889"/>
        <w:gridCol w:w="1894"/>
        <w:gridCol w:w="1700"/>
      </w:tblGrid>
      <w:tr>
        <w:trPr>
          <w:trHeight w:val="730"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535" w:right="113" w:hanging="421"/>
              <w:jc w:val="left"/>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410" w:right="202" w:hanging="209"/>
              <w:jc w:val="left"/>
              <w:rPr>
                <w:rFonts w:ascii="宋体" w:hAnsi="宋体" w:cs="宋体" w:eastAsia="宋体" w:hint="default"/>
                <w:sz w:val="21"/>
                <w:szCs w:val="21"/>
              </w:rPr>
            </w:pPr>
            <w:r>
              <w:rPr>
                <w:rFonts w:ascii="宋体" w:hAnsi="宋体" w:cs="宋体" w:eastAsia="宋体" w:hint="default"/>
                <w:sz w:val="21"/>
                <w:szCs w:val="21"/>
              </w:rPr>
              <w:t>本期归属于少数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股东的损益</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06" w:right="201"/>
              <w:jc w:val="left"/>
              <w:rPr>
                <w:rFonts w:ascii="宋体" w:hAnsi="宋体" w:cs="宋体" w:eastAsia="宋体" w:hint="default"/>
                <w:sz w:val="21"/>
                <w:szCs w:val="21"/>
              </w:rPr>
            </w:pPr>
            <w:r>
              <w:rPr>
                <w:rFonts w:ascii="宋体" w:hAnsi="宋体" w:cs="宋体" w:eastAsia="宋体" w:hint="default"/>
                <w:sz w:val="21"/>
                <w:szCs w:val="21"/>
              </w:rPr>
              <w:t>本期向少数股东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宣告分派的股利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538" w:right="96" w:hanging="420"/>
              <w:jc w:val="left"/>
              <w:rPr>
                <w:rFonts w:ascii="宋体" w:hAnsi="宋体" w:cs="宋体" w:eastAsia="宋体" w:hint="default"/>
                <w:sz w:val="21"/>
                <w:szCs w:val="21"/>
              </w:rPr>
            </w:pPr>
            <w:r>
              <w:rPr>
                <w:rFonts w:ascii="宋体" w:hAnsi="宋体" w:cs="宋体" w:eastAsia="宋体" w:hint="default"/>
                <w:sz w:val="21"/>
                <w:szCs w:val="21"/>
              </w:rPr>
              <w:t>期末少数股东权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益余额</w:t>
            </w:r>
          </w:p>
        </w:tc>
      </w:tr>
      <w:tr>
        <w:trPr>
          <w:trHeight w:val="732"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9"/>
              <w:jc w:val="left"/>
              <w:rPr>
                <w:rFonts w:ascii="宋体" w:hAnsi="宋体" w:cs="宋体" w:eastAsia="宋体" w:hint="default"/>
                <w:sz w:val="21"/>
                <w:szCs w:val="21"/>
              </w:rPr>
            </w:pPr>
            <w:r>
              <w:rPr>
                <w:rFonts w:ascii="宋体" w:hAnsi="宋体" w:cs="宋体" w:eastAsia="宋体" w:hint="default"/>
                <w:spacing w:val="18"/>
                <w:sz w:val="21"/>
                <w:szCs w:val="21"/>
              </w:rPr>
              <w:t>深圳太极云软</w:t>
            </w:r>
            <w:r>
              <w:rPr>
                <w:rFonts w:ascii="宋体" w:hAnsi="宋体" w:cs="宋体" w:eastAsia="宋体" w:hint="default"/>
                <w:spacing w:val="-70"/>
                <w:sz w:val="21"/>
                <w:szCs w:val="21"/>
              </w:rPr>
              <w:t> </w:t>
            </w:r>
            <w:r>
              <w:rPr>
                <w:rFonts w:ascii="宋体" w:hAnsi="宋体" w:cs="宋体" w:eastAsia="宋体" w:hint="default"/>
                <w:sz w:val="21"/>
                <w:szCs w:val="21"/>
              </w:rPr>
              <w:t>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术股份有限公司</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72" w:right="0"/>
              <w:jc w:val="left"/>
              <w:rPr>
                <w:rFonts w:ascii="Times New Roman" w:hAnsi="Times New Roman" w:cs="Times New Roman" w:eastAsia="Times New Roman" w:hint="default"/>
                <w:sz w:val="21"/>
                <w:szCs w:val="21"/>
              </w:rPr>
            </w:pPr>
            <w:r>
              <w:rPr>
                <w:rFonts w:ascii="Times New Roman"/>
                <w:sz w:val="21"/>
              </w:rPr>
              <w:t>9,284,404.82</w:t>
            </w:r>
          </w:p>
        </w:tc>
        <w:tc>
          <w:tcPr>
            <w:tcW w:w="18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77" w:right="0"/>
              <w:jc w:val="left"/>
              <w:rPr>
                <w:rFonts w:ascii="Times New Roman" w:hAnsi="Times New Roman" w:cs="Times New Roman" w:eastAsia="Times New Roman" w:hint="default"/>
                <w:sz w:val="21"/>
                <w:szCs w:val="21"/>
              </w:rPr>
            </w:pPr>
            <w:r>
              <w:rPr>
                <w:rFonts w:ascii="Times New Roman"/>
                <w:sz w:val="21"/>
              </w:rPr>
              <w:t>32,012,317.66</w:t>
            </w:r>
          </w:p>
        </w:tc>
      </w:tr>
    </w:tbl>
    <w:p>
      <w:pPr>
        <w:pStyle w:val="BodyText"/>
        <w:spacing w:line="239" w:lineRule="exact"/>
        <w:ind w:left="698" w:right="2631"/>
        <w:jc w:val="left"/>
      </w:pPr>
      <w:r>
        <w:rPr/>
        <w:t>子公司少数股东的持股比例不同于表决权比例的说明：</w:t>
      </w:r>
    </w:p>
    <w:p>
      <w:pPr>
        <w:pStyle w:val="BodyText"/>
        <w:spacing w:line="273" w:lineRule="exact"/>
        <w:ind w:left="698" w:right="2631"/>
        <w:jc w:val="left"/>
      </w:pPr>
      <w:r>
        <w:rPr/>
        <w:t>□适用 √不适用</w:t>
      </w:r>
    </w:p>
    <w:p>
      <w:pPr>
        <w:spacing w:after="0" w:line="273" w:lineRule="exact"/>
        <w:jc w:val="left"/>
        <w:sectPr>
          <w:pgSz w:w="11910" w:h="16840"/>
          <w:pgMar w:header="857" w:footer="979" w:top="1120" w:bottom="1160" w:left="1580" w:right="1140"/>
        </w:sectPr>
      </w:pPr>
    </w:p>
    <w:p>
      <w:pPr>
        <w:tabs>
          <w:tab w:pos="9770" w:val="left" w:leader="none"/>
        </w:tabs>
        <w:spacing w:before="45"/>
        <w:ind w:left="2889" w:right="0" w:firstLine="0"/>
        <w:jc w:val="left"/>
        <w:rPr>
          <w:rFonts w:ascii="宋体" w:hAnsi="宋体" w:cs="宋体" w:eastAsia="宋体" w:hint="default"/>
          <w:sz w:val="18"/>
          <w:szCs w:val="18"/>
        </w:rPr>
      </w:pPr>
      <w:r>
        <w:rPr/>
        <w:drawing>
          <wp:inline distT="0" distB="0" distL="0" distR="0">
            <wp:extent cx="655243" cy="116839"/>
            <wp:effectExtent l="0" t="0" r="0" b="0"/>
            <wp:docPr id="11" name="image2.jpeg" descr=""/>
            <wp:cNvGraphicFramePr>
              <a:graphicFrameLocks noChangeAspect="1"/>
            </wp:cNvGraphicFramePr>
            <a:graphic>
              <a:graphicData uri="http://schemas.openxmlformats.org/drawingml/2006/picture">
                <pic:pic>
                  <pic:nvPicPr>
                    <pic:cNvPr id="12" name="image2.jpeg"/>
                    <pic:cNvPicPr/>
                  </pic:nvPicPr>
                  <pic:blipFill>
                    <a:blip r:embed="rId26" cstate="print"/>
                    <a:stretch>
                      <a:fillRect/>
                    </a:stretch>
                  </pic:blipFill>
                  <pic:spPr>
                    <a:xfrm>
                      <a:off x="0" y="0"/>
                      <a:ext cx="655243" cy="116839"/>
                    </a:xfrm>
                    <a:prstGeom prst="rect">
                      <a:avLst/>
                    </a:prstGeom>
                  </pic:spPr>
                </pic:pic>
              </a:graphicData>
            </a:graphic>
          </wp:inline>
        </w:drawing>
      </w:r>
      <w:r>
        <w:rPr/>
      </w:r>
      <w:r>
        <w:rPr>
          <w:rFonts w:ascii="Times New Roman" w:hAnsi="Times New Roman" w:cs="Times New Roman" w:eastAsia="Times New Roman" w:hint="default"/>
          <w:sz w:val="20"/>
          <w:szCs w:val="20"/>
        </w:rPr>
        <w:t> </w:t>
      </w:r>
      <w:r>
        <w:rPr>
          <w:rFonts w:ascii="宋体" w:hAnsi="宋体" w:cs="宋体" w:eastAsia="宋体" w:hint="default"/>
          <w:sz w:val="18"/>
          <w:szCs w:val="18"/>
        </w:rPr>
        <w:t>南威软件股份有限公司</w:t>
        <w:tab/>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67"/>
          <w:footerReference w:type="default" r:id="rId68"/>
          <w:pgSz w:w="16840" w:h="11910" w:orient="landscape"/>
          <w:pgMar w:header="0" w:footer="0" w:top="780" w:bottom="280" w:left="1220" w:right="1360"/>
        </w:sectPr>
      </w:pPr>
    </w:p>
    <w:p>
      <w:pPr>
        <w:pStyle w:val="BodyText"/>
        <w:spacing w:line="273" w:lineRule="exact" w:before="36"/>
        <w:ind w:left="700" w:right="-17"/>
        <w:jc w:val="left"/>
      </w:pPr>
      <w:r>
        <w:rPr/>
        <w:t>其他说明：</w:t>
      </w:r>
    </w:p>
    <w:p>
      <w:pPr>
        <w:pStyle w:val="BodyText"/>
        <w:spacing w:line="273" w:lineRule="exact"/>
        <w:ind w:left="700" w:right="-17"/>
        <w:jc w:val="left"/>
      </w:pPr>
      <w:r>
        <w:rPr/>
        <w:t>□适用</w:t>
      </w:r>
      <w:r>
        <w:rPr>
          <w:spacing w:val="-1"/>
        </w:rPr>
        <w:t> </w:t>
      </w:r>
      <w:r>
        <w:rPr/>
        <w:t>√不适用</w:t>
      </w:r>
    </w:p>
    <w:p>
      <w:pPr>
        <w:pStyle w:val="Heading4"/>
        <w:spacing w:line="240" w:lineRule="auto" w:before="58"/>
        <w:ind w:left="220" w:right="-17"/>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8"/>
        </w:rPr>
        <w:t> </w:t>
      </w:r>
      <w:r>
        <w:rPr/>
        <w:t>重要非全资子公司的主要财务信息</w:t>
      </w:r>
      <w:r>
        <w:rPr>
          <w:b w:val="0"/>
          <w:bCs w:val="0"/>
        </w:rPr>
      </w:r>
    </w:p>
    <w:p>
      <w:pPr>
        <w:pStyle w:val="BodyText"/>
        <w:spacing w:line="240" w:lineRule="auto" w:before="40"/>
        <w:ind w:left="700"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165" w:val="left" w:leader="none"/>
        </w:tabs>
        <w:spacing w:line="240" w:lineRule="auto"/>
        <w:ind w:left="22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580" w:bottom="280" w:left="1220" w:right="1360"/>
          <w:cols w:num="2" w:equalWidth="0">
            <w:col w:w="3869" w:space="7905"/>
            <w:col w:w="2486"/>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704"/>
        <w:gridCol w:w="1560"/>
        <w:gridCol w:w="1561"/>
        <w:gridCol w:w="1560"/>
        <w:gridCol w:w="1558"/>
        <w:gridCol w:w="1418"/>
        <w:gridCol w:w="1560"/>
        <w:gridCol w:w="567"/>
        <w:gridCol w:w="708"/>
        <w:gridCol w:w="566"/>
        <w:gridCol w:w="852"/>
        <w:gridCol w:w="708"/>
        <w:gridCol w:w="708"/>
      </w:tblGrid>
      <w:tr>
        <w:trPr>
          <w:trHeight w:val="283" w:hRule="exact"/>
        </w:trPr>
        <w:tc>
          <w:tcPr>
            <w:tcW w:w="70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144" w:right="125"/>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92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1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0" w:hRule="exact"/>
        </w:trPr>
        <w:tc>
          <w:tcPr>
            <w:tcW w:w="704"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流动资产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76"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资产合计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流动负债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46"/>
              <w:jc w:val="right"/>
              <w:rPr>
                <w:rFonts w:ascii="宋体" w:hAnsi="宋体" w:cs="宋体" w:eastAsia="宋体" w:hint="default"/>
                <w:sz w:val="21"/>
                <w:szCs w:val="21"/>
              </w:rPr>
            </w:pPr>
            <w:r>
              <w:rPr>
                <w:rFonts w:ascii="宋体" w:hAnsi="宋体" w:cs="宋体" w:eastAsia="宋体" w:hint="default"/>
                <w:spacing w:val="-1"/>
                <w:sz w:val="21"/>
                <w:szCs w:val="21"/>
              </w:rPr>
              <w:t>非流动负债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1" w:right="0"/>
              <w:jc w:val="both"/>
              <w:rPr>
                <w:rFonts w:ascii="宋体" w:hAnsi="宋体" w:cs="宋体" w:eastAsia="宋体" w:hint="default"/>
                <w:sz w:val="21"/>
                <w:szCs w:val="21"/>
              </w:rPr>
            </w:pPr>
            <w:r>
              <w:rPr>
                <w:rFonts w:ascii="宋体" w:hAnsi="宋体" w:cs="宋体" w:eastAsia="宋体" w:hint="default"/>
                <w:w w:val="100"/>
                <w:sz w:val="21"/>
                <w:szCs w:val="21"/>
              </w:rPr>
              <w:t>流</w:t>
            </w:r>
          </w:p>
          <w:p>
            <w:pPr>
              <w:pStyle w:val="TableParagraph"/>
              <w:spacing w:line="237" w:lineRule="auto" w:before="1"/>
              <w:ind w:left="171" w:right="173"/>
              <w:jc w:val="both"/>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8" w:right="0"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37" w:lineRule="auto" w:before="1"/>
              <w:ind w:left="172" w:right="170"/>
              <w:jc w:val="both"/>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4" w:right="103" w:hanging="212"/>
              <w:jc w:val="left"/>
              <w:rPr>
                <w:rFonts w:ascii="宋体" w:hAnsi="宋体" w:cs="宋体" w:eastAsia="宋体" w:hint="default"/>
                <w:sz w:val="21"/>
                <w:szCs w:val="21"/>
              </w:rPr>
            </w:pPr>
            <w:r>
              <w:rPr>
                <w:rFonts w:ascii="宋体" w:hAnsi="宋体" w:cs="宋体" w:eastAsia="宋体" w:hint="default"/>
                <w:sz w:val="21"/>
                <w:szCs w:val="21"/>
              </w:rPr>
              <w:t>流动负</w:t>
            </w:r>
            <w:r>
              <w:rPr>
                <w:rFonts w:ascii="宋体" w:hAnsi="宋体" w:cs="宋体" w:eastAsia="宋体" w:hint="default"/>
                <w:spacing w:val="-102"/>
                <w:sz w:val="21"/>
                <w:szCs w:val="21"/>
              </w:rPr>
              <w:t> </w:t>
            </w:r>
            <w:r>
              <w:rPr>
                <w:rFonts w:ascii="宋体" w:hAnsi="宋体" w:cs="宋体" w:eastAsia="宋体" w:hint="default"/>
                <w:sz w:val="21"/>
                <w:szCs w:val="21"/>
              </w:rPr>
              <w:t>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8" w:right="0"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负债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26"/>
              <w:jc w:val="left"/>
              <w:rPr>
                <w:rFonts w:ascii="宋体" w:hAnsi="宋体" w:cs="宋体" w:eastAsia="宋体" w:hint="default"/>
                <w:sz w:val="21"/>
                <w:szCs w:val="21"/>
              </w:rPr>
            </w:pPr>
            <w:r>
              <w:rPr>
                <w:rFonts w:ascii="宋体" w:hAnsi="宋体" w:cs="宋体" w:eastAsia="宋体" w:hint="default"/>
                <w:spacing w:val="35"/>
                <w:sz w:val="21"/>
                <w:szCs w:val="21"/>
              </w:rPr>
              <w:t>负债</w:t>
            </w:r>
            <w:r>
              <w:rPr>
                <w:rFonts w:ascii="宋体" w:hAnsi="宋体" w:cs="宋体" w:eastAsia="宋体" w:hint="default"/>
                <w:spacing w:val="-101"/>
                <w:sz w:val="21"/>
                <w:szCs w:val="21"/>
              </w:rPr>
              <w:t> </w:t>
            </w:r>
            <w:r>
              <w:rPr>
                <w:rFonts w:ascii="宋体" w:hAnsi="宋体" w:cs="宋体" w:eastAsia="宋体" w:hint="default"/>
                <w:sz w:val="21"/>
                <w:szCs w:val="21"/>
              </w:rPr>
              <w:t>合计</w:t>
            </w:r>
          </w:p>
        </w:tc>
      </w:tr>
      <w:tr>
        <w:trPr>
          <w:trHeight w:val="1918"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w:t>
            </w:r>
          </w:p>
          <w:p>
            <w:pPr>
              <w:pStyle w:val="TableParagraph"/>
              <w:spacing w:line="237" w:lineRule="auto"/>
              <w:ind w:left="103" w:right="166"/>
              <w:jc w:val="both"/>
              <w:rPr>
                <w:rFonts w:ascii="宋体" w:hAnsi="宋体" w:cs="宋体" w:eastAsia="宋体" w:hint="default"/>
                <w:sz w:val="21"/>
                <w:szCs w:val="21"/>
              </w:rPr>
            </w:pPr>
            <w:r>
              <w:rPr>
                <w:rFonts w:ascii="宋体" w:hAnsi="宋体" w:cs="宋体" w:eastAsia="宋体" w:hint="default"/>
                <w:sz w:val="21"/>
                <w:szCs w:val="21"/>
              </w:rPr>
              <w:t>太极</w:t>
            </w:r>
            <w:r>
              <w:rPr>
                <w:rFonts w:ascii="宋体" w:hAnsi="宋体" w:cs="宋体" w:eastAsia="宋体" w:hint="default"/>
                <w:spacing w:val="-103"/>
                <w:sz w:val="21"/>
                <w:szCs w:val="21"/>
              </w:rPr>
              <w:t> </w:t>
            </w:r>
            <w:r>
              <w:rPr>
                <w:rFonts w:ascii="宋体" w:hAnsi="宋体" w:cs="宋体" w:eastAsia="宋体" w:hint="default"/>
                <w:sz w:val="21"/>
                <w:szCs w:val="21"/>
              </w:rPr>
              <w:t>云软</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160,316,737.19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40" w:right="0"/>
              <w:jc w:val="left"/>
              <w:rPr>
                <w:rFonts w:ascii="Times New Roman" w:hAnsi="Times New Roman" w:cs="Times New Roman" w:eastAsia="Times New Roman" w:hint="default"/>
                <w:sz w:val="21"/>
                <w:szCs w:val="21"/>
              </w:rPr>
            </w:pPr>
            <w:r>
              <w:rPr>
                <w:rFonts w:ascii="Times New Roman"/>
                <w:sz w:val="21"/>
              </w:rPr>
              <w:t>39,003,438.55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199,320,175.74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0" w:right="0"/>
              <w:jc w:val="center"/>
              <w:rPr>
                <w:rFonts w:ascii="Times New Roman" w:hAnsi="Times New Roman" w:cs="Times New Roman" w:eastAsia="Times New Roman" w:hint="default"/>
                <w:sz w:val="21"/>
                <w:szCs w:val="21"/>
              </w:rPr>
            </w:pPr>
            <w:r>
              <w:rPr>
                <w:rFonts w:ascii="Times New Roman"/>
                <w:sz w:val="21"/>
              </w:rPr>
              <w:t>129,691,367.90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3,718,980.93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133,410,348.83</w:t>
            </w: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1469"/>
        <w:gridCol w:w="2071"/>
        <w:gridCol w:w="2125"/>
        <w:gridCol w:w="1988"/>
        <w:gridCol w:w="1982"/>
        <w:gridCol w:w="1136"/>
        <w:gridCol w:w="708"/>
        <w:gridCol w:w="1135"/>
        <w:gridCol w:w="1416"/>
      </w:tblGrid>
      <w:tr>
        <w:trPr>
          <w:trHeight w:val="324" w:hRule="exact"/>
        </w:trPr>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81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3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8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36" w:hRule="exact"/>
        </w:trPr>
        <w:tc>
          <w:tcPr>
            <w:tcW w:w="1469" w:type="dxa"/>
            <w:vMerge/>
            <w:tcBorders>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0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57"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41"/>
              <w:jc w:val="right"/>
              <w:rPr>
                <w:rFonts w:ascii="宋体" w:hAnsi="宋体" w:cs="宋体" w:eastAsia="宋体" w:hint="default"/>
                <w:sz w:val="21"/>
                <w:szCs w:val="21"/>
              </w:rPr>
            </w:pPr>
            <w:r>
              <w:rPr>
                <w:rFonts w:ascii="宋体" w:hAnsi="宋体" w:cs="宋体" w:eastAsia="宋体" w:hint="default"/>
                <w:spacing w:val="-2"/>
                <w:sz w:val="21"/>
                <w:szCs w:val="21"/>
              </w:rPr>
              <w:t>经营活动现金流量</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净利</w:t>
            </w:r>
          </w:p>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w w:val="100"/>
                <w:sz w:val="21"/>
                <w:szCs w:val="21"/>
              </w:rPr>
              <w:t>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综合收益</w:t>
            </w:r>
          </w:p>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总额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w:t>
            </w:r>
          </w:p>
          <w:p>
            <w:pPr>
              <w:pStyle w:val="TableParagraph"/>
              <w:spacing w:line="240" w:lineRule="auto" w:before="39"/>
              <w:ind w:left="4" w:right="0"/>
              <w:jc w:val="center"/>
              <w:rPr>
                <w:rFonts w:ascii="宋体" w:hAnsi="宋体" w:cs="宋体" w:eastAsia="宋体" w:hint="default"/>
                <w:sz w:val="21"/>
                <w:szCs w:val="21"/>
              </w:rPr>
            </w:pPr>
            <w:r>
              <w:rPr>
                <w:rFonts w:ascii="宋体" w:hAnsi="宋体" w:cs="宋体" w:eastAsia="宋体" w:hint="default"/>
                <w:sz w:val="21"/>
                <w:szCs w:val="21"/>
              </w:rPr>
              <w:t>金流量</w:t>
            </w:r>
          </w:p>
        </w:tc>
      </w:tr>
      <w:tr>
        <w:trPr>
          <w:trHeight w:val="9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54"/>
                <w:sz w:val="21"/>
                <w:szCs w:val="21"/>
              </w:rPr>
              <w:t> </w:t>
            </w:r>
            <w:r>
              <w:rPr>
                <w:rFonts w:ascii="宋体" w:hAnsi="宋体" w:cs="宋体" w:eastAsia="宋体" w:hint="default"/>
                <w:sz w:val="21"/>
                <w:szCs w:val="21"/>
              </w:rPr>
              <w:t>圳</w:t>
            </w:r>
            <w:r>
              <w:rPr>
                <w:rFonts w:ascii="宋体" w:hAnsi="宋体" w:cs="宋体" w:eastAsia="宋体" w:hint="default"/>
                <w:spacing w:val="-54"/>
                <w:sz w:val="21"/>
                <w:szCs w:val="21"/>
              </w:rPr>
              <w:t> </w:t>
            </w:r>
            <w:r>
              <w:rPr>
                <w:rFonts w:ascii="宋体" w:hAnsi="宋体" w:cs="宋体" w:eastAsia="宋体" w:hint="default"/>
                <w:sz w:val="21"/>
                <w:szCs w:val="21"/>
              </w:rPr>
              <w:t>太</w:t>
            </w:r>
            <w:r>
              <w:rPr>
                <w:rFonts w:ascii="宋体" w:hAnsi="宋体" w:cs="宋体" w:eastAsia="宋体" w:hint="default"/>
                <w:spacing w:val="-54"/>
                <w:sz w:val="21"/>
                <w:szCs w:val="21"/>
              </w:rPr>
              <w:t> </w:t>
            </w:r>
            <w:r>
              <w:rPr>
                <w:rFonts w:ascii="宋体" w:hAnsi="宋体" w:cs="宋体" w:eastAsia="宋体" w:hint="default"/>
                <w:sz w:val="21"/>
                <w:szCs w:val="21"/>
              </w:rPr>
              <w:t>极</w:t>
            </w:r>
            <w:r>
              <w:rPr>
                <w:rFonts w:ascii="宋体" w:hAnsi="宋体" w:cs="宋体" w:eastAsia="宋体" w:hint="default"/>
                <w:spacing w:val="-57"/>
                <w:sz w:val="21"/>
                <w:szCs w:val="21"/>
              </w:rPr>
              <w:t> </w:t>
            </w:r>
            <w:r>
              <w:rPr>
                <w:rFonts w:ascii="宋体" w:hAnsi="宋体" w:cs="宋体" w:eastAsia="宋体" w:hint="default"/>
                <w:sz w:val="21"/>
                <w:szCs w:val="21"/>
              </w:rPr>
              <w:t>云</w:t>
            </w:r>
          </w:p>
          <w:p>
            <w:pPr>
              <w:pStyle w:val="TableParagraph"/>
              <w:spacing w:line="273" w:lineRule="auto" w:before="39"/>
              <w:ind w:left="103" w:right="99"/>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54"/>
                <w:sz w:val="21"/>
                <w:szCs w:val="21"/>
              </w:rPr>
              <w:t> </w:t>
            </w:r>
            <w:r>
              <w:rPr>
                <w:rFonts w:ascii="宋体" w:hAnsi="宋体" w:cs="宋体" w:eastAsia="宋体" w:hint="default"/>
                <w:sz w:val="21"/>
                <w:szCs w:val="21"/>
              </w:rPr>
              <w:t>技</w:t>
            </w:r>
            <w:r>
              <w:rPr>
                <w:rFonts w:ascii="宋体" w:hAnsi="宋体" w:cs="宋体" w:eastAsia="宋体" w:hint="default"/>
                <w:spacing w:val="-54"/>
                <w:sz w:val="21"/>
                <w:szCs w:val="21"/>
              </w:rPr>
              <w:t> </w:t>
            </w:r>
            <w:r>
              <w:rPr>
                <w:rFonts w:ascii="宋体" w:hAnsi="宋体" w:cs="宋体" w:eastAsia="宋体" w:hint="default"/>
                <w:sz w:val="21"/>
                <w:szCs w:val="21"/>
              </w:rPr>
              <w:t>术</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8" w:right="0"/>
              <w:jc w:val="left"/>
              <w:rPr>
                <w:rFonts w:ascii="Times New Roman" w:hAnsi="Times New Roman" w:cs="Times New Roman" w:eastAsia="Times New Roman" w:hint="default"/>
                <w:sz w:val="21"/>
                <w:szCs w:val="21"/>
              </w:rPr>
            </w:pPr>
            <w:r>
              <w:rPr>
                <w:rFonts w:ascii="Times New Roman"/>
                <w:sz w:val="21"/>
              </w:rPr>
              <w:t>70,309,720.97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06" w:right="0"/>
              <w:jc w:val="left"/>
              <w:rPr>
                <w:rFonts w:ascii="Times New Roman" w:hAnsi="Times New Roman" w:cs="Times New Roman" w:eastAsia="Times New Roman" w:hint="default"/>
                <w:sz w:val="21"/>
                <w:szCs w:val="21"/>
              </w:rPr>
            </w:pPr>
            <w:r>
              <w:rPr>
                <w:rFonts w:ascii="Times New Roman"/>
                <w:sz w:val="21"/>
              </w:rPr>
              <w:t>24,879,286.14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64" w:right="0"/>
              <w:jc w:val="left"/>
              <w:rPr>
                <w:rFonts w:ascii="Times New Roman" w:hAnsi="Times New Roman" w:cs="Times New Roman" w:eastAsia="Times New Roman" w:hint="default"/>
                <w:sz w:val="21"/>
                <w:szCs w:val="21"/>
              </w:rPr>
            </w:pPr>
            <w:r>
              <w:rPr>
                <w:rFonts w:ascii="Times New Roman"/>
                <w:sz w:val="21"/>
              </w:rPr>
              <w:t>24,879,286.14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35,163,060.92</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20" w:right="0"/>
        <w:jc w:val="left"/>
      </w:pPr>
      <w:r>
        <w:rPr/>
        <w:t>其他说明：</w:t>
      </w:r>
    </w:p>
    <w:p>
      <w:pPr>
        <w:pStyle w:val="BodyText"/>
        <w:spacing w:line="273" w:lineRule="exact"/>
        <w:ind w:left="700" w:right="0"/>
        <w:jc w:val="left"/>
      </w:pPr>
      <w:r>
        <w:rPr/>
        <w:t>注：重要非全资子公司的主要财务信息以账面价值填列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before="76"/>
        <w:ind w:left="6797" w:right="6743" w:firstLine="0"/>
        <w:jc w:val="center"/>
        <w:rPr>
          <w:rFonts w:ascii="Times New Roman" w:hAnsi="Times New Roman" w:cs="Times New Roman" w:eastAsia="Times New Roman" w:hint="default"/>
          <w:sz w:val="18"/>
          <w:szCs w:val="18"/>
        </w:rPr>
      </w:pPr>
      <w:r>
        <w:rPr>
          <w:rFonts w:ascii="Times New Roman"/>
          <w:b/>
          <w:sz w:val="18"/>
        </w:rPr>
        <w:t>206 </w:t>
      </w:r>
      <w:r>
        <w:rPr>
          <w:rFonts w:ascii="Times New Roman"/>
          <w:sz w:val="18"/>
        </w:rPr>
        <w:t>/</w:t>
      </w:r>
      <w:r>
        <w:rPr>
          <w:rFonts w:ascii="Times New Roman"/>
          <w:spacing w:val="-2"/>
          <w:sz w:val="18"/>
        </w:rPr>
        <w:t> </w:t>
      </w:r>
      <w:r>
        <w:rPr>
          <w:rFonts w:ascii="Times New Roman"/>
          <w:b/>
          <w:sz w:val="18"/>
        </w:rPr>
        <w:t>238</w:t>
      </w:r>
      <w:r>
        <w:rPr>
          <w:rFonts w:ascii="Times New Roman"/>
          <w:sz w:val="18"/>
        </w:rPr>
      </w:r>
    </w:p>
    <w:p>
      <w:pPr>
        <w:spacing w:after="0"/>
        <w:jc w:val="center"/>
        <w:rPr>
          <w:rFonts w:ascii="Times New Roman" w:hAnsi="Times New Roman" w:cs="Times New Roman" w:eastAsia="Times New Roman" w:hint="default"/>
          <w:sz w:val="18"/>
          <w:szCs w:val="18"/>
        </w:rPr>
        <w:sectPr>
          <w:type w:val="continuous"/>
          <w:pgSz w:w="16840" w:h="11910" w:orient="landscape"/>
          <w:pgMar w:top="1580" w:bottom="280" w:left="1220" w:right="1360"/>
        </w:sect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8"/>
        <w:rPr>
          <w:rFonts w:ascii="Times New Roman" w:hAnsi="Times New Roman" w:cs="Times New Roman" w:eastAsia="Times New Roman" w:hint="default"/>
          <w:b/>
          <w:bCs/>
          <w:sz w:val="20"/>
          <w:szCs w:val="20"/>
        </w:rPr>
      </w:pPr>
    </w:p>
    <w:p>
      <w:pPr>
        <w:pStyle w:val="Heading4"/>
        <w:spacing w:line="240" w:lineRule="auto"/>
        <w:ind w:right="2631"/>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7"/>
        </w:rPr>
        <w:t> </w:t>
      </w:r>
      <w:r>
        <w:rPr/>
        <w:t>使用企业集团资产和清偿企业集团债务的重大限制</w:t>
      </w:r>
      <w:r>
        <w:rPr>
          <w:b w:val="0"/>
          <w:bCs w:val="0"/>
        </w:rPr>
      </w:r>
    </w:p>
    <w:p>
      <w:pPr>
        <w:pStyle w:val="BodyText"/>
        <w:spacing w:line="240" w:lineRule="auto" w:before="43"/>
        <w:ind w:left="698" w:right="2631"/>
        <w:jc w:val="left"/>
      </w:pPr>
      <w:r>
        <w:rPr/>
        <w:t>□适用 √不适用</w:t>
      </w:r>
    </w:p>
    <w:p>
      <w:pPr>
        <w:pStyle w:val="Heading4"/>
        <w:spacing w:line="240" w:lineRule="auto" w:before="56"/>
        <w:ind w:right="47"/>
        <w:jc w:val="left"/>
        <w:rPr>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27"/>
        </w:rPr>
        <w:t> </w:t>
      </w:r>
      <w:r>
        <w:rPr/>
        <w:t>向纳入合并财务报表范围的结构化主体提供的财务支持或其他支持</w:t>
      </w:r>
      <w:r>
        <w:rPr>
          <w:b w:val="0"/>
          <w:bCs w:val="0"/>
        </w:rPr>
      </w:r>
    </w:p>
    <w:p>
      <w:pPr>
        <w:pStyle w:val="BodyText"/>
        <w:tabs>
          <w:tab w:pos="1540" w:val="left" w:leader="none"/>
        </w:tabs>
        <w:spacing w:line="272" w:lineRule="exact" w:before="70"/>
        <w:ind w:left="698" w:right="6803"/>
        <w:jc w:val="left"/>
      </w:pPr>
      <w:r>
        <w:rPr/>
        <w:t>□适用</w:t>
        <w:tab/>
      </w:r>
      <w:r>
        <w:rPr>
          <w:spacing w:val="-2"/>
        </w:rPr>
        <w:t>√不适用</w:t>
      </w:r>
      <w:r>
        <w:rPr>
          <w:spacing w:val="-99"/>
        </w:rPr>
        <w:t> </w:t>
      </w:r>
      <w:r>
        <w:rPr>
          <w:spacing w:val="-99"/>
        </w:rPr>
      </w:r>
      <w:r>
        <w:rPr/>
        <w:t>其他说明：</w:t>
      </w:r>
    </w:p>
    <w:p>
      <w:pPr>
        <w:pStyle w:val="BodyText"/>
        <w:spacing w:line="246" w:lineRule="exact"/>
        <w:ind w:left="698" w:right="2631"/>
        <w:jc w:val="left"/>
      </w:pPr>
      <w:r>
        <w:rPr/>
        <w:t>□适用 √不适用</w:t>
      </w:r>
    </w:p>
    <w:p>
      <w:pPr>
        <w:pStyle w:val="Heading4"/>
        <w:spacing w:line="240" w:lineRule="auto" w:before="58"/>
        <w:ind w:right="2631"/>
        <w:jc w:val="left"/>
        <w:rPr>
          <w:b w:val="0"/>
          <w:bCs w:val="0"/>
        </w:rPr>
      </w:pPr>
      <w:r>
        <w:rPr>
          <w:rFonts w:ascii="Times New Roman" w:hAnsi="Times New Roman" w:cs="Times New Roman" w:eastAsia="Times New Roman"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40"/>
        <w:ind w:left="698" w:right="2631"/>
        <w:jc w:val="left"/>
      </w:pPr>
      <w:r>
        <w:rPr/>
        <w:t>√适用 □不适用</w:t>
      </w:r>
    </w:p>
    <w:p>
      <w:pPr>
        <w:pStyle w:val="Heading4"/>
        <w:spacing w:line="240" w:lineRule="auto" w:before="58"/>
        <w:ind w:right="2631"/>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1"/>
        </w:rPr>
        <w:t> </w:t>
      </w:r>
      <w:r>
        <w:rPr/>
        <w:t>在子公司所有者权益份额的变化情况的说明</w:t>
      </w:r>
      <w:r>
        <w:rPr>
          <w:b w:val="0"/>
          <w:bCs w:val="0"/>
        </w:rPr>
      </w:r>
    </w:p>
    <w:p>
      <w:pPr>
        <w:pStyle w:val="BodyText"/>
        <w:tabs>
          <w:tab w:pos="1540" w:val="left" w:leader="none"/>
        </w:tabs>
        <w:spacing w:line="240" w:lineRule="auto" w:before="41"/>
        <w:ind w:left="698" w:right="2631"/>
        <w:jc w:val="left"/>
      </w:pPr>
      <w:r>
        <w:rPr/>
        <w:t>√适用</w:t>
        <w:tab/>
        <w:t>□不适用</w:t>
      </w:r>
    </w:p>
    <w:p>
      <w:pPr>
        <w:spacing w:line="240" w:lineRule="auto" w:before="5"/>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2165"/>
        <w:gridCol w:w="2650"/>
        <w:gridCol w:w="1999"/>
        <w:gridCol w:w="2009"/>
      </w:tblGrid>
      <w:tr>
        <w:trPr>
          <w:trHeight w:val="370"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51"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变动时间</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9" w:right="0"/>
              <w:jc w:val="left"/>
              <w:rPr>
                <w:rFonts w:ascii="宋体" w:hAnsi="宋体" w:cs="宋体" w:eastAsia="宋体" w:hint="default"/>
                <w:sz w:val="21"/>
                <w:szCs w:val="21"/>
              </w:rPr>
            </w:pPr>
            <w:r>
              <w:rPr>
                <w:rFonts w:ascii="宋体" w:hAnsi="宋体" w:cs="宋体" w:eastAsia="宋体" w:hint="default"/>
                <w:sz w:val="21"/>
                <w:szCs w:val="21"/>
              </w:rPr>
              <w:t>变动前持股比例</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3" w:right="0"/>
              <w:jc w:val="left"/>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730"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56"/>
              <w:jc w:val="left"/>
              <w:rPr>
                <w:rFonts w:ascii="宋体" w:hAnsi="宋体" w:cs="宋体" w:eastAsia="宋体" w:hint="default"/>
                <w:sz w:val="21"/>
                <w:szCs w:val="21"/>
              </w:rPr>
            </w:pPr>
            <w:r>
              <w:rPr>
                <w:rFonts w:ascii="宋体" w:hAnsi="宋体" w:cs="宋体" w:eastAsia="宋体" w:hint="default"/>
                <w:sz w:val="21"/>
                <w:szCs w:val="21"/>
              </w:rPr>
              <w:t>福建南慧大数据科技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r>
    </w:tbl>
    <w:p>
      <w:pPr>
        <w:pStyle w:val="BodyText"/>
        <w:spacing w:line="297" w:lineRule="auto" w:before="42"/>
        <w:ind w:right="139" w:firstLine="41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日，公司与福建南慧大数据科技有限公司（</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日前名称为北京</w:t>
      </w:r>
      <w:r>
        <w:rPr>
          <w:w w:val="100"/>
        </w:rPr>
        <w:t> </w:t>
      </w:r>
      <w:r>
        <w:rPr/>
        <w:t>思明德大数据科技有限公司）原少数股东</w:t>
      </w:r>
      <w:r>
        <w:rPr>
          <w:spacing w:val="-57"/>
        </w:rPr>
        <w:t> </w:t>
      </w:r>
      <w:r>
        <w:rPr>
          <w:rFonts w:ascii="Times New Roman" w:hAnsi="Times New Roman" w:cs="Times New Roman" w:eastAsia="Times New Roman" w:hint="default"/>
        </w:rPr>
        <w:t>SIMUMIND</w:t>
      </w:r>
      <w:r>
        <w:rPr>
          <w:rFonts w:ascii="Times New Roman" w:hAnsi="Times New Roman" w:cs="Times New Roman" w:eastAsia="Times New Roman" w:hint="default"/>
          <w:spacing w:val="-3"/>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3"/>
        </w:rPr>
        <w:t> </w:t>
      </w:r>
      <w:r>
        <w:rPr>
          <w:rFonts w:ascii="Times New Roman" w:hAnsi="Times New Roman" w:cs="Times New Roman" w:eastAsia="Times New Roman" w:hint="default"/>
        </w:rPr>
        <w:t>LTD</w:t>
      </w:r>
      <w:r>
        <w:rPr>
          <w:rFonts w:ascii="Times New Roman" w:hAnsi="Times New Roman" w:cs="Times New Roman" w:eastAsia="Times New Roman" w:hint="default"/>
          <w:spacing w:val="-3"/>
        </w:rPr>
        <w:t> </w:t>
      </w:r>
      <w:r>
        <w:rPr/>
        <w:t>签订股权转让协议，</w:t>
      </w:r>
      <w:r>
        <w:rPr>
          <w:w w:val="100"/>
        </w:rPr>
        <w:t> </w:t>
      </w:r>
      <w:r>
        <w:rPr/>
        <w:t>以</w:t>
      </w:r>
      <w:r>
        <w:rPr>
          <w:spacing w:val="-56"/>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元的价格受让</w:t>
      </w:r>
      <w:r>
        <w:rPr>
          <w:spacing w:val="-56"/>
        </w:rPr>
        <w:t> </w:t>
      </w:r>
      <w:r>
        <w:rPr>
          <w:rFonts w:ascii="Times New Roman" w:hAnsi="Times New Roman" w:cs="Times New Roman" w:eastAsia="Times New Roman" w:hint="default"/>
        </w:rPr>
        <w:t>SIMUMIND</w:t>
      </w:r>
      <w:r>
        <w:rPr>
          <w:rFonts w:ascii="Times New Roman" w:hAnsi="Times New Roman" w:cs="Times New Roman" w:eastAsia="Times New Roman" w:hint="default"/>
          <w:spacing w:val="-2"/>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2"/>
        </w:rPr>
        <w:t> </w:t>
      </w:r>
      <w:r>
        <w:rPr>
          <w:rFonts w:ascii="Times New Roman" w:hAnsi="Times New Roman" w:cs="Times New Roman" w:eastAsia="Times New Roman" w:hint="default"/>
        </w:rPr>
        <w:t>LTD</w:t>
      </w:r>
      <w:r>
        <w:rPr>
          <w:rFonts w:ascii="Times New Roman" w:hAnsi="Times New Roman" w:cs="Times New Roman" w:eastAsia="Times New Roman" w:hint="default"/>
          <w:spacing w:val="-2"/>
        </w:rPr>
        <w:t> </w:t>
      </w:r>
      <w:r>
        <w:rPr/>
        <w:t>所持有的福建南慧大数据科技有限公司的认</w:t>
      </w:r>
      <w:r>
        <w:rPr>
          <w:w w:val="100"/>
        </w:rPr>
        <w:t> </w:t>
      </w:r>
      <w:r>
        <w:rPr/>
        <w:t>缴出资额</w:t>
      </w:r>
      <w:r>
        <w:rPr>
          <w:spacing w:val="-53"/>
        </w:rPr>
        <w:t> </w:t>
      </w:r>
      <w:r>
        <w:rPr>
          <w:rFonts w:ascii="Times New Roman" w:hAnsi="Times New Roman" w:cs="Times New Roman" w:eastAsia="Times New Roman" w:hint="default"/>
        </w:rPr>
        <w:t>735 </w:t>
      </w:r>
      <w:r>
        <w:rPr/>
        <w:t>万元。本次股权受让于</w:t>
      </w:r>
      <w:r>
        <w:rPr>
          <w:spacing w:val="-52"/>
        </w:rPr>
        <w:t> </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4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日完成工商变更手续。</w:t>
      </w:r>
    </w:p>
    <w:p>
      <w:pPr>
        <w:pStyle w:val="BodyText"/>
        <w:spacing w:line="297" w:lineRule="auto" w:before="26"/>
        <w:ind w:right="128" w:firstLine="41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26</w:t>
      </w:r>
      <w:r>
        <w:rPr>
          <w:rFonts w:ascii="Times New Roman" w:hAnsi="Times New Roman" w:cs="Times New Roman" w:eastAsia="Times New Roman" w:hint="default"/>
          <w:spacing w:val="10"/>
        </w:rPr>
        <w:t> </w:t>
      </w:r>
      <w:r>
        <w:rPr>
          <w:spacing w:val="-3"/>
        </w:rPr>
        <w:t>日，北京思明德大数据科技有限公司迁址至泉州，同时更名为福建南慧大数</w:t>
      </w:r>
      <w:r>
        <w:rPr>
          <w:w w:val="100"/>
        </w:rPr>
        <w:t> </w:t>
      </w:r>
      <w:r>
        <w:rPr/>
        <w:t>据科技有限公司。</w:t>
      </w:r>
    </w:p>
    <w:p>
      <w:pPr>
        <w:pStyle w:val="Heading4"/>
        <w:spacing w:line="240" w:lineRule="auto" w:before="6"/>
        <w:ind w:right="2631"/>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18"/>
        </w:rPr>
        <w:t> </w:t>
      </w:r>
      <w:r>
        <w:rPr/>
        <w:t>交易对于少数股东权益及归属于母公司所有者权益的影响</w:t>
      </w:r>
      <w:r>
        <w:rPr>
          <w:b w:val="0"/>
          <w:bCs w:val="0"/>
        </w:rPr>
      </w:r>
    </w:p>
    <w:p>
      <w:pPr>
        <w:pStyle w:val="BodyText"/>
        <w:tabs>
          <w:tab w:pos="1540" w:val="left" w:leader="none"/>
        </w:tabs>
        <w:spacing w:line="240" w:lineRule="auto" w:before="43"/>
        <w:ind w:left="698" w:right="2631"/>
        <w:jc w:val="left"/>
      </w:pPr>
      <w:r>
        <w:rPr/>
        <w:t>√适用</w:t>
        <w:tab/>
        <w:t>□不适用</w:t>
      </w:r>
    </w:p>
    <w:p>
      <w:pPr>
        <w:pStyle w:val="BodyText"/>
        <w:tabs>
          <w:tab w:pos="946" w:val="left" w:leader="none"/>
        </w:tabs>
        <w:spacing w:line="271" w:lineRule="exact"/>
        <w:ind w:left="0" w:right="1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4390"/>
        <w:gridCol w:w="4434"/>
      </w:tblGrid>
      <w:tr>
        <w:trPr>
          <w:trHeight w:val="322" w:hRule="exact"/>
        </w:trPr>
        <w:tc>
          <w:tcPr>
            <w:tcW w:w="4390" w:type="dxa"/>
            <w:tcBorders>
              <w:top w:val="single" w:sz="4" w:space="0" w:color="000000"/>
              <w:left w:val="single" w:sz="4" w:space="0" w:color="000000"/>
              <w:bottom w:val="single" w:sz="4" w:space="0" w:color="000000"/>
              <w:right w:val="single" w:sz="4" w:space="0" w:color="000000"/>
            </w:tcBorders>
          </w:tcPr>
          <w:p>
            <w:pP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6" w:right="0"/>
              <w:jc w:val="left"/>
              <w:rPr>
                <w:rFonts w:ascii="宋体" w:hAnsi="宋体" w:cs="宋体" w:eastAsia="宋体" w:hint="default"/>
                <w:sz w:val="21"/>
                <w:szCs w:val="21"/>
              </w:rPr>
            </w:pPr>
            <w:r>
              <w:rPr>
                <w:rFonts w:ascii="宋体" w:hAnsi="宋体" w:cs="宋体" w:eastAsia="宋体" w:hint="default"/>
                <w:sz w:val="21"/>
                <w:szCs w:val="21"/>
              </w:rPr>
              <w:t>福建南慧大数据科技有限公司</w:t>
            </w:r>
          </w:p>
        </w:tc>
      </w:tr>
      <w:tr>
        <w:trPr>
          <w:trHeight w:val="32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4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90" w:type="dxa"/>
            <w:tcBorders>
              <w:top w:val="single" w:sz="4" w:space="0" w:color="000000"/>
              <w:left w:val="single" w:sz="4" w:space="0" w:color="000000"/>
              <w:bottom w:val="single" w:sz="4" w:space="0" w:color="000000"/>
              <w:right w:val="single" w:sz="4" w:space="0" w:color="000000"/>
            </w:tcBorders>
          </w:tcPr>
          <w:p>
            <w:pPr/>
          </w:p>
        </w:tc>
        <w:tc>
          <w:tcPr>
            <w:tcW w:w="44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443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处置的股权比例计算的子公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司净资产份额</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439,768.99</w:t>
            </w:r>
          </w:p>
        </w:tc>
      </w:tr>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-439,768.99</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-439,768.99</w:t>
            </w:r>
          </w:p>
        </w:tc>
      </w:tr>
      <w:tr>
        <w:trPr>
          <w:trHeight w:val="32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4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44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2631"/>
        <w:jc w:val="left"/>
      </w:pPr>
      <w:r>
        <w:rPr/>
        <w:t>其他说明</w:t>
      </w:r>
    </w:p>
    <w:p>
      <w:pPr>
        <w:pStyle w:val="BodyText"/>
        <w:spacing w:line="273" w:lineRule="exact"/>
        <w:ind w:right="2631"/>
        <w:jc w:val="left"/>
      </w:pPr>
      <w:r>
        <w:rPr/>
        <w:t>□适用</w:t>
      </w:r>
      <w:r>
        <w:rPr>
          <w:spacing w:val="-1"/>
        </w:rPr>
        <w:t> </w:t>
      </w:r>
      <w:r>
        <w:rPr/>
        <w:t>√不适用</w:t>
      </w:r>
    </w:p>
    <w:p>
      <w:pPr>
        <w:pStyle w:val="Heading4"/>
        <w:spacing w:line="240" w:lineRule="auto" w:before="58"/>
        <w:ind w:right="2631"/>
        <w:jc w:val="left"/>
        <w:rPr>
          <w:b w:val="0"/>
          <w:bCs w:val="0"/>
        </w:rPr>
      </w:pPr>
      <w:r>
        <w:rPr>
          <w:rFonts w:ascii="Times New Roman" w:hAnsi="Times New Roman" w:cs="Times New Roman" w:eastAsia="Times New Roman" w:hint="default"/>
        </w:rPr>
        <w:t>3</w:t>
      </w:r>
      <w:r>
        <w:rPr/>
        <w:t>、</w:t>
      </w:r>
      <w:r>
        <w:rPr>
          <w:spacing w:val="-3"/>
        </w:rPr>
        <w:t> </w:t>
      </w:r>
      <w:r>
        <w:rPr/>
        <w:t>在合营企业或联营企业中的权益</w:t>
      </w:r>
      <w:r>
        <w:rPr>
          <w:b w:val="0"/>
          <w:bCs w:val="0"/>
        </w:rPr>
      </w:r>
    </w:p>
    <w:p>
      <w:pPr>
        <w:pStyle w:val="BodyText"/>
        <w:spacing w:line="240" w:lineRule="auto" w:before="40"/>
        <w:ind w:left="698" w:right="2631"/>
        <w:jc w:val="left"/>
      </w:pPr>
      <w:r>
        <w:rPr/>
        <w:t>√适用 □不适用</w:t>
      </w:r>
    </w:p>
    <w:p>
      <w:pPr>
        <w:pStyle w:val="Heading4"/>
        <w:spacing w:line="240" w:lineRule="auto" w:before="59"/>
        <w:ind w:right="2631"/>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6"/>
        </w:rPr>
        <w:t> </w:t>
      </w:r>
      <w:r>
        <w:rPr/>
        <w:t>重要的合营企业或联营企业</w:t>
      </w:r>
      <w:r>
        <w:rPr>
          <w:b w:val="0"/>
          <w:bCs w:val="0"/>
        </w:rPr>
      </w:r>
    </w:p>
    <w:p>
      <w:pPr>
        <w:pStyle w:val="BodyText"/>
        <w:tabs>
          <w:tab w:pos="1540" w:val="left" w:leader="none"/>
        </w:tabs>
        <w:spacing w:line="240" w:lineRule="auto" w:before="40"/>
        <w:ind w:left="698" w:right="2631"/>
        <w:jc w:val="left"/>
      </w:pPr>
      <w:r>
        <w:rPr/>
        <w:t>□适用</w:t>
        <w:tab/>
        <w:t>√不适用</w:t>
      </w:r>
    </w:p>
    <w:p>
      <w:pPr>
        <w:spacing w:after="0" w:line="240" w:lineRule="auto"/>
        <w:jc w:val="left"/>
        <w:sectPr>
          <w:footerReference w:type="default" r:id="rId69"/>
          <w:pgSz w:w="11910" w:h="16840"/>
          <w:pgMar w:footer="979" w:header="0" w:top="1120" w:bottom="1160" w:left="1580" w:right="1140"/>
          <w:pgNumType w:start="207"/>
        </w:sect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79" w:top="1120" w:bottom="1160" w:left="1580" w:right="1040"/>
        </w:sectPr>
      </w:pPr>
    </w:p>
    <w:p>
      <w:pPr>
        <w:pStyle w:val="Heading4"/>
        <w:spacing w:line="240" w:lineRule="auto"/>
        <w:ind w:right="-17"/>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19"/>
        </w:rPr>
        <w:t> </w:t>
      </w:r>
      <w:r>
        <w:rPr/>
        <w:t>重要合营企业的主要财务信息</w:t>
      </w:r>
      <w:r>
        <w:rPr>
          <w:b w:val="0"/>
          <w:bCs w:val="0"/>
        </w:rPr>
      </w:r>
    </w:p>
    <w:p>
      <w:pPr>
        <w:pStyle w:val="BodyText"/>
        <w:tabs>
          <w:tab w:pos="1540" w:val="left" w:leader="none"/>
        </w:tabs>
        <w:spacing w:line="240" w:lineRule="auto" w:before="43"/>
        <w:ind w:left="698" w:right="-17"/>
        <w:jc w:val="left"/>
      </w:pPr>
      <w:r>
        <w:rPr/>
        <w:t>□适用</w:t>
        <w:tab/>
        <w:t>√不适用</w:t>
      </w:r>
    </w:p>
    <w:p>
      <w:pPr>
        <w:pStyle w:val="Heading4"/>
        <w:spacing w:line="240" w:lineRule="auto" w:before="56"/>
        <w:ind w:right="-17"/>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19"/>
        </w:rPr>
        <w:t> </w:t>
      </w:r>
      <w:r>
        <w:rPr/>
        <w:t>重要联营企业的主要财务信息</w:t>
      </w:r>
      <w:r>
        <w:rPr>
          <w:b w:val="0"/>
          <w:bCs w:val="0"/>
        </w:rPr>
      </w:r>
    </w:p>
    <w:p>
      <w:pPr>
        <w:pStyle w:val="BodyText"/>
        <w:tabs>
          <w:tab w:pos="1540" w:val="left" w:leader="none"/>
        </w:tabs>
        <w:spacing w:line="240" w:lineRule="auto" w:before="43"/>
        <w:ind w:left="698" w:right="-17"/>
        <w:jc w:val="left"/>
      </w:pPr>
      <w:r>
        <w:rPr/>
        <w:t>□适用</w:t>
        <w:tab/>
        <w:t>√不适用</w:t>
      </w:r>
    </w:p>
    <w:p>
      <w:pPr>
        <w:pStyle w:val="Heading4"/>
        <w:spacing w:line="240" w:lineRule="auto" w:before="56"/>
        <w:ind w:right="-17"/>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9"/>
        </w:rPr>
        <w:t> </w:t>
      </w:r>
      <w:r>
        <w:rPr/>
        <w:t>不重要的合营企业和联营企业的汇总财务信息</w:t>
      </w:r>
      <w:r>
        <w:rPr>
          <w:b w:val="0"/>
          <w:bCs w:val="0"/>
        </w:rPr>
      </w:r>
    </w:p>
    <w:p>
      <w:pPr>
        <w:pStyle w:val="BodyText"/>
        <w:tabs>
          <w:tab w:pos="1540" w:val="left" w:leader="none"/>
        </w:tabs>
        <w:spacing w:line="240" w:lineRule="auto" w:before="43"/>
        <w:ind w:left="698"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8"/>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923" w:space="159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7"/>
              <w:jc w:val="righ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3" w:right="0"/>
              <w:jc w:val="left"/>
              <w:rPr>
                <w:rFonts w:ascii="宋体" w:hAnsi="宋体" w:cs="宋体" w:eastAsia="宋体" w:hint="default"/>
                <w:sz w:val="21"/>
                <w:szCs w:val="21"/>
              </w:rPr>
            </w:pPr>
            <w:r>
              <w:rPr>
                <w:rFonts w:ascii="宋体" w:hAnsi="宋体" w:cs="宋体" w:eastAsia="宋体" w:hint="default"/>
                <w:sz w:val="21"/>
                <w:szCs w:val="21"/>
              </w:rPr>
              <w:t>下列各项按持股比例计</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算的合计数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8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8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8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195,522,147.61</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89,199,109.24</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3" w:right="0"/>
              <w:jc w:val="left"/>
              <w:rPr>
                <w:rFonts w:ascii="宋体" w:hAnsi="宋体" w:cs="宋体" w:eastAsia="宋体" w:hint="default"/>
                <w:sz w:val="21"/>
                <w:szCs w:val="21"/>
              </w:rPr>
            </w:pPr>
            <w:r>
              <w:rPr>
                <w:rFonts w:ascii="宋体" w:hAnsi="宋体" w:cs="宋体" w:eastAsia="宋体" w:hint="default"/>
                <w:sz w:val="21"/>
                <w:szCs w:val="21"/>
              </w:rPr>
              <w:t>下列各项按持股比例计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算的合计数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1,212,668.87</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-1,152,007.32</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1,212,668.87</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-1,152,007.32</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资本公积</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-3,170,385.18</w:t>
            </w:r>
          </w:p>
        </w:tc>
        <w:tc>
          <w:tcPr>
            <w:tcW w:w="307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pStyle w:val="BodyText"/>
        <w:spacing w:line="240" w:lineRule="exact"/>
        <w:ind w:right="-4"/>
        <w:jc w:val="left"/>
      </w:pPr>
      <w:r>
        <w:rPr/>
        <w:t>其他说明</w:t>
      </w:r>
    </w:p>
    <w:p>
      <w:pPr>
        <w:pStyle w:val="BodyText"/>
        <w:spacing w:line="274" w:lineRule="exact"/>
        <w:ind w:left="698" w:right="-4"/>
        <w:jc w:val="left"/>
      </w:pPr>
      <w:r>
        <w:rPr>
          <w:w w:val="100"/>
        </w:rPr>
        <w:t>无</w:t>
      </w:r>
    </w:p>
    <w:p>
      <w:pPr>
        <w:pStyle w:val="Heading4"/>
        <w:spacing w:line="240" w:lineRule="auto" w:before="56"/>
        <w:ind w:right="-4"/>
        <w:jc w:val="left"/>
        <w:rPr>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27"/>
        </w:rPr>
        <w:t> </w:t>
      </w:r>
      <w:r>
        <w:rPr/>
        <w:t>合营企业或联营企业向本公司转移资金的能力存在重大限制的说明</w:t>
      </w:r>
      <w:r>
        <w:rPr>
          <w:b w:val="0"/>
          <w:bCs w:val="0"/>
        </w:rPr>
      </w:r>
    </w:p>
    <w:p>
      <w:pPr>
        <w:pStyle w:val="BodyText"/>
        <w:tabs>
          <w:tab w:pos="1540" w:val="left" w:leader="none"/>
        </w:tabs>
        <w:spacing w:line="240" w:lineRule="auto" w:before="43"/>
        <w:ind w:left="698" w:right="-4"/>
        <w:jc w:val="left"/>
      </w:pPr>
      <w:r>
        <w:rPr/>
        <w:t>□适用</w:t>
        <w:tab/>
        <w:t>√不适用</w:t>
      </w:r>
    </w:p>
    <w:p>
      <w:pPr>
        <w:pStyle w:val="Heading4"/>
        <w:spacing w:line="240" w:lineRule="auto" w:before="56"/>
        <w:ind w:right="-4"/>
        <w:jc w:val="left"/>
        <w:rPr>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28"/>
        </w:rPr>
        <w:t> </w:t>
      </w:r>
      <w:r>
        <w:rPr/>
        <w:t>合营企业或联营企业发生的超额亏损</w:t>
      </w:r>
      <w:r>
        <w:rPr>
          <w:b w:val="0"/>
          <w:bCs w:val="0"/>
        </w:rPr>
      </w:r>
    </w:p>
    <w:p>
      <w:pPr>
        <w:pStyle w:val="BodyText"/>
        <w:tabs>
          <w:tab w:pos="1540" w:val="left" w:leader="none"/>
        </w:tabs>
        <w:spacing w:line="240" w:lineRule="auto" w:before="43"/>
        <w:ind w:left="698" w:right="-4"/>
        <w:jc w:val="left"/>
      </w:pPr>
      <w:r>
        <w:rPr/>
        <w:t>□适用</w:t>
        <w:tab/>
        <w:t>√不适用</w:t>
      </w:r>
    </w:p>
    <w:p>
      <w:pPr>
        <w:pStyle w:val="Heading4"/>
        <w:spacing w:line="240" w:lineRule="auto" w:before="56"/>
        <w:ind w:right="-4"/>
        <w:jc w:val="left"/>
        <w:rPr>
          <w:b w:val="0"/>
          <w:bCs w:val="0"/>
        </w:rPr>
      </w:pPr>
      <w:r>
        <w:rPr>
          <w:rFonts w:ascii="Times New Roman" w:hAnsi="Times New Roman" w:cs="Times New Roman" w:eastAsia="Times New Roman" w:hint="default"/>
        </w:rPr>
        <w:t>(7).  </w:t>
      </w:r>
      <w:r>
        <w:rPr>
          <w:rFonts w:ascii="Times New Roman" w:hAnsi="Times New Roman" w:cs="Times New Roman" w:eastAsia="Times New Roman" w:hint="default"/>
          <w:spacing w:val="27"/>
        </w:rPr>
        <w:t> </w:t>
      </w:r>
      <w:r>
        <w:rPr/>
        <w:t>与合营企业投资相关的未确认承诺</w:t>
      </w:r>
      <w:r>
        <w:rPr>
          <w:b w:val="0"/>
          <w:bCs w:val="0"/>
        </w:rPr>
      </w:r>
    </w:p>
    <w:p>
      <w:pPr>
        <w:pStyle w:val="BodyText"/>
        <w:tabs>
          <w:tab w:pos="1540" w:val="left" w:leader="none"/>
        </w:tabs>
        <w:spacing w:line="240" w:lineRule="auto" w:before="40"/>
        <w:ind w:left="698" w:right="-4"/>
        <w:jc w:val="left"/>
      </w:pPr>
      <w:r>
        <w:rPr/>
        <w:t>□适用</w:t>
        <w:tab/>
        <w:t>√不适用</w:t>
      </w:r>
    </w:p>
    <w:p>
      <w:pPr>
        <w:pStyle w:val="Heading4"/>
        <w:spacing w:line="240" w:lineRule="auto" w:before="58"/>
        <w:ind w:right="-4"/>
        <w:jc w:val="left"/>
        <w:rPr>
          <w:b w:val="0"/>
          <w:bCs w:val="0"/>
        </w:rPr>
      </w:pPr>
      <w:r>
        <w:rPr>
          <w:rFonts w:ascii="Times New Roman" w:hAnsi="Times New Roman" w:cs="Times New Roman" w:eastAsia="Times New Roman" w:hint="default"/>
        </w:rPr>
        <w:t>(8).  </w:t>
      </w:r>
      <w:r>
        <w:rPr>
          <w:rFonts w:ascii="Times New Roman" w:hAnsi="Times New Roman" w:cs="Times New Roman" w:eastAsia="Times New Roman" w:hint="default"/>
          <w:spacing w:val="29"/>
        </w:rPr>
        <w:t> </w:t>
      </w:r>
      <w:r>
        <w:rPr/>
        <w:t>与合营企业或联营企业投资相关的或有负债</w:t>
      </w:r>
      <w:r>
        <w:rPr>
          <w:b w:val="0"/>
          <w:bCs w:val="0"/>
        </w:rPr>
      </w:r>
    </w:p>
    <w:p>
      <w:pPr>
        <w:pStyle w:val="BodyText"/>
        <w:tabs>
          <w:tab w:pos="1540" w:val="left" w:leader="none"/>
        </w:tabs>
        <w:spacing w:line="240" w:lineRule="auto" w:before="41"/>
        <w:ind w:left="698" w:right="-4"/>
        <w:jc w:val="left"/>
      </w:pPr>
      <w:r>
        <w:rPr/>
        <w:t>√适用</w:t>
        <w:tab/>
        <w:t>□不适用</w:t>
      </w:r>
    </w:p>
    <w:p>
      <w:pPr>
        <w:pStyle w:val="BodyText"/>
        <w:spacing w:line="240" w:lineRule="auto" w:before="75"/>
        <w:ind w:left="698" w:right="-4"/>
        <w:jc w:val="left"/>
      </w:pPr>
      <w:r>
        <w:rPr/>
        <w:t>截至</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日，公司为福建神威提供的有效连带责任担保如下：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108" w:right="0"/>
        <w:jc w:val="left"/>
      </w:pPr>
      <w:r>
        <w:rPr/>
        <w:t>单位：万元</w:t>
      </w:r>
    </w:p>
    <w:p>
      <w:pPr>
        <w:spacing w:after="0" w:line="240" w:lineRule="auto"/>
        <w:jc w:val="left"/>
        <w:sectPr>
          <w:type w:val="continuous"/>
          <w:pgSz w:w="11910" w:h="16840"/>
          <w:pgMar w:top="1580" w:bottom="280" w:left="1580" w:right="1040"/>
          <w:cols w:num="2" w:equalWidth="0">
            <w:col w:w="7528" w:space="40"/>
            <w:col w:w="1722"/>
          </w:cols>
        </w:sectPr>
      </w:pPr>
    </w:p>
    <w:p>
      <w:pPr>
        <w:spacing w:line="240" w:lineRule="auto" w:before="3"/>
        <w:rPr>
          <w:rFonts w:ascii="宋体" w:hAnsi="宋体" w:cs="宋体" w:eastAsia="宋体" w:hint="default"/>
          <w:sz w:val="3"/>
          <w:szCs w:val="3"/>
        </w:rPr>
      </w:pPr>
    </w:p>
    <w:tbl>
      <w:tblPr>
        <w:tblW w:w="0" w:type="auto"/>
        <w:jc w:val="left"/>
        <w:tblInd w:w="172" w:type="dxa"/>
        <w:tblLayout w:type="fixed"/>
        <w:tblCellMar>
          <w:top w:w="0" w:type="dxa"/>
          <w:left w:w="0" w:type="dxa"/>
          <w:bottom w:w="0" w:type="dxa"/>
          <w:right w:w="0" w:type="dxa"/>
        </w:tblCellMar>
        <w:tblLook w:val="01E0"/>
      </w:tblPr>
      <w:tblGrid>
        <w:gridCol w:w="1450"/>
        <w:gridCol w:w="2473"/>
        <w:gridCol w:w="1164"/>
        <w:gridCol w:w="2516"/>
        <w:gridCol w:w="1313"/>
      </w:tblGrid>
      <w:tr>
        <w:trPr>
          <w:trHeight w:val="406" w:hRule="exact"/>
        </w:trPr>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贷款方</w:t>
            </w:r>
          </w:p>
        </w:tc>
        <w:tc>
          <w:tcPr>
            <w:tcW w:w="61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担保合同</w:t>
            </w:r>
          </w:p>
        </w:tc>
        <w:tc>
          <w:tcPr>
            <w:tcW w:w="1313" w:type="dxa"/>
            <w:vMerge w:val="restart"/>
            <w:tcBorders>
              <w:top w:val="single" w:sz="4" w:space="0" w:color="000000"/>
              <w:left w:val="single" w:sz="4" w:space="0" w:color="000000"/>
              <w:right w:val="single" w:sz="4" w:space="0" w:color="000000"/>
            </w:tcBorders>
          </w:tcPr>
          <w:p>
            <w:pPr>
              <w:pStyle w:val="TableParagraph"/>
              <w:spacing w:line="314" w:lineRule="auto" w:before="86"/>
              <w:ind w:left="335" w:right="122" w:hanging="212"/>
              <w:jc w:val="left"/>
              <w:rPr>
                <w:rFonts w:ascii="宋体" w:hAnsi="宋体" w:cs="宋体" w:eastAsia="宋体" w:hint="default"/>
                <w:sz w:val="21"/>
                <w:szCs w:val="21"/>
              </w:rPr>
            </w:pPr>
            <w:r>
              <w:rPr>
                <w:rFonts w:ascii="宋体" w:hAnsi="宋体" w:cs="宋体" w:eastAsia="宋体" w:hint="default"/>
                <w:sz w:val="21"/>
                <w:szCs w:val="21"/>
              </w:rPr>
              <w:t>期末实际担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保余额</w:t>
            </w:r>
          </w:p>
        </w:tc>
      </w:tr>
      <w:tr>
        <w:trPr>
          <w:trHeight w:val="408" w:hRule="exact"/>
        </w:trPr>
        <w:tc>
          <w:tcPr>
            <w:tcW w:w="1450" w:type="dxa"/>
            <w:vMerge/>
            <w:tcBorders>
              <w:left w:val="single" w:sz="4" w:space="0" w:color="000000"/>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11" w:right="0"/>
              <w:jc w:val="left"/>
              <w:rPr>
                <w:rFonts w:ascii="宋体" w:hAnsi="宋体" w:cs="宋体" w:eastAsia="宋体" w:hint="default"/>
                <w:sz w:val="21"/>
                <w:szCs w:val="21"/>
              </w:rPr>
            </w:pPr>
            <w:r>
              <w:rPr>
                <w:rFonts w:ascii="宋体" w:hAnsi="宋体" w:cs="宋体" w:eastAsia="宋体" w:hint="default"/>
                <w:sz w:val="21"/>
                <w:szCs w:val="21"/>
              </w:rPr>
              <w:t>担保合同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有效期</w:t>
            </w:r>
          </w:p>
        </w:tc>
        <w:tc>
          <w:tcPr>
            <w:tcW w:w="1313" w:type="dxa"/>
            <w:vMerge/>
            <w:tcBorders>
              <w:left w:val="single" w:sz="4" w:space="0" w:color="000000"/>
              <w:bottom w:val="single" w:sz="4" w:space="0" w:color="000000"/>
              <w:right w:val="single" w:sz="4" w:space="0" w:color="000000"/>
            </w:tcBorders>
          </w:tcPr>
          <w:p>
            <w:pPr/>
          </w:p>
        </w:tc>
      </w:tr>
      <w:tr>
        <w:trPr>
          <w:trHeight w:val="1090"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03" w:right="99"/>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59"/>
                <w:sz w:val="21"/>
                <w:szCs w:val="21"/>
              </w:rPr>
              <w:t> </w:t>
            </w:r>
            <w:r>
              <w:rPr>
                <w:rFonts w:ascii="宋体" w:hAnsi="宋体" w:cs="宋体" w:eastAsia="宋体" w:hint="default"/>
                <w:sz w:val="21"/>
                <w:szCs w:val="21"/>
              </w:rPr>
              <w:t>国</w:t>
            </w:r>
            <w:r>
              <w:rPr>
                <w:rFonts w:ascii="宋体" w:hAnsi="宋体" w:cs="宋体" w:eastAsia="宋体" w:hint="default"/>
                <w:spacing w:val="-59"/>
                <w:sz w:val="21"/>
                <w:szCs w:val="21"/>
              </w:rPr>
              <w:t> </w:t>
            </w:r>
            <w:r>
              <w:rPr>
                <w:rFonts w:ascii="宋体" w:hAnsi="宋体" w:cs="宋体" w:eastAsia="宋体" w:hint="default"/>
                <w:sz w:val="21"/>
                <w:szCs w:val="21"/>
              </w:rPr>
              <w:t>民</w:t>
            </w:r>
            <w:r>
              <w:rPr>
                <w:rFonts w:ascii="宋体" w:hAnsi="宋体" w:cs="宋体" w:eastAsia="宋体" w:hint="default"/>
                <w:spacing w:val="-61"/>
                <w:sz w:val="21"/>
                <w:szCs w:val="21"/>
              </w:rPr>
              <w:t> </w:t>
            </w:r>
            <w:r>
              <w:rPr>
                <w:rFonts w:ascii="宋体" w:hAnsi="宋体" w:cs="宋体" w:eastAsia="宋体" w:hint="default"/>
                <w:sz w:val="21"/>
                <w:szCs w:val="21"/>
              </w:rPr>
              <w:t>生</w:t>
            </w:r>
            <w:r>
              <w:rPr>
                <w:rFonts w:ascii="宋体" w:hAnsi="宋体" w:cs="宋体" w:eastAsia="宋体" w:hint="default"/>
                <w:spacing w:val="-59"/>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行福州分行</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公高保字第</w:t>
            </w:r>
          </w:p>
          <w:p>
            <w:pPr>
              <w:pStyle w:val="TableParagraph"/>
              <w:spacing w:line="240" w:lineRule="auto" w:before="85"/>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D</w:t>
            </w:r>
            <w:r>
              <w:rPr>
                <w:rFonts w:ascii="Times New Roman" w:hAnsi="Times New Roman" w:cs="Times New Roman" w:eastAsia="Times New Roman" w:hint="default"/>
                <w:spacing w:val="-2"/>
                <w:w w:val="100"/>
                <w:sz w:val="21"/>
                <w:szCs w:val="21"/>
              </w:rPr>
              <w:t>B</w:t>
            </w:r>
            <w:r>
              <w:rPr>
                <w:rFonts w:ascii="Times New Roman" w:hAnsi="Times New Roman" w:cs="Times New Roman" w:eastAsia="Times New Roman" w:hint="default"/>
                <w:w w:val="100"/>
                <w:sz w:val="21"/>
                <w:szCs w:val="21"/>
              </w:rPr>
              <w:t>180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370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spacing w:val="-87"/>
                <w:w w:val="100"/>
                <w:sz w:val="21"/>
                <w:szCs w:val="21"/>
              </w:rPr>
              <w:t>号</w:t>
            </w:r>
            <w:r>
              <w:rPr>
                <w:rFonts w:ascii="宋体" w:hAnsi="宋体" w:cs="宋体" w:eastAsia="宋体" w:hint="default"/>
                <w:w w:val="100"/>
                <w:sz w:val="21"/>
                <w:szCs w:val="21"/>
              </w:rPr>
              <w:t>《最</w:t>
            </w:r>
          </w:p>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高额保证合同》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3,000.00</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2018/07/11 -</w:t>
            </w:r>
            <w:r>
              <w:rPr>
                <w:rFonts w:ascii="Times New Roman"/>
                <w:spacing w:val="-3"/>
                <w:sz w:val="21"/>
              </w:rPr>
              <w:t> </w:t>
            </w:r>
            <w:r>
              <w:rPr>
                <w:rFonts w:ascii="Times New Roman"/>
                <w:sz w:val="21"/>
              </w:rPr>
              <w:t>2019/07/11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2,241.86</w:t>
            </w:r>
          </w:p>
        </w:tc>
      </w:tr>
      <w:tr>
        <w:trPr>
          <w:trHeight w:val="73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ZY1-2018068-DB1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《最高额保证合同》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1,400.00</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2018/09/12-2019/09/12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1,399.88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450"/>
        <w:gridCol w:w="2473"/>
        <w:gridCol w:w="1164"/>
        <w:gridCol w:w="2516"/>
        <w:gridCol w:w="1313"/>
      </w:tblGrid>
      <w:tr>
        <w:trPr>
          <w:trHeight w:val="408" w:hRule="exact"/>
        </w:trPr>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贷款方</w:t>
            </w:r>
          </w:p>
        </w:tc>
        <w:tc>
          <w:tcPr>
            <w:tcW w:w="61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担保合同</w:t>
            </w:r>
          </w:p>
        </w:tc>
        <w:tc>
          <w:tcPr>
            <w:tcW w:w="1313" w:type="dxa"/>
            <w:vMerge w:val="restart"/>
            <w:tcBorders>
              <w:top w:val="single" w:sz="4" w:space="0" w:color="000000"/>
              <w:left w:val="single" w:sz="4" w:space="0" w:color="000000"/>
              <w:right w:val="single" w:sz="4" w:space="0" w:color="000000"/>
            </w:tcBorders>
          </w:tcPr>
          <w:p>
            <w:pPr>
              <w:pStyle w:val="TableParagraph"/>
              <w:spacing w:line="314" w:lineRule="auto" w:before="86"/>
              <w:ind w:left="335" w:right="122" w:hanging="212"/>
              <w:jc w:val="left"/>
              <w:rPr>
                <w:rFonts w:ascii="宋体" w:hAnsi="宋体" w:cs="宋体" w:eastAsia="宋体" w:hint="default"/>
                <w:sz w:val="21"/>
                <w:szCs w:val="21"/>
              </w:rPr>
            </w:pPr>
            <w:r>
              <w:rPr>
                <w:rFonts w:ascii="宋体" w:hAnsi="宋体" w:cs="宋体" w:eastAsia="宋体" w:hint="default"/>
                <w:sz w:val="21"/>
                <w:szCs w:val="21"/>
              </w:rPr>
              <w:t>期末实际担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保余额</w:t>
            </w:r>
          </w:p>
        </w:tc>
      </w:tr>
      <w:tr>
        <w:trPr>
          <w:trHeight w:val="408" w:hRule="exact"/>
        </w:trPr>
        <w:tc>
          <w:tcPr>
            <w:tcW w:w="1450" w:type="dxa"/>
            <w:vMerge/>
            <w:tcBorders>
              <w:left w:val="single" w:sz="4" w:space="0" w:color="000000"/>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11" w:right="0"/>
              <w:jc w:val="left"/>
              <w:rPr>
                <w:rFonts w:ascii="宋体" w:hAnsi="宋体" w:cs="宋体" w:eastAsia="宋体" w:hint="default"/>
                <w:sz w:val="21"/>
                <w:szCs w:val="21"/>
              </w:rPr>
            </w:pPr>
            <w:r>
              <w:rPr>
                <w:rFonts w:ascii="宋体" w:hAnsi="宋体" w:cs="宋体" w:eastAsia="宋体" w:hint="default"/>
                <w:sz w:val="21"/>
                <w:szCs w:val="21"/>
              </w:rPr>
              <w:t>担保合同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有效期</w:t>
            </w:r>
          </w:p>
        </w:tc>
        <w:tc>
          <w:tcPr>
            <w:tcW w:w="1313" w:type="dxa"/>
            <w:vMerge/>
            <w:tcBorders>
              <w:left w:val="single" w:sz="4" w:space="0" w:color="000000"/>
              <w:bottom w:val="single" w:sz="4" w:space="0" w:color="000000"/>
              <w:right w:val="single" w:sz="4" w:space="0" w:color="000000"/>
            </w:tcBorders>
          </w:tcPr>
          <w:p>
            <w:pPr/>
          </w:p>
        </w:tc>
      </w:tr>
      <w:tr>
        <w:trPr>
          <w:trHeight w:val="406" w:hRule="exact"/>
        </w:trPr>
        <w:tc>
          <w:tcPr>
            <w:tcW w:w="3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14" w:right="0"/>
              <w:jc w:val="left"/>
              <w:rPr>
                <w:rFonts w:ascii="Times New Roman" w:hAnsi="Times New Roman" w:cs="Times New Roman" w:eastAsia="Times New Roman" w:hint="default"/>
                <w:sz w:val="21"/>
                <w:szCs w:val="21"/>
              </w:rPr>
            </w:pPr>
            <w:r>
              <w:rPr>
                <w:rFonts w:ascii="Times New Roman"/>
                <w:sz w:val="21"/>
              </w:rPr>
              <w:t>4,400.00</w:t>
            </w:r>
          </w:p>
        </w:tc>
        <w:tc>
          <w:tcPr>
            <w:tcW w:w="25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65" w:right="0"/>
              <w:jc w:val="left"/>
              <w:rPr>
                <w:rFonts w:ascii="Times New Roman" w:hAnsi="Times New Roman" w:cs="Times New Roman" w:eastAsia="Times New Roman" w:hint="default"/>
                <w:sz w:val="21"/>
                <w:szCs w:val="21"/>
              </w:rPr>
            </w:pPr>
            <w:r>
              <w:rPr>
                <w:rFonts w:ascii="Times New Roman"/>
                <w:sz w:val="21"/>
              </w:rPr>
              <w:t>3,641.74</w:t>
            </w:r>
          </w:p>
        </w:tc>
      </w:tr>
    </w:tbl>
    <w:p>
      <w:pPr>
        <w:spacing w:line="240" w:lineRule="auto" w:before="1"/>
        <w:rPr>
          <w:rFonts w:ascii="宋体" w:hAnsi="宋体" w:cs="宋体" w:eastAsia="宋体" w:hint="default"/>
          <w:sz w:val="23"/>
          <w:szCs w:val="23"/>
        </w:rPr>
      </w:pPr>
    </w:p>
    <w:p>
      <w:pPr>
        <w:pStyle w:val="Heading4"/>
        <w:spacing w:line="240" w:lineRule="auto"/>
        <w:ind w:left="158" w:right="165"/>
        <w:jc w:val="left"/>
        <w:rPr>
          <w:b w:val="0"/>
          <w:bCs w:val="0"/>
        </w:rPr>
      </w:pPr>
      <w:r>
        <w:rPr>
          <w:rFonts w:ascii="Times New Roman" w:hAnsi="Times New Roman" w:cs="Times New Roman" w:eastAsia="Times New Roman" w:hint="default"/>
        </w:rPr>
        <w:t>4</w:t>
      </w:r>
      <w:r>
        <w:rPr/>
        <w:t>、 重要的共同经营</w:t>
      </w:r>
      <w:r>
        <w:rPr>
          <w:b w:val="0"/>
          <w:bCs w:val="0"/>
        </w:rPr>
      </w:r>
    </w:p>
    <w:p>
      <w:pPr>
        <w:pStyle w:val="BodyText"/>
        <w:spacing w:line="240" w:lineRule="auto" w:before="40"/>
        <w:ind w:left="638" w:right="165"/>
        <w:jc w:val="left"/>
      </w:pPr>
      <w:r>
        <w:rPr/>
        <w:t>□适用 √不适用</w:t>
      </w:r>
    </w:p>
    <w:p>
      <w:pPr>
        <w:spacing w:line="268" w:lineRule="auto" w:before="58"/>
        <w:ind w:left="578" w:right="165" w:hanging="42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pacing w:val="-2"/>
          <w:sz w:val="21"/>
          <w:szCs w:val="21"/>
        </w:rPr>
        <w:t>未纳入合并财务报表范围的结构化主体的相关说明</w:t>
      </w:r>
      <w:r>
        <w:rPr>
          <w:rFonts w:ascii="宋体" w:hAnsi="宋体" w:cs="宋体" w:eastAsia="宋体" w:hint="default"/>
          <w:spacing w:val="-2"/>
          <w:sz w:val="24"/>
          <w:szCs w:val="24"/>
        </w:rPr>
        <w:t>：</w:t>
      </w:r>
    </w:p>
    <w:p>
      <w:pPr>
        <w:pStyle w:val="BodyText"/>
        <w:spacing w:line="250" w:lineRule="exact"/>
        <w:ind w:left="638" w:right="165"/>
        <w:jc w:val="left"/>
      </w:pPr>
      <w:r>
        <w:rPr/>
        <w:t>√适用 □不适用</w:t>
      </w:r>
    </w:p>
    <w:p>
      <w:pPr>
        <w:spacing w:line="240" w:lineRule="auto" w:before="3"/>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3190"/>
        <w:gridCol w:w="655"/>
        <w:gridCol w:w="655"/>
        <w:gridCol w:w="1150"/>
        <w:gridCol w:w="622"/>
        <w:gridCol w:w="624"/>
        <w:gridCol w:w="2029"/>
      </w:tblGrid>
      <w:tr>
        <w:trPr>
          <w:trHeight w:val="730" w:hRule="exact"/>
        </w:trPr>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434"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p>
        </w:tc>
        <w:tc>
          <w:tcPr>
            <w:tcW w:w="655" w:type="dxa"/>
            <w:vMerge w:val="restart"/>
            <w:tcBorders>
              <w:top w:val="single" w:sz="4" w:space="0" w:color="000000"/>
              <w:left w:val="single" w:sz="4" w:space="0" w:color="000000"/>
              <w:right w:val="single" w:sz="4" w:space="0" w:color="000000"/>
            </w:tcBorders>
          </w:tcPr>
          <w:p>
            <w:pPr>
              <w:pStyle w:val="TableParagraph"/>
              <w:spacing w:line="314" w:lineRule="auto" w:before="81"/>
              <w:ind w:left="112" w:right="108"/>
              <w:jc w:val="both"/>
              <w:rPr>
                <w:rFonts w:ascii="宋体" w:hAnsi="宋体" w:cs="宋体" w:eastAsia="宋体" w:hint="default"/>
                <w:sz w:val="21"/>
                <w:szCs w:val="21"/>
              </w:rPr>
            </w:pPr>
            <w:r>
              <w:rPr>
                <w:rFonts w:ascii="宋体" w:hAnsi="宋体" w:cs="宋体" w:eastAsia="宋体" w:hint="default"/>
                <w:sz w:val="21"/>
                <w:szCs w:val="21"/>
              </w:rPr>
              <w:t>主要</w:t>
            </w:r>
            <w:r>
              <w:rPr>
                <w:rFonts w:ascii="宋体" w:hAnsi="宋体" w:cs="宋体" w:eastAsia="宋体" w:hint="default"/>
                <w:spacing w:val="-103"/>
                <w:sz w:val="21"/>
                <w:szCs w:val="21"/>
              </w:rPr>
              <w:t> </w:t>
            </w: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314" w:lineRule="auto"/>
              <w:ind w:left="213" w:right="110" w:hanging="104"/>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11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4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424" w:right="194" w:hanging="228"/>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w w:val="100"/>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29" w:type="dxa"/>
            <w:vMerge w:val="restart"/>
            <w:tcBorders>
              <w:top w:val="single" w:sz="4" w:space="0" w:color="000000"/>
              <w:left w:val="single" w:sz="4" w:space="0" w:color="000000"/>
              <w:right w:val="single" w:sz="4" w:space="0" w:color="000000"/>
            </w:tcBorders>
          </w:tcPr>
          <w:p>
            <w:pPr>
              <w:pStyle w:val="TableParagraph"/>
              <w:spacing w:line="314" w:lineRule="auto" w:before="81"/>
              <w:ind w:left="62" w:right="60"/>
              <w:jc w:val="center"/>
              <w:rPr>
                <w:rFonts w:ascii="宋体" w:hAnsi="宋体" w:cs="宋体" w:eastAsia="宋体" w:hint="default"/>
                <w:sz w:val="21"/>
                <w:szCs w:val="21"/>
              </w:rPr>
            </w:pPr>
            <w:r>
              <w:rPr>
                <w:rFonts w:ascii="宋体" w:hAnsi="宋体" w:cs="宋体" w:eastAsia="宋体" w:hint="default"/>
                <w:spacing w:val="-1"/>
                <w:sz w:val="21"/>
                <w:szCs w:val="21"/>
              </w:rPr>
              <w:t>对合营企业或联营企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业投资的会计处理方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w:t>
            </w:r>
          </w:p>
        </w:tc>
      </w:tr>
      <w:tr>
        <w:trPr>
          <w:trHeight w:val="437" w:hRule="exact"/>
        </w:trPr>
        <w:tc>
          <w:tcPr>
            <w:tcW w:w="3190"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5"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2029" w:type="dxa"/>
            <w:vMerge/>
            <w:tcBorders>
              <w:left w:val="single" w:sz="4" w:space="0" w:color="000000"/>
              <w:bottom w:val="single" w:sz="4" w:space="0" w:color="000000"/>
              <w:right w:val="single" w:sz="4" w:space="0" w:color="000000"/>
            </w:tcBorders>
          </w:tcPr>
          <w:p>
            <w:pPr/>
          </w:p>
        </w:tc>
      </w:tr>
      <w:tr>
        <w:trPr>
          <w:trHeight w:val="7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福建省应急通信运营有限公司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8" w:right="46"/>
              <w:jc w:val="left"/>
              <w:rPr>
                <w:rFonts w:ascii="宋体" w:hAnsi="宋体" w:cs="宋体" w:eastAsia="宋体" w:hint="default"/>
                <w:sz w:val="21"/>
                <w:szCs w:val="21"/>
              </w:rPr>
            </w:pPr>
            <w:r>
              <w:rPr>
                <w:rFonts w:ascii="宋体" w:hAnsi="宋体" w:cs="宋体" w:eastAsia="宋体" w:hint="default"/>
                <w:sz w:val="21"/>
                <w:szCs w:val="21"/>
              </w:rPr>
              <w:t>通信数据服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0" w:right="0"/>
              <w:jc w:val="center"/>
              <w:rPr>
                <w:rFonts w:ascii="Times New Roman" w:hAnsi="Times New Roman" w:cs="Times New Roman" w:eastAsia="Times New Roman" w:hint="default"/>
                <w:sz w:val="21"/>
                <w:szCs w:val="21"/>
              </w:rPr>
            </w:pPr>
            <w:r>
              <w:rPr>
                <w:rFonts w:ascii="Times New Roman"/>
                <w:sz w:val="21"/>
              </w:rPr>
              <w:t>49.00</w:t>
            </w:r>
          </w:p>
        </w:tc>
        <w:tc>
          <w:tcPr>
            <w:tcW w:w="62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7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0" w:right="0"/>
              <w:jc w:val="left"/>
              <w:rPr>
                <w:rFonts w:ascii="宋体" w:hAnsi="宋体" w:cs="宋体" w:eastAsia="宋体" w:hint="default"/>
                <w:sz w:val="21"/>
                <w:szCs w:val="21"/>
              </w:rPr>
            </w:pPr>
            <w:r>
              <w:rPr>
                <w:rFonts w:ascii="宋体" w:hAnsi="宋体" w:cs="宋体" w:eastAsia="宋体" w:hint="default"/>
                <w:sz w:val="21"/>
                <w:szCs w:val="21"/>
              </w:rPr>
              <w:t>厦门会同鼎盛股权投资合伙企业</w:t>
            </w:r>
          </w:p>
          <w:p>
            <w:pPr>
              <w:pStyle w:val="TableParagraph"/>
              <w:spacing w:line="240" w:lineRule="auto" w:before="85"/>
              <w:ind w:left="40"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厦门</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厦门</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股权投资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0" w:right="0"/>
              <w:jc w:val="center"/>
              <w:rPr>
                <w:rFonts w:ascii="Times New Roman" w:hAnsi="Times New Roman" w:cs="Times New Roman" w:eastAsia="Times New Roman" w:hint="default"/>
                <w:sz w:val="21"/>
                <w:szCs w:val="21"/>
              </w:rPr>
            </w:pPr>
            <w:r>
              <w:rPr>
                <w:rFonts w:ascii="Times New Roman"/>
                <w:sz w:val="21"/>
              </w:rPr>
              <w:t>65.15</w:t>
            </w:r>
          </w:p>
        </w:tc>
        <w:tc>
          <w:tcPr>
            <w:tcW w:w="62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7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40" w:right="192"/>
              <w:jc w:val="left"/>
              <w:rPr>
                <w:rFonts w:ascii="宋体" w:hAnsi="宋体" w:cs="宋体" w:eastAsia="宋体" w:hint="default"/>
                <w:sz w:val="21"/>
                <w:szCs w:val="21"/>
              </w:rPr>
            </w:pPr>
            <w:r>
              <w:rPr>
                <w:rFonts w:ascii="宋体" w:hAnsi="宋体" w:cs="宋体" w:eastAsia="宋体" w:hint="default"/>
                <w:spacing w:val="-2"/>
                <w:sz w:val="21"/>
                <w:szCs w:val="21"/>
              </w:rPr>
              <w:t>宁波梅山保税港区南威道高投资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合伙企业（有限合伙）</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股权投资</w:t>
            </w:r>
          </w:p>
        </w:tc>
        <w:tc>
          <w:tcPr>
            <w:tcW w:w="62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z w:val="21"/>
              </w:rPr>
              <w:t>50.00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7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40" w:right="192"/>
              <w:jc w:val="left"/>
              <w:rPr>
                <w:rFonts w:ascii="宋体" w:hAnsi="宋体" w:cs="宋体" w:eastAsia="宋体" w:hint="default"/>
                <w:sz w:val="21"/>
                <w:szCs w:val="21"/>
              </w:rPr>
            </w:pPr>
            <w:r>
              <w:rPr>
                <w:rFonts w:ascii="宋体" w:hAnsi="宋体" w:cs="宋体" w:eastAsia="宋体" w:hint="default"/>
                <w:spacing w:val="-2"/>
                <w:sz w:val="21"/>
                <w:szCs w:val="21"/>
              </w:rPr>
              <w:t>宁波梅山保税港区安高股权投资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基金合伙企业（有限合伙）</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股权投资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0" w:right="0"/>
              <w:jc w:val="center"/>
              <w:rPr>
                <w:rFonts w:ascii="Times New Roman" w:hAnsi="Times New Roman" w:cs="Times New Roman" w:eastAsia="Times New Roman" w:hint="default"/>
                <w:sz w:val="21"/>
                <w:szCs w:val="21"/>
              </w:rPr>
            </w:pPr>
            <w:r>
              <w:rPr>
                <w:rFonts w:ascii="Times New Roman"/>
                <w:sz w:val="21"/>
              </w:rPr>
              <w:t>48.00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z w:val="21"/>
              </w:rPr>
              <w:t>2.00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43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0" w:right="0"/>
              <w:jc w:val="left"/>
              <w:rPr>
                <w:rFonts w:ascii="宋体" w:hAnsi="宋体" w:cs="宋体" w:eastAsia="宋体" w:hint="default"/>
                <w:sz w:val="21"/>
                <w:szCs w:val="21"/>
              </w:rPr>
            </w:pPr>
            <w:r>
              <w:rPr>
                <w:rFonts w:ascii="宋体" w:hAnsi="宋体" w:cs="宋体" w:eastAsia="宋体" w:hint="default"/>
                <w:sz w:val="21"/>
                <w:szCs w:val="21"/>
              </w:rPr>
              <w:t>福建神威系统集成有限责任公司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0"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8"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8"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0" w:right="0"/>
              <w:jc w:val="center"/>
              <w:rPr>
                <w:rFonts w:ascii="Times New Roman" w:hAnsi="Times New Roman" w:cs="Times New Roman" w:eastAsia="Times New Roman" w:hint="default"/>
                <w:sz w:val="21"/>
                <w:szCs w:val="21"/>
              </w:rPr>
            </w:pPr>
            <w:r>
              <w:rPr>
                <w:rFonts w:ascii="Times New Roman"/>
                <w:sz w:val="21"/>
              </w:rPr>
              <w:t>49.00</w:t>
            </w:r>
          </w:p>
        </w:tc>
        <w:tc>
          <w:tcPr>
            <w:tcW w:w="62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8"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43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0" w:right="0"/>
              <w:jc w:val="left"/>
              <w:rPr>
                <w:rFonts w:ascii="宋体" w:hAnsi="宋体" w:cs="宋体" w:eastAsia="宋体" w:hint="default"/>
                <w:sz w:val="21"/>
                <w:szCs w:val="21"/>
              </w:rPr>
            </w:pPr>
            <w:r>
              <w:rPr>
                <w:rFonts w:ascii="宋体" w:hAnsi="宋体" w:cs="宋体" w:eastAsia="宋体" w:hint="default"/>
                <w:sz w:val="21"/>
                <w:szCs w:val="21"/>
              </w:rPr>
              <w:t>成都四方伟业软件股份有限公司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8"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8"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60" w:right="0"/>
              <w:jc w:val="center"/>
              <w:rPr>
                <w:rFonts w:ascii="Times New Roman" w:hAnsi="Times New Roman" w:cs="Times New Roman" w:eastAsia="Times New Roman" w:hint="default"/>
                <w:sz w:val="21"/>
                <w:szCs w:val="21"/>
              </w:rPr>
            </w:pPr>
            <w:r>
              <w:rPr>
                <w:rFonts w:ascii="Times New Roman"/>
                <w:sz w:val="21"/>
              </w:rPr>
              <w:t>10.00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8"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7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40" w:right="192"/>
              <w:jc w:val="left"/>
              <w:rPr>
                <w:rFonts w:ascii="宋体" w:hAnsi="宋体" w:cs="宋体" w:eastAsia="宋体" w:hint="default"/>
                <w:sz w:val="21"/>
                <w:szCs w:val="21"/>
              </w:rPr>
            </w:pPr>
            <w:r>
              <w:rPr>
                <w:rFonts w:ascii="宋体" w:hAnsi="宋体" w:cs="宋体" w:eastAsia="宋体" w:hint="default"/>
                <w:spacing w:val="-2"/>
                <w:sz w:val="21"/>
                <w:szCs w:val="21"/>
              </w:rPr>
              <w:t>泉州市数字云谷信息产业发展有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安溪</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安溪</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62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z w:val="21"/>
              </w:rPr>
              <w:t>25.00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43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0" w:right="0"/>
              <w:jc w:val="left"/>
              <w:rPr>
                <w:rFonts w:ascii="宋体" w:hAnsi="宋体" w:cs="宋体" w:eastAsia="宋体" w:hint="default"/>
                <w:sz w:val="21"/>
                <w:szCs w:val="21"/>
              </w:rPr>
            </w:pPr>
            <w:r>
              <w:rPr>
                <w:rFonts w:ascii="宋体" w:hAnsi="宋体" w:cs="宋体" w:eastAsia="宋体" w:hint="default"/>
                <w:sz w:val="21"/>
                <w:szCs w:val="21"/>
              </w:rPr>
              <w:t>泉州市搏浪信息科技有限公司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0"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8"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8"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0" w:right="0"/>
              <w:jc w:val="center"/>
              <w:rPr>
                <w:rFonts w:ascii="Times New Roman" w:hAnsi="Times New Roman" w:cs="Times New Roman" w:eastAsia="Times New Roman" w:hint="default"/>
                <w:sz w:val="21"/>
                <w:szCs w:val="21"/>
              </w:rPr>
            </w:pPr>
            <w:r>
              <w:rPr>
                <w:rFonts w:ascii="Times New Roman"/>
                <w:sz w:val="21"/>
              </w:rPr>
              <w:t>9.412</w:t>
            </w:r>
          </w:p>
        </w:tc>
        <w:tc>
          <w:tcPr>
            <w:tcW w:w="62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8"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43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0" w:right="0"/>
              <w:jc w:val="left"/>
              <w:rPr>
                <w:rFonts w:ascii="宋体" w:hAnsi="宋体" w:cs="宋体" w:eastAsia="宋体" w:hint="default"/>
                <w:sz w:val="21"/>
                <w:szCs w:val="21"/>
              </w:rPr>
            </w:pPr>
            <w:r>
              <w:rPr>
                <w:rFonts w:ascii="宋体" w:hAnsi="宋体" w:cs="宋体" w:eastAsia="宋体" w:hint="default"/>
                <w:sz w:val="21"/>
                <w:szCs w:val="21"/>
              </w:rPr>
              <w:t>南京伍安信息科技有限公司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0"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 w:right="0"/>
              <w:jc w:val="left"/>
              <w:rPr>
                <w:rFonts w:ascii="宋体" w:hAnsi="宋体" w:cs="宋体" w:eastAsia="宋体" w:hint="default"/>
                <w:sz w:val="21"/>
                <w:szCs w:val="21"/>
              </w:rPr>
            </w:pPr>
            <w:r>
              <w:rPr>
                <w:rFonts w:ascii="宋体" w:hAnsi="宋体" w:cs="宋体" w:eastAsia="宋体" w:hint="default"/>
                <w:sz w:val="21"/>
                <w:szCs w:val="21"/>
              </w:rPr>
              <w:t>信息科技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60" w:right="0"/>
              <w:jc w:val="center"/>
              <w:rPr>
                <w:rFonts w:ascii="Times New Roman" w:hAnsi="Times New Roman" w:cs="Times New Roman" w:eastAsia="Times New Roman" w:hint="default"/>
                <w:sz w:val="21"/>
                <w:szCs w:val="21"/>
              </w:rPr>
            </w:pPr>
            <w:r>
              <w:rPr>
                <w:rFonts w:ascii="Times New Roman"/>
                <w:sz w:val="21"/>
              </w:rPr>
              <w:t>20.00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BodyText"/>
        <w:spacing w:line="304" w:lineRule="auto" w:before="36"/>
        <w:ind w:left="158" w:right="165" w:firstLine="314"/>
        <w:jc w:val="left"/>
      </w:pPr>
      <w:r>
        <w:rPr/>
        <w:t>注</w:t>
      </w:r>
      <w:r>
        <w:rPr>
          <w:spacing w:val="-4"/>
        </w:rPr>
        <w:t> </w:t>
      </w:r>
      <w:r>
        <w:rPr>
          <w:rFonts w:ascii="Times New Roman" w:hAnsi="Times New Roman" w:cs="Times New Roman" w:eastAsia="Times New Roman" w:hint="default"/>
          <w:spacing w:val="-3"/>
        </w:rPr>
        <w:t>1</w:t>
      </w:r>
      <w:r>
        <w:rPr>
          <w:spacing w:val="-3"/>
        </w:rPr>
        <w:t>：公司系厦门会同鼎盛股权投资合伙企业（有限合伙）（以下简称“会同鼎盛”）的有限</w:t>
      </w:r>
      <w:r>
        <w:rPr>
          <w:w w:val="100"/>
        </w:rPr>
        <w:t> </w:t>
      </w:r>
      <w:r>
        <w:rPr/>
        <w:t>合伙人，公司实缴出资占会同鼎盛实缴出资</w:t>
      </w:r>
      <w:r>
        <w:rPr>
          <w:spacing w:val="-55"/>
        </w:rPr>
        <w:t> </w:t>
      </w:r>
      <w:r>
        <w:rPr>
          <w:rFonts w:ascii="Times New Roman" w:hAnsi="Times New Roman" w:cs="Times New Roman" w:eastAsia="Times New Roman" w:hint="default"/>
        </w:rPr>
        <w:t>27.46%</w:t>
      </w:r>
      <w:r>
        <w:rPr/>
        <w:t>（认缴出资占</w:t>
      </w:r>
      <w:r>
        <w:rPr>
          <w:spacing w:val="-55"/>
        </w:rPr>
        <w:t> </w:t>
      </w:r>
      <w:r>
        <w:rPr>
          <w:rFonts w:ascii="Times New Roman" w:hAnsi="Times New Roman" w:cs="Times New Roman" w:eastAsia="Times New Roman" w:hint="default"/>
        </w:rPr>
        <w:t>65.15%</w:t>
      </w:r>
      <w:r>
        <w:rPr/>
        <w:t>）。因公司非会同鼎盛</w:t>
      </w:r>
      <w:r>
        <w:rPr>
          <w:w w:val="100"/>
        </w:rPr>
        <w:t> </w:t>
      </w:r>
      <w:r>
        <w:rPr>
          <w:spacing w:val="-2"/>
        </w:rPr>
        <w:t>执行合伙人，同时，根据会同鼎盛投资决策委员会对投资项目之投资决策及退出之规定，只要没</w:t>
      </w:r>
      <w:r>
        <w:rPr>
          <w:spacing w:val="-25"/>
        </w:rPr>
        <w:t> </w:t>
      </w:r>
      <w:r>
        <w:rPr>
          <w:spacing w:val="-25"/>
        </w:rPr>
      </w:r>
      <w:r>
        <w:rPr>
          <w:spacing w:val="-2"/>
        </w:rPr>
        <w:t>有任何一方合伙人代表投反对票，则该项目视为通过，因此公司对会同鼎盛仅为重大影响为为重</w:t>
      </w:r>
      <w:r>
        <w:rPr>
          <w:spacing w:val="-25"/>
        </w:rPr>
        <w:t> </w:t>
      </w:r>
      <w:r>
        <w:rPr>
          <w:spacing w:val="-25"/>
        </w:rPr>
      </w:r>
      <w:r>
        <w:rPr/>
        <w:t>大影响。</w:t>
      </w:r>
    </w:p>
    <w:p>
      <w:pPr>
        <w:pStyle w:val="BodyText"/>
        <w:spacing w:line="297" w:lineRule="auto" w:before="28"/>
        <w:ind w:left="158" w:right="165" w:firstLine="419"/>
        <w:jc w:val="left"/>
      </w:pPr>
      <w:r>
        <w:rPr/>
        <w:t>注</w:t>
      </w:r>
      <w:r>
        <w:rPr>
          <w:spacing w:val="-45"/>
        </w:rPr>
        <w:t> </w:t>
      </w:r>
      <w:r>
        <w:rPr>
          <w:rFonts w:ascii="Times New Roman" w:hAnsi="Times New Roman" w:cs="Times New Roman" w:eastAsia="Times New Roman" w:hint="default"/>
          <w:spacing w:val="-3"/>
        </w:rPr>
        <w:t>2</w:t>
      </w:r>
      <w:r>
        <w:rPr>
          <w:spacing w:val="-3"/>
        </w:rPr>
        <w:t>：福建神威系统集成有限责任公司（以下简称“福建神威”）自</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月设立时即为</w:t>
      </w:r>
      <w:r>
        <w:rPr>
          <w:w w:val="100"/>
        </w:rPr>
        <w:t> </w:t>
      </w:r>
      <w:r>
        <w:rPr>
          <w:spacing w:val="-5"/>
          <w:w w:val="100"/>
        </w:rPr>
        <w:t>公司之控股子公司；</w:t>
      </w:r>
      <w:r>
        <w:rPr>
          <w:rFonts w:ascii="Times New Roman" w:hAnsi="Times New Roman" w:cs="Times New Roman" w:eastAsia="Times New Roman" w:hint="default"/>
          <w:spacing w:val="-5"/>
          <w:w w:val="100"/>
        </w:rPr>
        <w:t>2017</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w w:val="100"/>
        </w:rPr>
        <w:t>7</w:t>
      </w:r>
      <w:r>
        <w:rPr>
          <w:rFonts w:ascii="Times New Roman" w:hAnsi="Times New Roman" w:cs="Times New Roman" w:eastAsia="Times New Roman" w:hint="default"/>
          <w:spacing w:val="-29"/>
          <w:w w:val="100"/>
        </w:rPr>
        <w:t> </w:t>
      </w:r>
      <w:r>
        <w:rPr>
          <w:spacing w:val="-9"/>
          <w:w w:val="100"/>
        </w:rPr>
        <w:t>月，公司与珠海汇垠意中投资合伙企业（有限合伙）（以下简称“珠</w:t>
      </w:r>
    </w:p>
    <w:p>
      <w:pPr>
        <w:spacing w:after="0" w:line="297" w:lineRule="auto"/>
        <w:jc w:val="left"/>
        <w:sectPr>
          <w:pgSz w:w="11910" w:h="16840"/>
          <w:pgMar w:header="0" w:footer="979" w:top="1120" w:bottom="1160" w:left="1640" w:right="1100"/>
        </w:sectPr>
      </w:pPr>
    </w:p>
    <w:p>
      <w:pPr>
        <w:spacing w:line="240" w:lineRule="auto" w:before="0"/>
        <w:rPr>
          <w:rFonts w:ascii="宋体" w:hAnsi="宋体" w:cs="宋体" w:eastAsia="宋体" w:hint="default"/>
          <w:sz w:val="20"/>
          <w:szCs w:val="20"/>
        </w:rPr>
      </w:pPr>
    </w:p>
    <w:p>
      <w:pPr>
        <w:pStyle w:val="BodyText"/>
        <w:spacing w:line="240" w:lineRule="auto" w:before="177"/>
        <w:ind w:left="158" w:right="0"/>
        <w:jc w:val="both"/>
        <w:rPr>
          <w:rFonts w:ascii="Times New Roman" w:hAnsi="Times New Roman" w:cs="Times New Roman" w:eastAsia="Times New Roman" w:hint="default"/>
        </w:rPr>
      </w:pPr>
      <w:r>
        <w:rPr>
          <w:spacing w:val="-8"/>
        </w:rPr>
        <w:t>海汇垠”）签订《股权转让协议书》，约定将其持有的福建神威</w:t>
      </w:r>
      <w:r>
        <w:rPr>
          <w:spacing w:val="18"/>
        </w:rPr>
        <w:t> </w:t>
      </w:r>
      <w:r>
        <w:rPr>
          <w:rFonts w:ascii="Times New Roman" w:hAnsi="Times New Roman" w:cs="Times New Roman" w:eastAsia="Times New Roman" w:hint="default"/>
          <w:spacing w:val="-4"/>
        </w:rPr>
        <w:t>51%</w:t>
      </w:r>
      <w:r>
        <w:rPr>
          <w:spacing w:val="-4"/>
        </w:rPr>
        <w:t>的股权转让给珠海汇垠。</w:t>
      </w:r>
      <w:r>
        <w:rPr>
          <w:rFonts w:ascii="Times New Roman" w:hAnsi="Times New Roman" w:cs="Times New Roman" w:eastAsia="Times New Roman" w:hint="default"/>
          <w:spacing w:val="-4"/>
        </w:rPr>
        <w:t>2018</w:t>
      </w:r>
    </w:p>
    <w:p>
      <w:pPr>
        <w:pStyle w:val="BodyText"/>
        <w:spacing w:line="240" w:lineRule="auto" w:before="69"/>
        <w:ind w:left="158" w:right="0"/>
        <w:jc w:val="both"/>
      </w:pP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5 </w:t>
      </w:r>
      <w:r>
        <w:rPr/>
        <w:t>日，本次股权转让完成后，公司持有福建神威</w:t>
      </w:r>
      <w:r>
        <w:rPr>
          <w:spacing w:val="-52"/>
        </w:rPr>
        <w:t> </w:t>
      </w:r>
      <w:r>
        <w:rPr>
          <w:rFonts w:ascii="Times New Roman" w:hAnsi="Times New Roman" w:cs="Times New Roman" w:eastAsia="Times New Roman" w:hint="default"/>
        </w:rPr>
        <w:t>49%</w:t>
      </w:r>
      <w:r>
        <w:rPr/>
        <w:t>。</w:t>
      </w:r>
    </w:p>
    <w:p>
      <w:pPr>
        <w:pStyle w:val="BodyText"/>
        <w:spacing w:line="297" w:lineRule="auto" w:before="69"/>
        <w:ind w:left="158" w:right="210" w:firstLine="419"/>
        <w:jc w:val="both"/>
      </w:pPr>
      <w:r>
        <w:rPr/>
        <w:t>注</w:t>
      </w:r>
      <w:r>
        <w:rPr>
          <w:spacing w:val="-58"/>
        </w:rPr>
        <w:t> </w:t>
      </w:r>
      <w:r>
        <w:rPr>
          <w:rFonts w:ascii="Times New Roman" w:hAnsi="Times New Roman" w:cs="Times New Roman" w:eastAsia="Times New Roman" w:hint="default"/>
        </w:rPr>
        <w:t>3</w:t>
      </w:r>
      <w:r>
        <w:rPr/>
        <w:t>：公司持有成都四方伟业软件股份有限公司</w:t>
      </w:r>
      <w:r>
        <w:rPr>
          <w:spacing w:val="-57"/>
        </w:rPr>
        <w:t> </w:t>
      </w:r>
      <w:r>
        <w:rPr>
          <w:rFonts w:ascii="Times New Roman" w:hAnsi="Times New Roman" w:cs="Times New Roman" w:eastAsia="Times New Roman" w:hint="default"/>
        </w:rPr>
        <w:t>10.00%</w:t>
      </w:r>
      <w:r>
        <w:rPr/>
        <w:t>股权，比例低于</w:t>
      </w:r>
      <w:r>
        <w:rPr>
          <w:spacing w:val="-58"/>
        </w:rPr>
        <w:t> </w:t>
      </w:r>
      <w:r>
        <w:rPr>
          <w:rFonts w:ascii="Times New Roman" w:hAnsi="Times New Roman" w:cs="Times New Roman" w:eastAsia="Times New Roman" w:hint="default"/>
        </w:rPr>
        <w:t>20.00</w:t>
      </w:r>
      <w:r>
        <w:rPr>
          <w:rFonts w:ascii="宋体" w:hAnsi="宋体" w:cs="宋体" w:eastAsia="宋体" w:hint="default"/>
        </w:rPr>
        <w:t>%</w:t>
      </w:r>
      <w:r>
        <w:rPr/>
        <w:t>，但公司在成</w:t>
      </w:r>
      <w:r>
        <w:rPr>
          <w:w w:val="100"/>
        </w:rPr>
        <w:t> </w:t>
      </w:r>
      <w:r>
        <w:rPr/>
        <w:t>都四方伟业软件股份有限公司派驻董事，可以参与该公司重大决策。</w:t>
      </w:r>
    </w:p>
    <w:p>
      <w:pPr>
        <w:pStyle w:val="BodyText"/>
        <w:spacing w:line="297" w:lineRule="auto" w:before="34"/>
        <w:ind w:left="158" w:right="231" w:firstLine="479"/>
        <w:jc w:val="both"/>
      </w:pPr>
      <w:r>
        <w:rPr/>
        <w:t>注</w:t>
      </w:r>
      <w:r>
        <w:rPr>
          <w:spacing w:val="-55"/>
        </w:rPr>
        <w:t> </w:t>
      </w:r>
      <w:r>
        <w:rPr>
          <w:rFonts w:ascii="Times New Roman" w:hAnsi="Times New Roman" w:cs="Times New Roman" w:eastAsia="Times New Roman" w:hint="default"/>
        </w:rPr>
        <w:t>4</w:t>
      </w:r>
      <w:r>
        <w:rPr/>
        <w:t>：公司持有泉州市搏浪信息科技有限公司</w:t>
      </w:r>
      <w:r>
        <w:rPr>
          <w:spacing w:val="-54"/>
        </w:rPr>
        <w:t> </w:t>
      </w:r>
      <w:r>
        <w:rPr>
          <w:rFonts w:ascii="Times New Roman" w:hAnsi="Times New Roman" w:cs="Times New Roman" w:eastAsia="Times New Roman" w:hint="default"/>
        </w:rPr>
        <w:t>9.412%</w:t>
      </w:r>
      <w:r>
        <w:rPr/>
        <w:t>股权，比例低于</w:t>
      </w:r>
      <w:r>
        <w:rPr>
          <w:spacing w:val="-4"/>
        </w:rPr>
        <w:t> </w:t>
      </w:r>
      <w:r>
        <w:rPr>
          <w:rFonts w:ascii="Times New Roman" w:hAnsi="Times New Roman" w:cs="Times New Roman" w:eastAsia="Times New Roman" w:hint="default"/>
        </w:rPr>
        <w:t>20.00%</w:t>
      </w:r>
      <w:r>
        <w:rPr/>
        <w:t>，但公司在泉</w:t>
      </w:r>
      <w:r>
        <w:rPr>
          <w:w w:val="100"/>
        </w:rPr>
        <w:t> </w:t>
      </w:r>
      <w:r>
        <w:rPr/>
        <w:t>州市搏浪信息科技有限公司派驻董事，可以参与该公司重大决策。</w:t>
      </w:r>
    </w:p>
    <w:p>
      <w:pPr>
        <w:spacing w:line="240" w:lineRule="auto" w:before="12"/>
        <w:rPr>
          <w:rFonts w:ascii="宋体" w:hAnsi="宋体" w:cs="宋体" w:eastAsia="宋体" w:hint="default"/>
          <w:sz w:val="28"/>
          <w:szCs w:val="28"/>
        </w:rPr>
      </w:pPr>
    </w:p>
    <w:p>
      <w:pPr>
        <w:pStyle w:val="Heading4"/>
        <w:spacing w:line="240" w:lineRule="auto" w:before="0"/>
        <w:ind w:left="158" w:right="0"/>
        <w:jc w:val="both"/>
        <w:rPr>
          <w:b w:val="0"/>
          <w:bCs w:val="0"/>
        </w:rPr>
      </w:pPr>
      <w:r>
        <w:rPr>
          <w:rFonts w:ascii="Times New Roman" w:hAnsi="Times New Roman" w:cs="Times New Roman" w:eastAsia="Times New Roman" w:hint="default"/>
        </w:rPr>
        <w:t>6</w:t>
      </w:r>
      <w:r>
        <w:rPr/>
        <w:t>、</w:t>
      </w:r>
      <w:r>
        <w:rPr>
          <w:spacing w:val="-2"/>
        </w:rPr>
        <w:t> </w:t>
      </w:r>
      <w:r>
        <w:rPr/>
        <w:t>其他</w:t>
      </w:r>
      <w:r>
        <w:rPr>
          <w:b w:val="0"/>
          <w:bCs w:val="0"/>
        </w:rPr>
      </w:r>
    </w:p>
    <w:p>
      <w:pPr>
        <w:tabs>
          <w:tab w:pos="1000" w:val="left" w:leader="none"/>
        </w:tabs>
        <w:spacing w:line="290" w:lineRule="auto" w:before="43"/>
        <w:ind w:left="158" w:right="6511"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十、与金融工具相关的风险</w:t>
      </w:r>
      <w:r>
        <w:rPr>
          <w:rFonts w:ascii="宋体" w:hAnsi="宋体" w:cs="宋体" w:eastAsia="宋体" w:hint="default"/>
          <w:sz w:val="21"/>
          <w:szCs w:val="21"/>
        </w:rPr>
      </w:r>
    </w:p>
    <w:p>
      <w:pPr>
        <w:pStyle w:val="BodyText"/>
        <w:spacing w:line="304" w:lineRule="auto" w:before="14"/>
        <w:ind w:left="638" w:right="0"/>
        <w:jc w:val="left"/>
      </w:pPr>
      <w:r>
        <w:rPr/>
        <w:t>√适用</w:t>
      </w:r>
      <w:r>
        <w:rPr>
          <w:spacing w:val="-2"/>
        </w:rPr>
        <w:t> </w:t>
      </w:r>
      <w:r>
        <w:rPr/>
        <w:t>□不适用</w:t>
      </w:r>
      <w:r>
        <w:rPr>
          <w:spacing w:val="-103"/>
        </w:rPr>
        <w:t> </w:t>
      </w:r>
      <w:r>
        <w:rPr>
          <w:spacing w:val="-103"/>
        </w:rPr>
      </w:r>
      <w:r>
        <w:rPr>
          <w:spacing w:val="-3"/>
        </w:rPr>
        <w:t>本公司管理层负责规划并建立本公司的风险管理架构，制定本公司的风险管理政策和相关指</w:t>
      </w:r>
    </w:p>
    <w:p>
      <w:pPr>
        <w:pStyle w:val="BodyText"/>
        <w:spacing w:line="314" w:lineRule="auto" w:before="28"/>
        <w:ind w:left="158" w:right="217"/>
        <w:jc w:val="both"/>
      </w:pPr>
      <w:r>
        <w:rPr>
          <w:spacing w:val="-2"/>
        </w:rPr>
        <w:t>引并监督风险管理措施的执行情况。本公司从事风险管理的目标是在风险和收益之间取得适当的</w:t>
      </w:r>
      <w:r>
        <w:rPr>
          <w:spacing w:val="-25"/>
        </w:rPr>
        <w:t> </w:t>
      </w:r>
      <w:r>
        <w:rPr>
          <w:spacing w:val="-25"/>
        </w:rPr>
      </w:r>
      <w:r>
        <w:rPr>
          <w:spacing w:val="-2"/>
        </w:rPr>
        <w:t>平衡，将风险对本公司经营业绩的负面影响降低到最低水平，使股东及其其他权益投资者的利益</w:t>
      </w:r>
      <w:r>
        <w:rPr>
          <w:spacing w:val="-25"/>
        </w:rPr>
        <w:t> </w:t>
      </w:r>
      <w:r>
        <w:rPr>
          <w:spacing w:val="-25"/>
        </w:rPr>
      </w:r>
      <w:r>
        <w:rPr>
          <w:spacing w:val="-2"/>
        </w:rPr>
        <w:t>最大化。通过制定风险管理政策，设定适当的控制程序以识别、分析、监控和报告风险情况，定</w:t>
      </w:r>
      <w:r>
        <w:rPr>
          <w:spacing w:val="-25"/>
        </w:rPr>
        <w:t> </w:t>
      </w:r>
      <w:r>
        <w:rPr>
          <w:spacing w:val="-25"/>
        </w:rPr>
      </w:r>
      <w:r>
        <w:rPr>
          <w:spacing w:val="-2"/>
        </w:rPr>
        <w:t>期对整体风险状况进行评估，本公司的经营活动会面临各种金融风险：信用风险、流动性风险和</w:t>
      </w:r>
      <w:r>
        <w:rPr>
          <w:spacing w:val="-25"/>
        </w:rPr>
        <w:t> </w:t>
      </w:r>
      <w:r>
        <w:rPr>
          <w:spacing w:val="-25"/>
        </w:rPr>
      </w:r>
      <w:r>
        <w:rPr/>
        <w:t>市场风险、。</w:t>
      </w:r>
    </w:p>
    <w:p>
      <w:pPr>
        <w:pStyle w:val="BodyText"/>
        <w:tabs>
          <w:tab w:pos="1417" w:val="left" w:leader="none"/>
        </w:tabs>
        <w:spacing w:line="314" w:lineRule="auto" w:before="20"/>
        <w:ind w:left="578" w:right="225"/>
        <w:jc w:val="left"/>
      </w:pPr>
      <w:r>
        <w:rPr/>
        <w:t>（一）</w:t>
        <w:tab/>
        <w:t>信用风险</w:t>
      </w:r>
      <w:r>
        <w:rPr>
          <w:w w:val="100"/>
        </w:rPr>
        <w:t> </w:t>
      </w:r>
      <w:r>
        <w:rPr>
          <w:spacing w:val="-2"/>
        </w:rPr>
        <w:t>信用风险，是指金融工具的一方不履行义务，造成另一方发生财务损失的风险。本公司对信</w:t>
      </w:r>
    </w:p>
    <w:p>
      <w:pPr>
        <w:pStyle w:val="BodyText"/>
        <w:spacing w:line="314" w:lineRule="auto" w:before="20"/>
        <w:ind w:left="578" w:right="0" w:hanging="420"/>
        <w:jc w:val="left"/>
      </w:pPr>
      <w:r>
        <w:rPr/>
        <w:t>用风险按组合分类进行管理。信用风险主要产生于银行存款、衍生金融工具及应收款项等。</w:t>
      </w:r>
      <w:r>
        <w:rPr>
          <w:w w:val="100"/>
        </w:rPr>
        <w:t> </w:t>
      </w:r>
      <w:r>
        <w:rPr>
          <w:spacing w:val="-2"/>
        </w:rPr>
        <w:t>本公司银行存款主要存放于国有银行和其它大中型上市银行，本公司预期银行存款不存在重</w:t>
      </w:r>
    </w:p>
    <w:p>
      <w:pPr>
        <w:pStyle w:val="BodyText"/>
        <w:spacing w:line="314" w:lineRule="auto" w:before="20"/>
        <w:ind w:left="578" w:right="0" w:hanging="420"/>
        <w:jc w:val="left"/>
      </w:pPr>
      <w:r>
        <w:rPr/>
        <w:t>大的信用风险。</w:t>
      </w:r>
      <w:r>
        <w:rPr>
          <w:spacing w:val="-103"/>
        </w:rPr>
        <w:t> </w:t>
      </w:r>
      <w:r>
        <w:rPr>
          <w:spacing w:val="-103"/>
        </w:rPr>
      </w:r>
      <w:r>
        <w:rPr>
          <w:spacing w:val="-2"/>
        </w:rPr>
        <w:t>对于应收票据、应收账款、其他应收款和长期应收款，本公司设定相关政策以控制信用风险</w:t>
      </w:r>
    </w:p>
    <w:p>
      <w:pPr>
        <w:pStyle w:val="BodyText"/>
        <w:spacing w:line="314" w:lineRule="auto" w:before="20"/>
        <w:ind w:left="158" w:right="217"/>
        <w:jc w:val="both"/>
      </w:pPr>
      <w:r>
        <w:rPr>
          <w:spacing w:val="-2"/>
        </w:rPr>
        <w:t>敞口。本公司基于对客户的财务状况、从第三方获取担保的可能性、信用记录及其它因素诸如目</w:t>
      </w:r>
      <w:r>
        <w:rPr>
          <w:spacing w:val="-25"/>
        </w:rPr>
        <w:t> </w:t>
      </w:r>
      <w:r>
        <w:rPr>
          <w:spacing w:val="-25"/>
        </w:rPr>
      </w:r>
      <w:r>
        <w:rPr>
          <w:spacing w:val="-2"/>
        </w:rPr>
        <w:t>前市场状况等评估客户的信用资质并设置相应信用期。本公司会定期对客户信用记录进行监控，</w:t>
      </w:r>
      <w:r>
        <w:rPr>
          <w:spacing w:val="-25"/>
        </w:rPr>
        <w:t> </w:t>
      </w:r>
      <w:r>
        <w:rPr>
          <w:spacing w:val="-25"/>
        </w:rPr>
      </w:r>
      <w:r>
        <w:rPr>
          <w:spacing w:val="-2"/>
        </w:rPr>
        <w:t>对于信用记录不良的客户，本公司会采用书面催款、缩短信用期或取消信用期等方式，以确保本</w:t>
      </w:r>
      <w:r>
        <w:rPr>
          <w:spacing w:val="-25"/>
        </w:rPr>
        <w:t> </w:t>
      </w:r>
      <w:r>
        <w:rPr>
          <w:spacing w:val="-25"/>
        </w:rPr>
      </w:r>
      <w:r>
        <w:rPr/>
        <w:t>公司的整体信用风险在可控的范围内。</w:t>
      </w:r>
    </w:p>
    <w:p>
      <w:pPr>
        <w:pStyle w:val="BodyText"/>
        <w:spacing w:line="240" w:lineRule="auto" w:before="20"/>
        <w:ind w:left="578" w:right="0"/>
        <w:jc w:val="left"/>
      </w:pPr>
      <w:r>
        <w:rPr/>
        <w:t>截至</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日止，本公司最大的信用风险敞口的量化数据，参见本附注七、（四）</w:t>
      </w:r>
    </w:p>
    <w:p>
      <w:pPr>
        <w:pStyle w:val="BodyText"/>
        <w:spacing w:line="240" w:lineRule="auto" w:before="69"/>
        <w:ind w:left="158" w:right="0"/>
        <w:jc w:val="both"/>
      </w:pP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、附注七、（六）</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及附注七、（十三）</w:t>
      </w:r>
      <w:r>
        <w:rPr>
          <w:rFonts w:ascii="Times New Roman" w:hAnsi="Times New Roman" w:cs="Times New Roman" w:eastAsia="Times New Roman" w:hint="default"/>
        </w:rPr>
        <w:t>“</w:t>
      </w:r>
      <w:r>
        <w:rPr/>
        <w:t>长期应收款</w:t>
      </w:r>
      <w:r>
        <w:rPr>
          <w:rFonts w:ascii="Times New Roman" w:hAnsi="Times New Roman" w:cs="Times New Roman" w:eastAsia="Times New Roman" w:hint="default"/>
        </w:rPr>
        <w:t>”</w:t>
      </w:r>
      <w:r>
        <w:rPr/>
        <w:t>。</w:t>
      </w:r>
    </w:p>
    <w:p>
      <w:pPr>
        <w:pStyle w:val="BodyText"/>
        <w:tabs>
          <w:tab w:pos="1417" w:val="left" w:leader="none"/>
        </w:tabs>
        <w:spacing w:line="314" w:lineRule="auto" w:before="69"/>
        <w:ind w:left="578" w:right="225"/>
        <w:jc w:val="left"/>
      </w:pPr>
      <w:r>
        <w:rPr/>
        <w:t>（二）</w:t>
        <w:tab/>
        <w:t>流动风险</w:t>
      </w:r>
      <w:r>
        <w:rPr>
          <w:w w:val="100"/>
        </w:rPr>
        <w:t> </w:t>
      </w:r>
      <w:r>
        <w:rPr>
          <w:spacing w:val="-2"/>
        </w:rPr>
        <w:t>流动风险，是指企业在履行以交付现金或其他金融资产的方式结算的义务时发生资金短缺的</w:t>
      </w:r>
    </w:p>
    <w:p>
      <w:pPr>
        <w:pStyle w:val="BodyText"/>
        <w:spacing w:line="240" w:lineRule="auto" w:before="20"/>
        <w:ind w:left="158" w:right="0"/>
        <w:jc w:val="both"/>
      </w:pPr>
      <w:r>
        <w:rPr/>
        <w:t>风险。</w:t>
      </w:r>
    </w:p>
    <w:p>
      <w:pPr>
        <w:pStyle w:val="BodyText"/>
        <w:spacing w:line="304" w:lineRule="auto" w:before="85"/>
        <w:ind w:left="158" w:right="210" w:firstLine="419"/>
        <w:jc w:val="both"/>
      </w:pPr>
      <w:r>
        <w:rPr>
          <w:spacing w:val="-2"/>
        </w:rPr>
        <w:t>本公司的政策是确保拥有充足的现金以偿还到期债务。流动性风险由本公司的财务部门集中</w:t>
      </w:r>
      <w:r>
        <w:rPr>
          <w:w w:val="100"/>
        </w:rPr>
        <w:t> </w:t>
      </w:r>
      <w:r>
        <w:rPr>
          <w:spacing w:val="-5"/>
        </w:rPr>
        <w:t>控制。财务部门通过监控现金余额、可随时变现的有价证券以及对未来</w:t>
      </w:r>
      <w:r>
        <w:rPr>
          <w:spacing w:val="-31"/>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个月现金流量的滚动预</w:t>
      </w:r>
      <w:r>
        <w:rPr>
          <w:spacing w:val="-96"/>
        </w:rPr>
        <w:t> </w:t>
      </w:r>
      <w:r>
        <w:rPr>
          <w:spacing w:val="-96"/>
        </w:rPr>
      </w:r>
      <w:r>
        <w:rPr/>
        <w:t>测，确保公司在所有合理预测的情况下拥有充足的资金偿还债务。</w:t>
      </w:r>
    </w:p>
    <w:p>
      <w:pPr>
        <w:pStyle w:val="BodyText"/>
        <w:spacing w:line="240" w:lineRule="auto" w:before="28"/>
        <w:ind w:left="578" w:right="0"/>
        <w:jc w:val="left"/>
      </w:pPr>
      <w:r>
        <w:rPr/>
        <w:t>年末本公司持有的金融负债按未折现剩余合同现金流量的到期期限分析如下：：</w:t>
      </w:r>
    </w:p>
    <w:p>
      <w:pPr>
        <w:spacing w:line="240" w:lineRule="auto" w:before="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430"/>
        <w:gridCol w:w="1577"/>
        <w:gridCol w:w="1577"/>
        <w:gridCol w:w="1721"/>
        <w:gridCol w:w="1148"/>
        <w:gridCol w:w="1471"/>
      </w:tblGrid>
      <w:tr>
        <w:trPr>
          <w:trHeight w:val="437"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97"/>
              <w:jc w:val="right"/>
              <w:rPr>
                <w:rFonts w:ascii="宋体" w:hAnsi="宋体" w:cs="宋体" w:eastAsia="宋体" w:hint="default"/>
                <w:sz w:val="21"/>
                <w:szCs w:val="21"/>
              </w:rPr>
            </w:pPr>
            <w:r>
              <w:rPr>
                <w:rFonts w:ascii="宋体" w:hAnsi="宋体" w:cs="宋体" w:eastAsia="宋体" w:hint="default"/>
                <w:sz w:val="21"/>
                <w:szCs w:val="21"/>
              </w:rPr>
              <w:t>项目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至</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34"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35"/>
              <w:jc w:val="right"/>
              <w:rPr>
                <w:rFonts w:ascii="宋体" w:hAnsi="宋体" w:cs="宋体" w:eastAsia="宋体" w:hint="default"/>
                <w:sz w:val="21"/>
                <w:szCs w:val="21"/>
              </w:rPr>
            </w:pPr>
            <w:r>
              <w:rPr>
                <w:rFonts w:ascii="宋体" w:hAnsi="宋体" w:cs="宋体" w:eastAsia="宋体" w:hint="default"/>
                <w:spacing w:val="-1"/>
                <w:sz w:val="21"/>
                <w:szCs w:val="21"/>
              </w:rPr>
              <w:t>短期借款</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21" w:right="0"/>
              <w:jc w:val="left"/>
              <w:rPr>
                <w:rFonts w:ascii="Times New Roman" w:hAnsi="Times New Roman" w:cs="Times New Roman" w:eastAsia="Times New Roman" w:hint="default"/>
                <w:sz w:val="21"/>
                <w:szCs w:val="21"/>
              </w:rPr>
            </w:pPr>
            <w:r>
              <w:rPr>
                <w:rFonts w:ascii="Times New Roman"/>
                <w:sz w:val="21"/>
              </w:rPr>
              <w:t>33,347,312.50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3" w:right="0"/>
              <w:jc w:val="left"/>
              <w:rPr>
                <w:rFonts w:ascii="Times New Roman" w:hAnsi="Times New Roman" w:cs="Times New Roman" w:eastAsia="Times New Roman" w:hint="default"/>
                <w:sz w:val="21"/>
                <w:szCs w:val="21"/>
              </w:rPr>
            </w:pPr>
            <w:r>
              <w:rPr>
                <w:rFonts w:ascii="Times New Roman"/>
                <w:sz w:val="21"/>
              </w:rPr>
              <w:t>33,347,312.50</w:t>
            </w:r>
          </w:p>
        </w:tc>
      </w:tr>
    </w:tbl>
    <w:p>
      <w:pPr>
        <w:spacing w:after="0" w:line="240" w:lineRule="auto"/>
        <w:jc w:val="left"/>
        <w:rPr>
          <w:rFonts w:ascii="Times New Roman" w:hAnsi="Times New Roman" w:cs="Times New Roman" w:eastAsia="Times New Roman" w:hint="default"/>
          <w:sz w:val="21"/>
          <w:szCs w:val="21"/>
        </w:rPr>
        <w:sectPr>
          <w:pgSz w:w="11910" w:h="16840"/>
          <w:pgMar w:header="0" w:footer="979" w:top="1120" w:bottom="1160" w:left="1640" w:right="10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430"/>
        <w:gridCol w:w="1577"/>
        <w:gridCol w:w="1577"/>
        <w:gridCol w:w="1721"/>
        <w:gridCol w:w="1148"/>
        <w:gridCol w:w="1471"/>
      </w:tblGrid>
      <w:tr>
        <w:trPr>
          <w:trHeight w:val="437"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至</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730"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40" w:right="37"/>
              <w:jc w:val="left"/>
              <w:rPr>
                <w:rFonts w:ascii="宋体" w:hAnsi="宋体" w:cs="宋体" w:eastAsia="宋体" w:hint="default"/>
                <w:sz w:val="21"/>
                <w:szCs w:val="21"/>
              </w:rPr>
            </w:pPr>
            <w:r>
              <w:rPr>
                <w:rFonts w:ascii="宋体" w:hAnsi="宋体" w:cs="宋体" w:eastAsia="宋体" w:hint="default"/>
                <w:spacing w:val="11"/>
                <w:sz w:val="21"/>
                <w:szCs w:val="21"/>
              </w:rPr>
              <w:t>应付票据及应</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付账款</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34"/>
              <w:jc w:val="right"/>
              <w:rPr>
                <w:rFonts w:ascii="Times New Roman" w:hAnsi="Times New Roman" w:cs="Times New Roman" w:eastAsia="Times New Roman" w:hint="default"/>
                <w:sz w:val="21"/>
                <w:szCs w:val="21"/>
              </w:rPr>
            </w:pPr>
            <w:r>
              <w:rPr>
                <w:rFonts w:ascii="Times New Roman"/>
                <w:spacing w:val="-1"/>
                <w:sz w:val="21"/>
              </w:rPr>
              <w:t>478,037,765.83</w:t>
            </w:r>
          </w:p>
        </w:tc>
        <w:tc>
          <w:tcPr>
            <w:tcW w:w="1577"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pacing w:val="-1"/>
                <w:sz w:val="21"/>
              </w:rPr>
              <w:t>478,037,765.83</w:t>
            </w:r>
          </w:p>
        </w:tc>
      </w:tr>
      <w:tr>
        <w:trPr>
          <w:trHeight w:val="434"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4"/>
              <w:jc w:val="right"/>
              <w:rPr>
                <w:rFonts w:ascii="Times New Roman" w:hAnsi="Times New Roman" w:cs="Times New Roman" w:eastAsia="Times New Roman" w:hint="default"/>
                <w:sz w:val="21"/>
                <w:szCs w:val="21"/>
              </w:rPr>
            </w:pPr>
            <w:r>
              <w:rPr>
                <w:rFonts w:ascii="Times New Roman"/>
                <w:spacing w:val="-1"/>
                <w:sz w:val="21"/>
              </w:rPr>
              <w:t>34,413,595.22</w:t>
            </w:r>
          </w:p>
        </w:tc>
        <w:tc>
          <w:tcPr>
            <w:tcW w:w="1577"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6"/>
              <w:jc w:val="right"/>
              <w:rPr>
                <w:rFonts w:ascii="Times New Roman" w:hAnsi="Times New Roman" w:cs="Times New Roman" w:eastAsia="Times New Roman" w:hint="default"/>
                <w:sz w:val="21"/>
                <w:szCs w:val="21"/>
              </w:rPr>
            </w:pPr>
            <w:r>
              <w:rPr>
                <w:rFonts w:ascii="Times New Roman"/>
                <w:spacing w:val="-1"/>
                <w:sz w:val="21"/>
              </w:rPr>
              <w:t>34,413,595.22</w:t>
            </w:r>
          </w:p>
        </w:tc>
      </w:tr>
      <w:tr>
        <w:trPr>
          <w:trHeight w:val="434"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4"/>
              <w:jc w:val="right"/>
              <w:rPr>
                <w:rFonts w:ascii="Times New Roman" w:hAnsi="Times New Roman" w:cs="Times New Roman" w:eastAsia="Times New Roman" w:hint="default"/>
                <w:sz w:val="21"/>
                <w:szCs w:val="21"/>
              </w:rPr>
            </w:pPr>
            <w:r>
              <w:rPr>
                <w:rFonts w:ascii="Times New Roman"/>
                <w:spacing w:val="-1"/>
                <w:sz w:val="21"/>
              </w:rPr>
              <w:t>55,823,267.50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3"/>
              <w:jc w:val="right"/>
              <w:rPr>
                <w:rFonts w:ascii="Times New Roman" w:hAnsi="Times New Roman" w:cs="Times New Roman" w:eastAsia="Times New Roman" w:hint="default"/>
                <w:sz w:val="21"/>
                <w:szCs w:val="21"/>
              </w:rPr>
            </w:pPr>
            <w:r>
              <w:rPr>
                <w:rFonts w:ascii="Times New Roman"/>
                <w:spacing w:val="-1"/>
                <w:sz w:val="21"/>
              </w:rPr>
              <w:t>153,797,690.00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6"/>
              <w:jc w:val="right"/>
              <w:rPr>
                <w:rFonts w:ascii="Times New Roman" w:hAnsi="Times New Roman" w:cs="Times New Roman" w:eastAsia="Times New Roman" w:hint="default"/>
                <w:sz w:val="21"/>
                <w:szCs w:val="21"/>
              </w:rPr>
            </w:pPr>
            <w:r>
              <w:rPr>
                <w:rFonts w:ascii="Times New Roman"/>
                <w:spacing w:val="-1"/>
                <w:sz w:val="21"/>
              </w:rPr>
              <w:t>84,169,802.50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6"/>
              <w:jc w:val="right"/>
              <w:rPr>
                <w:rFonts w:ascii="Times New Roman" w:hAnsi="Times New Roman" w:cs="Times New Roman" w:eastAsia="Times New Roman" w:hint="default"/>
                <w:sz w:val="21"/>
                <w:szCs w:val="21"/>
              </w:rPr>
            </w:pPr>
            <w:r>
              <w:rPr>
                <w:rFonts w:ascii="Times New Roman"/>
                <w:spacing w:val="-1"/>
                <w:sz w:val="21"/>
              </w:rPr>
              <w:t>293,790,760.00</w:t>
            </w:r>
          </w:p>
        </w:tc>
      </w:tr>
      <w:tr>
        <w:trPr>
          <w:trHeight w:val="437"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4"/>
              <w:jc w:val="right"/>
              <w:rPr>
                <w:rFonts w:ascii="Times New Roman" w:hAnsi="Times New Roman" w:cs="Times New Roman" w:eastAsia="Times New Roman" w:hint="default"/>
                <w:sz w:val="21"/>
                <w:szCs w:val="21"/>
              </w:rPr>
            </w:pPr>
            <w:r>
              <w:rPr>
                <w:rFonts w:ascii="Times New Roman"/>
                <w:spacing w:val="-1"/>
                <w:sz w:val="21"/>
              </w:rPr>
              <w:t>598,460,750.42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3"/>
              <w:jc w:val="right"/>
              <w:rPr>
                <w:rFonts w:ascii="Times New Roman" w:hAnsi="Times New Roman" w:cs="Times New Roman" w:eastAsia="Times New Roman" w:hint="default"/>
                <w:sz w:val="21"/>
                <w:szCs w:val="21"/>
              </w:rPr>
            </w:pPr>
            <w:r>
              <w:rPr>
                <w:rFonts w:ascii="Times New Roman"/>
                <w:spacing w:val="-1"/>
                <w:sz w:val="21"/>
              </w:rPr>
              <w:t>153,797,690.00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6"/>
              <w:jc w:val="right"/>
              <w:rPr>
                <w:rFonts w:ascii="Times New Roman" w:hAnsi="Times New Roman" w:cs="Times New Roman" w:eastAsia="Times New Roman" w:hint="default"/>
                <w:sz w:val="21"/>
                <w:szCs w:val="21"/>
              </w:rPr>
            </w:pPr>
            <w:r>
              <w:rPr>
                <w:rFonts w:ascii="Times New Roman"/>
                <w:spacing w:val="-1"/>
                <w:sz w:val="21"/>
              </w:rPr>
              <w:t>84,169,802.50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0"/>
              <w:jc w:val="right"/>
              <w:rPr>
                <w:rFonts w:ascii="Times New Roman" w:hAnsi="Times New Roman" w:cs="Times New Roman" w:eastAsia="Times New Roman" w:hint="default"/>
                <w:sz w:val="21"/>
                <w:szCs w:val="21"/>
              </w:rPr>
            </w:pPr>
            <w:r>
              <w:rPr>
                <w:rFonts w:ascii="Times New Roman"/>
                <w:w w:val="100"/>
                <w:sz w:val="21"/>
              </w:rPr>
              <w:t>-</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6"/>
              <w:jc w:val="right"/>
              <w:rPr>
                <w:rFonts w:ascii="Times New Roman" w:hAnsi="Times New Roman" w:cs="Times New Roman" w:eastAsia="Times New Roman" w:hint="default"/>
                <w:sz w:val="21"/>
                <w:szCs w:val="21"/>
              </w:rPr>
            </w:pPr>
            <w:r>
              <w:rPr>
                <w:rFonts w:ascii="Times New Roman"/>
                <w:spacing w:val="-1"/>
                <w:sz w:val="21"/>
              </w:rPr>
              <w:t>839,589,433.55</w:t>
            </w:r>
          </w:p>
        </w:tc>
      </w:tr>
    </w:tbl>
    <w:p>
      <w:pPr>
        <w:spacing w:line="240" w:lineRule="auto" w:before="11"/>
        <w:rPr>
          <w:rFonts w:ascii="宋体" w:hAnsi="宋体" w:cs="宋体" w:eastAsia="宋体" w:hint="default"/>
          <w:sz w:val="18"/>
          <w:szCs w:val="18"/>
        </w:rPr>
      </w:pPr>
    </w:p>
    <w:p>
      <w:pPr>
        <w:pStyle w:val="BodyText"/>
        <w:tabs>
          <w:tab w:pos="1417" w:val="left" w:leader="none"/>
        </w:tabs>
        <w:spacing w:line="314" w:lineRule="auto" w:before="36"/>
        <w:ind w:left="578" w:right="170"/>
        <w:jc w:val="left"/>
      </w:pPr>
      <w:r>
        <w:rPr/>
        <w:t>（三）</w:t>
        <w:tab/>
        <w:t>市场风险</w:t>
      </w:r>
      <w:r>
        <w:rPr>
          <w:w w:val="100"/>
        </w:rPr>
        <w:t> </w:t>
      </w:r>
      <w:r>
        <w:rPr>
          <w:spacing w:val="-2"/>
        </w:rPr>
        <w:t>市场风险，是指金融工具的公允价值或未来现金流量因市场价格变动而发生波动的风险，主</w:t>
      </w:r>
    </w:p>
    <w:p>
      <w:pPr>
        <w:pStyle w:val="BodyText"/>
        <w:spacing w:line="240" w:lineRule="auto" w:before="20"/>
        <w:ind w:left="158" w:right="165"/>
        <w:jc w:val="left"/>
      </w:pPr>
      <w:r>
        <w:rPr/>
        <w:t>要包括汇率风险、利率风险和其他价格风险。</w:t>
      </w:r>
    </w:p>
    <w:p>
      <w:pPr>
        <w:pStyle w:val="BodyText"/>
        <w:spacing w:line="297" w:lineRule="auto" w:before="85"/>
        <w:ind w:left="578" w:right="165"/>
        <w:jc w:val="left"/>
      </w:pPr>
      <w:r>
        <w:rPr>
          <w:rFonts w:ascii="Times New Roman" w:hAnsi="Times New Roman" w:cs="Times New Roman" w:eastAsia="Times New Roman" w:hint="default"/>
        </w:rPr>
        <w:t>1</w:t>
      </w:r>
      <w:r>
        <w:rPr/>
        <w:t>、汇率风险</w:t>
      </w:r>
      <w:r>
        <w:rPr>
          <w:w w:val="100"/>
        </w:rPr>
        <w:t> </w:t>
      </w:r>
      <w:r>
        <w:rPr>
          <w:spacing w:val="-2"/>
        </w:rPr>
        <w:t>汇率风险，是指金融工具的公允价值或未来现金流量因外汇汇率变动而发生波动的风险。截</w:t>
      </w:r>
    </w:p>
    <w:p>
      <w:pPr>
        <w:pStyle w:val="BodyText"/>
        <w:spacing w:line="314" w:lineRule="auto" w:before="34"/>
        <w:ind w:left="578" w:right="165" w:hanging="420"/>
        <w:jc w:val="left"/>
      </w:pPr>
      <w:r>
        <w:rPr/>
        <w:t>至</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日，本公司不存在以外币计价的金融资产及金融负债，因此无汇率风险。</w:t>
      </w:r>
      <w:r>
        <w:rPr>
          <w:w w:val="100"/>
        </w:rPr>
        <w:t> </w:t>
      </w:r>
      <w:r>
        <w:rPr>
          <w:rFonts w:ascii="宋体" w:hAnsi="宋体" w:cs="宋体" w:eastAsia="宋体" w:hint="default"/>
        </w:rPr>
        <w:t>2</w:t>
      </w:r>
      <w:r>
        <w:rPr/>
        <w:t>、利率风险</w:t>
      </w:r>
      <w:r>
        <w:rPr>
          <w:w w:val="100"/>
        </w:rPr>
        <w:t> </w:t>
      </w:r>
      <w:r>
        <w:rPr>
          <w:spacing w:val="-2"/>
        </w:rPr>
        <w:t>利率风险，是指金融工具的公允价值或未来现金流量因市场利率变动而发生波动的风险。本</w:t>
      </w:r>
    </w:p>
    <w:p>
      <w:pPr>
        <w:pStyle w:val="BodyText"/>
        <w:spacing w:line="240" w:lineRule="auto" w:before="20"/>
        <w:ind w:left="158" w:right="165"/>
        <w:jc w:val="left"/>
      </w:pPr>
      <w:r>
        <w:rPr/>
        <w:t>公司与银行签订的短期借款协议，约定了固定的借款利率，暂无利率风险。</w:t>
      </w:r>
    </w:p>
    <w:p>
      <w:pPr>
        <w:pStyle w:val="BodyText"/>
        <w:spacing w:line="284" w:lineRule="exact" w:before="103"/>
        <w:ind w:left="640" w:right="6630" w:hanging="63"/>
        <w:jc w:val="left"/>
      </w:pPr>
      <w:r>
        <w:rPr>
          <w:rFonts w:ascii="Times New Roman" w:hAnsi="Times New Roman" w:cs="Times New Roman" w:eastAsia="Times New Roman" w:hint="default"/>
          <w:spacing w:val="-2"/>
        </w:rPr>
        <w:t>3</w:t>
      </w:r>
      <w:r>
        <w:rPr>
          <w:spacing w:val="-2"/>
        </w:rPr>
        <w:t>、其他价格风险</w:t>
      </w:r>
      <w:r>
        <w:rPr>
          <w:spacing w:val="-89"/>
        </w:rPr>
        <w:t> </w:t>
      </w:r>
      <w:r>
        <w:rPr>
          <w:spacing w:val="-89"/>
        </w:rPr>
      </w:r>
      <w:r>
        <w:rPr/>
        <w:t>无。</w:t>
      </w:r>
    </w:p>
    <w:p>
      <w:pPr>
        <w:pStyle w:val="Heading4"/>
        <w:tabs>
          <w:tab w:pos="997" w:val="left" w:leader="none"/>
        </w:tabs>
        <w:spacing w:line="240" w:lineRule="auto" w:before="32"/>
        <w:ind w:left="158" w:right="165"/>
        <w:jc w:val="left"/>
        <w:rPr>
          <w:b w:val="0"/>
          <w:bCs w:val="0"/>
        </w:rPr>
      </w:pPr>
      <w:r>
        <w:rPr/>
        <w:t>十一、</w:t>
        <w:tab/>
        <w:t>公允价值的披露</w:t>
      </w:r>
      <w:r>
        <w:rPr>
          <w:b w:val="0"/>
          <w:bCs w:val="0"/>
        </w:rPr>
      </w:r>
    </w:p>
    <w:p>
      <w:pPr>
        <w:pStyle w:val="Heading4"/>
        <w:spacing w:line="240" w:lineRule="auto" w:before="56"/>
        <w:ind w:left="158" w:right="165"/>
        <w:jc w:val="left"/>
        <w:rPr>
          <w:b w:val="0"/>
          <w:bCs w:val="0"/>
        </w:rPr>
      </w:pPr>
      <w:r>
        <w:rPr>
          <w:rFonts w:ascii="Times New Roman" w:hAnsi="Times New Roman" w:cs="Times New Roman" w:eastAsia="Times New Roman" w:hint="default"/>
        </w:rPr>
        <w:t>1</w:t>
      </w:r>
      <w:r>
        <w:rPr/>
        <w:t>、</w:t>
      </w:r>
      <w:r>
        <w:rPr>
          <w:spacing w:val="4"/>
        </w:rPr>
        <w:t> </w:t>
      </w:r>
      <w:r>
        <w:rPr/>
        <w:t>以公允价值计量的资产和负债的期末公允价值</w:t>
      </w:r>
      <w:r>
        <w:rPr>
          <w:b w:val="0"/>
          <w:bCs w:val="0"/>
        </w:rPr>
      </w:r>
    </w:p>
    <w:p>
      <w:pPr>
        <w:pStyle w:val="BodyText"/>
        <w:tabs>
          <w:tab w:pos="1480" w:val="left" w:leader="none"/>
        </w:tabs>
        <w:spacing w:line="240" w:lineRule="auto" w:before="43"/>
        <w:ind w:left="638" w:right="165"/>
        <w:jc w:val="left"/>
      </w:pPr>
      <w:r>
        <w:rPr/>
        <w:t>√适用</w:t>
        <w:tab/>
        <w:t>□不适用</w:t>
      </w:r>
    </w:p>
    <w:p>
      <w:pPr>
        <w:pStyle w:val="BodyText"/>
        <w:tabs>
          <w:tab w:pos="946" w:val="left" w:leader="none"/>
        </w:tabs>
        <w:spacing w:line="271" w:lineRule="exact"/>
        <w:ind w:left="0" w:right="17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09"/>
        <w:gridCol w:w="1610"/>
        <w:gridCol w:w="1570"/>
        <w:gridCol w:w="1750"/>
        <w:gridCol w:w="1651"/>
      </w:tblGrid>
      <w:tr>
        <w:trPr>
          <w:trHeight w:val="281" w:hRule="exact"/>
        </w:trPr>
        <w:tc>
          <w:tcPr>
            <w:tcW w:w="230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14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65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7" w:hRule="exact"/>
        </w:trPr>
        <w:tc>
          <w:tcPr>
            <w:tcW w:w="2309" w:type="dxa"/>
            <w:vMerge/>
            <w:tcBorders>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第一层次公</w:t>
            </w:r>
          </w:p>
          <w:p>
            <w:pPr>
              <w:pStyle w:val="TableParagraph"/>
              <w:spacing w:line="273" w:lineRule="exact"/>
              <w:ind w:left="273" w:right="0"/>
              <w:jc w:val="left"/>
              <w:rPr>
                <w:rFonts w:ascii="宋体" w:hAnsi="宋体" w:cs="宋体" w:eastAsia="宋体" w:hint="default"/>
                <w:sz w:val="21"/>
                <w:szCs w:val="21"/>
              </w:rPr>
            </w:pPr>
            <w:r>
              <w:rPr>
                <w:rFonts w:ascii="宋体" w:hAnsi="宋体" w:cs="宋体" w:eastAsia="宋体" w:hint="default"/>
                <w:sz w:val="21"/>
                <w:szCs w:val="21"/>
              </w:rPr>
              <w:t>允价值计量</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第二层次公</w:t>
            </w:r>
          </w:p>
          <w:p>
            <w:pPr>
              <w:pStyle w:val="TableParagraph"/>
              <w:spacing w:line="273" w:lineRule="exact"/>
              <w:ind w:left="252" w:right="0"/>
              <w:jc w:val="left"/>
              <w:rPr>
                <w:rFonts w:ascii="宋体" w:hAnsi="宋体" w:cs="宋体" w:eastAsia="宋体" w:hint="default"/>
                <w:sz w:val="21"/>
                <w:szCs w:val="21"/>
              </w:rPr>
            </w:pPr>
            <w:r>
              <w:rPr>
                <w:rFonts w:ascii="宋体" w:hAnsi="宋体" w:cs="宋体" w:eastAsia="宋体" w:hint="default"/>
                <w:sz w:val="21"/>
                <w:szCs w:val="21"/>
              </w:rPr>
              <w:t>允价值计量</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第三层次公允</w:t>
            </w:r>
          </w:p>
          <w:p>
            <w:pPr>
              <w:pStyle w:val="TableParagraph"/>
              <w:spacing w:line="273" w:lineRule="exact"/>
              <w:ind w:left="446" w:right="0"/>
              <w:jc w:val="left"/>
              <w:rPr>
                <w:rFonts w:ascii="宋体" w:hAnsi="宋体" w:cs="宋体" w:eastAsia="宋体" w:hint="default"/>
                <w:sz w:val="21"/>
                <w:szCs w:val="21"/>
              </w:rPr>
            </w:pPr>
            <w:r>
              <w:rPr>
                <w:rFonts w:ascii="宋体" w:hAnsi="宋体" w:cs="宋体" w:eastAsia="宋体" w:hint="default"/>
                <w:sz w:val="21"/>
                <w:szCs w:val="21"/>
              </w:rPr>
              <w:t>价值计量</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43" w:right="0"/>
              <w:jc w:val="left"/>
              <w:rPr>
                <w:rFonts w:ascii="宋体" w:hAnsi="宋体" w:cs="宋体" w:eastAsia="宋体" w:hint="default"/>
                <w:sz w:val="21"/>
                <w:szCs w:val="21"/>
              </w:rPr>
            </w:pPr>
            <w:r>
              <w:rPr>
                <w:rFonts w:ascii="宋体" w:hAnsi="宋体" w:cs="宋体" w:eastAsia="宋体" w:hint="default"/>
                <w:b/>
                <w:bCs/>
                <w:spacing w:val="-8"/>
                <w:sz w:val="21"/>
                <w:szCs w:val="21"/>
              </w:rPr>
              <w:t>一、持续的公允价值</w:t>
            </w:r>
            <w:r>
              <w:rPr>
                <w:rFonts w:ascii="宋体" w:hAnsi="宋体" w:cs="宋体" w:eastAsia="宋体" w:hint="default"/>
                <w:spacing w:val="-8"/>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计量</w:t>
            </w:r>
            <w:r>
              <w:rPr>
                <w:rFonts w:ascii="宋体" w:hAnsi="宋体" w:cs="宋体" w:eastAsia="宋体" w:hint="default"/>
                <w:sz w:val="21"/>
                <w:szCs w:val="21"/>
              </w:rPr>
            </w:r>
          </w:p>
        </w:tc>
        <w:tc>
          <w:tcPr>
            <w:tcW w:w="161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（一）以公允价值计量且</w:t>
            </w:r>
          </w:p>
          <w:p>
            <w:pPr>
              <w:pStyle w:val="TableParagraph"/>
              <w:spacing w:line="240" w:lineRule="auto"/>
              <w:ind w:left="23" w:right="171"/>
              <w:jc w:val="left"/>
              <w:rPr>
                <w:rFonts w:ascii="宋体" w:hAnsi="宋体" w:cs="宋体" w:eastAsia="宋体" w:hint="default"/>
                <w:sz w:val="21"/>
                <w:szCs w:val="21"/>
              </w:rPr>
            </w:pPr>
            <w:r>
              <w:rPr>
                <w:rFonts w:ascii="宋体" w:hAnsi="宋体" w:cs="宋体" w:eastAsia="宋体" w:hint="default"/>
                <w:spacing w:val="-2"/>
                <w:sz w:val="21"/>
                <w:szCs w:val="21"/>
              </w:rPr>
              <w:t>变动计入当期损益的金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融资产</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（二）可供出售金融资产</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1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其中：发行的交易性债券</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（六）指定为以公允价值</w:t>
            </w:r>
          </w:p>
          <w:p>
            <w:pPr>
              <w:pStyle w:val="TableParagraph"/>
              <w:spacing w:line="272" w:lineRule="exact" w:before="27"/>
              <w:ind w:left="23" w:right="171"/>
              <w:jc w:val="left"/>
              <w:rPr>
                <w:rFonts w:ascii="宋体" w:hAnsi="宋体" w:cs="宋体" w:eastAsia="宋体" w:hint="default"/>
                <w:sz w:val="21"/>
                <w:szCs w:val="21"/>
              </w:rPr>
            </w:pPr>
            <w:r>
              <w:rPr>
                <w:rFonts w:ascii="宋体" w:hAnsi="宋体" w:cs="宋体" w:eastAsia="宋体" w:hint="default"/>
                <w:spacing w:val="-2"/>
                <w:sz w:val="21"/>
                <w:szCs w:val="21"/>
              </w:rPr>
              <w:t>计量且变动计入当期损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益的金融负债</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11" w:right="0"/>
              <w:jc w:val="left"/>
              <w:rPr>
                <w:rFonts w:ascii="Times New Roman" w:hAnsi="Times New Roman" w:cs="Times New Roman" w:eastAsia="Times New Roman" w:hint="default"/>
                <w:sz w:val="21"/>
                <w:szCs w:val="21"/>
              </w:rPr>
            </w:pPr>
            <w:r>
              <w:rPr>
                <w:rFonts w:ascii="Times New Roman"/>
                <w:sz w:val="21"/>
              </w:rPr>
              <w:t>3,000,000.00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94" w:right="0"/>
              <w:jc w:val="center"/>
              <w:rPr>
                <w:rFonts w:ascii="Times New Roman" w:hAnsi="Times New Roman" w:cs="Times New Roman" w:eastAsia="Times New Roman" w:hint="default"/>
                <w:sz w:val="21"/>
                <w:szCs w:val="21"/>
              </w:rPr>
            </w:pPr>
            <w:r>
              <w:rPr>
                <w:rFonts w:ascii="Times New Roman"/>
                <w:sz w:val="21"/>
              </w:rPr>
              <w:t>3,000,000.00</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979" w:top="1120" w:bottom="1160" w:left="1640" w:right="11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309"/>
        <w:gridCol w:w="1610"/>
        <w:gridCol w:w="1570"/>
        <w:gridCol w:w="1750"/>
        <w:gridCol w:w="1651"/>
      </w:tblGrid>
      <w:tr>
        <w:trPr>
          <w:trHeight w:val="557"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1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611" w:right="0"/>
              <w:jc w:val="left"/>
              <w:rPr>
                <w:rFonts w:ascii="Times New Roman" w:hAnsi="Times New Roman" w:cs="Times New Roman" w:eastAsia="Times New Roman" w:hint="default"/>
                <w:sz w:val="21"/>
                <w:szCs w:val="21"/>
              </w:rPr>
            </w:pPr>
            <w:r>
              <w:rPr>
                <w:rFonts w:ascii="Times New Roman"/>
                <w:sz w:val="21"/>
              </w:rPr>
              <w:t>3,000,000.00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15" w:right="0"/>
              <w:jc w:val="left"/>
              <w:rPr>
                <w:rFonts w:ascii="Times New Roman" w:hAnsi="Times New Roman" w:cs="Times New Roman" w:eastAsia="Times New Roman" w:hint="default"/>
                <w:sz w:val="21"/>
                <w:szCs w:val="21"/>
              </w:rPr>
            </w:pPr>
            <w:r>
              <w:rPr>
                <w:rFonts w:ascii="Times New Roman"/>
                <w:sz w:val="21"/>
              </w:rPr>
              <w:t>3,000,000.00</w:t>
            </w: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pacing w:val="-7"/>
                <w:sz w:val="21"/>
                <w:szCs w:val="21"/>
              </w:rPr>
              <w:t>二、非持续的公允价值计</w:t>
            </w:r>
            <w:r>
              <w:rPr>
                <w:rFonts w:ascii="宋体" w:hAnsi="宋体" w:cs="宋体" w:eastAsia="宋体" w:hint="default"/>
                <w:spacing w:val="-7"/>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1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1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sz w:val="21"/>
                <w:szCs w:val="21"/>
              </w:rPr>
            </w:r>
          </w:p>
        </w:tc>
        <w:tc>
          <w:tcPr>
            <w:tcW w:w="161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sz w:val="21"/>
                <w:szCs w:val="21"/>
              </w:rPr>
            </w:r>
          </w:p>
        </w:tc>
        <w:tc>
          <w:tcPr>
            <w:tcW w:w="161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pStyle w:val="Heading4"/>
        <w:spacing w:line="240" w:lineRule="auto"/>
        <w:ind w:left="138" w:right="142"/>
        <w:jc w:val="left"/>
        <w:rPr>
          <w:b w:val="0"/>
          <w:bCs w:val="0"/>
        </w:rPr>
      </w:pPr>
      <w:r>
        <w:rPr>
          <w:rFonts w:ascii="Times New Roman" w:hAnsi="Times New Roman" w:cs="Times New Roman" w:eastAsia="Times New Roman" w:hint="default"/>
        </w:rPr>
        <w:t>2</w:t>
      </w:r>
      <w:r>
        <w:rPr/>
        <w:t>、 持续和非持续第一层次公允价值计量项目市价的确定依据</w:t>
      </w:r>
      <w:r>
        <w:rPr>
          <w:b w:val="0"/>
          <w:bCs w:val="0"/>
        </w:rPr>
      </w:r>
    </w:p>
    <w:p>
      <w:pPr>
        <w:pStyle w:val="BodyText"/>
        <w:tabs>
          <w:tab w:pos="1460" w:val="left" w:leader="none"/>
        </w:tabs>
        <w:spacing w:line="240" w:lineRule="auto" w:before="43"/>
        <w:ind w:left="618" w:right="142"/>
        <w:jc w:val="left"/>
      </w:pPr>
      <w:r>
        <w:rPr/>
        <w:t>□适用</w:t>
        <w:tab/>
        <w:t>√不适用</w:t>
      </w:r>
    </w:p>
    <w:p>
      <w:pPr>
        <w:pStyle w:val="Heading4"/>
        <w:spacing w:line="240" w:lineRule="auto" w:before="56"/>
        <w:ind w:left="138" w:right="142"/>
        <w:jc w:val="left"/>
        <w:rPr>
          <w:b w:val="0"/>
          <w:bCs w:val="0"/>
        </w:rPr>
      </w:pPr>
      <w:r>
        <w:rPr>
          <w:rFonts w:ascii="Times New Roman" w:hAnsi="Times New Roman" w:cs="Times New Roman" w:eastAsia="Times New Roman"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460" w:val="left" w:leader="none"/>
        </w:tabs>
        <w:spacing w:line="240" w:lineRule="auto" w:before="40"/>
        <w:ind w:left="618" w:right="142"/>
        <w:jc w:val="left"/>
      </w:pPr>
      <w:r>
        <w:rPr/>
        <w:t>□适用</w:t>
        <w:tab/>
        <w:t>√不适用</w:t>
      </w:r>
    </w:p>
    <w:p>
      <w:pPr>
        <w:pStyle w:val="Heading4"/>
        <w:spacing w:line="240" w:lineRule="auto" w:before="58"/>
        <w:ind w:left="138" w:right="142"/>
        <w:jc w:val="left"/>
        <w:rPr>
          <w:b w:val="0"/>
          <w:bCs w:val="0"/>
        </w:rPr>
      </w:pPr>
      <w:r>
        <w:rPr>
          <w:rFonts w:ascii="Times New Roman" w:hAnsi="Times New Roman" w:cs="Times New Roman" w:eastAsia="Times New Roman"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460" w:val="left" w:leader="none"/>
        </w:tabs>
        <w:spacing w:line="240" w:lineRule="auto" w:before="40"/>
        <w:ind w:left="618" w:right="142"/>
        <w:jc w:val="left"/>
      </w:pPr>
      <w:r>
        <w:rPr/>
        <w:t>√适用</w:t>
        <w:tab/>
        <w:t>□不适用</w:t>
      </w:r>
    </w:p>
    <w:p>
      <w:pPr>
        <w:pStyle w:val="BodyText"/>
        <w:spacing w:line="297" w:lineRule="auto" w:before="75"/>
        <w:ind w:left="138" w:right="142" w:firstLine="359"/>
        <w:jc w:val="left"/>
      </w:pPr>
      <w:r>
        <w:rPr/>
        <w:t>指定为以公允价值计量且变动计入当期损益的金融负债根据福建南威</w:t>
      </w:r>
      <w:r>
        <w:rPr>
          <w:spacing w:val="-7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9"/>
        </w:rPr>
        <w:t> </w:t>
      </w:r>
      <w:r>
        <w:rPr/>
        <w:t>年的预算业绩来确</w:t>
      </w:r>
      <w:r>
        <w:rPr>
          <w:w w:val="100"/>
        </w:rPr>
        <w:t> </w:t>
      </w:r>
      <w:r>
        <w:rPr/>
        <w:t>定公允价值。</w:t>
      </w:r>
    </w:p>
    <w:p>
      <w:pPr>
        <w:pStyle w:val="Heading4"/>
        <w:spacing w:line="272" w:lineRule="exact" w:before="45"/>
        <w:ind w:left="562" w:right="137" w:hanging="425"/>
        <w:jc w:val="left"/>
        <w:rPr>
          <w:b w:val="0"/>
          <w:bCs w:val="0"/>
        </w:rPr>
      </w:pPr>
      <w:r>
        <w:rPr>
          <w:rFonts w:ascii="Times New Roman" w:hAnsi="Times New Roman" w:cs="Times New Roman" w:eastAsia="Times New Roman"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460" w:val="left" w:leader="none"/>
        </w:tabs>
        <w:spacing w:line="240" w:lineRule="auto" w:before="34"/>
        <w:ind w:left="618" w:right="142"/>
        <w:jc w:val="left"/>
      </w:pPr>
      <w:r>
        <w:rPr/>
        <w:t>□适用</w:t>
        <w:tab/>
        <w:t>√不适用</w:t>
      </w:r>
    </w:p>
    <w:p>
      <w:pPr>
        <w:pStyle w:val="Heading4"/>
        <w:spacing w:line="274" w:lineRule="exact" w:before="83"/>
        <w:ind w:left="562" w:right="137" w:hanging="425"/>
        <w:jc w:val="left"/>
        <w:rPr>
          <w:b w:val="0"/>
          <w:bCs w:val="0"/>
        </w:rPr>
      </w:pPr>
      <w:r>
        <w:rPr>
          <w:rFonts w:ascii="Times New Roman" w:hAnsi="Times New Roman" w:cs="Times New Roman" w:eastAsia="Times New Roman" w:hint="default"/>
        </w:rPr>
        <w:t>6</w:t>
      </w:r>
      <w:r>
        <w:rPr/>
        <w:t>、</w:t>
      </w:r>
      <w:r>
        <w:rPr>
          <w:spacing w:val="-23"/>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460" w:val="left" w:leader="none"/>
        </w:tabs>
        <w:spacing w:line="240" w:lineRule="auto" w:before="31"/>
        <w:ind w:left="618" w:right="142"/>
        <w:jc w:val="left"/>
      </w:pPr>
      <w:r>
        <w:rPr/>
        <w:t>□适用</w:t>
        <w:tab/>
        <w:t>√不适用</w:t>
      </w:r>
    </w:p>
    <w:p>
      <w:pPr>
        <w:pStyle w:val="Heading4"/>
        <w:spacing w:line="240" w:lineRule="auto" w:before="58"/>
        <w:ind w:left="138" w:right="142"/>
        <w:jc w:val="left"/>
        <w:rPr>
          <w:b w:val="0"/>
          <w:bCs w:val="0"/>
        </w:rPr>
      </w:pPr>
      <w:r>
        <w:rPr>
          <w:rFonts w:ascii="Times New Roman" w:hAnsi="Times New Roman" w:cs="Times New Roman" w:eastAsia="Times New Roman" w:hint="default"/>
        </w:rPr>
        <w:t>7</w:t>
      </w:r>
      <w:r>
        <w:rPr/>
        <w:t>、</w:t>
      </w:r>
      <w:r>
        <w:rPr>
          <w:spacing w:val="3"/>
        </w:rPr>
        <w:t> </w:t>
      </w:r>
      <w:r>
        <w:rPr/>
        <w:t>本期内发生的估值技术变更及变更原因</w:t>
      </w:r>
      <w:r>
        <w:rPr>
          <w:b w:val="0"/>
          <w:bCs w:val="0"/>
        </w:rPr>
      </w:r>
    </w:p>
    <w:p>
      <w:pPr>
        <w:pStyle w:val="BodyText"/>
        <w:tabs>
          <w:tab w:pos="1460" w:val="left" w:leader="none"/>
        </w:tabs>
        <w:spacing w:line="240" w:lineRule="auto" w:before="40"/>
        <w:ind w:left="618" w:right="142"/>
        <w:jc w:val="left"/>
      </w:pPr>
      <w:r>
        <w:rPr/>
        <w:t>□适用</w:t>
        <w:tab/>
        <w:t>√不适用</w:t>
      </w:r>
    </w:p>
    <w:p>
      <w:pPr>
        <w:pStyle w:val="Heading4"/>
        <w:spacing w:line="240" w:lineRule="auto" w:before="58"/>
        <w:ind w:left="138" w:right="142"/>
        <w:jc w:val="left"/>
        <w:rPr>
          <w:b w:val="0"/>
          <w:bCs w:val="0"/>
        </w:rPr>
      </w:pPr>
      <w:r>
        <w:rPr>
          <w:rFonts w:ascii="Times New Roman" w:hAnsi="Times New Roman" w:cs="Times New Roman" w:eastAsia="Times New Roman" w:hint="default"/>
        </w:rPr>
        <w:t>8</w:t>
      </w:r>
      <w:r>
        <w:rPr/>
        <w:t>、 不以公允价值计量的金融资产和金融负债的公允价值情况</w:t>
      </w:r>
      <w:r>
        <w:rPr>
          <w:b w:val="0"/>
          <w:bCs w:val="0"/>
        </w:rPr>
      </w:r>
    </w:p>
    <w:p>
      <w:pPr>
        <w:pStyle w:val="BodyText"/>
        <w:tabs>
          <w:tab w:pos="1460" w:val="left" w:leader="none"/>
        </w:tabs>
        <w:spacing w:line="240" w:lineRule="auto" w:before="40"/>
        <w:ind w:left="618" w:right="142"/>
        <w:jc w:val="left"/>
      </w:pPr>
      <w:r>
        <w:rPr/>
        <w:t>□适用</w:t>
        <w:tab/>
        <w:t>√不适用</w:t>
      </w:r>
    </w:p>
    <w:p>
      <w:pPr>
        <w:pStyle w:val="Heading4"/>
        <w:spacing w:line="240" w:lineRule="auto" w:before="58"/>
        <w:ind w:left="138" w:right="142"/>
        <w:jc w:val="left"/>
        <w:rPr>
          <w:b w:val="0"/>
          <w:bCs w:val="0"/>
        </w:rPr>
      </w:pPr>
      <w:r>
        <w:rPr>
          <w:rFonts w:ascii="Times New Roman" w:hAnsi="Times New Roman" w:cs="Times New Roman" w:eastAsia="Times New Roman" w:hint="default"/>
        </w:rPr>
        <w:t>9</w:t>
      </w:r>
      <w:r>
        <w:rPr/>
        <w:t>、</w:t>
      </w:r>
      <w:r>
        <w:rPr>
          <w:spacing w:val="3"/>
        </w:rPr>
        <w:t> </w:t>
      </w:r>
      <w:r>
        <w:rPr/>
        <w:t>其他</w:t>
      </w:r>
      <w:r>
        <w:rPr>
          <w:b w:val="0"/>
          <w:bCs w:val="0"/>
        </w:rPr>
      </w:r>
    </w:p>
    <w:p>
      <w:pPr>
        <w:tabs>
          <w:tab w:pos="977" w:val="left" w:leader="none"/>
          <w:tab w:pos="1460" w:val="left" w:leader="none"/>
        </w:tabs>
        <w:spacing w:line="290" w:lineRule="auto" w:before="40"/>
        <w:ind w:left="138" w:right="6456" w:firstLine="479"/>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十二、</w:t>
        <w:tab/>
        <w:t>关联方及关联交易</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BodyText"/>
        <w:tabs>
          <w:tab w:pos="1460" w:val="left" w:leader="none"/>
        </w:tabs>
        <w:spacing w:line="272" w:lineRule="exact" w:before="21"/>
        <w:ind w:left="558" w:right="3450" w:firstLine="60"/>
        <w:jc w:val="left"/>
      </w:pPr>
      <w:r>
        <w:rPr/>
        <w:t>□适用</w:t>
        <w:tab/>
        <w:t>√不适用</w:t>
      </w:r>
      <w:r>
        <w:rPr>
          <w:w w:val="100"/>
        </w:rPr>
        <w:t> </w:t>
      </w:r>
      <w:r>
        <w:rPr/>
        <w:t>公司实际控制人为吴志雄，直接持有公司</w:t>
      </w:r>
      <w:r>
        <w:rPr>
          <w:spacing w:val="-55"/>
        </w:rPr>
        <w:t> </w:t>
      </w:r>
      <w:r>
        <w:rPr>
          <w:rFonts w:ascii="Times New Roman" w:hAnsi="Times New Roman" w:cs="Times New Roman" w:eastAsia="Times New Roman" w:hint="default"/>
        </w:rPr>
        <w:t>56.77%</w:t>
      </w:r>
      <w:r>
        <w:rPr/>
        <w:t>股权。</w:t>
      </w:r>
    </w:p>
    <w:p>
      <w:pPr>
        <w:spacing w:line="273" w:lineRule="auto" w:before="34"/>
        <w:ind w:left="558" w:right="3985"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pacing w:val="-2"/>
          <w:sz w:val="21"/>
          <w:szCs w:val="21"/>
        </w:rPr>
        <w:t>本企业子公司的情况详见附注</w:t>
      </w:r>
    </w:p>
    <w:p>
      <w:pPr>
        <w:pStyle w:val="BodyText"/>
        <w:tabs>
          <w:tab w:pos="1460" w:val="left" w:leader="none"/>
        </w:tabs>
        <w:spacing w:line="241" w:lineRule="exact"/>
        <w:ind w:left="618" w:right="142"/>
        <w:jc w:val="left"/>
      </w:pPr>
      <w:r>
        <w:rPr/>
        <w:t>√适用</w:t>
        <w:tab/>
        <w:t>□不适用</w:t>
      </w:r>
    </w:p>
    <w:p>
      <w:pPr>
        <w:pStyle w:val="BodyText"/>
        <w:spacing w:line="290" w:lineRule="exact"/>
        <w:ind w:left="618" w:right="142"/>
        <w:jc w:val="left"/>
      </w:pPr>
      <w:r>
        <w:rPr/>
        <w:t>本企业子公司的情况详见“九、其他主体中的权益附注</w:t>
      </w:r>
      <w:r>
        <w:rPr>
          <w:spacing w:val="-55"/>
        </w:rPr>
        <w:t> </w:t>
      </w:r>
      <w:r>
        <w:rPr>
          <w:rFonts w:ascii="Times New Roman" w:hAnsi="Times New Roman" w:cs="Times New Roman" w:eastAsia="Times New Roman" w:hint="default"/>
        </w:rPr>
        <w:t>1</w:t>
      </w:r>
      <w:r>
        <w:rPr/>
        <w:t>”。</w:t>
      </w:r>
    </w:p>
    <w:p>
      <w:pPr>
        <w:spacing w:line="276" w:lineRule="auto" w:before="40"/>
        <w:ind w:left="618" w:right="3450"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39" w:lineRule="exact"/>
        <w:ind w:left="618" w:right="142"/>
        <w:jc w:val="left"/>
      </w:pPr>
      <w:r>
        <w:rPr/>
        <w:t>□适用 √不适用</w:t>
      </w:r>
    </w:p>
    <w:p>
      <w:pPr>
        <w:pStyle w:val="BodyText"/>
        <w:spacing w:line="272" w:lineRule="exact" w:before="27"/>
        <w:ind w:left="138" w:right="142" w:firstLine="479"/>
        <w:jc w:val="left"/>
      </w:pPr>
      <w:r>
        <w:rPr>
          <w:spacing w:val="-3"/>
        </w:rPr>
        <w:t>本期与本公司发生关联方交易，或前期与本公司发生关联方交易形成余额的其他合营或联营</w:t>
      </w:r>
      <w:r>
        <w:rPr>
          <w:w w:val="100"/>
        </w:rPr>
        <w:t> </w:t>
      </w:r>
      <w:r>
        <w:rPr/>
        <w:t>企业情况如下</w:t>
      </w:r>
    </w:p>
    <w:p>
      <w:pPr>
        <w:pStyle w:val="BodyText"/>
        <w:spacing w:line="249" w:lineRule="exact"/>
        <w:ind w:left="618" w:right="142"/>
        <w:jc w:val="left"/>
      </w:pPr>
      <w:r>
        <w:rPr/>
        <w:t>√适用 □不适用</w:t>
      </w:r>
    </w:p>
    <w:p>
      <w:pPr>
        <w:spacing w:after="0" w:line="249" w:lineRule="exact"/>
        <w:jc w:val="left"/>
        <w:sectPr>
          <w:pgSz w:w="11910" w:h="16840"/>
          <w:pgMar w:header="0" w:footer="979" w:top="1120" w:bottom="1160" w:left="1660" w:right="11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886"/>
        <w:gridCol w:w="4938"/>
      </w:tblGrid>
      <w:tr>
        <w:trPr>
          <w:trHeight w:val="372"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9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370"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福建省应急通信运营有限公司</w:t>
            </w:r>
          </w:p>
        </w:tc>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370"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成都四方伟业软件股份有限公司</w:t>
            </w:r>
          </w:p>
        </w:tc>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370"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福建神威系统集成有限责任公司</w:t>
            </w:r>
          </w:p>
        </w:tc>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370"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南京伍安信息科技有限公司</w:t>
            </w:r>
          </w:p>
        </w:tc>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bl>
    <w:p>
      <w:pPr>
        <w:pStyle w:val="BodyText"/>
        <w:spacing w:line="240" w:lineRule="exact"/>
        <w:ind w:right="2631"/>
        <w:jc w:val="left"/>
      </w:pPr>
      <w:r>
        <w:rPr/>
        <w:t>其他说明</w:t>
      </w:r>
    </w:p>
    <w:p>
      <w:pPr>
        <w:pStyle w:val="BodyText"/>
        <w:spacing w:line="274" w:lineRule="exact"/>
        <w:ind w:left="698" w:right="2631"/>
        <w:jc w:val="left"/>
      </w:pPr>
      <w:r>
        <w:rPr/>
        <w:t>□适用 √不适用</w:t>
      </w:r>
    </w:p>
    <w:p>
      <w:pPr>
        <w:pStyle w:val="Heading4"/>
        <w:spacing w:line="240" w:lineRule="auto" w:before="56"/>
        <w:ind w:right="2631"/>
        <w:jc w:val="left"/>
        <w:rPr>
          <w:b w:val="0"/>
          <w:bCs w:val="0"/>
        </w:rPr>
      </w:pPr>
      <w:r>
        <w:rPr>
          <w:rFonts w:ascii="Times New Roman" w:hAnsi="Times New Roman" w:cs="Times New Roman" w:eastAsia="Times New Roman" w:hint="default"/>
        </w:rPr>
        <w:t>4</w:t>
      </w:r>
      <w:r>
        <w:rPr/>
        <w:t>、</w:t>
      </w:r>
      <w:r>
        <w:rPr>
          <w:spacing w:val="5"/>
        </w:rPr>
        <w:t> </w:t>
      </w:r>
      <w:r>
        <w:rPr/>
        <w:t>其他关联方情况</w:t>
      </w:r>
      <w:r>
        <w:rPr>
          <w:b w:val="0"/>
          <w:bCs w:val="0"/>
        </w:rPr>
      </w:r>
    </w:p>
    <w:p>
      <w:pPr>
        <w:pStyle w:val="BodyText"/>
        <w:spacing w:line="240" w:lineRule="auto" w:before="43"/>
        <w:ind w:left="698" w:right="2631"/>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879"/>
        <w:gridCol w:w="4945"/>
      </w:tblGrid>
      <w:tr>
        <w:trPr>
          <w:trHeight w:val="370"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19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310"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372"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与公司受同一控股股东控制</w:t>
            </w:r>
          </w:p>
        </w:tc>
      </w:tr>
      <w:tr>
        <w:trPr>
          <w:trHeight w:val="370"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福建海丝博亚国际酒店有限公司</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与公司受同一控股股东控制</w:t>
            </w:r>
          </w:p>
        </w:tc>
      </w:tr>
      <w:tr>
        <w:trPr>
          <w:trHeight w:val="370"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泉州玛珂迩妇产医院有限公司</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与公司受同一控股股东控制</w:t>
            </w:r>
          </w:p>
        </w:tc>
      </w:tr>
      <w:tr>
        <w:trPr>
          <w:trHeight w:val="370"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泉州市数字云谷信息产业发展有限公司</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与重要子公司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以上股东受同一控股股东控制</w:t>
            </w:r>
          </w:p>
        </w:tc>
      </w:tr>
      <w:tr>
        <w:trPr>
          <w:trHeight w:val="370"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福建省星云大数据应用服务有限公司</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与重要子公司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以上股东受同一控股股东控制</w:t>
            </w:r>
          </w:p>
        </w:tc>
      </w:tr>
      <w:tr>
        <w:trPr>
          <w:trHeight w:val="370"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福建省枢建通信技术有限公司</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与重要子公司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以上股东受同一控股股东控制</w:t>
            </w:r>
          </w:p>
        </w:tc>
      </w:tr>
      <w:tr>
        <w:trPr>
          <w:trHeight w:val="372"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福建省和格实业集团有限公司</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与重要子公司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以上股东受同一控股股东控制</w:t>
            </w:r>
          </w:p>
        </w:tc>
      </w:tr>
      <w:tr>
        <w:trPr>
          <w:trHeight w:val="370"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福建瑞达精工股份有限公司</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与重要子公司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以上股东受同一控股股东控制</w:t>
            </w:r>
          </w:p>
        </w:tc>
      </w:tr>
      <w:tr>
        <w:trPr>
          <w:trHeight w:val="370"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福建星网物联信息系统有限公司</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与重要子公司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以上股东受同一控股股东控制</w:t>
            </w:r>
          </w:p>
        </w:tc>
      </w:tr>
      <w:tr>
        <w:trPr>
          <w:trHeight w:val="370"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福建省晋华集成电路有限公司</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与重要子公司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以上股东受同一控股股东控制</w:t>
            </w:r>
          </w:p>
        </w:tc>
      </w:tr>
      <w:tr>
        <w:trPr>
          <w:trHeight w:val="370"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福建省信安商业物业管理有限公司</w:t>
            </w:r>
          </w:p>
        </w:tc>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与重要子公司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以上股东受同一控股股东控制</w:t>
            </w:r>
          </w:p>
        </w:tc>
      </w:tr>
    </w:tbl>
    <w:p>
      <w:pPr>
        <w:pStyle w:val="BodyText"/>
        <w:spacing w:line="241" w:lineRule="exact"/>
        <w:ind w:right="0"/>
        <w:jc w:val="both"/>
      </w:pPr>
      <w:r>
        <w:rPr/>
        <w:t>其他说明</w:t>
      </w:r>
    </w:p>
    <w:p>
      <w:pPr>
        <w:pStyle w:val="BodyText"/>
        <w:spacing w:line="240" w:lineRule="auto" w:before="75"/>
        <w:ind w:left="698" w:right="2631"/>
        <w:jc w:val="left"/>
      </w:pPr>
      <w:r>
        <w:rPr>
          <w:rFonts w:ascii="Times New Roman" w:hAnsi="Times New Roman" w:cs="Times New Roman" w:eastAsia="Times New Roman" w:hint="default"/>
        </w:rPr>
        <w:t>1</w:t>
      </w:r>
      <w:r>
        <w:rPr/>
        <w:t>、公司不具有收益权但实际承担其运营的特殊目的的主体情况</w:t>
      </w:r>
    </w:p>
    <w:p>
      <w:pPr>
        <w:pStyle w:val="BodyText"/>
        <w:spacing w:line="304" w:lineRule="auto" w:before="69"/>
        <w:ind w:right="128" w:firstLine="419"/>
        <w:jc w:val="both"/>
      </w:pPr>
      <w:r>
        <w:rPr/>
        <w:t>泉州微软技术中心于</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spacing w:val="-6"/>
        </w:rPr>
        <w:t>日依据《微软（中国）有限公司、福建南威软件工程发展</w:t>
      </w:r>
      <w:r>
        <w:rPr>
          <w:w w:val="100"/>
        </w:rPr>
        <w:t> </w:t>
      </w:r>
      <w:r>
        <w:rPr>
          <w:spacing w:val="-7"/>
        </w:rPr>
        <w:t>有限公司关于组建“泉州微软技术中心”的合作协议》成立，于泉州民政局注册，登记证号为“民</w:t>
      </w:r>
      <w:r>
        <w:rPr>
          <w:spacing w:val="-12"/>
        </w:rPr>
        <w:t> </w:t>
      </w:r>
      <w:r>
        <w:rPr>
          <w:spacing w:val="-12"/>
        </w:rPr>
      </w:r>
      <w:r>
        <w:rPr/>
        <w:t>证字第</w:t>
      </w:r>
      <w:r>
        <w:rPr>
          <w:spacing w:val="-42"/>
        </w:rPr>
        <w:t> </w:t>
      </w:r>
      <w:r>
        <w:rPr>
          <w:rFonts w:ascii="Times New Roman" w:hAnsi="Times New Roman" w:cs="Times New Roman" w:eastAsia="Times New Roman" w:hint="default"/>
        </w:rPr>
        <w:t>350500040006</w:t>
      </w:r>
      <w:r>
        <w:rPr>
          <w:rFonts w:ascii="Times New Roman" w:hAnsi="Times New Roman" w:cs="Times New Roman" w:eastAsia="Times New Roman" w:hint="default"/>
          <w:spacing w:val="11"/>
        </w:rPr>
        <w:t> </w:t>
      </w:r>
      <w:r>
        <w:rPr/>
        <w:t>号”，注册时资本为</w:t>
      </w:r>
      <w:r>
        <w:rPr>
          <w:spacing w:val="-42"/>
        </w:rPr>
        <w:t> </w:t>
      </w:r>
      <w:r>
        <w:rPr>
          <w:rFonts w:ascii="Times New Roman" w:hAnsi="Times New Roman" w:cs="Times New Roman" w:eastAsia="Times New Roman" w:hint="default"/>
        </w:rPr>
        <w:t>100</w:t>
      </w:r>
      <w:r>
        <w:rPr>
          <w:rFonts w:ascii="Times New Roman" w:hAnsi="Times New Roman" w:cs="Times New Roman" w:eastAsia="Times New Roman" w:hint="default"/>
          <w:spacing w:val="11"/>
        </w:rPr>
        <w:t> </w:t>
      </w:r>
      <w:r>
        <w:rPr/>
        <w:t>万元。中心成立时，举办者为福建新微。</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p>
    <w:p>
      <w:pPr>
        <w:pStyle w:val="BodyText"/>
        <w:spacing w:line="309" w:lineRule="auto" w:before="6"/>
        <w:ind w:right="127"/>
        <w:jc w:val="both"/>
      </w:pPr>
      <w:r>
        <w:rPr>
          <w:rFonts w:ascii="Times New Roman" w:hAnsi="Times New Roman" w:cs="Times New Roman" w:eastAsia="Times New Roman" w:hint="default"/>
        </w:rPr>
        <w:t>10 </w:t>
      </w:r>
      <w:r>
        <w:rPr>
          <w:spacing w:val="-3"/>
        </w:rPr>
        <w:t>月福建新微出售后，举办者变更为公司。根据《微软（中国）有限公司、福建南威软件工程发</w:t>
      </w:r>
      <w:r>
        <w:rPr>
          <w:spacing w:val="-84"/>
        </w:rPr>
        <w:t> </w:t>
      </w:r>
      <w:r>
        <w:rPr>
          <w:spacing w:val="-84"/>
        </w:rPr>
      </w:r>
      <w:r>
        <w:rPr>
          <w:spacing w:val="-1"/>
        </w:rPr>
        <w:t>展有限公司关于组建“泉州微软技术中心”的合作协议》，泉州微软技术中心由公司自行发起设</w:t>
      </w:r>
      <w:r>
        <w:rPr>
          <w:spacing w:val="-56"/>
        </w:rPr>
        <w:t> </w:t>
      </w:r>
      <w:r>
        <w:rPr>
          <w:spacing w:val="-56"/>
        </w:rPr>
      </w:r>
      <w:r>
        <w:rPr>
          <w:spacing w:val="-1"/>
        </w:rPr>
        <w:t>立，微软（中国）有限公司不参与泉州微软技术中心的的经营与管理，并且对中心的盈利和亏损</w:t>
      </w:r>
      <w:r>
        <w:rPr>
          <w:spacing w:val="-55"/>
        </w:rPr>
        <w:t> </w:t>
      </w:r>
      <w:r>
        <w:rPr>
          <w:spacing w:val="-55"/>
        </w:rPr>
      </w:r>
      <w:r>
        <w:rPr>
          <w:spacing w:val="-4"/>
        </w:rPr>
        <w:t>不负任何责任。微软（中国）有限公司对泉州微软技术中心可在一定条件下提前</w:t>
      </w:r>
      <w:r>
        <w:rPr>
          <w:spacing w:val="-36"/>
        </w:rPr>
        <w:t> </w:t>
      </w:r>
      <w:r>
        <w:rPr>
          <w:rFonts w:ascii="Times New Roman" w:hAnsi="Times New Roman" w:cs="Times New Roman" w:eastAsia="Times New Roman" w:hint="default"/>
        </w:rPr>
        <w:t>30</w:t>
      </w:r>
      <w:r>
        <w:rPr>
          <w:rFonts w:ascii="Times New Roman" w:hAnsi="Times New Roman" w:cs="Times New Roman" w:eastAsia="Times New Roman" w:hint="default"/>
          <w:spacing w:val="16"/>
        </w:rPr>
        <w:t> </w:t>
      </w:r>
      <w:r>
        <w:rPr/>
        <w:t>天通知合作双</w:t>
      </w:r>
      <w:r>
        <w:rPr>
          <w:spacing w:val="-99"/>
        </w:rPr>
        <w:t> </w:t>
      </w:r>
      <w:r>
        <w:rPr>
          <w:spacing w:val="-99"/>
        </w:rPr>
      </w:r>
      <w:r>
        <w:rPr>
          <w:spacing w:val="-2"/>
        </w:rPr>
        <w:t>方终止使用或变更“泉州微软技术中心”这一名称。泉州微软技术中心的设立的宗旨是通过整合</w:t>
      </w:r>
      <w:r>
        <w:rPr>
          <w:spacing w:val="-18"/>
        </w:rPr>
        <w:t> </w:t>
      </w:r>
      <w:r>
        <w:rPr>
          <w:spacing w:val="-18"/>
        </w:rPr>
      </w:r>
      <w:r>
        <w:rPr>
          <w:spacing w:val="-1"/>
        </w:rPr>
        <w:t>国内外先进资源，搭建技术传递、技术交流、技术人才培养的平台，促进福建省、泉州市信息化</w:t>
      </w:r>
      <w:r>
        <w:rPr>
          <w:spacing w:val="-55"/>
        </w:rPr>
        <w:t> </w:t>
      </w:r>
      <w:r>
        <w:rPr>
          <w:spacing w:val="-55"/>
        </w:rPr>
      </w:r>
      <w:r>
        <w:rPr>
          <w:spacing w:val="-1"/>
        </w:rPr>
        <w:t>的健康发展；同时，借助微软全球的运作经验，为福建省和泉州市信息化建设在战略层面上提供</w:t>
      </w:r>
      <w:r>
        <w:rPr>
          <w:spacing w:val="-55"/>
        </w:rPr>
        <w:t> </w:t>
      </w:r>
      <w:r>
        <w:rPr>
          <w:spacing w:val="-55"/>
        </w:rPr>
      </w:r>
      <w:r>
        <w:rPr>
          <w:spacing w:val="-1"/>
        </w:rPr>
        <w:t>技术支持。泉州微软技术中心章程中规定，该中心实现的盈余不分红，用于业务范围内的事业发</w:t>
      </w:r>
      <w:r>
        <w:rPr>
          <w:spacing w:val="-55"/>
        </w:rPr>
        <w:t> </w:t>
      </w:r>
      <w:r>
        <w:rPr>
          <w:spacing w:val="-55"/>
        </w:rPr>
      </w:r>
      <w:r>
        <w:rPr/>
        <w:t>展。截至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日，公司同泉州微软技术中心间不存在担保或抵押的情况。</w:t>
      </w:r>
    </w:p>
    <w:p>
      <w:pPr>
        <w:pStyle w:val="Heading4"/>
        <w:spacing w:line="276" w:lineRule="exact" w:before="0"/>
        <w:ind w:right="0"/>
        <w:jc w:val="both"/>
        <w:rPr>
          <w:b w:val="0"/>
          <w:bCs w:val="0"/>
        </w:rPr>
      </w:pPr>
      <w:r>
        <w:rPr>
          <w:rFonts w:ascii="Times New Roman" w:hAnsi="Times New Roman" w:cs="Times New Roman" w:eastAsia="Times New Roman" w:hint="default"/>
        </w:rPr>
        <w:t>5</w:t>
      </w:r>
      <w:r>
        <w:rPr/>
        <w:t>、</w:t>
      </w:r>
      <w:r>
        <w:rPr>
          <w:spacing w:val="5"/>
        </w:rPr>
        <w:t> </w:t>
      </w:r>
      <w:r>
        <w:rPr/>
        <w:t>关联交易情况</w:t>
      </w:r>
      <w:r>
        <w:rPr>
          <w:b w:val="0"/>
          <w:bCs w:val="0"/>
        </w:rPr>
      </w:r>
    </w:p>
    <w:p>
      <w:pPr>
        <w:pStyle w:val="Heading4"/>
        <w:spacing w:line="240" w:lineRule="auto" w:before="40"/>
        <w:ind w:right="0"/>
        <w:jc w:val="both"/>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1"/>
        </w:rPr>
        <w:t> </w:t>
      </w:r>
      <w:r>
        <w:rPr/>
        <w:t>购销商品、提供和接受劳务的关联交易</w:t>
      </w:r>
      <w:r>
        <w:rPr>
          <w:b w:val="0"/>
          <w:bCs w:val="0"/>
        </w:rPr>
      </w:r>
    </w:p>
    <w:p>
      <w:pPr>
        <w:pStyle w:val="Heading3"/>
        <w:spacing w:line="240" w:lineRule="auto" w:before="37"/>
        <w:ind w:left="698" w:right="2631"/>
        <w:jc w:val="left"/>
      </w:pPr>
      <w:r>
        <w:rPr/>
        <w:t>采购商品</w:t>
      </w:r>
      <w:r>
        <w:rPr>
          <w:rFonts w:ascii="宋体" w:hAnsi="宋体" w:cs="宋体" w:eastAsia="宋体" w:hint="default"/>
        </w:rPr>
        <w:t>/</w:t>
      </w:r>
      <w:r>
        <w:rPr/>
        <w:t>接受劳务情况表</w:t>
      </w:r>
    </w:p>
    <w:p>
      <w:pPr>
        <w:pStyle w:val="BodyText"/>
        <w:spacing w:line="240" w:lineRule="auto" w:before="4"/>
        <w:ind w:left="698" w:right="2631"/>
        <w:jc w:val="left"/>
      </w:pPr>
      <w:r>
        <w:rPr/>
        <w:t>√适用 □不适用</w:t>
      </w:r>
    </w:p>
    <w:p>
      <w:pPr>
        <w:spacing w:after="0" w:line="240" w:lineRule="auto"/>
        <w:jc w:val="left"/>
        <w:sectPr>
          <w:pgSz w:w="11910" w:h="16840"/>
          <w:pgMar w:header="0" w:footer="979" w:top="1120" w:bottom="1160" w:left="1580" w:right="1140"/>
        </w:sectPr>
      </w:pPr>
    </w:p>
    <w:p>
      <w:pPr>
        <w:spacing w:line="240" w:lineRule="auto" w:before="12"/>
        <w:rPr>
          <w:rFonts w:ascii="宋体" w:hAnsi="宋体" w:cs="宋体" w:eastAsia="宋体" w:hint="default"/>
          <w:sz w:val="24"/>
          <w:szCs w:val="24"/>
        </w:rPr>
      </w:pPr>
    </w:p>
    <w:p>
      <w:pPr>
        <w:pStyle w:val="BodyText"/>
        <w:tabs>
          <w:tab w:pos="1051" w:val="left" w:leader="none"/>
        </w:tabs>
        <w:spacing w:line="240" w:lineRule="auto" w:before="36"/>
        <w:ind w:left="0" w:right="1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33"/>
        <w:gridCol w:w="1844"/>
        <w:gridCol w:w="2009"/>
        <w:gridCol w:w="2141"/>
      </w:tblGrid>
      <w:tr>
        <w:trPr>
          <w:trHeight w:val="305"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3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0"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20"/>
              <w:jc w:val="left"/>
              <w:rPr>
                <w:rFonts w:ascii="宋体" w:hAnsi="宋体" w:cs="宋体" w:eastAsia="宋体" w:hint="default"/>
                <w:sz w:val="21"/>
                <w:szCs w:val="21"/>
              </w:rPr>
            </w:pPr>
            <w:r>
              <w:rPr>
                <w:rFonts w:ascii="宋体" w:hAnsi="宋体" w:cs="宋体" w:eastAsia="宋体" w:hint="default"/>
                <w:sz w:val="21"/>
                <w:szCs w:val="21"/>
              </w:rPr>
              <w:t>福建海丝博亚国际酒店有限公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1"/>
                <w:szCs w:val="21"/>
              </w:rPr>
            </w:pPr>
            <w:r>
              <w:rPr>
                <w:rFonts w:ascii="宋体" w:hAnsi="宋体" w:cs="宋体" w:eastAsia="宋体" w:hint="default"/>
                <w:sz w:val="21"/>
                <w:szCs w:val="21"/>
              </w:rPr>
              <w:t>酒店服务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spacing w:val="-1"/>
                <w:sz w:val="21"/>
              </w:rPr>
              <w:t>5,109,110.99</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pacing w:val="-1"/>
                <w:sz w:val="21"/>
              </w:rPr>
              <w:t>1,855,525.12</w:t>
            </w:r>
          </w:p>
        </w:tc>
      </w:tr>
      <w:tr>
        <w:trPr>
          <w:trHeight w:val="250"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物业管理服务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1,810,459.99</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1,096,084.59</w:t>
            </w:r>
          </w:p>
        </w:tc>
      </w:tr>
      <w:tr>
        <w:trPr>
          <w:trHeight w:val="250"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福建省应急通信运营有限公司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采购服务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1,288,180.19</w:t>
            </w:r>
          </w:p>
        </w:tc>
        <w:tc>
          <w:tcPr>
            <w:tcW w:w="2141"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6" w:right="20"/>
              <w:jc w:val="left"/>
              <w:rPr>
                <w:rFonts w:ascii="宋体" w:hAnsi="宋体" w:cs="宋体" w:eastAsia="宋体" w:hint="default"/>
                <w:sz w:val="21"/>
                <w:szCs w:val="21"/>
              </w:rPr>
            </w:pPr>
            <w:r>
              <w:rPr>
                <w:rFonts w:ascii="宋体" w:hAnsi="宋体" w:cs="宋体" w:eastAsia="宋体" w:hint="default"/>
                <w:sz w:val="21"/>
                <w:szCs w:val="21"/>
              </w:rPr>
              <w:t>福建省信安商业物业管理有限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 w:right="0"/>
              <w:jc w:val="left"/>
              <w:rPr>
                <w:rFonts w:ascii="宋体" w:hAnsi="宋体" w:cs="宋体" w:eastAsia="宋体" w:hint="default"/>
                <w:sz w:val="21"/>
                <w:szCs w:val="21"/>
              </w:rPr>
            </w:pPr>
            <w:r>
              <w:rPr>
                <w:rFonts w:ascii="宋体" w:hAnsi="宋体" w:cs="宋体" w:eastAsia="宋体" w:hint="default"/>
                <w:sz w:val="21"/>
                <w:szCs w:val="21"/>
              </w:rPr>
              <w:t>物业管理</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
              <w:jc w:val="right"/>
              <w:rPr>
                <w:rFonts w:ascii="Times New Roman" w:hAnsi="Times New Roman" w:cs="Times New Roman" w:eastAsia="Times New Roman" w:hint="default"/>
                <w:sz w:val="21"/>
                <w:szCs w:val="21"/>
              </w:rPr>
            </w:pPr>
            <w:r>
              <w:rPr>
                <w:rFonts w:ascii="Times New Roman"/>
                <w:spacing w:val="-1"/>
                <w:sz w:val="21"/>
              </w:rPr>
              <w:t>411,411.54</w:t>
            </w:r>
          </w:p>
        </w:tc>
        <w:tc>
          <w:tcPr>
            <w:tcW w:w="214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福建省和格实业集团有限公司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物业管理、咨询</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83,230.07</w:t>
            </w:r>
          </w:p>
        </w:tc>
        <w:tc>
          <w:tcPr>
            <w:tcW w:w="214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福建省枢建通信技术有限公司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采购物资</w:t>
            </w:r>
          </w:p>
        </w:tc>
        <w:tc>
          <w:tcPr>
            <w:tcW w:w="2009"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31,824,142.34</w:t>
            </w:r>
          </w:p>
        </w:tc>
      </w:tr>
      <w:tr>
        <w:trPr>
          <w:trHeight w:val="490"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20"/>
              <w:jc w:val="left"/>
              <w:rPr>
                <w:rFonts w:ascii="宋体" w:hAnsi="宋体" w:cs="宋体" w:eastAsia="宋体" w:hint="default"/>
                <w:sz w:val="21"/>
                <w:szCs w:val="21"/>
              </w:rPr>
            </w:pPr>
            <w:r>
              <w:rPr>
                <w:rFonts w:ascii="宋体" w:hAnsi="宋体" w:cs="宋体" w:eastAsia="宋体" w:hint="default"/>
                <w:sz w:val="21"/>
                <w:szCs w:val="21"/>
              </w:rPr>
              <w:t>泉州市数字云谷信息产业发展</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1"/>
                <w:szCs w:val="21"/>
              </w:rPr>
            </w:pPr>
            <w:r>
              <w:rPr>
                <w:rFonts w:ascii="宋体" w:hAnsi="宋体" w:cs="宋体" w:eastAsia="宋体" w:hint="default"/>
                <w:sz w:val="21"/>
                <w:szCs w:val="21"/>
              </w:rPr>
              <w:t>采购物资</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spacing w:val="-1"/>
                <w:sz w:val="21"/>
              </w:rPr>
              <w:t>426,272.67</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pacing w:val="-1"/>
                <w:sz w:val="21"/>
              </w:rPr>
              <w:t>1,213,668.38</w:t>
            </w:r>
          </w:p>
        </w:tc>
      </w:tr>
      <w:tr>
        <w:trPr>
          <w:trHeight w:val="490"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福建星网物联信息系统有限公</w:t>
            </w:r>
          </w:p>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21"/>
                <w:szCs w:val="21"/>
              </w:rPr>
            </w:pPr>
            <w:r>
              <w:rPr>
                <w:rFonts w:ascii="宋体" w:hAnsi="宋体" w:cs="宋体" w:eastAsia="宋体" w:hint="default"/>
                <w:sz w:val="21"/>
                <w:szCs w:val="21"/>
              </w:rPr>
              <w:t>采购物资</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spacing w:val="-1"/>
                <w:sz w:val="21"/>
              </w:rPr>
              <w:t>310,344.83</w:t>
            </w:r>
          </w:p>
        </w:tc>
        <w:tc>
          <w:tcPr>
            <w:tcW w:w="214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6" w:right="0"/>
              <w:jc w:val="left"/>
              <w:rPr>
                <w:rFonts w:ascii="宋体" w:hAnsi="宋体" w:cs="宋体" w:eastAsia="宋体" w:hint="default"/>
                <w:sz w:val="21"/>
                <w:szCs w:val="21"/>
              </w:rPr>
            </w:pPr>
            <w:r>
              <w:rPr>
                <w:rFonts w:ascii="宋体" w:hAnsi="宋体" w:cs="宋体" w:eastAsia="宋体" w:hint="default"/>
                <w:sz w:val="21"/>
                <w:szCs w:val="21"/>
              </w:rPr>
              <w:t>南京伍安信息科技有限公司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采购物资</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68,965.53</w:t>
            </w:r>
          </w:p>
        </w:tc>
        <w:tc>
          <w:tcPr>
            <w:tcW w:w="2141"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6" w:right="20"/>
              <w:jc w:val="left"/>
              <w:rPr>
                <w:rFonts w:ascii="宋体" w:hAnsi="宋体" w:cs="宋体" w:eastAsia="宋体" w:hint="default"/>
                <w:sz w:val="21"/>
                <w:szCs w:val="21"/>
              </w:rPr>
            </w:pPr>
            <w:r>
              <w:rPr>
                <w:rFonts w:ascii="宋体" w:hAnsi="宋体" w:cs="宋体" w:eastAsia="宋体" w:hint="default"/>
                <w:sz w:val="21"/>
                <w:szCs w:val="21"/>
              </w:rPr>
              <w:t>成都四方伟业软件股份有限公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 w:right="0"/>
              <w:jc w:val="left"/>
              <w:rPr>
                <w:rFonts w:ascii="宋体" w:hAnsi="宋体" w:cs="宋体" w:eastAsia="宋体" w:hint="default"/>
                <w:sz w:val="21"/>
                <w:szCs w:val="21"/>
              </w:rPr>
            </w:pPr>
            <w:r>
              <w:rPr>
                <w:rFonts w:ascii="宋体" w:hAnsi="宋体" w:cs="宋体" w:eastAsia="宋体" w:hint="default"/>
                <w:sz w:val="21"/>
                <w:szCs w:val="21"/>
              </w:rPr>
              <w:t>采购物资</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
              <w:jc w:val="right"/>
              <w:rPr>
                <w:rFonts w:ascii="Times New Roman" w:hAnsi="Times New Roman" w:cs="Times New Roman" w:eastAsia="Times New Roman" w:hint="default"/>
                <w:sz w:val="21"/>
                <w:szCs w:val="21"/>
              </w:rPr>
            </w:pPr>
            <w:r>
              <w:rPr>
                <w:rFonts w:ascii="Times New Roman"/>
                <w:spacing w:val="-1"/>
                <w:sz w:val="21"/>
              </w:rPr>
              <w:t>3,161,190.63</w:t>
            </w:r>
          </w:p>
        </w:tc>
        <w:tc>
          <w:tcPr>
            <w:tcW w:w="214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12,669,167.03</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35,989,420.43</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979" w:top="1120" w:bottom="1160" w:left="1660" w:right="1140"/>
        </w:sectPr>
      </w:pPr>
    </w:p>
    <w:p>
      <w:pPr>
        <w:pStyle w:val="BodyText"/>
        <w:spacing w:line="274" w:lineRule="exact" w:before="36"/>
        <w:ind w:left="138" w:right="0"/>
        <w:jc w:val="center"/>
      </w:pPr>
      <w:r>
        <w:rPr>
          <w:spacing w:val="-2"/>
        </w:rPr>
        <w:t>出售商品</w:t>
      </w:r>
      <w:r>
        <w:rPr>
          <w:rFonts w:ascii="宋体" w:hAnsi="宋体" w:cs="宋体" w:eastAsia="宋体" w:hint="default"/>
          <w:spacing w:val="-2"/>
        </w:rPr>
        <w:t>/</w:t>
      </w:r>
      <w:r>
        <w:rPr>
          <w:spacing w:val="-2"/>
        </w:rPr>
        <w:t>提供劳务情况表</w:t>
      </w:r>
    </w:p>
    <w:p>
      <w:pPr>
        <w:pStyle w:val="BodyText"/>
        <w:spacing w:line="274" w:lineRule="exact"/>
        <w:ind w:left="257" w:right="0"/>
        <w:jc w:val="center"/>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140"/>
          <w:cols w:num="2" w:equalWidth="0">
            <w:col w:w="2556" w:space="3966"/>
            <w:col w:w="258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33"/>
        <w:gridCol w:w="1670"/>
        <w:gridCol w:w="2160"/>
        <w:gridCol w:w="2163"/>
      </w:tblGrid>
      <w:tr>
        <w:trPr>
          <w:trHeight w:val="370"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9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5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30"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20"/>
              <w:jc w:val="left"/>
              <w:rPr>
                <w:rFonts w:ascii="宋体" w:hAnsi="宋体" w:cs="宋体" w:eastAsia="宋体" w:hint="default"/>
                <w:sz w:val="21"/>
                <w:szCs w:val="21"/>
              </w:rPr>
            </w:pPr>
            <w:r>
              <w:rPr>
                <w:rFonts w:ascii="宋体" w:hAnsi="宋体" w:cs="宋体" w:eastAsia="宋体" w:hint="default"/>
                <w:sz w:val="21"/>
                <w:szCs w:val="21"/>
              </w:rPr>
              <w:t>福建省星云大数据应用服务有</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40,864,793.14</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20"/>
              <w:jc w:val="left"/>
              <w:rPr>
                <w:rFonts w:ascii="宋体" w:hAnsi="宋体" w:cs="宋体" w:eastAsia="宋体" w:hint="default"/>
                <w:sz w:val="21"/>
                <w:szCs w:val="21"/>
              </w:rPr>
            </w:pPr>
            <w:r>
              <w:rPr>
                <w:rFonts w:ascii="宋体" w:hAnsi="宋体" w:cs="宋体" w:eastAsia="宋体" w:hint="default"/>
                <w:sz w:val="21"/>
                <w:szCs w:val="21"/>
              </w:rPr>
              <w:t>福建海丝博亚国际酒店有限公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智能化项目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2,677,272.73</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26" w:right="20"/>
              <w:jc w:val="left"/>
              <w:rPr>
                <w:rFonts w:ascii="宋体" w:hAnsi="宋体" w:cs="宋体" w:eastAsia="宋体" w:hint="default"/>
                <w:sz w:val="21"/>
                <w:szCs w:val="21"/>
              </w:rPr>
            </w:pPr>
            <w:r>
              <w:rPr>
                <w:rFonts w:ascii="宋体" w:hAnsi="宋体" w:cs="宋体" w:eastAsia="宋体" w:hint="default"/>
                <w:sz w:val="21"/>
                <w:szCs w:val="21"/>
              </w:rPr>
              <w:t>泉州市数字云谷信息产业发展</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6,477,302.50</w:t>
            </w:r>
          </w:p>
        </w:tc>
      </w:tr>
      <w:tr>
        <w:trPr>
          <w:trHeight w:val="370"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其他业务服务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259,095.89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51,488.58</w:t>
            </w:r>
          </w:p>
        </w:tc>
      </w:tr>
      <w:tr>
        <w:trPr>
          <w:trHeight w:val="370"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福建省晋华集成电路有限公司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26,974.36</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福建省应急通信运营有限公司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131,152,207.78</w:t>
            </w:r>
          </w:p>
        </w:tc>
      </w:tr>
      <w:tr>
        <w:trPr>
          <w:trHeight w:val="370"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泉州玛珂迩妇产医院有限公司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智能化工程</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155,954.70</w:t>
            </w:r>
          </w:p>
        </w:tc>
      </w:tr>
      <w:tr>
        <w:trPr>
          <w:trHeight w:val="37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43,828,136.12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137,836,953.56</w:t>
            </w:r>
          </w:p>
        </w:tc>
      </w:tr>
    </w:tbl>
    <w:p>
      <w:pPr>
        <w:pStyle w:val="BodyText"/>
        <w:spacing w:line="239" w:lineRule="exact"/>
        <w:ind w:left="138" w:right="0"/>
        <w:jc w:val="left"/>
      </w:pPr>
      <w:r>
        <w:rPr/>
        <w:t>购销商品、提供和接受劳务的关联交易说明</w:t>
      </w:r>
    </w:p>
    <w:p>
      <w:pPr>
        <w:pStyle w:val="BodyText"/>
        <w:spacing w:line="273" w:lineRule="exact"/>
        <w:ind w:left="618" w:right="0"/>
        <w:jc w:val="left"/>
      </w:pPr>
      <w:r>
        <w:rPr/>
        <w:t>□适用 √不适用</w:t>
      </w:r>
    </w:p>
    <w:p>
      <w:pPr>
        <w:spacing w:line="273" w:lineRule="auto" w:before="58"/>
        <w:ind w:left="618" w:right="1979"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28"/>
          <w:sz w:val="21"/>
          <w:szCs w:val="21"/>
        </w:rPr>
        <w:t> </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41" w:lineRule="exact"/>
        <w:ind w:left="618" w:right="0"/>
        <w:jc w:val="left"/>
      </w:pPr>
      <w:r>
        <w:rPr/>
        <w:t>□适用 √不适用</w:t>
      </w:r>
    </w:p>
    <w:p>
      <w:pPr>
        <w:pStyle w:val="BodyText"/>
        <w:spacing w:line="272" w:lineRule="exact"/>
        <w:ind w:left="618" w:right="0"/>
        <w:jc w:val="left"/>
      </w:pPr>
      <w:r>
        <w:rPr/>
        <w:t>关联托管</w:t>
      </w:r>
      <w:r>
        <w:rPr>
          <w:rFonts w:ascii="宋体" w:hAnsi="宋体" w:cs="宋体" w:eastAsia="宋体" w:hint="default"/>
        </w:rPr>
        <w:t>/</w:t>
      </w:r>
      <w:r>
        <w:rPr/>
        <w:t>承包情况说明</w:t>
      </w:r>
    </w:p>
    <w:p>
      <w:pPr>
        <w:pStyle w:val="BodyText"/>
        <w:spacing w:line="240" w:lineRule="auto"/>
        <w:ind w:left="618" w:right="5591"/>
        <w:jc w:val="left"/>
      </w:pPr>
      <w:r>
        <w:rPr/>
        <w:t>□适用</w:t>
      </w:r>
      <w:r>
        <w:rPr>
          <w:spacing w:val="-2"/>
        </w:rPr>
        <w:t> </w:t>
      </w:r>
      <w:r>
        <w:rPr/>
        <w:t>√不适用</w:t>
      </w:r>
      <w:r>
        <w:rPr>
          <w:spacing w:val="-103"/>
        </w:rPr>
        <w:t> </w:t>
      </w:r>
      <w:r>
        <w:rPr>
          <w:spacing w:val="-103"/>
        </w:rPr>
      </w:r>
      <w:r>
        <w:rPr>
          <w:spacing w:val="-2"/>
        </w:rPr>
        <w:t>本公司委托管理</w:t>
      </w:r>
      <w:r>
        <w:rPr>
          <w:rFonts w:ascii="宋体" w:hAnsi="宋体" w:cs="宋体" w:eastAsia="宋体" w:hint="default"/>
          <w:spacing w:val="-2"/>
        </w:rPr>
        <w:t>/</w:t>
      </w:r>
      <w:r>
        <w:rPr>
          <w:spacing w:val="-2"/>
        </w:rPr>
        <w:t>出包情况表</w:t>
      </w:r>
    </w:p>
    <w:p>
      <w:pPr>
        <w:pStyle w:val="BodyText"/>
        <w:spacing w:line="274" w:lineRule="exact" w:before="22"/>
        <w:ind w:left="618" w:right="6016"/>
        <w:jc w:val="left"/>
      </w:pPr>
      <w:r>
        <w:rPr/>
        <w:t>□适用</w:t>
      </w:r>
      <w:r>
        <w:rPr>
          <w:spacing w:val="-2"/>
        </w:rPr>
        <w:t> </w:t>
      </w:r>
      <w:r>
        <w:rPr/>
        <w:t>√不适用</w:t>
      </w:r>
      <w:r>
        <w:rPr>
          <w:spacing w:val="-103"/>
        </w:rPr>
        <w:t> </w:t>
      </w:r>
      <w:r>
        <w:rPr>
          <w:spacing w:val="-103"/>
        </w:rPr>
      </w:r>
      <w:r>
        <w:rPr>
          <w:spacing w:val="-2"/>
        </w:rPr>
        <w:t>关联管理</w:t>
      </w:r>
      <w:r>
        <w:rPr>
          <w:rFonts w:ascii="宋体" w:hAnsi="宋体" w:cs="宋体" w:eastAsia="宋体" w:hint="default"/>
          <w:spacing w:val="-2"/>
        </w:rPr>
        <w:t>/</w:t>
      </w:r>
      <w:r>
        <w:rPr>
          <w:spacing w:val="-2"/>
        </w:rPr>
        <w:t>出包情况说明</w:t>
      </w:r>
    </w:p>
    <w:p>
      <w:pPr>
        <w:pStyle w:val="BodyText"/>
        <w:spacing w:line="246" w:lineRule="exact"/>
        <w:ind w:left="618" w:right="0"/>
        <w:jc w:val="left"/>
      </w:pPr>
      <w:r>
        <w:rPr/>
        <w:t>□适用 √不适用</w:t>
      </w:r>
    </w:p>
    <w:p>
      <w:pPr>
        <w:spacing w:line="273" w:lineRule="auto" w:before="59"/>
        <w:ind w:left="618" w:right="6587"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28"/>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spacing w:after="0" w:line="273" w:lineRule="auto"/>
        <w:jc w:val="left"/>
        <w:rPr>
          <w:rFonts w:ascii="宋体" w:hAnsi="宋体" w:cs="宋体" w:eastAsia="宋体" w:hint="default"/>
          <w:sz w:val="21"/>
          <w:szCs w:val="21"/>
        </w:rPr>
        <w:sectPr>
          <w:type w:val="continuous"/>
          <w:pgSz w:w="11910" w:h="16840"/>
          <w:pgMar w:top="1580" w:bottom="280" w:left="1660" w:right="1140"/>
        </w:sectPr>
      </w:pPr>
    </w:p>
    <w:p>
      <w:pPr>
        <w:spacing w:line="240" w:lineRule="auto" w:before="12"/>
        <w:rPr>
          <w:rFonts w:ascii="宋体" w:hAnsi="宋体" w:cs="宋体" w:eastAsia="宋体" w:hint="default"/>
          <w:sz w:val="24"/>
          <w:szCs w:val="24"/>
        </w:rPr>
      </w:pPr>
    </w:p>
    <w:p>
      <w:pPr>
        <w:pStyle w:val="BodyText"/>
        <w:spacing w:line="274" w:lineRule="exact" w:before="36"/>
        <w:ind w:left="618" w:right="2631"/>
        <w:jc w:val="left"/>
      </w:pPr>
      <w:r>
        <w:rPr/>
        <w:t>√适用 □不适用</w:t>
      </w:r>
    </w:p>
    <w:p>
      <w:pPr>
        <w:pStyle w:val="BodyText"/>
        <w:tabs>
          <w:tab w:pos="1051" w:val="left" w:leader="none"/>
        </w:tabs>
        <w:spacing w:line="274" w:lineRule="exact"/>
        <w:ind w:left="0" w:right="2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08"/>
        <w:gridCol w:w="1558"/>
        <w:gridCol w:w="2208"/>
        <w:gridCol w:w="2653"/>
      </w:tblGrid>
      <w:tr>
        <w:trPr>
          <w:trHeight w:val="37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70"/>
              <w:jc w:val="right"/>
              <w:rPr>
                <w:rFonts w:ascii="宋体" w:hAnsi="宋体" w:cs="宋体" w:eastAsia="宋体" w:hint="default"/>
                <w:sz w:val="21"/>
                <w:szCs w:val="21"/>
              </w:rPr>
            </w:pPr>
            <w:r>
              <w:rPr>
                <w:rFonts w:ascii="宋体" w:hAnsi="宋体" w:cs="宋体" w:eastAsia="宋体" w:hint="default"/>
                <w:spacing w:val="-1"/>
                <w:sz w:val="21"/>
                <w:szCs w:val="21"/>
              </w:rPr>
              <w:t>承租方名称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43"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51"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7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370"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87"/>
              <w:jc w:val="right"/>
              <w:rPr>
                <w:rFonts w:ascii="宋体" w:hAnsi="宋体" w:cs="宋体" w:eastAsia="宋体" w:hint="default"/>
                <w:sz w:val="21"/>
                <w:szCs w:val="21"/>
              </w:rPr>
            </w:pPr>
            <w:r>
              <w:rPr>
                <w:rFonts w:ascii="宋体" w:hAnsi="宋体" w:cs="宋体" w:eastAsia="宋体" w:hint="default"/>
                <w:spacing w:val="-2"/>
                <w:sz w:val="21"/>
                <w:szCs w:val="21"/>
              </w:rPr>
              <w:t>泉州微软技术中心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208"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595,615.95</w:t>
            </w:r>
          </w:p>
        </w:tc>
      </w:tr>
      <w:tr>
        <w:trPr>
          <w:trHeight w:val="370"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595,615.95</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20" w:bottom="1160" w:left="1660" w:right="1060"/>
        </w:sectPr>
      </w:pPr>
    </w:p>
    <w:p>
      <w:pPr>
        <w:pStyle w:val="BodyText"/>
        <w:spacing w:line="240" w:lineRule="exact"/>
        <w:ind w:left="138" w:right="-19"/>
        <w:jc w:val="left"/>
      </w:pPr>
      <w:r>
        <w:rPr/>
        <w:t>本公司作为承租方：</w:t>
      </w:r>
    </w:p>
    <w:p>
      <w:pPr>
        <w:pStyle w:val="BodyText"/>
        <w:spacing w:line="274" w:lineRule="exact"/>
        <w:ind w:left="6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19"/>
          <w:szCs w:val="1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060"/>
          <w:cols w:num="2" w:equalWidth="0">
            <w:col w:w="2195" w:space="4326"/>
            <w:col w:w="266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08"/>
        <w:gridCol w:w="1558"/>
        <w:gridCol w:w="2218"/>
        <w:gridCol w:w="2643"/>
      </w:tblGrid>
      <w:tr>
        <w:trPr>
          <w:trHeight w:val="37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出租方名称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43"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1"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5"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730"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20"/>
              <w:jc w:val="left"/>
              <w:rPr>
                <w:rFonts w:ascii="宋体" w:hAnsi="宋体" w:cs="宋体" w:eastAsia="宋体" w:hint="default"/>
                <w:sz w:val="21"/>
                <w:szCs w:val="21"/>
              </w:rPr>
            </w:pPr>
            <w:r>
              <w:rPr>
                <w:rFonts w:ascii="宋体" w:hAnsi="宋体" w:cs="宋体" w:eastAsia="宋体" w:hint="default"/>
                <w:sz w:val="21"/>
                <w:szCs w:val="21"/>
              </w:rPr>
              <w:t>福建省和格实业集团有限</w:t>
            </w:r>
            <w:r>
              <w:rPr>
                <w:rFonts w:ascii="宋体" w:hAnsi="宋体" w:cs="宋体" w:eastAsia="宋体" w:hint="default"/>
                <w:spacing w:val="-70"/>
                <w:sz w:val="21"/>
                <w:szCs w:val="21"/>
              </w:rPr>
              <w:t> </w:t>
            </w: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218" w:type="dxa"/>
            <w:tcBorders>
              <w:top w:val="single" w:sz="4" w:space="0" w:color="000000"/>
              <w:left w:val="single" w:sz="4" w:space="0" w:color="000000"/>
              <w:bottom w:val="single" w:sz="4" w:space="0" w:color="000000"/>
              <w:right w:val="single" w:sz="4" w:space="0" w:color="000000"/>
            </w:tcBorders>
          </w:tcPr>
          <w:p>
            <w:pP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177,162.16</w:t>
            </w:r>
          </w:p>
        </w:tc>
      </w:tr>
      <w:tr>
        <w:trPr>
          <w:trHeight w:val="370"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177,162.16</w:t>
            </w:r>
          </w:p>
        </w:tc>
      </w:tr>
    </w:tbl>
    <w:p>
      <w:pPr>
        <w:pStyle w:val="BodyText"/>
        <w:spacing w:line="240" w:lineRule="exact"/>
        <w:ind w:left="138" w:right="2631"/>
        <w:jc w:val="left"/>
      </w:pPr>
      <w:r>
        <w:rPr/>
        <w:t>关联租赁情况说明</w:t>
      </w:r>
    </w:p>
    <w:p>
      <w:pPr>
        <w:pStyle w:val="BodyText"/>
        <w:spacing w:line="274" w:lineRule="exact"/>
        <w:ind w:left="618" w:right="2631"/>
        <w:jc w:val="left"/>
      </w:pPr>
      <w:r>
        <w:rPr/>
        <w:t>□适用 √不适用</w:t>
      </w:r>
    </w:p>
    <w:p>
      <w:pPr>
        <w:pStyle w:val="Heading4"/>
        <w:spacing w:line="240" w:lineRule="auto" w:before="56"/>
        <w:ind w:left="138" w:right="2631"/>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30"/>
        </w:rPr>
        <w:t> </w:t>
      </w:r>
      <w:r>
        <w:rPr/>
        <w:t>关联担保情况</w:t>
      </w:r>
      <w:r>
        <w:rPr>
          <w:b w:val="0"/>
          <w:bCs w:val="0"/>
        </w:rPr>
      </w:r>
    </w:p>
    <w:p>
      <w:pPr>
        <w:pStyle w:val="Heading3"/>
        <w:spacing w:line="324" w:lineRule="exact" w:before="36"/>
        <w:ind w:right="2631"/>
        <w:jc w:val="left"/>
      </w:pPr>
      <w:r>
        <w:rPr>
          <w:rFonts w:ascii="Times New Roman" w:hAnsi="Times New Roman" w:cs="Times New Roman" w:eastAsia="Times New Roman" w:hint="default"/>
        </w:rPr>
        <w:t>1</w:t>
      </w:r>
      <w:r>
        <w:rPr/>
        <w:t>、本公司作为担保方</w:t>
      </w:r>
    </w:p>
    <w:p>
      <w:pPr>
        <w:pStyle w:val="BodyText"/>
        <w:spacing w:line="267" w:lineRule="exact"/>
        <w:ind w:left="618" w:right="2631"/>
        <w:jc w:val="left"/>
      </w:pPr>
      <w:r>
        <w:rPr/>
        <w:t>√适用 □不适用</w:t>
      </w:r>
    </w:p>
    <w:p>
      <w:pPr>
        <w:pStyle w:val="BodyText"/>
        <w:spacing w:line="297" w:lineRule="auto" w:before="75"/>
        <w:ind w:left="138" w:right="104" w:firstLine="419"/>
        <w:jc w:val="left"/>
      </w:pPr>
      <w:r>
        <w:rPr>
          <w:spacing w:val="-5"/>
        </w:rPr>
        <w:t>福建神威系统集成有限责任公司（以下简称“福建神威”）自</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月设立时即为公司之</w:t>
      </w:r>
      <w:r>
        <w:rPr>
          <w:w w:val="100"/>
        </w:rPr>
        <w:t> </w:t>
      </w:r>
      <w:r>
        <w:rPr/>
        <w:t>控股子公司；</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spacing w:val="-3"/>
        </w:rPr>
        <w:t>月，公司与珠海汇垠意中投资合伙企业（有限合伙）（以下简称“珠海汇</w:t>
      </w:r>
      <w:r>
        <w:rPr>
          <w:spacing w:val="-83"/>
        </w:rPr>
        <w:t> </w:t>
      </w:r>
      <w:r>
        <w:rPr>
          <w:spacing w:val="-83"/>
        </w:rPr>
      </w:r>
      <w:r>
        <w:rPr>
          <w:spacing w:val="-4"/>
        </w:rPr>
        <w:t>垠”）签订《股权转让协议书》，约定将其持有的福建神威 </w:t>
      </w:r>
      <w:r>
        <w:rPr>
          <w:rFonts w:ascii="Times New Roman" w:hAnsi="Times New Roman" w:cs="Times New Roman" w:eastAsia="Times New Roman" w:hint="default"/>
        </w:rPr>
        <w:t>51%</w:t>
      </w:r>
      <w:r>
        <w:rPr/>
        <w:t>的股权转让给珠海汇垠。</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w w:val="10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日股权转让完成后，福建神威变更为公司持股</w:t>
      </w:r>
      <w:r>
        <w:rPr>
          <w:spacing w:val="-49"/>
        </w:rPr>
        <w:t> </w:t>
      </w:r>
      <w:r>
        <w:rPr>
          <w:rFonts w:ascii="Times New Roman" w:hAnsi="Times New Roman" w:cs="Times New Roman" w:eastAsia="Times New Roman" w:hint="default"/>
        </w:rPr>
        <w:t>49%</w:t>
      </w:r>
      <w:r>
        <w:rPr/>
        <w:t>的联营企业。截至</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w:t>
      </w:r>
      <w:r>
        <w:rPr>
          <w:spacing w:val="2"/>
          <w:w w:val="100"/>
        </w:rPr>
        <w:t> </w:t>
      </w:r>
      <w:r>
        <w:rPr/>
        <w:t>公司为福建神威提供的有效连带责任担保如下</w:t>
      </w:r>
    </w:p>
    <w:p>
      <w:pPr>
        <w:pStyle w:val="BodyText"/>
        <w:tabs>
          <w:tab w:pos="1260" w:val="left" w:leader="none"/>
        </w:tabs>
        <w:spacing w:line="233" w:lineRule="exact"/>
        <w:ind w:left="0" w:right="212"/>
        <w:jc w:val="right"/>
      </w:pPr>
      <w:r>
        <w:rPr>
          <w:spacing w:val="-1"/>
        </w:rPr>
        <w:t>单位：万元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264"/>
        <w:gridCol w:w="1560"/>
        <w:gridCol w:w="1560"/>
        <w:gridCol w:w="1385"/>
        <w:gridCol w:w="2057"/>
      </w:tblGrid>
      <w:tr>
        <w:trPr>
          <w:trHeight w:val="7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707"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917" w:right="75" w:hanging="841"/>
              <w:jc w:val="left"/>
              <w:rPr>
                <w:rFonts w:ascii="宋体" w:hAnsi="宋体" w:cs="宋体" w:eastAsia="宋体" w:hint="default"/>
                <w:sz w:val="21"/>
                <w:szCs w:val="21"/>
              </w:rPr>
            </w:pPr>
            <w:r>
              <w:rPr>
                <w:rFonts w:ascii="宋体" w:hAnsi="宋体" w:cs="宋体" w:eastAsia="宋体" w:hint="default"/>
                <w:sz w:val="21"/>
                <w:szCs w:val="21"/>
              </w:rPr>
              <w:t>担保是否已经履行完</w:t>
            </w:r>
            <w:r>
              <w:rPr>
                <w:rFonts w:ascii="宋体" w:hAnsi="宋体" w:cs="宋体" w:eastAsia="宋体" w:hint="default"/>
                <w:w w:val="100"/>
                <w:sz w:val="21"/>
                <w:szCs w:val="21"/>
              </w:rPr>
              <w:t> </w:t>
            </w:r>
            <w:r>
              <w:rPr>
                <w:rFonts w:ascii="宋体" w:hAnsi="宋体" w:cs="宋体" w:eastAsia="宋体" w:hint="default"/>
                <w:sz w:val="21"/>
                <w:szCs w:val="21"/>
              </w:rPr>
              <w:t>毕</w:t>
            </w:r>
          </w:p>
        </w:tc>
      </w:tr>
      <w:tr>
        <w:trPr>
          <w:trHeight w:val="37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 w:right="0"/>
              <w:jc w:val="left"/>
              <w:rPr>
                <w:rFonts w:ascii="宋体" w:hAnsi="宋体" w:cs="宋体" w:eastAsia="宋体" w:hint="default"/>
                <w:sz w:val="21"/>
                <w:szCs w:val="21"/>
              </w:rPr>
            </w:pPr>
            <w:r>
              <w:rPr>
                <w:rFonts w:ascii="宋体" w:hAnsi="宋体" w:cs="宋体" w:eastAsia="宋体" w:hint="default"/>
                <w:sz w:val="21"/>
                <w:szCs w:val="21"/>
              </w:rPr>
              <w:t>中国民生银行福州分行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3,000.00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2018/07/11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21"/>
                <w:szCs w:val="21"/>
              </w:rPr>
            </w:pPr>
            <w:r>
              <w:rPr>
                <w:rFonts w:ascii="Times New Roman"/>
                <w:spacing w:val="-1"/>
                <w:sz w:val="21"/>
              </w:rPr>
              <w:t>2019/07/11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1,400.00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2018/09/12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2019/09/12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297" w:lineRule="auto" w:before="42"/>
        <w:ind w:left="138" w:right="47"/>
        <w:jc w:val="left"/>
      </w:pPr>
      <w:r>
        <w:rPr>
          <w:spacing w:val="-2"/>
        </w:rPr>
        <w:t>注：</w:t>
      </w:r>
      <w:r>
        <w:rPr>
          <w:rFonts w:ascii="Times New Roman" w:hAnsi="Times New Roman" w:cs="Times New Roman" w:eastAsia="Times New Roman" w:hint="default"/>
          <w:spacing w:val="-2"/>
        </w:rPr>
        <w:t>1</w:t>
      </w:r>
      <w:r>
        <w:rPr>
          <w:spacing w:val="-2"/>
        </w:rPr>
        <w:t>、珠海汇垠将其持有的福建神威</w:t>
      </w:r>
      <w:r>
        <w:rPr/>
        <w:t> </w:t>
      </w:r>
      <w:r>
        <w:rPr>
          <w:rFonts w:ascii="Times New Roman" w:hAnsi="Times New Roman" w:cs="Times New Roman" w:eastAsia="Times New Roman" w:hint="default"/>
          <w:spacing w:val="-2"/>
        </w:rPr>
        <w:t>51%</w:t>
      </w:r>
      <w:r>
        <w:rPr>
          <w:spacing w:val="-2"/>
        </w:rPr>
        <w:t>股权质押予公司，向公司提供反担保，担保范围为公</w:t>
      </w:r>
      <w:r>
        <w:rPr>
          <w:spacing w:val="-82"/>
        </w:rPr>
        <w:t> </w:t>
      </w:r>
      <w:r>
        <w:rPr>
          <w:spacing w:val="-82"/>
        </w:rPr>
      </w:r>
      <w:r>
        <w:rPr>
          <w:spacing w:val="-2"/>
        </w:rPr>
        <w:t>司向银行履行上述担保义务（如有）而形成的对福建神威的债权的</w:t>
      </w:r>
      <w:r>
        <w:rPr>
          <w:spacing w:val="3"/>
        </w:rPr>
        <w:t> </w:t>
      </w:r>
      <w:r>
        <w:rPr>
          <w:rFonts w:ascii="Times New Roman" w:hAnsi="Times New Roman" w:cs="Times New Roman" w:eastAsia="Times New Roman" w:hint="default"/>
          <w:spacing w:val="-1"/>
        </w:rPr>
        <w:t>51%</w:t>
      </w:r>
      <w:r>
        <w:rPr>
          <w:spacing w:val="-1"/>
        </w:rPr>
        <w:t>。</w:t>
      </w:r>
    </w:p>
    <w:p>
      <w:pPr>
        <w:pStyle w:val="BodyText"/>
        <w:spacing w:line="240" w:lineRule="auto" w:before="14"/>
        <w:ind w:left="558" w:right="2631"/>
        <w:jc w:val="left"/>
      </w:pPr>
      <w:r>
        <w:rPr>
          <w:rFonts w:ascii="Times New Roman" w:hAnsi="Times New Roman" w:cs="Times New Roman" w:eastAsia="Times New Roman" w:hint="default"/>
        </w:rPr>
        <w:t>2</w:t>
      </w:r>
      <w:r>
        <w:rPr/>
        <w:t>、实际控制人提供担保</w:t>
      </w:r>
    </w:p>
    <w:p>
      <w:pPr>
        <w:pStyle w:val="BodyText"/>
        <w:spacing w:line="304" w:lineRule="auto" w:before="69"/>
        <w:ind w:left="138" w:right="208"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25</w:t>
      </w:r>
      <w:r>
        <w:rPr>
          <w:rFonts w:ascii="Times New Roman" w:hAnsi="Times New Roman" w:cs="Times New Roman" w:eastAsia="Times New Roman" w:hint="default"/>
          <w:spacing w:val="10"/>
        </w:rPr>
        <w:t> </w:t>
      </w:r>
      <w:r>
        <w:rPr>
          <w:spacing w:val="-9"/>
        </w:rPr>
        <w:t>日，公司实际控制人吴志雄向福建省电子信息（集团）有限责任公司出具《个</w:t>
      </w:r>
      <w:r>
        <w:rPr>
          <w:w w:val="100"/>
        </w:rPr>
        <w:t> </w:t>
      </w:r>
      <w:r>
        <w:rPr>
          <w:spacing w:val="-2"/>
        </w:rPr>
        <w:t>人不可撤销承诺函》，同意为福建南威未能按照增资扩股协议的约定完成业绩承诺及部分回购事</w:t>
      </w:r>
      <w:r>
        <w:rPr>
          <w:spacing w:val="-25"/>
        </w:rPr>
        <w:t> </w:t>
      </w:r>
      <w:r>
        <w:rPr>
          <w:spacing w:val="-25"/>
        </w:rPr>
      </w:r>
      <w:r>
        <w:rPr/>
        <w:t>项承担连带责任</w:t>
      </w:r>
    </w:p>
    <w:p>
      <w:pPr>
        <w:pStyle w:val="BodyText"/>
        <w:spacing w:line="233" w:lineRule="exact"/>
        <w:ind w:left="138" w:right="2631"/>
        <w:jc w:val="left"/>
      </w:pPr>
      <w:r>
        <w:rPr>
          <w:rFonts w:ascii="Times New Roman" w:hAnsi="Times New Roman" w:cs="Times New Roman" w:eastAsia="Times New Roman" w:hint="default"/>
        </w:rPr>
        <w:t>3</w:t>
      </w:r>
      <w:r>
        <w:rPr/>
        <w:t>、本公司作为被担保方</w:t>
      </w:r>
    </w:p>
    <w:p>
      <w:pPr>
        <w:pStyle w:val="BodyText"/>
        <w:spacing w:line="274" w:lineRule="exact" w:before="16"/>
        <w:ind w:left="138" w:right="7283"/>
        <w:jc w:val="left"/>
      </w:pPr>
      <w:r>
        <w:rPr/>
        <w:t>□适用</w:t>
      </w:r>
      <w:r>
        <w:rPr>
          <w:spacing w:val="-2"/>
        </w:rPr>
        <w:t> </w:t>
      </w:r>
      <w:r>
        <w:rPr/>
        <w:t>√不适用</w:t>
      </w:r>
      <w:r>
        <w:rPr>
          <w:w w:val="100"/>
        </w:rPr>
        <w:t> </w:t>
      </w:r>
      <w:r>
        <w:rPr>
          <w:spacing w:val="-2"/>
        </w:rPr>
        <w:t>关联担保情况说明</w:t>
      </w:r>
    </w:p>
    <w:p>
      <w:pPr>
        <w:pStyle w:val="BodyText"/>
        <w:spacing w:line="246" w:lineRule="exact"/>
        <w:ind w:left="618" w:right="2631"/>
        <w:jc w:val="left"/>
      </w:pPr>
      <w:r>
        <w:rPr/>
        <w:t>□适用 √不适用</w:t>
      </w:r>
    </w:p>
    <w:p>
      <w:pPr>
        <w:pStyle w:val="Heading4"/>
        <w:spacing w:line="240" w:lineRule="auto" w:before="58"/>
        <w:ind w:left="138" w:right="2631"/>
        <w:jc w:val="left"/>
        <w:rPr>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30"/>
        </w:rPr>
        <w:t> </w:t>
      </w:r>
      <w:r>
        <w:rPr/>
        <w:t>关联方资金拆借</w:t>
      </w:r>
      <w:r>
        <w:rPr>
          <w:b w:val="0"/>
          <w:bCs w:val="0"/>
        </w:rPr>
      </w:r>
    </w:p>
    <w:p>
      <w:pPr>
        <w:pStyle w:val="BodyText"/>
        <w:spacing w:line="240" w:lineRule="auto" w:before="40"/>
        <w:ind w:left="618" w:right="2631"/>
        <w:jc w:val="left"/>
      </w:pPr>
      <w:r>
        <w:rPr/>
        <w:t>□适用 √不适用</w:t>
      </w:r>
    </w:p>
    <w:p>
      <w:pPr>
        <w:pStyle w:val="Heading4"/>
        <w:spacing w:line="240" w:lineRule="auto" w:before="59"/>
        <w:ind w:left="138" w:right="2631"/>
        <w:jc w:val="left"/>
        <w:rPr>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27"/>
        </w:rPr>
        <w:t> </w:t>
      </w:r>
      <w:r>
        <w:rPr/>
        <w:t>关联方资产转让、债务重组情况</w:t>
      </w:r>
      <w:r>
        <w:rPr>
          <w:b w:val="0"/>
          <w:bCs w:val="0"/>
        </w:rPr>
      </w:r>
    </w:p>
    <w:p>
      <w:pPr>
        <w:pStyle w:val="BodyText"/>
        <w:spacing w:line="240" w:lineRule="auto" w:before="40"/>
        <w:ind w:left="618" w:right="2631"/>
        <w:jc w:val="left"/>
      </w:pPr>
      <w:r>
        <w:rPr/>
        <w:t>□适用 √不适用</w:t>
      </w:r>
    </w:p>
    <w:p>
      <w:pPr>
        <w:spacing w:after="0" w:line="240" w:lineRule="auto"/>
        <w:jc w:val="left"/>
        <w:sectPr>
          <w:type w:val="continuous"/>
          <w:pgSz w:w="11910" w:h="16840"/>
          <w:pgMar w:top="1580" w:bottom="280" w:left="1660" w:right="1060"/>
        </w:sect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79" w:top="1120" w:bottom="1160" w:left="1580" w:right="1140"/>
        </w:sectPr>
      </w:pPr>
    </w:p>
    <w:p>
      <w:pPr>
        <w:pStyle w:val="Heading4"/>
        <w:spacing w:line="240" w:lineRule="auto"/>
        <w:ind w:right="-19"/>
        <w:jc w:val="left"/>
        <w:rPr>
          <w:b w:val="0"/>
          <w:bCs w:val="0"/>
        </w:rPr>
      </w:pPr>
      <w:r>
        <w:rPr>
          <w:rFonts w:ascii="Times New Roman" w:hAnsi="Times New Roman" w:cs="Times New Roman" w:eastAsia="Times New Roman" w:hint="default"/>
        </w:rPr>
        <w:t>(7).  </w:t>
      </w:r>
      <w:r>
        <w:rPr>
          <w:rFonts w:ascii="Times New Roman" w:hAnsi="Times New Roman" w:cs="Times New Roman" w:eastAsia="Times New Roman" w:hint="default"/>
          <w:spacing w:val="31"/>
        </w:rPr>
        <w:t> </w:t>
      </w:r>
      <w:r>
        <w:rPr/>
        <w:t>关键管理人员报酬</w:t>
      </w:r>
      <w:r>
        <w:rPr>
          <w:b w:val="0"/>
          <w:bCs w:val="0"/>
        </w:rPr>
      </w:r>
    </w:p>
    <w:p>
      <w:pPr>
        <w:pStyle w:val="BodyText"/>
        <w:spacing w:line="240" w:lineRule="auto" w:before="43"/>
        <w:ind w:left="69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8" w:val="left" w:leader="none"/>
        </w:tabs>
        <w:spacing w:line="240" w:lineRule="auto"/>
        <w:ind w:right="0"/>
        <w:jc w:val="left"/>
      </w:pPr>
      <w:r>
        <w:rPr>
          <w:spacing w:val="-1"/>
        </w:rPr>
        <w:t>单位：万元</w:t>
        <w:tab/>
        <w:t>币种：人民币</w:t>
      </w:r>
    </w:p>
    <w:p>
      <w:pPr>
        <w:spacing w:after="0" w:line="240" w:lineRule="auto"/>
        <w:jc w:val="left"/>
        <w:sectPr>
          <w:type w:val="continuous"/>
          <w:pgSz w:w="11910" w:h="16840"/>
          <w:pgMar w:top="1580" w:bottom="280" w:left="1580" w:right="1140"/>
          <w:cols w:num="2" w:equalWidth="0">
            <w:col w:w="2393" w:space="3918"/>
            <w:col w:w="28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93"/>
        <w:gridCol w:w="3192"/>
        <w:gridCol w:w="2439"/>
      </w:tblGrid>
      <w:tr>
        <w:trPr>
          <w:trHeight w:val="28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574.20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373.08</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580" w:bottom="280" w:left="1580" w:right="1140"/>
        </w:sectPr>
      </w:pPr>
    </w:p>
    <w:p>
      <w:pPr>
        <w:pStyle w:val="Heading4"/>
        <w:spacing w:line="240" w:lineRule="auto"/>
        <w:ind w:right="0"/>
        <w:jc w:val="left"/>
        <w:rPr>
          <w:b w:val="0"/>
          <w:bCs w:val="0"/>
        </w:rPr>
      </w:pPr>
      <w:r>
        <w:rPr>
          <w:rFonts w:ascii="Times New Roman" w:hAnsi="Times New Roman" w:cs="Times New Roman" w:eastAsia="Times New Roman" w:hint="default"/>
        </w:rPr>
        <w:t>(8).  </w:t>
      </w:r>
      <w:r>
        <w:rPr>
          <w:rFonts w:ascii="Times New Roman" w:hAnsi="Times New Roman" w:cs="Times New Roman" w:eastAsia="Times New Roman" w:hint="default"/>
          <w:spacing w:val="30"/>
        </w:rPr>
        <w:t> </w:t>
      </w:r>
      <w:r>
        <w:rPr/>
        <w:t>其他关联交易</w:t>
      </w:r>
      <w:r>
        <w:rPr>
          <w:b w:val="0"/>
          <w:bCs w:val="0"/>
        </w:rPr>
      </w:r>
    </w:p>
    <w:p>
      <w:pPr>
        <w:tabs>
          <w:tab w:pos="1540" w:val="left" w:leader="none"/>
        </w:tabs>
        <w:spacing w:line="283" w:lineRule="auto" w:before="40"/>
        <w:ind w:left="218" w:right="0" w:firstLine="479"/>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关联方应收应付款项</w:t>
      </w:r>
      <w:r>
        <w:rPr>
          <w:rFonts w:ascii="宋体" w:hAnsi="宋体" w:cs="宋体" w:eastAsia="宋体" w:hint="default"/>
          <w:b/>
          <w:bCs/>
          <w:w w:val="100"/>
          <w:sz w:val="21"/>
          <w:szCs w:val="21"/>
        </w:rPr>
        <w:t> </w:t>
      </w:r>
      <w:r>
        <w:rPr>
          <w:rFonts w:ascii="Times New Roman" w:hAnsi="Times New Roman" w:cs="Times New Roman" w:eastAsia="Times New Roman" w:hint="default"/>
          <w:b/>
          <w:bCs/>
          <w:sz w:val="21"/>
          <w:szCs w:val="21"/>
        </w:rPr>
        <w:t>(1).  </w:t>
      </w:r>
      <w:r>
        <w:rPr>
          <w:rFonts w:ascii="Times New Roman" w:hAnsi="Times New Roman" w:cs="Times New Roman" w:eastAsia="Times New Roman" w:hint="default"/>
          <w:b/>
          <w:bCs/>
          <w:spacing w:val="29"/>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pStyle w:val="BodyText"/>
        <w:tabs>
          <w:tab w:pos="1540" w:val="left" w:leader="none"/>
        </w:tabs>
        <w:spacing w:line="240" w:lineRule="auto" w:before="1"/>
        <w:ind w:left="69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140"/>
          <w:cols w:num="2" w:equalWidth="0">
            <w:col w:w="2544" w:space="4189"/>
            <w:col w:w="24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130"/>
        <w:gridCol w:w="1844"/>
        <w:gridCol w:w="1418"/>
        <w:gridCol w:w="1416"/>
        <w:gridCol w:w="1561"/>
        <w:gridCol w:w="1457"/>
      </w:tblGrid>
      <w:tr>
        <w:trPr>
          <w:trHeight w:val="370" w:hRule="exact"/>
        </w:trPr>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99"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1130"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0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30"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3" w:right="24"/>
              <w:jc w:val="left"/>
              <w:rPr>
                <w:rFonts w:ascii="宋体" w:hAnsi="宋体" w:cs="宋体" w:eastAsia="宋体" w:hint="default"/>
                <w:sz w:val="21"/>
                <w:szCs w:val="21"/>
              </w:rPr>
            </w:pPr>
            <w:r>
              <w:rPr>
                <w:rFonts w:ascii="宋体" w:hAnsi="宋体" w:cs="宋体" w:eastAsia="宋体" w:hint="default"/>
                <w:spacing w:val="10"/>
                <w:sz w:val="21"/>
                <w:szCs w:val="21"/>
              </w:rPr>
              <w:t>福建省应急通信运</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营有限公司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20,650,000.00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2,065,000.00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55,650,000.00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1,669,500.00</w:t>
            </w:r>
          </w:p>
        </w:tc>
      </w:tr>
      <w:tr>
        <w:trPr>
          <w:trHeight w:val="732"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23" w:right="24"/>
              <w:jc w:val="left"/>
              <w:rPr>
                <w:rFonts w:ascii="宋体" w:hAnsi="宋体" w:cs="宋体" w:eastAsia="宋体" w:hint="default"/>
                <w:sz w:val="21"/>
                <w:szCs w:val="21"/>
              </w:rPr>
            </w:pPr>
            <w:r>
              <w:rPr>
                <w:rFonts w:ascii="宋体" w:hAnsi="宋体" w:cs="宋体" w:eastAsia="宋体" w:hint="default"/>
                <w:spacing w:val="10"/>
                <w:sz w:val="21"/>
                <w:szCs w:val="21"/>
              </w:rPr>
              <w:t>福建省星云大数据</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应用服务有限公司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3,722,234.00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111,667.02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7,124,670.00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712,467.00</w:t>
            </w:r>
          </w:p>
        </w:tc>
      </w:tr>
      <w:tr>
        <w:trPr>
          <w:trHeight w:val="1090"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3" w:right="24"/>
              <w:jc w:val="both"/>
              <w:rPr>
                <w:rFonts w:ascii="宋体" w:hAnsi="宋体" w:cs="宋体" w:eastAsia="宋体" w:hint="default"/>
                <w:sz w:val="21"/>
                <w:szCs w:val="21"/>
              </w:rPr>
            </w:pPr>
            <w:r>
              <w:rPr>
                <w:rFonts w:ascii="宋体" w:hAnsi="宋体" w:cs="宋体" w:eastAsia="宋体" w:hint="default"/>
                <w:spacing w:val="10"/>
                <w:sz w:val="21"/>
                <w:szCs w:val="21"/>
              </w:rPr>
              <w:t>泉州市数字云谷信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0"/>
                <w:sz w:val="21"/>
                <w:szCs w:val="21"/>
              </w:rPr>
              <w:t>息产业发展有限公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3,577,500.00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107,325.00</w:t>
            </w:r>
          </w:p>
        </w:tc>
      </w:tr>
      <w:tr>
        <w:trPr>
          <w:trHeight w:val="730"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3" w:right="24"/>
              <w:jc w:val="left"/>
              <w:rPr>
                <w:rFonts w:ascii="宋体" w:hAnsi="宋体" w:cs="宋体" w:eastAsia="宋体" w:hint="default"/>
                <w:sz w:val="21"/>
                <w:szCs w:val="21"/>
              </w:rPr>
            </w:pPr>
            <w:r>
              <w:rPr>
                <w:rFonts w:ascii="宋体" w:hAnsi="宋体" w:cs="宋体" w:eastAsia="宋体" w:hint="default"/>
                <w:spacing w:val="10"/>
                <w:sz w:val="21"/>
                <w:szCs w:val="21"/>
              </w:rPr>
              <w:t>福建新微科技有限</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28,487.42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854.62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54,577.90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1,637.34</w:t>
            </w:r>
          </w:p>
        </w:tc>
      </w:tr>
      <w:tr>
        <w:trPr>
          <w:trHeight w:val="730"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3" w:right="24"/>
              <w:jc w:val="left"/>
              <w:rPr>
                <w:rFonts w:ascii="宋体" w:hAnsi="宋体" w:cs="宋体" w:eastAsia="宋体" w:hint="default"/>
                <w:sz w:val="21"/>
                <w:szCs w:val="21"/>
              </w:rPr>
            </w:pPr>
            <w:r>
              <w:rPr>
                <w:rFonts w:ascii="宋体" w:hAnsi="宋体" w:cs="宋体" w:eastAsia="宋体" w:hint="default"/>
                <w:spacing w:val="10"/>
                <w:sz w:val="21"/>
                <w:szCs w:val="21"/>
              </w:rPr>
              <w:t>福建海丝博亚国际</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酒店有限公司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986,089.00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29,582.67</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3" w:right="24"/>
              <w:jc w:val="left"/>
              <w:rPr>
                <w:rFonts w:ascii="宋体" w:hAnsi="宋体" w:cs="宋体" w:eastAsia="宋体" w:hint="default"/>
                <w:sz w:val="21"/>
                <w:szCs w:val="21"/>
              </w:rPr>
            </w:pPr>
            <w:r>
              <w:rPr>
                <w:rFonts w:ascii="宋体" w:hAnsi="宋体" w:cs="宋体" w:eastAsia="宋体" w:hint="default"/>
                <w:spacing w:val="10"/>
                <w:sz w:val="21"/>
                <w:szCs w:val="21"/>
              </w:rPr>
              <w:t>福建省星云大数据</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应用服务有限公司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100,000.00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3,000.00</w:t>
            </w:r>
          </w:p>
        </w:tc>
      </w:tr>
      <w:tr>
        <w:trPr>
          <w:trHeight w:val="1090"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26" w:right="22"/>
              <w:jc w:val="left"/>
              <w:rPr>
                <w:rFonts w:ascii="宋体" w:hAnsi="宋体" w:cs="宋体" w:eastAsia="宋体" w:hint="default"/>
                <w:sz w:val="21"/>
                <w:szCs w:val="21"/>
              </w:rPr>
            </w:pPr>
            <w:r>
              <w:rPr>
                <w:rFonts w:ascii="宋体" w:hAnsi="宋体" w:cs="宋体" w:eastAsia="宋体" w:hint="default"/>
                <w:sz w:val="21"/>
                <w:szCs w:val="21"/>
              </w:rPr>
              <w:t>其他非流动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3" w:right="24"/>
              <w:jc w:val="both"/>
              <w:rPr>
                <w:rFonts w:ascii="宋体" w:hAnsi="宋体" w:cs="宋体" w:eastAsia="宋体" w:hint="default"/>
                <w:sz w:val="21"/>
                <w:szCs w:val="21"/>
              </w:rPr>
            </w:pPr>
            <w:r>
              <w:rPr>
                <w:rFonts w:ascii="宋体" w:hAnsi="宋体" w:cs="宋体" w:eastAsia="宋体" w:hint="default"/>
                <w:spacing w:val="10"/>
                <w:sz w:val="21"/>
                <w:szCs w:val="21"/>
              </w:rPr>
              <w:t>泉州市数字云谷信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0"/>
                <w:sz w:val="21"/>
                <w:szCs w:val="21"/>
              </w:rPr>
              <w:t>息产业发展有限公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12,500,000.00</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13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21"/>
                <w:szCs w:val="21"/>
              </w:rPr>
            </w:pPr>
            <w:r>
              <w:rPr>
                <w:rFonts w:ascii="Times New Roman"/>
                <w:spacing w:val="-1"/>
                <w:sz w:val="21"/>
              </w:rPr>
              <w:t>25,386,810.42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21"/>
                <w:szCs w:val="21"/>
              </w:rPr>
            </w:pPr>
            <w:r>
              <w:rPr>
                <w:rFonts w:ascii="Times New Roman"/>
                <w:spacing w:val="-1"/>
                <w:sz w:val="21"/>
              </w:rPr>
              <w:t>2,207,104.31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21"/>
                <w:szCs w:val="21"/>
              </w:rPr>
            </w:pPr>
            <w:r>
              <w:rPr>
                <w:rFonts w:ascii="Times New Roman"/>
                <w:spacing w:val="-1"/>
                <w:sz w:val="21"/>
              </w:rPr>
              <w:t>79,006,747.90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21"/>
                <w:szCs w:val="21"/>
              </w:rPr>
            </w:pPr>
            <w:r>
              <w:rPr>
                <w:rFonts w:ascii="Times New Roman"/>
                <w:spacing w:val="-1"/>
                <w:sz w:val="21"/>
              </w:rPr>
              <w:t>2,493,929.34</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140"/>
        </w:sectPr>
      </w:pPr>
    </w:p>
    <w:p>
      <w:pPr>
        <w:pStyle w:val="Heading4"/>
        <w:spacing w:line="240" w:lineRule="auto"/>
        <w:ind w:right="-12"/>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9"/>
        </w:rPr>
        <w:t> </w:t>
      </w:r>
      <w:r>
        <w:rPr/>
        <w:t>应付项目</w:t>
      </w:r>
      <w:r>
        <w:rPr>
          <w:b w:val="0"/>
          <w:bCs w:val="0"/>
        </w:rPr>
      </w:r>
    </w:p>
    <w:p>
      <w:pPr>
        <w:pStyle w:val="BodyText"/>
        <w:tabs>
          <w:tab w:pos="1540" w:val="left" w:leader="none"/>
        </w:tabs>
        <w:spacing w:line="240" w:lineRule="auto" w:before="43"/>
        <w:ind w:left="698"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140"/>
          <w:cols w:num="2" w:equalWidth="0">
            <w:col w:w="2381" w:space="4352"/>
            <w:col w:w="24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14"/>
        <w:gridCol w:w="3263"/>
        <w:gridCol w:w="2124"/>
        <w:gridCol w:w="2026"/>
      </w:tblGrid>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8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27"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77"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福建省枢建通信技术有限公司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22,659,802.70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2" w:right="0"/>
              <w:jc w:val="left"/>
              <w:rPr>
                <w:rFonts w:ascii="Times New Roman" w:hAnsi="Times New Roman" w:cs="Times New Roman" w:eastAsia="Times New Roman" w:hint="default"/>
                <w:sz w:val="21"/>
                <w:szCs w:val="21"/>
              </w:rPr>
            </w:pPr>
            <w:r>
              <w:rPr>
                <w:rFonts w:ascii="Times New Roman"/>
                <w:sz w:val="21"/>
              </w:rPr>
              <w:t>31,714,927.35</w:t>
            </w: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福建省应急通信运营有限公司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611,503.76</w:t>
            </w: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26" w:right="20"/>
              <w:jc w:val="left"/>
              <w:rPr>
                <w:rFonts w:ascii="宋体" w:hAnsi="宋体" w:cs="宋体" w:eastAsia="宋体" w:hint="default"/>
                <w:sz w:val="21"/>
                <w:szCs w:val="21"/>
              </w:rPr>
            </w:pPr>
            <w:r>
              <w:rPr>
                <w:rFonts w:ascii="宋体" w:hAnsi="宋体" w:cs="宋体" w:eastAsia="宋体" w:hint="default"/>
                <w:sz w:val="21"/>
                <w:szCs w:val="21"/>
              </w:rPr>
              <w:t>泉州市数字云谷信息产业发展有限</w:t>
            </w:r>
            <w:r>
              <w:rPr>
                <w:rFonts w:ascii="宋体" w:hAnsi="宋体" w:cs="宋体" w:eastAsia="宋体" w:hint="default"/>
                <w:spacing w:val="-58"/>
                <w:sz w:val="21"/>
                <w:szCs w:val="21"/>
              </w:rPr>
              <w:t> </w:t>
            </w:r>
            <w:r>
              <w:rPr>
                <w:rFonts w:ascii="宋体" w:hAnsi="宋体" w:cs="宋体" w:eastAsia="宋体" w:hint="default"/>
                <w:sz w:val="21"/>
                <w:szCs w:val="21"/>
              </w:rPr>
              <w:t>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312,580.12</w:t>
            </w:r>
          </w:p>
        </w:tc>
        <w:tc>
          <w:tcPr>
            <w:tcW w:w="202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414"/>
        <w:gridCol w:w="3263"/>
        <w:gridCol w:w="2124"/>
        <w:gridCol w:w="2026"/>
      </w:tblGrid>
      <w:tr>
        <w:trPr>
          <w:trHeight w:val="37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 w:right="0"/>
              <w:jc w:val="left"/>
              <w:rPr>
                <w:rFonts w:ascii="宋体" w:hAnsi="宋体" w:cs="宋体" w:eastAsia="宋体" w:hint="default"/>
                <w:sz w:val="21"/>
                <w:szCs w:val="21"/>
              </w:rPr>
            </w:pPr>
            <w:r>
              <w:rPr>
                <w:rFonts w:ascii="宋体" w:hAnsi="宋体" w:cs="宋体" w:eastAsia="宋体" w:hint="default"/>
                <w:sz w:val="21"/>
                <w:szCs w:val="21"/>
              </w:rPr>
              <w:t>南京伍安信息科技有限公司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80,000.00</w:t>
            </w: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成都四方伟业软件股份有限公司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3,161,190.63</w:t>
            </w: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119,476.00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322,213.83</w:t>
            </w: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福建瑞达精工股份有限公司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10,000.00</w:t>
            </w: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福建海丝博亚国际酒店有限公司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z w:val="21"/>
              </w:rPr>
              <w:t>0.59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26,865.92</w:t>
            </w: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福建省和格实业集团有限公司</w:t>
            </w:r>
          </w:p>
        </w:tc>
        <w:tc>
          <w:tcPr>
            <w:tcW w:w="2124"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196,650.00</w:t>
            </w:r>
          </w:p>
        </w:tc>
      </w:tr>
      <w:tr>
        <w:trPr>
          <w:trHeight w:val="37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 w:right="0"/>
              <w:jc w:val="left"/>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1,929,668.06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21"/>
                <w:szCs w:val="21"/>
              </w:rPr>
            </w:pPr>
            <w:r>
              <w:rPr>
                <w:rFonts w:ascii="Times New Roman"/>
                <w:spacing w:val="-1"/>
                <w:sz w:val="21"/>
              </w:rPr>
              <w:t>1,295,603.06</w:t>
            </w:r>
          </w:p>
        </w:tc>
      </w:tr>
      <w:tr>
        <w:trPr>
          <w:trHeight w:val="73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20"/>
              <w:jc w:val="left"/>
              <w:rPr>
                <w:rFonts w:ascii="宋体" w:hAnsi="宋体" w:cs="宋体" w:eastAsia="宋体" w:hint="default"/>
                <w:sz w:val="21"/>
                <w:szCs w:val="21"/>
              </w:rPr>
            </w:pPr>
            <w:r>
              <w:rPr>
                <w:rFonts w:ascii="宋体" w:hAnsi="宋体" w:cs="宋体" w:eastAsia="宋体" w:hint="default"/>
                <w:sz w:val="21"/>
                <w:szCs w:val="21"/>
              </w:rPr>
              <w:t>福建省电子信息应用技术研究院有</w:t>
            </w:r>
            <w:r>
              <w:rPr>
                <w:rFonts w:ascii="宋体" w:hAnsi="宋体" w:cs="宋体" w:eastAsia="宋体" w:hint="default"/>
                <w:spacing w:val="-58"/>
                <w:sz w:val="21"/>
                <w:szCs w:val="21"/>
              </w:rPr>
              <w:t> </w:t>
            </w:r>
            <w:r>
              <w:rPr>
                <w:rFonts w:ascii="宋体" w:hAnsi="宋体" w:cs="宋体" w:eastAsia="宋体" w:hint="default"/>
                <w:sz w:val="21"/>
                <w:szCs w:val="21"/>
              </w:rPr>
              <w:t>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4,199,895.00</w:t>
            </w: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6" w:right="0"/>
              <w:jc w:val="left"/>
              <w:rPr>
                <w:rFonts w:ascii="宋体" w:hAnsi="宋体" w:cs="宋体" w:eastAsia="宋体" w:hint="default"/>
                <w:sz w:val="21"/>
                <w:szCs w:val="21"/>
              </w:rPr>
            </w:pPr>
            <w:r>
              <w:rPr>
                <w:rFonts w:ascii="宋体" w:hAnsi="宋体" w:cs="宋体" w:eastAsia="宋体" w:hint="default"/>
                <w:sz w:val="21"/>
                <w:szCs w:val="21"/>
              </w:rPr>
              <w:t>福建省晋华集成电路有限公司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27,927,900.00</w:t>
            </w: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61,012,016.86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33,556,260.16</w:t>
            </w:r>
          </w:p>
        </w:tc>
      </w:tr>
    </w:tbl>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979" w:top="1120" w:bottom="1160" w:left="1580" w:right="1060"/>
        </w:sectPr>
      </w:pPr>
    </w:p>
    <w:p>
      <w:pPr>
        <w:pStyle w:val="Heading4"/>
        <w:spacing w:line="240" w:lineRule="auto"/>
        <w:ind w:right="-12"/>
        <w:jc w:val="left"/>
        <w:rPr>
          <w:b w:val="0"/>
          <w:bCs w:val="0"/>
        </w:rPr>
      </w:pPr>
      <w:r>
        <w:rPr>
          <w:rFonts w:ascii="Times New Roman" w:hAnsi="Times New Roman" w:cs="Times New Roman" w:eastAsia="Times New Roman" w:hint="default"/>
        </w:rPr>
        <w:t>7</w:t>
      </w:r>
      <w:r>
        <w:rPr/>
        <w:t>、</w:t>
      </w:r>
      <w:r>
        <w:rPr>
          <w:spacing w:val="4"/>
        </w:rPr>
        <w:t> </w:t>
      </w:r>
      <w:r>
        <w:rPr/>
        <w:t>关联方承诺</w:t>
      </w:r>
      <w:r>
        <w:rPr>
          <w:b w:val="0"/>
          <w:bCs w:val="0"/>
        </w:rPr>
      </w:r>
    </w:p>
    <w:p>
      <w:pPr>
        <w:pStyle w:val="BodyText"/>
        <w:tabs>
          <w:tab w:pos="1540" w:val="left" w:leader="none"/>
        </w:tabs>
        <w:spacing w:line="240" w:lineRule="auto" w:before="43"/>
        <w:ind w:left="698" w:right="-12"/>
        <w:jc w:val="left"/>
      </w:pPr>
      <w:r>
        <w:rPr/>
        <w:t>□适用</w:t>
        <w:tab/>
      </w:r>
      <w:r>
        <w:rPr>
          <w:spacing w:val="-2"/>
        </w:rPr>
        <w:t>√不适用</w:t>
      </w:r>
    </w:p>
    <w:p>
      <w:pPr>
        <w:spacing w:before="56"/>
        <w:ind w:left="218" w:right="-12" w:firstLine="0"/>
        <w:jc w:val="left"/>
        <w:rPr>
          <w:rFonts w:ascii="宋体" w:hAnsi="宋体" w:cs="宋体" w:eastAsia="宋体" w:hint="default"/>
          <w:sz w:val="21"/>
          <w:szCs w:val="21"/>
        </w:rPr>
      </w:pP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2"/>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tabs>
          <w:tab w:pos="1057" w:val="left" w:leader="none"/>
          <w:tab w:pos="1540" w:val="left" w:leader="none"/>
        </w:tabs>
        <w:spacing w:line="290" w:lineRule="auto" w:before="45"/>
        <w:ind w:left="218" w:right="0" w:firstLine="479"/>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十三、</w:t>
        <w:tab/>
        <w:t>股份支付</w:t>
      </w:r>
      <w:r>
        <w:rPr>
          <w:rFonts w:ascii="宋体" w:hAnsi="宋体" w:cs="宋体" w:eastAsia="宋体" w:hint="default"/>
          <w:sz w:val="21"/>
          <w:szCs w:val="21"/>
        </w:rPr>
      </w:r>
    </w:p>
    <w:p>
      <w:pPr>
        <w:pStyle w:val="Heading4"/>
        <w:spacing w:line="240" w:lineRule="auto" w:before="14"/>
        <w:ind w:right="-12"/>
        <w:jc w:val="left"/>
        <w:rPr>
          <w:b w:val="0"/>
          <w:bCs w:val="0"/>
        </w:rPr>
      </w:pPr>
      <w:r>
        <w:rPr>
          <w:rFonts w:ascii="Times New Roman" w:hAnsi="Times New Roman" w:cs="Times New Roman" w:eastAsia="Times New Roman" w:hint="default"/>
        </w:rPr>
        <w:t>1</w:t>
      </w:r>
      <w:r>
        <w:rPr/>
        <w:t>、</w:t>
      </w:r>
      <w:r>
        <w:rPr>
          <w:spacing w:val="6"/>
        </w:rPr>
        <w:t> </w:t>
      </w:r>
      <w:r>
        <w:rPr/>
        <w:t>股份支付总体情况</w:t>
      </w:r>
      <w:r>
        <w:rPr>
          <w:b w:val="0"/>
          <w:bCs w:val="0"/>
        </w:rPr>
      </w:r>
    </w:p>
    <w:p>
      <w:pPr>
        <w:pStyle w:val="BodyText"/>
        <w:spacing w:line="240" w:lineRule="auto" w:before="41"/>
        <w:ind w:left="698" w:right="-1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单位：股</w:t>
        <w:tab/>
      </w:r>
      <w:r>
        <w:rPr>
          <w:spacing w:val="-2"/>
        </w:rPr>
        <w:t>币种：人民币</w:t>
      </w:r>
    </w:p>
    <w:p>
      <w:pPr>
        <w:spacing w:after="0" w:line="240" w:lineRule="auto"/>
        <w:jc w:val="left"/>
        <w:sectPr>
          <w:type w:val="continuous"/>
          <w:pgSz w:w="11910" w:h="16840"/>
          <w:pgMar w:top="1580" w:bottom="280" w:left="1580" w:right="1060"/>
          <w:cols w:num="2" w:equalWidth="0">
            <w:col w:w="2381" w:space="4141"/>
            <w:col w:w="27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9"/>
        <w:gridCol w:w="4295"/>
      </w:tblGrid>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29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1,939,856.00</w:t>
            </w:r>
          </w:p>
        </w:tc>
      </w:tr>
      <w:tr>
        <w:trPr>
          <w:trHeight w:val="370"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572,480.00</w:t>
            </w:r>
          </w:p>
        </w:tc>
      </w:tr>
      <w:tr>
        <w:trPr>
          <w:trHeight w:val="5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和合同剩余期限</w:t>
            </w:r>
          </w:p>
        </w:tc>
        <w:tc>
          <w:tcPr>
            <w:tcW w:w="42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范围和合同剩余期限</w:t>
            </w:r>
          </w:p>
        </w:tc>
        <w:tc>
          <w:tcPr>
            <w:tcW w:w="42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99"/>
        <w:jc w:val="left"/>
      </w:pPr>
      <w:r>
        <w:rPr/>
        <w:t>其他说明</w:t>
      </w:r>
    </w:p>
    <w:p>
      <w:pPr>
        <w:pStyle w:val="BodyText"/>
        <w:spacing w:line="240" w:lineRule="auto" w:before="75"/>
        <w:ind w:left="698" w:right="99"/>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rPr>
        <w:t>20</w:t>
      </w:r>
      <w:r>
        <w:rPr>
          <w:rFonts w:ascii="Times New Roman" w:hAnsi="Times New Roman" w:cs="Times New Roman" w:eastAsia="Times New Roman" w:hint="default"/>
          <w:spacing w:val="13"/>
        </w:rPr>
        <w:t> </w:t>
      </w:r>
      <w:r>
        <w:rPr>
          <w:spacing w:val="-5"/>
        </w:rPr>
        <w:t>日，公司完成本次激励计划的首次授予并披露《关于限制性股票激励计划首</w:t>
      </w:r>
    </w:p>
    <w:p>
      <w:pPr>
        <w:pStyle w:val="BodyText"/>
        <w:spacing w:line="240" w:lineRule="auto" w:before="70"/>
        <w:ind w:right="99"/>
        <w:jc w:val="left"/>
        <w:rPr>
          <w:rFonts w:ascii="Times New Roman" w:hAnsi="Times New Roman" w:cs="Times New Roman" w:eastAsia="Times New Roman" w:hint="default"/>
        </w:rPr>
      </w:pPr>
      <w:r>
        <w:rPr>
          <w:spacing w:val="-3"/>
        </w:rPr>
        <w:t>次授予登记完成的公告》。本激励计划首次授予激励对象的限制性股票授予日为</w:t>
      </w:r>
      <w:r>
        <w:rPr>
          <w:spacing w:val="-4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spacing w:val="-3"/>
        </w:rPr>
        <w:t>28</w:t>
      </w:r>
      <w:r>
        <w:rPr>
          <w:rFonts w:ascii="Times New Roman" w:hAnsi="Times New Roman" w:cs="Times New Roman" w:eastAsia="Times New Roman" w:hint="default"/>
        </w:rPr>
      </w:r>
    </w:p>
    <w:p>
      <w:pPr>
        <w:pStyle w:val="BodyText"/>
        <w:spacing w:line="240" w:lineRule="auto" w:before="69"/>
        <w:ind w:right="99"/>
        <w:jc w:val="left"/>
      </w:pPr>
      <w:r>
        <w:rPr/>
        <w:t>日，限制性股票登记日为</w:t>
      </w:r>
      <w:r>
        <w:rPr>
          <w:spacing w:val="-53"/>
        </w:rPr>
        <w:t> </w:t>
      </w:r>
      <w:r>
        <w:rPr>
          <w:rFonts w:ascii="Times New Roman" w:hAnsi="Times New Roman" w:cs="Times New Roman" w:eastAsia="Times New Roman" w:hint="default"/>
        </w:rPr>
        <w:t>2016 </w:t>
      </w:r>
      <w:r>
        <w:rPr/>
        <w:t>年</w:t>
      </w:r>
      <w:r>
        <w:rPr>
          <w:spacing w:val="-53"/>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20 </w:t>
      </w:r>
      <w:r>
        <w:rPr/>
        <w:t>日，限制性股票登记数量为</w:t>
      </w:r>
      <w:r>
        <w:rPr>
          <w:spacing w:val="-53"/>
        </w:rPr>
        <w:t> </w:t>
      </w:r>
      <w:r>
        <w:rPr>
          <w:rFonts w:ascii="Times New Roman" w:hAnsi="Times New Roman" w:cs="Times New Roman" w:eastAsia="Times New Roman" w:hint="default"/>
        </w:rPr>
        <w:t>1,707,880</w:t>
      </w:r>
      <w:r>
        <w:rPr>
          <w:rFonts w:ascii="Times New Roman" w:hAnsi="Times New Roman" w:cs="Times New Roman" w:eastAsia="Times New Roman" w:hint="default"/>
          <w:spacing w:val="3"/>
        </w:rPr>
        <w:t> </w:t>
      </w:r>
      <w:r>
        <w:rPr/>
        <w:t>股，授予对象共</w:t>
      </w:r>
    </w:p>
    <w:p>
      <w:pPr>
        <w:pStyle w:val="BodyText"/>
        <w:spacing w:line="240" w:lineRule="auto" w:before="69"/>
        <w:ind w:right="99"/>
        <w:jc w:val="left"/>
      </w:pPr>
      <w:r>
        <w:rPr>
          <w:rFonts w:ascii="Times New Roman" w:hAnsi="Times New Roman" w:cs="Times New Roman" w:eastAsia="Times New Roman" w:hint="default"/>
        </w:rPr>
        <w:t>168</w:t>
      </w:r>
      <w:r>
        <w:rPr>
          <w:rFonts w:ascii="Times New Roman" w:hAnsi="Times New Roman" w:cs="Times New Roman" w:eastAsia="Times New Roman" w:hint="default"/>
          <w:spacing w:val="1"/>
        </w:rPr>
        <w:t> </w:t>
      </w:r>
      <w:r>
        <w:rPr/>
        <w:t>人，授予价格为每股</w:t>
      </w:r>
      <w:r>
        <w:rPr>
          <w:spacing w:val="-53"/>
        </w:rPr>
        <w:t> </w:t>
      </w:r>
      <w:r>
        <w:rPr>
          <w:rFonts w:ascii="Times New Roman" w:hAnsi="Times New Roman" w:cs="Times New Roman" w:eastAsia="Times New Roman" w:hint="default"/>
        </w:rPr>
        <w:t>36.10</w:t>
      </w:r>
      <w:r>
        <w:rPr>
          <w:rFonts w:ascii="Times New Roman" w:hAnsi="Times New Roman" w:cs="Times New Roman" w:eastAsia="Times New Roman" w:hint="default"/>
          <w:spacing w:val="1"/>
        </w:rPr>
        <w:t> </w:t>
      </w:r>
      <w:r>
        <w:rPr/>
        <w:t>元。本次授予完成后公司注册资本为人民币</w:t>
      </w:r>
      <w:r>
        <w:rPr>
          <w:spacing w:val="-52"/>
        </w:rPr>
        <w:t> </w:t>
      </w:r>
      <w:r>
        <w:rPr>
          <w:rFonts w:ascii="Times New Roman" w:hAnsi="Times New Roman" w:cs="Times New Roman" w:eastAsia="Times New Roman" w:hint="default"/>
        </w:rPr>
        <w:t>101,707,880</w:t>
      </w:r>
      <w:r>
        <w:rPr>
          <w:rFonts w:ascii="Times New Roman" w:hAnsi="Times New Roman" w:cs="Times New Roman" w:eastAsia="Times New Roman" w:hint="default"/>
          <w:spacing w:val="-1"/>
        </w:rPr>
        <w:t> </w:t>
      </w:r>
      <w:r>
        <w:rPr/>
        <w:t>元，股本</w:t>
      </w:r>
    </w:p>
    <w:p>
      <w:pPr>
        <w:pStyle w:val="BodyText"/>
        <w:spacing w:line="240" w:lineRule="auto" w:before="69"/>
        <w:ind w:right="99"/>
        <w:jc w:val="left"/>
      </w:pPr>
      <w:r>
        <w:rPr/>
        <w:t>总数</w:t>
      </w:r>
      <w:r>
        <w:rPr>
          <w:spacing w:val="-53"/>
        </w:rPr>
        <w:t> </w:t>
      </w:r>
      <w:r>
        <w:rPr>
          <w:rFonts w:ascii="Times New Roman" w:hAnsi="Times New Roman" w:cs="Times New Roman" w:eastAsia="Times New Roman" w:hint="default"/>
        </w:rPr>
        <w:t>101,707,880 </w:t>
      </w:r>
      <w:r>
        <w:rPr>
          <w:spacing w:val="-3"/>
        </w:rPr>
        <w:t>股。</w:t>
      </w:r>
      <w:r>
        <w:rPr/>
      </w:r>
    </w:p>
    <w:p>
      <w:pPr>
        <w:pStyle w:val="BodyText"/>
        <w:spacing w:line="240" w:lineRule="auto" w:before="69"/>
        <w:ind w:left="638" w:right="99"/>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日，公司</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年年度股东大会审议通过《关于公司</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年度利润分配及资</w:t>
      </w:r>
    </w:p>
    <w:p>
      <w:pPr>
        <w:pStyle w:val="BodyText"/>
        <w:spacing w:line="240" w:lineRule="auto" w:before="69"/>
        <w:ind w:right="99"/>
        <w:jc w:val="left"/>
      </w:pPr>
      <w:r>
        <w:rPr>
          <w:spacing w:val="-5"/>
        </w:rPr>
        <w:t>本公积转增股本预案》，本次利润分配及转增股本以方案实施前的公司总股本 </w:t>
      </w:r>
      <w:r>
        <w:rPr>
          <w:rFonts w:ascii="Times New Roman" w:hAnsi="Times New Roman" w:cs="Times New Roman" w:eastAsia="Times New Roman" w:hint="default"/>
        </w:rPr>
        <w:t>101,707,880</w:t>
      </w:r>
      <w:r>
        <w:rPr>
          <w:rFonts w:ascii="Times New Roman" w:hAnsi="Times New Roman" w:cs="Times New Roman" w:eastAsia="Times New Roman" w:hint="default"/>
          <w:spacing w:val="22"/>
        </w:rPr>
        <w:t> </w:t>
      </w:r>
      <w:r>
        <w:rPr/>
        <w:t>股为基</w:t>
      </w:r>
    </w:p>
    <w:p>
      <w:pPr>
        <w:pStyle w:val="BodyText"/>
        <w:spacing w:line="240" w:lineRule="auto" w:before="69"/>
        <w:ind w:right="99"/>
        <w:jc w:val="left"/>
      </w:pPr>
      <w:r>
        <w:rPr/>
        <w:t>数，每股派发现金红利</w:t>
      </w:r>
      <w:r>
        <w:rPr>
          <w:spacing w:val="-50"/>
        </w:rPr>
        <w:t> </w:t>
      </w:r>
      <w:r>
        <w:rPr>
          <w:rFonts w:ascii="Times New Roman" w:hAnsi="Times New Roman" w:cs="Times New Roman" w:eastAsia="Times New Roman" w:hint="default"/>
        </w:rPr>
        <w:t>0.16</w:t>
      </w:r>
      <w:r>
        <w:rPr>
          <w:rFonts w:ascii="Times New Roman" w:hAnsi="Times New Roman" w:cs="Times New Roman" w:eastAsia="Times New Roman" w:hint="default"/>
          <w:spacing w:val="5"/>
        </w:rPr>
        <w:t> </w:t>
      </w:r>
      <w:r>
        <w:rPr>
          <w:spacing w:val="-3"/>
        </w:rPr>
        <w:t>元（含税），以资本公积金向全体股东每股转增</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股，共计派发现金</w:t>
      </w:r>
    </w:p>
    <w:p>
      <w:pPr>
        <w:pStyle w:val="BodyText"/>
        <w:spacing w:line="240" w:lineRule="auto" w:before="69"/>
        <w:ind w:right="0"/>
        <w:jc w:val="left"/>
      </w:pPr>
      <w:r>
        <w:rPr/>
        <w:t>红利</w:t>
      </w:r>
      <w:r>
        <w:rPr>
          <w:spacing w:val="-42"/>
        </w:rPr>
        <w:t> </w:t>
      </w:r>
      <w:r>
        <w:rPr>
          <w:rFonts w:ascii="Times New Roman" w:hAnsi="Times New Roman" w:cs="Times New Roman" w:eastAsia="Times New Roman" w:hint="default"/>
        </w:rPr>
        <w:t>16,273,260.80</w:t>
      </w:r>
      <w:r>
        <w:rPr>
          <w:rFonts w:ascii="Times New Roman" w:hAnsi="Times New Roman" w:cs="Times New Roman" w:eastAsia="Times New Roman" w:hint="default"/>
          <w:spacing w:val="10"/>
        </w:rPr>
        <w:t> </w:t>
      </w:r>
      <w:r>
        <w:rPr/>
        <w:t>元（含税），转增</w:t>
      </w:r>
      <w:r>
        <w:rPr>
          <w:spacing w:val="-42"/>
        </w:rPr>
        <w:t> </w:t>
      </w:r>
      <w:r>
        <w:rPr>
          <w:rFonts w:ascii="Times New Roman" w:hAnsi="Times New Roman" w:cs="Times New Roman" w:eastAsia="Times New Roman" w:hint="default"/>
        </w:rPr>
        <w:t>305,123,640</w:t>
      </w:r>
      <w:r>
        <w:rPr>
          <w:rFonts w:ascii="Times New Roman" w:hAnsi="Times New Roman" w:cs="Times New Roman" w:eastAsia="Times New Roman" w:hint="default"/>
          <w:spacing w:val="8"/>
        </w:rPr>
        <w:t> </w:t>
      </w:r>
      <w:r>
        <w:rPr/>
        <w:t>股，本次分配后公司总股本为</w:t>
      </w:r>
      <w:r>
        <w:rPr>
          <w:spacing w:val="-42"/>
        </w:rPr>
        <w:t> </w:t>
      </w:r>
      <w:r>
        <w:rPr>
          <w:rFonts w:ascii="Times New Roman" w:hAnsi="Times New Roman" w:cs="Times New Roman" w:eastAsia="Times New Roman" w:hint="default"/>
        </w:rPr>
        <w:t>406,831,520</w:t>
      </w:r>
      <w:r>
        <w:rPr>
          <w:rFonts w:ascii="Times New Roman" w:hAnsi="Times New Roman" w:cs="Times New Roman" w:eastAsia="Times New Roman" w:hint="default"/>
          <w:spacing w:val="8"/>
        </w:rPr>
        <w:t> </w:t>
      </w:r>
      <w:r>
        <w:rPr/>
        <w:t>股。</w:t>
      </w:r>
    </w:p>
    <w:p>
      <w:pPr>
        <w:pStyle w:val="BodyText"/>
        <w:spacing w:line="240" w:lineRule="auto" w:before="69"/>
        <w:ind w:right="99"/>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日公司</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年度权益分派方案实施完毕，首次授予的限制性股票数量由</w:t>
      </w:r>
      <w:r>
        <w:rPr>
          <w:spacing w:val="-51"/>
        </w:rPr>
        <w:t> </w:t>
      </w:r>
      <w:r>
        <w:rPr>
          <w:rFonts w:ascii="Times New Roman" w:hAnsi="Times New Roman" w:cs="Times New Roman" w:eastAsia="Times New Roman" w:hint="default"/>
        </w:rPr>
        <w:t>1,707,880</w:t>
      </w:r>
    </w:p>
    <w:p>
      <w:pPr>
        <w:pStyle w:val="BodyText"/>
        <w:spacing w:line="240" w:lineRule="auto" w:before="69"/>
        <w:ind w:right="99"/>
        <w:jc w:val="left"/>
      </w:pPr>
      <w:r>
        <w:rPr/>
        <w:t>股相应调整至</w:t>
      </w:r>
      <w:r>
        <w:rPr>
          <w:spacing w:val="-52"/>
        </w:rPr>
        <w:t> </w:t>
      </w:r>
      <w:r>
        <w:rPr>
          <w:rFonts w:ascii="Times New Roman" w:hAnsi="Times New Roman" w:cs="Times New Roman" w:eastAsia="Times New Roman" w:hint="default"/>
        </w:rPr>
        <w:t>6,831,520</w:t>
      </w:r>
      <w:r>
        <w:rPr>
          <w:rFonts w:ascii="Times New Roman" w:hAnsi="Times New Roman" w:cs="Times New Roman" w:eastAsia="Times New Roman" w:hint="default"/>
          <w:spacing w:val="-1"/>
        </w:rPr>
        <w:t> </w:t>
      </w:r>
      <w:r>
        <w:rPr>
          <w:spacing w:val="-3"/>
        </w:rPr>
        <w:t>股。</w:t>
      </w:r>
      <w:r>
        <w:rPr/>
      </w:r>
    </w:p>
    <w:p>
      <w:pPr>
        <w:pStyle w:val="BodyText"/>
        <w:spacing w:line="240" w:lineRule="auto" w:before="69"/>
        <w:ind w:left="638" w:right="99"/>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spacing w:val="-3"/>
        </w:rPr>
        <w:t>日，公司分别召开第三届董事会第八次会议审议通过《关于回购注销部分激励</w:t>
      </w:r>
    </w:p>
    <w:p>
      <w:pPr>
        <w:spacing w:after="0" w:line="240" w:lineRule="auto"/>
        <w:jc w:val="left"/>
        <w:sectPr>
          <w:type w:val="continuous"/>
          <w:pgSz w:w="11910" w:h="16840"/>
          <w:pgMar w:top="1580" w:bottom="280" w:left="1580" w:right="1060"/>
        </w:sectPr>
      </w:pPr>
    </w:p>
    <w:p>
      <w:pPr>
        <w:spacing w:line="240" w:lineRule="auto" w:before="0"/>
        <w:rPr>
          <w:rFonts w:ascii="宋体" w:hAnsi="宋体" w:cs="宋体" w:eastAsia="宋体" w:hint="default"/>
          <w:sz w:val="20"/>
          <w:szCs w:val="20"/>
        </w:rPr>
      </w:pPr>
    </w:p>
    <w:p>
      <w:pPr>
        <w:pStyle w:val="BodyText"/>
        <w:spacing w:line="314" w:lineRule="auto" w:before="177"/>
        <w:ind w:left="158" w:right="168"/>
        <w:jc w:val="both"/>
      </w:pPr>
      <w:r>
        <w:rPr>
          <w:spacing w:val="-1"/>
        </w:rPr>
        <w:t>对象已获授但尚未解锁的限制性股票的议案》和《关于调整首次授予限制性股票回购数量及回购</w:t>
      </w:r>
      <w:r>
        <w:rPr>
          <w:spacing w:val="-55"/>
        </w:rPr>
        <w:t> </w:t>
      </w:r>
      <w:r>
        <w:rPr>
          <w:spacing w:val="-55"/>
        </w:rPr>
      </w:r>
      <w:r>
        <w:rPr>
          <w:spacing w:val="-4"/>
        </w:rPr>
        <w:t>价格的议案》，同意对不符合解锁条件的</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名激励对象合计持有的</w:t>
      </w:r>
      <w:r>
        <w:rPr>
          <w:spacing w:val="-46"/>
        </w:rPr>
        <w:t> </w:t>
      </w:r>
      <w:r>
        <w:rPr>
          <w:rFonts w:ascii="Times New Roman" w:hAnsi="Times New Roman" w:cs="Times New Roman" w:eastAsia="Times New Roman" w:hint="default"/>
        </w:rPr>
        <w:t>258,720</w:t>
      </w:r>
      <w:r>
        <w:rPr>
          <w:rFonts w:ascii="Times New Roman" w:hAnsi="Times New Roman" w:cs="Times New Roman" w:eastAsia="Times New Roman" w:hint="default"/>
          <w:spacing w:val="4"/>
        </w:rPr>
        <w:t> </w:t>
      </w:r>
      <w:r>
        <w:rPr/>
        <w:t>股已获授但尚未解锁</w:t>
      </w:r>
    </w:p>
    <w:p>
      <w:pPr>
        <w:pStyle w:val="BodyText"/>
        <w:spacing w:line="288" w:lineRule="exact"/>
        <w:ind w:left="158" w:right="0"/>
        <w:jc w:val="both"/>
      </w:pPr>
      <w:r>
        <w:rPr/>
        <w:t>的限制性股票按</w:t>
      </w:r>
      <w:r>
        <w:rPr>
          <w:spacing w:val="-55"/>
        </w:rPr>
        <w:t> </w:t>
      </w:r>
      <w:r>
        <w:rPr>
          <w:rFonts w:ascii="Times New Roman" w:hAnsi="Times New Roman" w:cs="Times New Roman" w:eastAsia="Times New Roman" w:hint="default"/>
        </w:rPr>
        <w:t>8.985</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股进行回购注销。</w:t>
      </w:r>
    </w:p>
    <w:p>
      <w:pPr>
        <w:pStyle w:val="BodyText"/>
        <w:spacing w:line="302" w:lineRule="auto" w:before="69"/>
        <w:ind w:left="158" w:right="168"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spacing w:val="-3"/>
        </w:rPr>
        <w:t>日，公司第三届董事会第十二次会议审议通过了《关于限制性股票激励计划</w:t>
      </w:r>
      <w:r>
        <w:rPr>
          <w:w w:val="100"/>
        </w:rPr>
        <w:t> </w:t>
      </w:r>
      <w:r>
        <w:rPr>
          <w:spacing w:val="-1"/>
        </w:rPr>
        <w:t>首次授予的限制性股票第一个解锁期可解锁的议案》，满足公司限制性股票激励计划首次授予第</w:t>
      </w:r>
      <w:r>
        <w:rPr>
          <w:spacing w:val="-55"/>
        </w:rPr>
        <w:t> </w:t>
      </w:r>
      <w:r>
        <w:rPr>
          <w:spacing w:val="-55"/>
        </w:rPr>
      </w:r>
      <w:r>
        <w:rPr/>
        <w:t>一个解锁期的解锁条件，授予的</w:t>
      </w:r>
      <w:r>
        <w:rPr>
          <w:spacing w:val="-49"/>
        </w:rPr>
        <w:t> </w:t>
      </w:r>
      <w:r>
        <w:rPr>
          <w:rFonts w:ascii="Times New Roman" w:hAnsi="Times New Roman" w:cs="Times New Roman" w:eastAsia="Times New Roman" w:hint="default"/>
        </w:rPr>
        <w:t>158</w:t>
      </w:r>
      <w:r>
        <w:rPr>
          <w:rFonts w:ascii="Times New Roman" w:hAnsi="Times New Roman" w:cs="Times New Roman" w:eastAsia="Times New Roman" w:hint="default"/>
          <w:spacing w:val="2"/>
        </w:rPr>
        <w:t> </w:t>
      </w:r>
      <w:r>
        <w:rPr/>
        <w:t>名符合解锁条件的激励对象获授的限制性股票办理第一期解</w:t>
      </w:r>
      <w:r>
        <w:rPr>
          <w:w w:val="100"/>
        </w:rPr>
        <w:t> </w:t>
      </w:r>
      <w:r>
        <w:rPr/>
        <w:t>锁，解锁比例为</w:t>
      </w:r>
      <w:r>
        <w:rPr>
          <w:spacing w:val="-54"/>
        </w:rPr>
        <w:t> </w:t>
      </w:r>
      <w:r>
        <w:rPr>
          <w:rFonts w:ascii="Times New Roman" w:hAnsi="Times New Roman" w:cs="Times New Roman" w:eastAsia="Times New Roman" w:hint="default"/>
        </w:rPr>
        <w:t>40%</w:t>
      </w:r>
      <w:r>
        <w:rPr/>
        <w:t>，解锁的限制性股票数量合计为</w:t>
      </w:r>
      <w:r>
        <w:rPr>
          <w:spacing w:val="-53"/>
        </w:rPr>
        <w:t> </w:t>
      </w:r>
      <w:r>
        <w:rPr>
          <w:rFonts w:ascii="Times New Roman" w:hAnsi="Times New Roman" w:cs="Times New Roman" w:eastAsia="Times New Roman" w:hint="default"/>
        </w:rPr>
        <w:t>2,550,688</w:t>
      </w:r>
      <w:r>
        <w:rPr>
          <w:rFonts w:ascii="Times New Roman" w:hAnsi="Times New Roman" w:cs="Times New Roman" w:eastAsia="Times New Roman" w:hint="default"/>
          <w:spacing w:val="-1"/>
        </w:rPr>
        <w:t> </w:t>
      </w:r>
      <w:r>
        <w:rPr>
          <w:spacing w:val="-3"/>
        </w:rPr>
        <w:t>股。</w:t>
      </w:r>
      <w:r>
        <w:rPr/>
      </w:r>
    </w:p>
    <w:p>
      <w:pPr>
        <w:pStyle w:val="BodyText"/>
        <w:spacing w:line="240" w:lineRule="auto" w:before="9"/>
        <w:ind w:left="578" w:right="0"/>
        <w:jc w:val="left"/>
      </w:pPr>
      <w:r>
        <w:rPr>
          <w:rFonts w:ascii="Times New Roman" w:hAnsi="Times New Roman" w:cs="Times New Roman" w:eastAsia="Times New Roman" w:hint="default"/>
          <w:w w:val="100"/>
        </w:rPr>
        <w:t>2018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日</w:t>
      </w:r>
      <w:r>
        <w:rPr>
          <w:rFonts w:ascii="Times New Roman" w:hAnsi="Times New Roman" w:cs="Times New Roman" w:eastAsia="Times New Roman" w:hint="default"/>
          <w:spacing w:val="-3"/>
          <w:w w:val="100"/>
        </w:rPr>
        <w:t>,</w:t>
      </w:r>
      <w:r>
        <w:rPr>
          <w:w w:val="100"/>
        </w:rPr>
        <w:t>公</w:t>
      </w:r>
      <w:r>
        <w:rPr>
          <w:spacing w:val="-3"/>
          <w:w w:val="100"/>
        </w:rPr>
        <w:t>司第</w:t>
      </w:r>
      <w:r>
        <w:rPr>
          <w:w w:val="100"/>
        </w:rPr>
        <w:t>三届</w:t>
      </w:r>
      <w:r>
        <w:rPr>
          <w:spacing w:val="-3"/>
          <w:w w:val="100"/>
        </w:rPr>
        <w:t>董</w:t>
      </w:r>
      <w:r>
        <w:rPr>
          <w:w w:val="100"/>
        </w:rPr>
        <w:t>事</w:t>
      </w:r>
      <w:r>
        <w:rPr>
          <w:spacing w:val="-3"/>
          <w:w w:val="100"/>
        </w:rPr>
        <w:t>会</w:t>
      </w:r>
      <w:r>
        <w:rPr>
          <w:w w:val="100"/>
        </w:rPr>
        <w:t>第</w:t>
      </w:r>
      <w:r>
        <w:rPr>
          <w:spacing w:val="-3"/>
          <w:w w:val="100"/>
        </w:rPr>
        <w:t>二</w:t>
      </w:r>
      <w:r>
        <w:rPr>
          <w:w w:val="100"/>
        </w:rPr>
        <w:t>十</w:t>
      </w:r>
      <w:r>
        <w:rPr>
          <w:spacing w:val="-3"/>
          <w:w w:val="100"/>
        </w:rPr>
        <w:t>八</w:t>
      </w:r>
      <w:r>
        <w:rPr>
          <w:w w:val="100"/>
        </w:rPr>
        <w:t>次</w:t>
      </w:r>
      <w:r>
        <w:rPr>
          <w:spacing w:val="-3"/>
          <w:w w:val="100"/>
        </w:rPr>
        <w:t>会</w:t>
      </w:r>
      <w:r>
        <w:rPr>
          <w:w w:val="100"/>
        </w:rPr>
        <w:t>议审</w:t>
      </w:r>
      <w:r>
        <w:rPr>
          <w:spacing w:val="-3"/>
          <w:w w:val="100"/>
        </w:rPr>
        <w:t>议</w:t>
      </w:r>
      <w:r>
        <w:rPr>
          <w:w w:val="100"/>
        </w:rPr>
        <w:t>通</w:t>
      </w:r>
      <w:r>
        <w:rPr>
          <w:spacing w:val="-3"/>
          <w:w w:val="100"/>
        </w:rPr>
        <w:t>过</w:t>
      </w:r>
      <w:r>
        <w:rPr>
          <w:spacing w:val="-94"/>
          <w:w w:val="100"/>
        </w:rPr>
        <w:t>了</w:t>
      </w:r>
      <w:r>
        <w:rPr>
          <w:w w:val="100"/>
        </w:rPr>
        <w:t>《</w:t>
      </w:r>
      <w:r>
        <w:rPr>
          <w:spacing w:val="-3"/>
          <w:w w:val="100"/>
        </w:rPr>
        <w:t>关</w:t>
      </w:r>
      <w:r>
        <w:rPr>
          <w:w w:val="100"/>
        </w:rPr>
        <w:t>于</w:t>
      </w:r>
      <w:r>
        <w:rPr>
          <w:spacing w:val="-3"/>
          <w:w w:val="100"/>
        </w:rPr>
        <w:t>回</w:t>
      </w:r>
      <w:r>
        <w:rPr>
          <w:w w:val="100"/>
        </w:rPr>
        <w:t>购</w:t>
      </w:r>
      <w:r>
        <w:rPr>
          <w:spacing w:val="-3"/>
          <w:w w:val="100"/>
        </w:rPr>
        <w:t>注</w:t>
      </w:r>
      <w:r>
        <w:rPr>
          <w:w w:val="100"/>
        </w:rPr>
        <w:t>销部</w:t>
      </w:r>
      <w:r>
        <w:rPr>
          <w:spacing w:val="-3"/>
          <w:w w:val="100"/>
        </w:rPr>
        <w:t>分</w:t>
      </w:r>
      <w:r>
        <w:rPr>
          <w:w w:val="100"/>
        </w:rPr>
        <w:t>激</w:t>
      </w:r>
      <w:r>
        <w:rPr>
          <w:spacing w:val="-3"/>
          <w:w w:val="100"/>
        </w:rPr>
        <w:t>励</w:t>
      </w:r>
      <w:r>
        <w:rPr>
          <w:w w:val="100"/>
        </w:rPr>
        <w:t>对</w:t>
      </w:r>
    </w:p>
    <w:p>
      <w:pPr>
        <w:pStyle w:val="BodyText"/>
        <w:spacing w:line="240" w:lineRule="auto" w:before="69"/>
        <w:ind w:left="158" w:right="0"/>
        <w:jc w:val="both"/>
      </w:pPr>
      <w:r>
        <w:rPr>
          <w:spacing w:val="-4"/>
        </w:rPr>
        <w:t>象已获授但尚未解除限售的限制性股票及调整回购价格的议案》。同意对上述共计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名首次授予</w:t>
      </w:r>
    </w:p>
    <w:p>
      <w:pPr>
        <w:pStyle w:val="BodyText"/>
        <w:spacing w:line="240" w:lineRule="auto" w:before="70"/>
        <w:ind w:left="158" w:right="0"/>
        <w:jc w:val="both"/>
      </w:pPr>
      <w:r>
        <w:rPr/>
        <w:t>或预留授予的激励对象所持有的共计 </w:t>
      </w:r>
      <w:r>
        <w:rPr>
          <w:rFonts w:ascii="Times New Roman" w:hAnsi="Times New Roman" w:cs="Times New Roman" w:eastAsia="Times New Roman" w:hint="default"/>
        </w:rPr>
        <w:t>572,480</w:t>
      </w:r>
      <w:r>
        <w:rPr>
          <w:rFonts w:ascii="Times New Roman" w:hAnsi="Times New Roman" w:cs="Times New Roman" w:eastAsia="Times New Roman" w:hint="default"/>
          <w:spacing w:val="3"/>
        </w:rPr>
        <w:t> </w:t>
      </w:r>
      <w:r>
        <w:rPr/>
        <w:t>股已获授但不具备解锁条件的限制性股票进行回购</w:t>
      </w:r>
    </w:p>
    <w:p>
      <w:pPr>
        <w:pStyle w:val="BodyText"/>
        <w:spacing w:line="240" w:lineRule="auto" w:before="69"/>
        <w:ind w:left="158" w:right="0"/>
        <w:jc w:val="both"/>
      </w:pPr>
      <w:r>
        <w:rPr/>
        <w:t>注销。本次回购注销完成后公司注册资本及股本均为</w:t>
      </w:r>
      <w:r>
        <w:rPr>
          <w:spacing w:val="-53"/>
        </w:rPr>
        <w:t> </w:t>
      </w:r>
      <w:r>
        <w:rPr>
          <w:rFonts w:ascii="Times New Roman" w:hAnsi="Times New Roman" w:cs="Times New Roman" w:eastAsia="Times New Roman" w:hint="default"/>
        </w:rPr>
        <w:t>526,684,472</w:t>
      </w:r>
      <w:r>
        <w:rPr>
          <w:rFonts w:ascii="Times New Roman" w:hAnsi="Times New Roman" w:cs="Times New Roman" w:eastAsia="Times New Roman" w:hint="default"/>
          <w:spacing w:val="-3"/>
        </w:rPr>
        <w:t> </w:t>
      </w:r>
      <w:r>
        <w:rPr/>
        <w:t>元。</w:t>
      </w:r>
    </w:p>
    <w:p>
      <w:pPr>
        <w:pStyle w:val="BodyText"/>
        <w:spacing w:line="240" w:lineRule="auto" w:before="69"/>
        <w:ind w:left="578"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spacing w:val="-3"/>
        </w:rPr>
        <w:t>日，公司第三届董事会第三十次会议审议通过了《关于限制性股票激励计划</w:t>
      </w:r>
    </w:p>
    <w:p>
      <w:pPr>
        <w:pStyle w:val="BodyText"/>
        <w:spacing w:line="297" w:lineRule="auto" w:before="69"/>
        <w:ind w:left="158" w:right="167"/>
        <w:jc w:val="both"/>
      </w:pPr>
      <w:r>
        <w:rPr/>
        <w:t>首次授予股票第二期解锁及预留授予股票第一期解锁的议案》。同意对符合条件的</w:t>
      </w:r>
      <w:r>
        <w:rPr>
          <w:spacing w:val="-49"/>
        </w:rPr>
        <w:t> </w:t>
      </w:r>
      <w:r>
        <w:rPr>
          <w:rFonts w:ascii="Times New Roman" w:hAnsi="Times New Roman" w:cs="Times New Roman" w:eastAsia="Times New Roman" w:hint="default"/>
        </w:rPr>
        <w:t>138</w:t>
      </w:r>
      <w:r>
        <w:rPr>
          <w:rFonts w:ascii="Times New Roman" w:hAnsi="Times New Roman" w:cs="Times New Roman" w:eastAsia="Times New Roman" w:hint="default"/>
          <w:spacing w:val="2"/>
        </w:rPr>
        <w:t> </w:t>
      </w:r>
      <w:r>
        <w:rPr/>
        <w:t>名首次授</w:t>
      </w:r>
      <w:r>
        <w:rPr>
          <w:w w:val="100"/>
        </w:rPr>
        <w:t> </w:t>
      </w:r>
      <w:r>
        <w:rPr/>
        <w:t>予激励对象的限制性股票实施第二期解锁，可解锁比例</w:t>
      </w:r>
      <w:r>
        <w:rPr>
          <w:spacing w:val="-57"/>
        </w:rPr>
        <w:t> </w:t>
      </w:r>
      <w:r>
        <w:rPr>
          <w:rFonts w:ascii="Times New Roman" w:hAnsi="Times New Roman" w:cs="Times New Roman" w:eastAsia="Times New Roman" w:hint="default"/>
        </w:rPr>
        <w:t>30%</w:t>
      </w:r>
      <w:r>
        <w:rPr/>
        <w:t>；对符合条件的</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名预留授予激励对</w:t>
      </w:r>
      <w:r>
        <w:rPr>
          <w:w w:val="100"/>
        </w:rPr>
        <w:t> </w:t>
      </w:r>
      <w:r>
        <w:rPr/>
        <w:t>象的限制性股票实施第一期解锁，可解锁比例</w:t>
      </w:r>
      <w:r>
        <w:rPr>
          <w:spacing w:val="-54"/>
        </w:rPr>
        <w:t> </w:t>
      </w:r>
      <w:r>
        <w:rPr>
          <w:rFonts w:ascii="Times New Roman" w:hAnsi="Times New Roman" w:cs="Times New Roman" w:eastAsia="Times New Roman" w:hint="default"/>
        </w:rPr>
        <w:t>50%</w:t>
      </w:r>
      <w:r>
        <w:rPr/>
        <w:t>，本次可解锁股份合计</w:t>
      </w:r>
      <w:r>
        <w:rPr>
          <w:spacing w:val="-54"/>
        </w:rPr>
        <w:t> </w:t>
      </w:r>
      <w:r>
        <w:rPr>
          <w:rFonts w:ascii="Times New Roman" w:hAnsi="Times New Roman" w:cs="Times New Roman" w:eastAsia="Times New Roman" w:hint="default"/>
        </w:rPr>
        <w:t>1,939,856</w:t>
      </w:r>
      <w:r>
        <w:rPr>
          <w:rFonts w:ascii="Times New Roman" w:hAnsi="Times New Roman" w:cs="Times New Roman" w:eastAsia="Times New Roman" w:hint="default"/>
          <w:spacing w:val="-3"/>
        </w:rPr>
        <w:t> </w:t>
      </w:r>
      <w:r>
        <w:rPr/>
        <w:t>股。</w:t>
      </w:r>
    </w:p>
    <w:p>
      <w:pPr>
        <w:pStyle w:val="BodyText"/>
        <w:spacing w:line="304" w:lineRule="auto" w:before="13"/>
        <w:ind w:left="158" w:right="168" w:firstLine="419"/>
        <w:jc w:val="both"/>
      </w:pPr>
      <w:r>
        <w:rPr/>
        <w:t>公司限制性股票激励对象自获授限制性股票之日起</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spacing w:val="-7"/>
        </w:rPr>
        <w:t>个月内为锁定期。在锁定期内，激励对</w:t>
      </w:r>
      <w:r>
        <w:rPr>
          <w:w w:val="100"/>
        </w:rPr>
        <w:t> </w:t>
      </w:r>
      <w:r>
        <w:rPr>
          <w:spacing w:val="-1"/>
        </w:rPr>
        <w:t>象根据本计划获授的限制性股票予以锁定，不得转让、不得用于偿还债务。限制性股票解锁安排</w:t>
      </w:r>
      <w:r>
        <w:rPr>
          <w:spacing w:val="-55"/>
        </w:rPr>
        <w:t> </w:t>
      </w:r>
      <w:r>
        <w:rPr>
          <w:spacing w:val="-55"/>
        </w:rPr>
      </w:r>
      <w:r>
        <w:rPr/>
        <w:t>及公司业绩考核条件如下：</w:t>
      </w:r>
    </w:p>
    <w:p>
      <w:pPr>
        <w:pStyle w:val="BodyText"/>
        <w:spacing w:line="240" w:lineRule="auto" w:before="29"/>
        <w:ind w:left="578" w:right="165"/>
        <w:jc w:val="left"/>
      </w:pPr>
      <w:r>
        <w:rPr>
          <w:rFonts w:ascii="Times New Roman" w:hAnsi="Times New Roman" w:cs="Times New Roman" w:eastAsia="Times New Roman" w:hint="default"/>
        </w:rPr>
        <w:t>1</w:t>
      </w:r>
      <w:r>
        <w:rPr/>
        <w:t>、首次授予的限制性股票各年度业绩考核条件具体如下：</w:t>
      </w:r>
    </w:p>
    <w:p>
      <w:pPr>
        <w:spacing w:line="240" w:lineRule="auto" w:before="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56"/>
        <w:gridCol w:w="3625"/>
        <w:gridCol w:w="2897"/>
        <w:gridCol w:w="1046"/>
      </w:tblGrid>
      <w:tr>
        <w:trPr>
          <w:trHeight w:val="446" w:hRule="exact"/>
        </w:trPr>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解锁安排</w:t>
            </w:r>
          </w:p>
        </w:tc>
        <w:tc>
          <w:tcPr>
            <w:tcW w:w="36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解锁安排</w:t>
            </w:r>
          </w:p>
        </w:tc>
        <w:tc>
          <w:tcPr>
            <w:tcW w:w="2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597" w:right="0"/>
              <w:jc w:val="left"/>
              <w:rPr>
                <w:rFonts w:ascii="宋体" w:hAnsi="宋体" w:cs="宋体" w:eastAsia="宋体" w:hint="default"/>
                <w:sz w:val="21"/>
                <w:szCs w:val="21"/>
              </w:rPr>
            </w:pPr>
            <w:r>
              <w:rPr>
                <w:rFonts w:ascii="宋体" w:hAnsi="宋体" w:cs="宋体" w:eastAsia="宋体" w:hint="default"/>
                <w:sz w:val="21"/>
                <w:szCs w:val="21"/>
              </w:rPr>
              <w:t>公司业绩考核条件</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1"/>
              <w:jc w:val="right"/>
              <w:rPr>
                <w:rFonts w:ascii="宋体" w:hAnsi="宋体" w:cs="宋体" w:eastAsia="宋体" w:hint="default"/>
                <w:sz w:val="21"/>
                <w:szCs w:val="21"/>
              </w:rPr>
            </w:pPr>
            <w:r>
              <w:rPr>
                <w:rFonts w:ascii="宋体" w:hAnsi="宋体" w:cs="宋体" w:eastAsia="宋体" w:hint="default"/>
                <w:spacing w:val="-1"/>
                <w:sz w:val="21"/>
                <w:szCs w:val="21"/>
              </w:rPr>
              <w:t>解锁比例</w:t>
            </w:r>
          </w:p>
        </w:tc>
      </w:tr>
      <w:tr>
        <w:trPr>
          <w:trHeight w:val="1099" w:hRule="exact"/>
        </w:trPr>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第一次解锁期</w:t>
            </w:r>
          </w:p>
        </w:tc>
        <w:tc>
          <w:tcPr>
            <w:tcW w:w="36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33" w:right="0"/>
              <w:jc w:val="left"/>
              <w:rPr>
                <w:rFonts w:ascii="宋体" w:hAnsi="宋体" w:cs="宋体" w:eastAsia="宋体" w:hint="default"/>
                <w:sz w:val="21"/>
                <w:szCs w:val="21"/>
              </w:rPr>
            </w:pPr>
            <w:r>
              <w:rPr>
                <w:rFonts w:ascii="宋体" w:hAnsi="宋体" w:cs="宋体" w:eastAsia="宋体" w:hint="default"/>
                <w:sz w:val="21"/>
                <w:szCs w:val="21"/>
              </w:rPr>
              <w:t>自授予日起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个月后的首个交易日起</w:t>
            </w:r>
          </w:p>
          <w:p>
            <w:pPr>
              <w:pStyle w:val="TableParagraph"/>
              <w:spacing w:line="297" w:lineRule="auto" w:before="69"/>
              <w:ind w:left="33" w:right="101"/>
              <w:jc w:val="left"/>
              <w:rPr>
                <w:rFonts w:ascii="宋体" w:hAnsi="宋体" w:cs="宋体" w:eastAsia="宋体" w:hint="default"/>
                <w:sz w:val="21"/>
                <w:szCs w:val="21"/>
              </w:rPr>
            </w:pPr>
            <w:r>
              <w:rPr>
                <w:rFonts w:ascii="宋体" w:hAnsi="宋体" w:cs="宋体" w:eastAsia="宋体" w:hint="default"/>
                <w:sz w:val="21"/>
                <w:szCs w:val="21"/>
              </w:rPr>
              <w:t>至授予日起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个月内的最后一个交易</w:t>
            </w:r>
            <w:r>
              <w:rPr>
                <w:rFonts w:ascii="宋体" w:hAnsi="宋体" w:cs="宋体" w:eastAsia="宋体" w:hint="default"/>
                <w:w w:val="100"/>
                <w:sz w:val="21"/>
                <w:szCs w:val="21"/>
              </w:rPr>
              <w:t> </w:t>
            </w:r>
            <w:r>
              <w:rPr>
                <w:rFonts w:ascii="宋体" w:hAnsi="宋体" w:cs="宋体" w:eastAsia="宋体" w:hint="default"/>
                <w:sz w:val="21"/>
                <w:szCs w:val="21"/>
              </w:rPr>
              <w:t>日当日止</w:t>
            </w:r>
          </w:p>
        </w:tc>
        <w:tc>
          <w:tcPr>
            <w:tcW w:w="2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36"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年的净利润为基准，</w:t>
            </w:r>
          </w:p>
          <w:p>
            <w:pPr>
              <w:pStyle w:val="TableParagraph"/>
              <w:spacing w:line="240" w:lineRule="auto" w:before="69"/>
              <w:ind w:left="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年净利润增长率不低于</w:t>
            </w:r>
          </w:p>
          <w:p>
            <w:pPr>
              <w:pStyle w:val="TableParagraph"/>
              <w:spacing w:line="240" w:lineRule="auto" w:before="69"/>
              <w:ind w:left="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z w:val="21"/>
              </w:rPr>
              <w:t>40%</w:t>
            </w:r>
          </w:p>
        </w:tc>
      </w:tr>
      <w:tr>
        <w:trPr>
          <w:trHeight w:val="1102" w:hRule="exact"/>
        </w:trPr>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第二次解锁期</w:t>
            </w:r>
          </w:p>
        </w:tc>
        <w:tc>
          <w:tcPr>
            <w:tcW w:w="36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left="33" w:right="0"/>
              <w:jc w:val="left"/>
              <w:rPr>
                <w:rFonts w:ascii="宋体" w:hAnsi="宋体" w:cs="宋体" w:eastAsia="宋体" w:hint="default"/>
                <w:sz w:val="21"/>
                <w:szCs w:val="21"/>
              </w:rPr>
            </w:pPr>
            <w:r>
              <w:rPr>
                <w:rFonts w:ascii="宋体" w:hAnsi="宋体" w:cs="宋体" w:eastAsia="宋体" w:hint="default"/>
                <w:sz w:val="21"/>
                <w:szCs w:val="21"/>
              </w:rPr>
              <w:t>自授予日起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个月后的首个交易日起</w:t>
            </w:r>
          </w:p>
          <w:p>
            <w:pPr>
              <w:pStyle w:val="TableParagraph"/>
              <w:spacing w:line="297" w:lineRule="auto" w:before="69"/>
              <w:ind w:left="33" w:right="101"/>
              <w:jc w:val="left"/>
              <w:rPr>
                <w:rFonts w:ascii="宋体" w:hAnsi="宋体" w:cs="宋体" w:eastAsia="宋体" w:hint="default"/>
                <w:sz w:val="21"/>
                <w:szCs w:val="21"/>
              </w:rPr>
            </w:pPr>
            <w:r>
              <w:rPr>
                <w:rFonts w:ascii="宋体" w:hAnsi="宋体" w:cs="宋体" w:eastAsia="宋体" w:hint="default"/>
                <w:sz w:val="21"/>
                <w:szCs w:val="21"/>
              </w:rPr>
              <w:t>至授予日起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个月内的最后一个交易</w:t>
            </w:r>
            <w:r>
              <w:rPr>
                <w:rFonts w:ascii="宋体" w:hAnsi="宋体" w:cs="宋体" w:eastAsia="宋体" w:hint="default"/>
                <w:w w:val="100"/>
                <w:sz w:val="21"/>
                <w:szCs w:val="21"/>
              </w:rPr>
              <w:t> </w:t>
            </w:r>
            <w:r>
              <w:rPr>
                <w:rFonts w:ascii="宋体" w:hAnsi="宋体" w:cs="宋体" w:eastAsia="宋体" w:hint="default"/>
                <w:sz w:val="21"/>
                <w:szCs w:val="21"/>
              </w:rPr>
              <w:t>日当日止</w:t>
            </w:r>
          </w:p>
        </w:tc>
        <w:tc>
          <w:tcPr>
            <w:tcW w:w="2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left="36"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年的净利润为基准，</w:t>
            </w:r>
          </w:p>
          <w:p>
            <w:pPr>
              <w:pStyle w:val="TableParagraph"/>
              <w:spacing w:line="240" w:lineRule="auto" w:before="69"/>
              <w:ind w:left="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年净利润增长率不低于</w:t>
            </w:r>
          </w:p>
          <w:p>
            <w:pPr>
              <w:pStyle w:val="TableParagraph"/>
              <w:spacing w:line="240" w:lineRule="auto" w:before="69"/>
              <w:ind w:left="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z w:val="21"/>
              </w:rPr>
              <w:t>30%</w:t>
            </w:r>
          </w:p>
        </w:tc>
      </w:tr>
      <w:tr>
        <w:trPr>
          <w:trHeight w:val="1100" w:hRule="exact"/>
        </w:trPr>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第三次解锁期</w:t>
            </w:r>
          </w:p>
        </w:tc>
        <w:tc>
          <w:tcPr>
            <w:tcW w:w="36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33" w:right="0"/>
              <w:jc w:val="left"/>
              <w:rPr>
                <w:rFonts w:ascii="宋体" w:hAnsi="宋体" w:cs="宋体" w:eastAsia="宋体" w:hint="default"/>
                <w:sz w:val="21"/>
                <w:szCs w:val="21"/>
              </w:rPr>
            </w:pPr>
            <w:r>
              <w:rPr>
                <w:rFonts w:ascii="宋体" w:hAnsi="宋体" w:cs="宋体" w:eastAsia="宋体" w:hint="default"/>
                <w:sz w:val="21"/>
                <w:szCs w:val="21"/>
              </w:rPr>
              <w:t>自授予日起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个月后的首个交易日起</w:t>
            </w:r>
          </w:p>
          <w:p>
            <w:pPr>
              <w:pStyle w:val="TableParagraph"/>
              <w:spacing w:line="297" w:lineRule="auto" w:before="70"/>
              <w:ind w:left="33" w:right="101"/>
              <w:jc w:val="left"/>
              <w:rPr>
                <w:rFonts w:ascii="宋体" w:hAnsi="宋体" w:cs="宋体" w:eastAsia="宋体" w:hint="default"/>
                <w:sz w:val="21"/>
                <w:szCs w:val="21"/>
              </w:rPr>
            </w:pPr>
            <w:r>
              <w:rPr>
                <w:rFonts w:ascii="宋体" w:hAnsi="宋体" w:cs="宋体" w:eastAsia="宋体" w:hint="default"/>
                <w:sz w:val="21"/>
                <w:szCs w:val="21"/>
              </w:rPr>
              <w:t>至授予日起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个月内的最后一个交易</w:t>
            </w:r>
            <w:r>
              <w:rPr>
                <w:rFonts w:ascii="宋体" w:hAnsi="宋体" w:cs="宋体" w:eastAsia="宋体" w:hint="default"/>
                <w:w w:val="100"/>
                <w:sz w:val="21"/>
                <w:szCs w:val="21"/>
              </w:rPr>
              <w:t> </w:t>
            </w:r>
            <w:r>
              <w:rPr>
                <w:rFonts w:ascii="宋体" w:hAnsi="宋体" w:cs="宋体" w:eastAsia="宋体" w:hint="default"/>
                <w:sz w:val="21"/>
                <w:szCs w:val="21"/>
              </w:rPr>
              <w:t>日当日止</w:t>
            </w:r>
          </w:p>
        </w:tc>
        <w:tc>
          <w:tcPr>
            <w:tcW w:w="2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36"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年的净利润为基准，</w:t>
            </w:r>
          </w:p>
          <w:p>
            <w:pPr>
              <w:pStyle w:val="TableParagraph"/>
              <w:spacing w:line="240" w:lineRule="auto" w:before="70"/>
              <w:ind w:left="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年净利润增长率不低于</w:t>
            </w:r>
          </w:p>
          <w:p>
            <w:pPr>
              <w:pStyle w:val="TableParagraph"/>
              <w:spacing w:line="240" w:lineRule="auto" w:before="69"/>
              <w:ind w:left="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z w:val="21"/>
              </w:rPr>
              <w:t>30%</w:t>
            </w:r>
          </w:p>
        </w:tc>
      </w:tr>
    </w:tbl>
    <w:p>
      <w:pPr>
        <w:pStyle w:val="BodyText"/>
        <w:spacing w:line="240" w:lineRule="auto" w:before="42"/>
        <w:ind w:left="578" w:right="165"/>
        <w:jc w:val="left"/>
      </w:pPr>
      <w:r>
        <w:rPr>
          <w:rFonts w:ascii="Times New Roman" w:hAnsi="Times New Roman" w:cs="Times New Roman" w:eastAsia="Times New Roman" w:hint="default"/>
        </w:rPr>
        <w:t>2</w:t>
      </w:r>
      <w:r>
        <w:rPr/>
        <w:t>、预留部份限制性股票各年度业绩考核条件具体如下：</w:t>
      </w:r>
    </w:p>
    <w:p>
      <w:pPr>
        <w:spacing w:line="240" w:lineRule="auto" w:before="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95"/>
        <w:gridCol w:w="3486"/>
        <w:gridCol w:w="2897"/>
        <w:gridCol w:w="1046"/>
      </w:tblGrid>
      <w:tr>
        <w:trPr>
          <w:trHeight w:val="446" w:hRule="exact"/>
        </w:trPr>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211" w:right="0"/>
              <w:jc w:val="left"/>
              <w:rPr>
                <w:rFonts w:ascii="宋体" w:hAnsi="宋体" w:cs="宋体" w:eastAsia="宋体" w:hint="default"/>
                <w:sz w:val="21"/>
                <w:szCs w:val="21"/>
              </w:rPr>
            </w:pPr>
            <w:r>
              <w:rPr>
                <w:rFonts w:ascii="宋体" w:hAnsi="宋体" w:cs="宋体" w:eastAsia="宋体" w:hint="default"/>
                <w:sz w:val="21"/>
                <w:szCs w:val="21"/>
              </w:rPr>
              <w:t>预留解锁期</w:t>
            </w:r>
          </w:p>
        </w:tc>
        <w:tc>
          <w:tcPr>
            <w:tcW w:w="3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sz w:val="21"/>
                <w:szCs w:val="21"/>
              </w:rPr>
              <w:t>解锁安排</w:t>
            </w:r>
          </w:p>
        </w:tc>
        <w:tc>
          <w:tcPr>
            <w:tcW w:w="2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597" w:right="0"/>
              <w:jc w:val="left"/>
              <w:rPr>
                <w:rFonts w:ascii="宋体" w:hAnsi="宋体" w:cs="宋体" w:eastAsia="宋体" w:hint="default"/>
                <w:sz w:val="21"/>
                <w:szCs w:val="21"/>
              </w:rPr>
            </w:pPr>
            <w:r>
              <w:rPr>
                <w:rFonts w:ascii="宋体" w:hAnsi="宋体" w:cs="宋体" w:eastAsia="宋体" w:hint="default"/>
                <w:sz w:val="21"/>
                <w:szCs w:val="21"/>
              </w:rPr>
              <w:t>公司业绩考核条件</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1"/>
              <w:jc w:val="right"/>
              <w:rPr>
                <w:rFonts w:ascii="宋体" w:hAnsi="宋体" w:cs="宋体" w:eastAsia="宋体" w:hint="default"/>
                <w:sz w:val="21"/>
                <w:szCs w:val="21"/>
              </w:rPr>
            </w:pPr>
            <w:r>
              <w:rPr>
                <w:rFonts w:ascii="宋体" w:hAnsi="宋体" w:cs="宋体" w:eastAsia="宋体" w:hint="default"/>
                <w:spacing w:val="-1"/>
                <w:sz w:val="21"/>
                <w:szCs w:val="21"/>
              </w:rPr>
              <w:t>解锁比例</w:t>
            </w:r>
          </w:p>
        </w:tc>
      </w:tr>
      <w:tr>
        <w:trPr>
          <w:trHeight w:val="1099" w:hRule="exact"/>
        </w:trPr>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35" w:right="175"/>
              <w:jc w:val="left"/>
              <w:rPr>
                <w:rFonts w:ascii="宋体" w:hAnsi="宋体" w:cs="宋体" w:eastAsia="宋体" w:hint="default"/>
                <w:sz w:val="21"/>
                <w:szCs w:val="21"/>
              </w:rPr>
            </w:pPr>
            <w:r>
              <w:rPr>
                <w:rFonts w:ascii="宋体" w:hAnsi="宋体" w:cs="宋体" w:eastAsia="宋体" w:hint="default"/>
                <w:sz w:val="21"/>
                <w:szCs w:val="21"/>
              </w:rPr>
              <w:t>第一次预留解</w:t>
            </w:r>
            <w:r>
              <w:rPr>
                <w:rFonts w:ascii="宋体" w:hAnsi="宋体" w:cs="宋体" w:eastAsia="宋体" w:hint="default"/>
                <w:w w:val="100"/>
                <w:sz w:val="21"/>
                <w:szCs w:val="21"/>
              </w:rPr>
              <w:t> </w:t>
            </w:r>
            <w:r>
              <w:rPr>
                <w:rFonts w:ascii="宋体" w:hAnsi="宋体" w:cs="宋体" w:eastAsia="宋体" w:hint="default"/>
                <w:sz w:val="21"/>
                <w:szCs w:val="21"/>
              </w:rPr>
              <w:t>锁</w:t>
            </w:r>
          </w:p>
        </w:tc>
        <w:tc>
          <w:tcPr>
            <w:tcW w:w="3486"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42"/>
              <w:ind w:left="36" w:right="63"/>
              <w:jc w:val="left"/>
              <w:rPr>
                <w:rFonts w:ascii="宋体" w:hAnsi="宋体" w:cs="宋体" w:eastAsia="宋体" w:hint="default"/>
                <w:sz w:val="21"/>
                <w:szCs w:val="21"/>
              </w:rPr>
            </w:pPr>
            <w:r>
              <w:rPr>
                <w:rFonts w:ascii="宋体" w:hAnsi="宋体" w:cs="宋体" w:eastAsia="宋体" w:hint="default"/>
                <w:sz w:val="21"/>
                <w:szCs w:val="21"/>
              </w:rPr>
              <w:t>自预留部分权益的授予日起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pacing w:val="-2"/>
                <w:sz w:val="21"/>
                <w:szCs w:val="21"/>
              </w:rPr>
              <w:t>后的首个交易日起至相应的授予日起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个月内的最后一个交易日当日止</w:t>
            </w:r>
          </w:p>
        </w:tc>
        <w:tc>
          <w:tcPr>
            <w:tcW w:w="2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36"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年的净利润为基准，</w:t>
            </w:r>
          </w:p>
          <w:p>
            <w:pPr>
              <w:pStyle w:val="TableParagraph"/>
              <w:spacing w:line="240" w:lineRule="auto" w:before="69"/>
              <w:ind w:left="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年净利润增长率不低于</w:t>
            </w:r>
          </w:p>
          <w:p>
            <w:pPr>
              <w:pStyle w:val="TableParagraph"/>
              <w:spacing w:line="240" w:lineRule="auto" w:before="69"/>
              <w:ind w:left="36"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z w:val="21"/>
                <w:szCs w:val="21"/>
              </w:rPr>
              <w:t>。</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z w:val="21"/>
              </w:rPr>
              <w:t>50%</w:t>
            </w:r>
          </w:p>
        </w:tc>
      </w:tr>
      <w:tr>
        <w:trPr>
          <w:trHeight w:val="1102" w:hRule="exact"/>
        </w:trPr>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35" w:right="175"/>
              <w:jc w:val="left"/>
              <w:rPr>
                <w:rFonts w:ascii="宋体" w:hAnsi="宋体" w:cs="宋体" w:eastAsia="宋体" w:hint="default"/>
                <w:sz w:val="21"/>
                <w:szCs w:val="21"/>
              </w:rPr>
            </w:pPr>
            <w:r>
              <w:rPr>
                <w:rFonts w:ascii="宋体" w:hAnsi="宋体" w:cs="宋体" w:eastAsia="宋体" w:hint="default"/>
                <w:sz w:val="21"/>
                <w:szCs w:val="21"/>
              </w:rPr>
              <w:t>第二次预留解</w:t>
            </w:r>
            <w:r>
              <w:rPr>
                <w:rFonts w:ascii="宋体" w:hAnsi="宋体" w:cs="宋体" w:eastAsia="宋体" w:hint="default"/>
                <w:w w:val="100"/>
                <w:sz w:val="21"/>
                <w:szCs w:val="21"/>
              </w:rPr>
              <w:t> </w:t>
            </w:r>
            <w:r>
              <w:rPr>
                <w:rFonts w:ascii="宋体" w:hAnsi="宋体" w:cs="宋体" w:eastAsia="宋体" w:hint="default"/>
                <w:sz w:val="21"/>
                <w:szCs w:val="21"/>
              </w:rPr>
              <w:t>锁</w:t>
            </w:r>
          </w:p>
        </w:tc>
        <w:tc>
          <w:tcPr>
            <w:tcW w:w="3486"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42"/>
              <w:ind w:left="36" w:right="63"/>
              <w:jc w:val="left"/>
              <w:rPr>
                <w:rFonts w:ascii="宋体" w:hAnsi="宋体" w:cs="宋体" w:eastAsia="宋体" w:hint="default"/>
                <w:sz w:val="21"/>
                <w:szCs w:val="21"/>
              </w:rPr>
            </w:pPr>
            <w:r>
              <w:rPr>
                <w:rFonts w:ascii="宋体" w:hAnsi="宋体" w:cs="宋体" w:eastAsia="宋体" w:hint="default"/>
                <w:sz w:val="21"/>
                <w:szCs w:val="21"/>
              </w:rPr>
              <w:t>自预留部分权益的授予日起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pacing w:val="-2"/>
                <w:sz w:val="21"/>
                <w:szCs w:val="21"/>
              </w:rPr>
              <w:t>后的首个交易日起至相应的授予日起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个月内的最后一个交易日当日止</w:t>
            </w:r>
          </w:p>
        </w:tc>
        <w:tc>
          <w:tcPr>
            <w:tcW w:w="2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36"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年的净利润为基准，</w:t>
            </w:r>
          </w:p>
          <w:p>
            <w:pPr>
              <w:pStyle w:val="TableParagraph"/>
              <w:spacing w:line="240" w:lineRule="auto" w:before="69"/>
              <w:ind w:left="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年净利润增长率不低于</w:t>
            </w:r>
          </w:p>
          <w:p>
            <w:pPr>
              <w:pStyle w:val="TableParagraph"/>
              <w:spacing w:line="240" w:lineRule="auto" w:before="69"/>
              <w:ind w:left="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z w:val="21"/>
              </w:rPr>
              <w:t>50%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20" w:bottom="1160" w:left="1640" w:right="1100"/>
        </w:sectPr>
      </w:pPr>
    </w:p>
    <w:p>
      <w:pPr>
        <w:spacing w:line="240" w:lineRule="auto" w:before="0"/>
        <w:rPr>
          <w:rFonts w:ascii="宋体" w:hAnsi="宋体" w:cs="宋体" w:eastAsia="宋体" w:hint="default"/>
          <w:sz w:val="20"/>
          <w:szCs w:val="20"/>
        </w:rPr>
      </w:pPr>
    </w:p>
    <w:p>
      <w:pPr>
        <w:pStyle w:val="BodyText"/>
        <w:spacing w:line="297" w:lineRule="auto" w:before="177"/>
        <w:ind w:right="127" w:firstLine="419"/>
        <w:jc w:val="left"/>
      </w:pPr>
      <w:r>
        <w:rPr>
          <w:spacing w:val="-11"/>
        </w:rPr>
        <w:t>注：以上</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rFonts w:ascii="宋体" w:hAnsi="宋体" w:cs="宋体" w:eastAsia="宋体" w:hint="default"/>
        </w:rPr>
        <w:t>-</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年的“净利润”指归属于上市公司股东的扣除非经常性损益后的净利</w:t>
      </w:r>
      <w:r>
        <w:rPr>
          <w:spacing w:val="-3"/>
          <w:w w:val="100"/>
        </w:rPr>
        <w:t> </w:t>
      </w:r>
      <w:r>
        <w:rPr/>
        <w:t>润。股权激励计划的成本应计入公司相关成本或费用，并在经常性损益中列支。</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9" w:top="1120" w:bottom="1160" w:left="1580" w:right="1140"/>
        </w:sectPr>
      </w:pPr>
    </w:p>
    <w:p>
      <w:pPr>
        <w:pStyle w:val="Heading4"/>
        <w:spacing w:line="240" w:lineRule="auto"/>
        <w:ind w:right="-18"/>
        <w:jc w:val="left"/>
        <w:rPr>
          <w:b w:val="0"/>
          <w:bCs w:val="0"/>
        </w:rPr>
      </w:pPr>
      <w:r>
        <w:rPr>
          <w:rFonts w:ascii="Times New Roman" w:hAnsi="Times New Roman" w:cs="Times New Roman" w:eastAsia="Times New Roman" w:hint="default"/>
        </w:rPr>
        <w:t>2</w:t>
      </w:r>
      <w:r>
        <w:rPr/>
        <w:t>、</w:t>
      </w:r>
      <w:r>
        <w:rPr>
          <w:spacing w:val="1"/>
        </w:rPr>
        <w:t> </w:t>
      </w:r>
      <w:r>
        <w:rPr/>
        <w:t>以权益结算的股份支付情况</w:t>
      </w:r>
      <w:r>
        <w:rPr>
          <w:b w:val="0"/>
          <w:bCs w:val="0"/>
        </w:rPr>
      </w:r>
    </w:p>
    <w:p>
      <w:pPr>
        <w:pStyle w:val="BodyText"/>
        <w:spacing w:line="240" w:lineRule="auto" w:before="43"/>
        <w:ind w:left="69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140"/>
          <w:cols w:num="2" w:equalWidth="0">
            <w:col w:w="3173" w:space="3349"/>
            <w:col w:w="26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40"/>
        <w:gridCol w:w="3584"/>
      </w:tblGrid>
      <w:tr>
        <w:trPr>
          <w:trHeight w:val="281" w:hRule="exact"/>
        </w:trPr>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1"/>
              <w:jc w:val="right"/>
              <w:rPr>
                <w:rFonts w:ascii="宋体" w:hAnsi="宋体" w:cs="宋体" w:eastAsia="宋体" w:hint="default"/>
                <w:sz w:val="21"/>
                <w:szCs w:val="21"/>
              </w:rPr>
            </w:pPr>
            <w:r>
              <w:rPr>
                <w:rFonts w:ascii="宋体" w:hAnsi="宋体" w:cs="宋体" w:eastAsia="宋体" w:hint="default"/>
                <w:spacing w:val="-2"/>
                <w:sz w:val="21"/>
                <w:szCs w:val="21"/>
              </w:rPr>
              <w:t>布莱克</w:t>
            </w:r>
            <w:r>
              <w:rPr>
                <w:rFonts w:ascii="宋体" w:hAnsi="宋体" w:cs="宋体" w:eastAsia="宋体" w:hint="default"/>
                <w:spacing w:val="-2"/>
                <w:sz w:val="21"/>
                <w:szCs w:val="21"/>
              </w:rPr>
              <w:t>-</w:t>
            </w:r>
            <w:r>
              <w:rPr>
                <w:rFonts w:ascii="宋体" w:hAnsi="宋体" w:cs="宋体" w:eastAsia="宋体" w:hint="default"/>
                <w:spacing w:val="-2"/>
                <w:sz w:val="21"/>
                <w:szCs w:val="21"/>
              </w:rPr>
              <w:t>斯科尔斯期权定价模型</w:t>
            </w:r>
          </w:p>
        </w:tc>
      </w:tr>
      <w:tr>
        <w:trPr>
          <w:trHeight w:val="554" w:hRule="exact"/>
        </w:trPr>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预计可以达到行权条件，被授予对象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均可行权</w:t>
            </w:r>
          </w:p>
        </w:tc>
      </w:tr>
      <w:tr>
        <w:trPr>
          <w:trHeight w:val="283" w:hRule="exact"/>
        </w:trPr>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4" w:hRule="exact"/>
        </w:trPr>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22,089,935.32</w:t>
            </w:r>
          </w:p>
        </w:tc>
      </w:tr>
      <w:tr>
        <w:trPr>
          <w:trHeight w:val="322" w:hRule="exact"/>
        </w:trPr>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本期以权益结算的股份支付确认的费用总额</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3,323,891.27</w:t>
            </w:r>
          </w:p>
        </w:tc>
      </w:tr>
    </w:tbl>
    <w:p>
      <w:pPr>
        <w:pStyle w:val="BodyText"/>
        <w:spacing w:line="239" w:lineRule="exact"/>
        <w:ind w:right="2631"/>
        <w:jc w:val="left"/>
      </w:pPr>
      <w:r>
        <w:rPr/>
        <w:t>其他说明</w:t>
      </w:r>
    </w:p>
    <w:p>
      <w:pPr>
        <w:pStyle w:val="BodyText"/>
        <w:spacing w:line="273" w:lineRule="exact"/>
        <w:ind w:left="698" w:right="2631"/>
        <w:jc w:val="left"/>
      </w:pPr>
      <w:r>
        <w:rPr>
          <w:w w:val="100"/>
        </w:rPr>
        <w:t>无</w:t>
      </w:r>
    </w:p>
    <w:p>
      <w:pPr>
        <w:pStyle w:val="Heading4"/>
        <w:spacing w:line="240" w:lineRule="auto" w:before="58"/>
        <w:ind w:right="2631"/>
        <w:jc w:val="left"/>
        <w:rPr>
          <w:b w:val="0"/>
          <w:bCs w:val="0"/>
        </w:rPr>
      </w:pPr>
      <w:r>
        <w:rPr>
          <w:rFonts w:ascii="Times New Roman" w:hAnsi="Times New Roman" w:cs="Times New Roman" w:eastAsia="Times New Roman" w:hint="default"/>
        </w:rPr>
        <w:t>3</w:t>
      </w:r>
      <w:r>
        <w:rPr/>
        <w:t>、</w:t>
      </w:r>
      <w:r>
        <w:rPr>
          <w:spacing w:val="1"/>
        </w:rPr>
        <w:t> </w:t>
      </w:r>
      <w:r>
        <w:rPr/>
        <w:t>以现金结算的股份支付情况</w:t>
      </w:r>
      <w:r>
        <w:rPr>
          <w:b w:val="0"/>
          <w:bCs w:val="0"/>
        </w:rPr>
      </w:r>
    </w:p>
    <w:p>
      <w:pPr>
        <w:pStyle w:val="BodyText"/>
        <w:spacing w:line="240" w:lineRule="auto" w:before="40"/>
        <w:ind w:left="698" w:right="2631"/>
        <w:jc w:val="left"/>
      </w:pPr>
      <w:r>
        <w:rPr/>
        <w:t>□适用 √不适用</w:t>
      </w:r>
    </w:p>
    <w:p>
      <w:pPr>
        <w:pStyle w:val="Heading4"/>
        <w:spacing w:line="240" w:lineRule="auto" w:before="58"/>
        <w:ind w:right="2631"/>
        <w:jc w:val="left"/>
        <w:rPr>
          <w:b w:val="0"/>
          <w:bCs w:val="0"/>
        </w:rPr>
      </w:pPr>
      <w:r>
        <w:rPr>
          <w:rFonts w:ascii="Times New Roman" w:hAnsi="Times New Roman" w:cs="Times New Roman" w:eastAsia="Times New Roman" w:hint="default"/>
        </w:rPr>
        <w:t>4</w:t>
      </w:r>
      <w:r>
        <w:rPr/>
        <w:t>、</w:t>
      </w:r>
      <w:r>
        <w:rPr>
          <w:spacing w:val="1"/>
        </w:rPr>
        <w:t> </w:t>
      </w:r>
      <w:r>
        <w:rPr/>
        <w:t>股份支付的修改、终止情况</w:t>
      </w:r>
      <w:r>
        <w:rPr>
          <w:b w:val="0"/>
          <w:bCs w:val="0"/>
        </w:rPr>
      </w:r>
    </w:p>
    <w:p>
      <w:pPr>
        <w:pStyle w:val="BodyText"/>
        <w:tabs>
          <w:tab w:pos="1540" w:val="left" w:leader="none"/>
        </w:tabs>
        <w:spacing w:line="240" w:lineRule="auto" w:before="40"/>
        <w:ind w:left="698" w:right="2631"/>
        <w:jc w:val="left"/>
      </w:pPr>
      <w:r>
        <w:rPr/>
        <w:t>□适用</w:t>
        <w:tab/>
        <w:t>√不适用</w:t>
      </w:r>
    </w:p>
    <w:p>
      <w:pPr>
        <w:pStyle w:val="Heading4"/>
        <w:spacing w:line="240" w:lineRule="auto" w:before="56"/>
        <w:ind w:right="2631"/>
        <w:jc w:val="left"/>
        <w:rPr>
          <w:b w:val="0"/>
          <w:bCs w:val="0"/>
        </w:rPr>
      </w:pPr>
      <w:r>
        <w:rPr>
          <w:rFonts w:ascii="Times New Roman" w:hAnsi="Times New Roman" w:cs="Times New Roman" w:eastAsia="Times New Roman" w:hint="default"/>
        </w:rPr>
        <w:t>5</w:t>
      </w:r>
      <w:r>
        <w:rPr/>
        <w:t>、</w:t>
      </w:r>
      <w:r>
        <w:rPr>
          <w:spacing w:val="3"/>
        </w:rPr>
        <w:t> </w:t>
      </w:r>
      <w:r>
        <w:rPr/>
        <w:t>其他</w:t>
      </w:r>
      <w:r>
        <w:rPr>
          <w:b w:val="0"/>
          <w:bCs w:val="0"/>
        </w:rPr>
      </w:r>
    </w:p>
    <w:p>
      <w:pPr>
        <w:pStyle w:val="BodyText"/>
        <w:tabs>
          <w:tab w:pos="1060" w:val="left" w:leader="none"/>
        </w:tabs>
        <w:spacing w:line="240" w:lineRule="auto" w:before="43"/>
        <w:ind w:right="2631"/>
        <w:jc w:val="left"/>
      </w:pPr>
      <w:r>
        <w:rPr>
          <w:spacing w:val="-1"/>
        </w:rPr>
        <w:t>□适用</w:t>
        <w:tab/>
      </w:r>
      <w:r>
        <w:rPr>
          <w:spacing w:val="-2"/>
        </w:rPr>
        <w:t>√不适用</w:t>
      </w:r>
    </w:p>
    <w:p>
      <w:pPr>
        <w:pStyle w:val="Heading4"/>
        <w:tabs>
          <w:tab w:pos="1057" w:val="left" w:leader="none"/>
        </w:tabs>
        <w:spacing w:line="240" w:lineRule="auto" w:before="56"/>
        <w:ind w:right="2631"/>
        <w:jc w:val="left"/>
        <w:rPr>
          <w:b w:val="0"/>
          <w:bCs w:val="0"/>
        </w:rPr>
      </w:pPr>
      <w:r>
        <w:rPr/>
        <w:t>十四、</w:t>
        <w:tab/>
        <w:t>承诺及或有事项</w:t>
      </w:r>
      <w:r>
        <w:rPr>
          <w:b w:val="0"/>
          <w:bCs w:val="0"/>
        </w:rPr>
      </w:r>
    </w:p>
    <w:p>
      <w:pPr>
        <w:pStyle w:val="Heading4"/>
        <w:spacing w:line="240" w:lineRule="auto" w:before="59"/>
        <w:ind w:right="2631"/>
        <w:jc w:val="left"/>
        <w:rPr>
          <w:b w:val="0"/>
          <w:bCs w:val="0"/>
        </w:rPr>
      </w:pPr>
      <w:r>
        <w:rPr>
          <w:rFonts w:ascii="Times New Roman" w:hAnsi="Times New Roman" w:cs="Times New Roman" w:eastAsia="Times New Roman" w:hint="default"/>
        </w:rPr>
        <w:t>1</w:t>
      </w:r>
      <w:r>
        <w:rPr/>
        <w:t>、</w:t>
      </w:r>
      <w:r>
        <w:rPr>
          <w:spacing w:val="5"/>
        </w:rPr>
        <w:t> </w:t>
      </w:r>
      <w:r>
        <w:rPr/>
        <w:t>重要承诺事项</w:t>
      </w:r>
      <w:r>
        <w:rPr>
          <w:b w:val="0"/>
          <w:bCs w:val="0"/>
        </w:rPr>
      </w:r>
    </w:p>
    <w:p>
      <w:pPr>
        <w:pStyle w:val="BodyText"/>
        <w:spacing w:line="240" w:lineRule="auto" w:before="40"/>
        <w:ind w:left="578" w:right="2631" w:firstLine="120"/>
        <w:jc w:val="left"/>
      </w:pPr>
      <w:r>
        <w:rPr/>
        <w:t>√适用</w:t>
      </w:r>
      <w:r>
        <w:rPr>
          <w:spacing w:val="-2"/>
        </w:rPr>
        <w:t> </w:t>
      </w:r>
      <w:r>
        <w:rPr/>
        <w:t>□不适用</w:t>
      </w:r>
      <w:r>
        <w:rPr>
          <w:w w:val="100"/>
        </w:rPr>
        <w:t> </w:t>
      </w:r>
      <w:r>
        <w:rPr/>
        <w:t>资产负债表日存在的对外重要承诺、性质、金额</w:t>
      </w:r>
    </w:p>
    <w:p>
      <w:pPr>
        <w:pStyle w:val="BodyText"/>
        <w:spacing w:line="240" w:lineRule="auto" w:before="73"/>
        <w:ind w:left="578" w:right="2631"/>
        <w:jc w:val="left"/>
      </w:pPr>
      <w:r>
        <w:rPr>
          <w:rFonts w:ascii="Times New Roman" w:hAnsi="Times New Roman" w:cs="Times New Roman" w:eastAsia="Times New Roman" w:hint="default"/>
        </w:rPr>
        <w:t>1</w:t>
      </w:r>
      <w:r>
        <w:rPr/>
        <w:t>、助学社会公益活动承诺</w:t>
      </w:r>
    </w:p>
    <w:p>
      <w:pPr>
        <w:pStyle w:val="BodyText"/>
        <w:spacing w:line="240" w:lineRule="auto" w:before="69"/>
        <w:ind w:left="638" w:right="47"/>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22</w:t>
      </w:r>
      <w:r>
        <w:rPr>
          <w:rFonts w:ascii="Times New Roman" w:hAnsi="Times New Roman" w:cs="Times New Roman" w:eastAsia="Times New Roman" w:hint="default"/>
          <w:spacing w:val="11"/>
        </w:rPr>
        <w:t> </w:t>
      </w:r>
      <w:r>
        <w:rPr>
          <w:spacing w:val="-3"/>
        </w:rPr>
        <w:t>日召开的第二届董事会第三十次会议审议通过《关于设立南威助学基金会的</w:t>
      </w:r>
    </w:p>
    <w:p>
      <w:pPr>
        <w:pStyle w:val="BodyText"/>
        <w:spacing w:line="240" w:lineRule="auto" w:before="69"/>
        <w:ind w:right="47"/>
        <w:jc w:val="left"/>
        <w:rPr>
          <w:rFonts w:ascii="Times New Roman" w:hAnsi="Times New Roman" w:cs="Times New Roman" w:eastAsia="Times New Roman" w:hint="default"/>
        </w:rPr>
      </w:pPr>
      <w:r>
        <w:rPr/>
        <w:t>议案》，公司拟作为独立发起组织，以自筹资金设立南威助学基金会。该基金投资规模为</w:t>
      </w:r>
      <w:r>
        <w:rPr>
          <w:spacing w:val="66"/>
        </w:rPr>
        <w:t> </w:t>
      </w:r>
      <w:r>
        <w:rPr>
          <w:rFonts w:ascii="Times New Roman" w:hAnsi="Times New Roman" w:cs="Times New Roman" w:eastAsia="Times New Roman" w:hint="default"/>
        </w:rPr>
        <w:t>1,000</w:t>
      </w:r>
    </w:p>
    <w:p>
      <w:pPr>
        <w:pStyle w:val="BodyText"/>
        <w:spacing w:line="297" w:lineRule="auto" w:before="69"/>
        <w:ind w:right="47"/>
        <w:jc w:val="left"/>
      </w:pPr>
      <w:r>
        <w:rPr>
          <w:spacing w:val="-3"/>
        </w:rPr>
        <w:t>万元公司，公司预计</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年内以出资不低于</w:t>
      </w:r>
      <w:r>
        <w:rPr>
          <w:spacing w:val="-4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8"/>
        </w:rPr>
        <w:t> </w:t>
      </w:r>
      <w:r>
        <w:rPr>
          <w:spacing w:val="-3"/>
        </w:rPr>
        <w:t>万元。基金会主要从事助学社会公益活动，以及</w:t>
      </w:r>
      <w:r>
        <w:rPr>
          <w:spacing w:val="-102"/>
        </w:rPr>
        <w:t> </w:t>
      </w:r>
      <w:r>
        <w:rPr>
          <w:spacing w:val="-102"/>
        </w:rPr>
      </w:r>
      <w:r>
        <w:rPr/>
        <w:t>经过合法程序开展的其他教育公益事业。</w:t>
      </w:r>
    </w:p>
    <w:p>
      <w:pPr>
        <w:pStyle w:val="BodyText"/>
        <w:spacing w:line="240" w:lineRule="auto" w:before="34"/>
        <w:ind w:left="287" w:right="0"/>
        <w:jc w:val="center"/>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0"/>
        </w:rPr>
        <w:t> </w:t>
      </w:r>
      <w:r>
        <w:rPr>
          <w:spacing w:val="-3"/>
        </w:rPr>
        <w:t>月，公司与丰泽区教育发展基金会签订了《南威助学基金会协议书》，公司计划出资</w:t>
      </w:r>
    </w:p>
    <w:p>
      <w:pPr>
        <w:pStyle w:val="BodyText"/>
        <w:spacing w:line="240" w:lineRule="auto" w:before="70"/>
        <w:ind w:right="47"/>
        <w:jc w:val="left"/>
      </w:pPr>
      <w:r>
        <w:rPr>
          <w:rFonts w:ascii="Times New Roman" w:hAnsi="Times New Roman" w:cs="Times New Roman" w:eastAsia="Times New Roman" w:hint="default"/>
        </w:rPr>
        <w:t>1,000 </w:t>
      </w:r>
      <w:r>
        <w:rPr/>
        <w:t>万元作为助学金用于贫困学生及特殊学生群体的资助，原则上公司将于</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年内进行分批次</w:t>
      </w:r>
    </w:p>
    <w:p>
      <w:pPr>
        <w:pStyle w:val="BodyText"/>
        <w:spacing w:line="240" w:lineRule="auto" w:before="69"/>
        <w:ind w:right="47"/>
        <w:jc w:val="left"/>
        <w:rPr>
          <w:rFonts w:ascii="Times New Roman" w:hAnsi="Times New Roman" w:cs="Times New Roman" w:eastAsia="Times New Roman" w:hint="default"/>
        </w:rPr>
      </w:pPr>
      <w:r>
        <w:rPr/>
        <w:t>捐款，每年捐资 </w:t>
      </w:r>
      <w:r>
        <w:rPr>
          <w:rFonts w:ascii="Times New Roman" w:hAnsi="Times New Roman" w:cs="Times New Roman" w:eastAsia="Times New Roman" w:hint="default"/>
        </w:rPr>
        <w:t>100 </w:t>
      </w:r>
      <w:r>
        <w:rPr/>
        <w:t>万元（亦可根据情况随时追加当年捐赠金额，每年出资额最高不得超过</w:t>
      </w:r>
      <w:r>
        <w:rPr>
          <w:spacing w:val="-47"/>
        </w:rPr>
        <w:t> </w:t>
      </w:r>
      <w:r>
        <w:rPr>
          <w:rFonts w:ascii="Times New Roman" w:hAnsi="Times New Roman" w:cs="Times New Roman" w:eastAsia="Times New Roman" w:hint="default"/>
        </w:rPr>
        <w:t>200</w:t>
      </w:r>
    </w:p>
    <w:p>
      <w:pPr>
        <w:pStyle w:val="BodyText"/>
        <w:spacing w:line="240" w:lineRule="auto" w:before="69"/>
        <w:ind w:right="47"/>
        <w:jc w:val="left"/>
      </w:pPr>
      <w:r>
        <w:rPr>
          <w:spacing w:val="-4"/>
        </w:rPr>
        <w:t>万元）。公司未来将根据经营状况及实际情况进行出资。截至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5"/>
        </w:rPr>
        <w:t>日，公司累计已出</w:t>
      </w:r>
    </w:p>
    <w:p>
      <w:pPr>
        <w:pStyle w:val="BodyText"/>
        <w:spacing w:line="240" w:lineRule="auto" w:before="69"/>
        <w:ind w:right="2631"/>
        <w:jc w:val="left"/>
      </w:pPr>
      <w:r>
        <w:rPr/>
        <w:t>资</w:t>
      </w:r>
      <w:r>
        <w:rPr>
          <w:spacing w:val="-52"/>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万元。</w:t>
      </w:r>
    </w:p>
    <w:p>
      <w:pPr>
        <w:pStyle w:val="Heading4"/>
        <w:spacing w:line="240" w:lineRule="auto" w:before="52"/>
        <w:ind w:right="2631"/>
        <w:jc w:val="left"/>
        <w:rPr>
          <w:b w:val="0"/>
          <w:bCs w:val="0"/>
        </w:rPr>
      </w:pPr>
      <w:r>
        <w:rPr>
          <w:rFonts w:ascii="Times New Roman" w:hAnsi="Times New Roman" w:cs="Times New Roman" w:eastAsia="Times New Roman" w:hint="default"/>
        </w:rPr>
        <w:t>2</w:t>
      </w:r>
      <w:r>
        <w:rPr/>
        <w:t>、</w:t>
      </w:r>
      <w:r>
        <w:rPr>
          <w:spacing w:val="4"/>
        </w:rPr>
        <w:t> </w:t>
      </w:r>
      <w:r>
        <w:rPr/>
        <w:t>或有事项</w:t>
      </w:r>
      <w:r>
        <w:rPr>
          <w:b w:val="0"/>
          <w:bCs w:val="0"/>
        </w:rPr>
      </w:r>
    </w:p>
    <w:p>
      <w:pPr>
        <w:pStyle w:val="Heading4"/>
        <w:spacing w:line="240" w:lineRule="auto" w:before="43"/>
        <w:ind w:right="2631"/>
        <w:jc w:val="left"/>
        <w:rPr>
          <w:b w:val="0"/>
          <w:bCs w:val="0"/>
        </w:rPr>
      </w:pPr>
      <w:r>
        <w:rPr>
          <w:rFonts w:ascii="宋体" w:hAnsi="宋体" w:cs="宋体" w:eastAsia="宋体" w:hint="default"/>
        </w:rPr>
        <w:t>(1).</w:t>
      </w:r>
      <w:r>
        <w:rPr>
          <w:rFonts w:ascii="宋体" w:hAnsi="宋体" w:cs="宋体" w:eastAsia="宋体" w:hint="default"/>
          <w:spacing w:val="-46"/>
        </w:rPr>
        <w:t> </w:t>
      </w:r>
      <w:r>
        <w:rPr/>
        <w:t>资产负债表日存在的重要或有事项</w:t>
      </w:r>
      <w:r>
        <w:rPr>
          <w:b w:val="0"/>
          <w:bCs w:val="0"/>
        </w:rPr>
      </w:r>
    </w:p>
    <w:p>
      <w:pPr>
        <w:pStyle w:val="BodyText"/>
        <w:tabs>
          <w:tab w:pos="1540" w:val="left" w:leader="none"/>
        </w:tabs>
        <w:spacing w:line="240" w:lineRule="auto" w:before="56"/>
        <w:ind w:left="698" w:right="2631"/>
        <w:jc w:val="left"/>
      </w:pPr>
      <w:r>
        <w:rPr/>
        <w:t>√适用</w:t>
        <w:tab/>
        <w:t>□不适用</w:t>
      </w:r>
    </w:p>
    <w:p>
      <w:pPr>
        <w:pStyle w:val="BodyText"/>
        <w:spacing w:line="297" w:lineRule="auto" w:before="75"/>
        <w:ind w:left="532" w:right="47"/>
        <w:jc w:val="left"/>
      </w:pPr>
      <w:r>
        <w:rPr>
          <w:rFonts w:ascii="Times New Roman" w:hAnsi="Times New Roman" w:cs="Times New Roman" w:eastAsia="Times New Roman" w:hint="default"/>
        </w:rPr>
        <w:t>1</w:t>
      </w:r>
      <w:r>
        <w:rPr/>
        <w:t>、未决诉讼、仲裁</w:t>
      </w:r>
      <w:r>
        <w:rPr>
          <w:w w:val="100"/>
        </w:rPr>
        <w:t> </w:t>
      </w:r>
      <w:r>
        <w:rPr>
          <w:spacing w:val="-3"/>
        </w:rPr>
        <w:t>公司向福建省惠安县人民法院起诉正大（中国）服饰有限公司（以下简称</w:t>
      </w:r>
      <w:r>
        <w:rPr>
          <w:rFonts w:ascii="Times New Roman" w:hAnsi="Times New Roman" w:cs="Times New Roman" w:eastAsia="Times New Roman" w:hint="default"/>
          <w:spacing w:val="-3"/>
        </w:rPr>
        <w:t>“</w:t>
      </w:r>
      <w:r>
        <w:rPr>
          <w:spacing w:val="-3"/>
        </w:rPr>
        <w:t>正大服饰</w:t>
      </w:r>
      <w:r>
        <w:rPr>
          <w:rFonts w:ascii="Times New Roman" w:hAnsi="Times New Roman" w:cs="Times New Roman" w:eastAsia="Times New Roman" w:hint="default"/>
          <w:spacing w:val="-3"/>
        </w:rPr>
        <w:t>”</w:t>
      </w:r>
      <w:r>
        <w:rPr>
          <w:spacing w:val="-3"/>
        </w:rPr>
        <w:t>），要求</w:t>
      </w:r>
    </w:p>
    <w:p>
      <w:pPr>
        <w:pStyle w:val="BodyText"/>
        <w:spacing w:line="240" w:lineRule="auto" w:before="13"/>
        <w:ind w:right="47"/>
        <w:jc w:val="left"/>
      </w:pPr>
      <w:r>
        <w:rPr/>
        <w:t>正大服饰偿还正版化软件款</w:t>
      </w:r>
      <w:r>
        <w:rPr>
          <w:spacing w:val="-54"/>
        </w:rPr>
        <w:t> </w:t>
      </w:r>
      <w:r>
        <w:rPr>
          <w:rFonts w:ascii="Times New Roman" w:hAnsi="Times New Roman" w:cs="Times New Roman" w:eastAsia="Times New Roman" w:hint="default"/>
        </w:rPr>
        <w:t>474,800.00</w:t>
      </w:r>
      <w:r>
        <w:rPr>
          <w:rFonts w:ascii="Times New Roman" w:hAnsi="Times New Roman" w:cs="Times New Roman" w:eastAsia="Times New Roman" w:hint="default"/>
          <w:spacing w:val="-1"/>
        </w:rPr>
        <w:t> </w:t>
      </w:r>
      <w:r>
        <w:rPr/>
        <w:t>元并支付违约金</w:t>
      </w:r>
      <w:r>
        <w:rPr>
          <w:spacing w:val="-54"/>
        </w:rPr>
        <w:t> </w:t>
      </w:r>
      <w:r>
        <w:rPr>
          <w:rFonts w:ascii="Times New Roman" w:hAnsi="Times New Roman" w:cs="Times New Roman" w:eastAsia="Times New Roman" w:hint="default"/>
        </w:rPr>
        <w:t>451,110.00</w:t>
      </w:r>
      <w:r>
        <w:rPr>
          <w:rFonts w:ascii="Times New Roman" w:hAnsi="Times New Roman" w:cs="Times New Roman" w:eastAsia="Times New Roman" w:hint="default"/>
          <w:spacing w:val="-4"/>
        </w:rPr>
        <w:t> </w:t>
      </w:r>
      <w:r>
        <w:rPr/>
        <w:t>元。根据福建省惠安县人民法</w:t>
      </w:r>
    </w:p>
    <w:p>
      <w:pPr>
        <w:pStyle w:val="BodyText"/>
        <w:spacing w:line="240" w:lineRule="auto" w:before="69"/>
        <w:ind w:right="47"/>
        <w:jc w:val="left"/>
      </w:pPr>
      <w:r>
        <w:rPr>
          <w:spacing w:val="-5"/>
        </w:rPr>
        <w:t>院出具的（</w:t>
      </w:r>
      <w:r>
        <w:rPr>
          <w:rFonts w:ascii="Times New Roman" w:hAnsi="Times New Roman" w:cs="Times New Roman" w:eastAsia="Times New Roman" w:hint="default"/>
          <w:spacing w:val="-5"/>
        </w:rPr>
        <w:t>2013</w:t>
      </w:r>
      <w:r>
        <w:rPr>
          <w:spacing w:val="-5"/>
        </w:rPr>
        <w:t>）惠民初 </w:t>
      </w:r>
      <w:r>
        <w:rPr>
          <w:rFonts w:ascii="Times New Roman" w:hAnsi="Times New Roman" w:cs="Times New Roman" w:eastAsia="Times New Roman" w:hint="default"/>
        </w:rPr>
        <w:t>4561</w:t>
      </w:r>
      <w:r>
        <w:rPr>
          <w:rFonts w:ascii="Times New Roman" w:hAnsi="Times New Roman" w:cs="Times New Roman" w:eastAsia="Times New Roman" w:hint="default"/>
          <w:spacing w:val="29"/>
        </w:rPr>
        <w:t> </w:t>
      </w:r>
      <w:r>
        <w:rPr>
          <w:spacing w:val="-4"/>
        </w:rPr>
        <w:t>号民事调解书，双方达成和解。由于正大服饰未按民事调解书执行</w:t>
      </w:r>
    </w:p>
    <w:p>
      <w:pPr>
        <w:spacing w:after="0" w:line="240" w:lineRule="auto"/>
        <w:jc w:val="left"/>
        <w:sectPr>
          <w:type w:val="continuous"/>
          <w:pgSz w:w="11910" w:h="16840"/>
          <w:pgMar w:top="1580" w:bottom="280" w:left="1580" w:right="1140"/>
        </w:sectPr>
      </w:pPr>
    </w:p>
    <w:p>
      <w:pPr>
        <w:spacing w:line="240" w:lineRule="auto" w:before="0"/>
        <w:rPr>
          <w:rFonts w:ascii="宋体" w:hAnsi="宋体" w:cs="宋体" w:eastAsia="宋体" w:hint="default"/>
          <w:sz w:val="20"/>
          <w:szCs w:val="20"/>
        </w:rPr>
      </w:pPr>
    </w:p>
    <w:p>
      <w:pPr>
        <w:pStyle w:val="BodyText"/>
        <w:spacing w:line="240" w:lineRule="auto" w:before="177"/>
        <w:ind w:left="138" w:right="47"/>
        <w:jc w:val="left"/>
      </w:pPr>
      <w:r>
        <w:rPr>
          <w:spacing w:val="-7"/>
        </w:rPr>
        <w:t>还款计划，公司于</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3"/>
        </w:rPr>
        <w:t>日向福建省惠安县人民法院申请强制执行。由于正大服饰无可执</w:t>
      </w:r>
    </w:p>
    <w:p>
      <w:pPr>
        <w:pStyle w:val="BodyText"/>
        <w:spacing w:line="240" w:lineRule="auto" w:before="69"/>
        <w:ind w:left="138" w:right="47"/>
        <w:jc w:val="left"/>
      </w:pPr>
      <w:r>
        <w:rPr>
          <w:w w:val="100"/>
        </w:rPr>
        <w:t>行财</w:t>
      </w:r>
      <w:r>
        <w:rPr>
          <w:spacing w:val="-3"/>
          <w:w w:val="100"/>
        </w:rPr>
        <w:t>产</w:t>
      </w:r>
      <w:r>
        <w:rPr>
          <w:spacing w:val="-92"/>
          <w:w w:val="100"/>
        </w:rPr>
        <w:t>，</w:t>
      </w:r>
      <w:r>
        <w:rPr>
          <w:w w:val="100"/>
        </w:rPr>
        <w:t>福</w:t>
      </w:r>
      <w:r>
        <w:rPr>
          <w:spacing w:val="-3"/>
          <w:w w:val="100"/>
        </w:rPr>
        <w:t>建</w:t>
      </w:r>
      <w:r>
        <w:rPr>
          <w:w w:val="100"/>
        </w:rPr>
        <w:t>省</w:t>
      </w:r>
      <w:r>
        <w:rPr>
          <w:spacing w:val="-3"/>
          <w:w w:val="100"/>
        </w:rPr>
        <w:t>惠</w:t>
      </w:r>
      <w:r>
        <w:rPr>
          <w:w w:val="100"/>
        </w:rPr>
        <w:t>安</w:t>
      </w:r>
      <w:r>
        <w:rPr>
          <w:spacing w:val="-3"/>
          <w:w w:val="100"/>
        </w:rPr>
        <w:t>县</w:t>
      </w:r>
      <w:r>
        <w:rPr>
          <w:w w:val="100"/>
        </w:rPr>
        <w:t>人</w:t>
      </w:r>
      <w:r>
        <w:rPr>
          <w:spacing w:val="-3"/>
          <w:w w:val="100"/>
        </w:rPr>
        <w:t>民</w:t>
      </w:r>
      <w:r>
        <w:rPr>
          <w:w w:val="100"/>
        </w:rPr>
        <w:t>法</w:t>
      </w:r>
      <w:r>
        <w:rPr>
          <w:spacing w:val="-3"/>
          <w:w w:val="100"/>
        </w:rPr>
        <w:t>院</w:t>
      </w:r>
      <w:r>
        <w:rPr>
          <w:w w:val="100"/>
        </w:rPr>
        <w:t>于</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13</w:t>
      </w:r>
      <w:r>
        <w:rPr>
          <w:rFonts w:ascii="Times New Roman" w:hAnsi="Times New Roman" w:cs="Times New Roman" w:eastAsia="Times New Roman" w:hint="default"/>
          <w:spacing w:val="-2"/>
        </w:rPr>
        <w:t> </w:t>
      </w:r>
      <w:r>
        <w:rPr>
          <w:spacing w:val="-3"/>
          <w:w w:val="100"/>
        </w:rPr>
        <w:t>日</w:t>
      </w:r>
      <w:r>
        <w:rPr>
          <w:w w:val="100"/>
        </w:rPr>
        <w:t>下</w:t>
      </w:r>
      <w:r>
        <w:rPr>
          <w:spacing w:val="-92"/>
          <w:w w:val="100"/>
        </w:rPr>
        <w:t>发</w:t>
      </w:r>
      <w:r>
        <w:rPr>
          <w:spacing w:val="-1"/>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4</w:t>
      </w:r>
      <w:r>
        <w:rPr>
          <w:spacing w:val="-92"/>
          <w:w w:val="100"/>
        </w:rPr>
        <w:t>）</w:t>
      </w:r>
      <w:r>
        <w:rPr>
          <w:w w:val="100"/>
        </w:rPr>
        <w:t>惠</w:t>
      </w:r>
      <w:r>
        <w:rPr>
          <w:spacing w:val="-3"/>
          <w:w w:val="100"/>
        </w:rPr>
        <w:t>执</w:t>
      </w:r>
      <w:r>
        <w:rPr>
          <w:w w:val="100"/>
        </w:rPr>
        <w:t>行字</w:t>
      </w:r>
      <w:r>
        <w:rPr>
          <w:spacing w:val="-53"/>
        </w:rPr>
        <w:t> </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08</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号</w:t>
      </w:r>
      <w:r>
        <w:rPr>
          <w:spacing w:val="-3"/>
          <w:w w:val="100"/>
        </w:rPr>
        <w:t>执</w:t>
      </w:r>
      <w:r>
        <w:rPr>
          <w:w w:val="100"/>
        </w:rPr>
        <w:t>行</w:t>
      </w:r>
      <w:r>
        <w:rPr>
          <w:spacing w:val="-3"/>
          <w:w w:val="100"/>
        </w:rPr>
        <w:t>裁</w:t>
      </w:r>
      <w:r>
        <w:rPr>
          <w:w w:val="100"/>
        </w:rPr>
        <w:t>定</w:t>
      </w:r>
      <w:r>
        <w:rPr>
          <w:spacing w:val="-3"/>
          <w:w w:val="100"/>
        </w:rPr>
        <w:t>书</w:t>
      </w:r>
      <w:r>
        <w:rPr>
          <w:w w:val="100"/>
        </w:rPr>
        <w:t>，</w:t>
      </w:r>
    </w:p>
    <w:p>
      <w:pPr>
        <w:pStyle w:val="BodyText"/>
        <w:spacing w:line="240" w:lineRule="auto" w:before="69"/>
        <w:ind w:left="138" w:right="47"/>
        <w:jc w:val="left"/>
      </w:pPr>
      <w:r>
        <w:rPr>
          <w:spacing w:val="-7"/>
        </w:rPr>
        <w:t>终结（</w:t>
      </w:r>
      <w:r>
        <w:rPr>
          <w:rFonts w:ascii="Times New Roman" w:hAnsi="Times New Roman" w:cs="Times New Roman" w:eastAsia="Times New Roman" w:hint="default"/>
          <w:spacing w:val="-7"/>
        </w:rPr>
        <w:t>2013</w:t>
      </w:r>
      <w:r>
        <w:rPr>
          <w:spacing w:val="-7"/>
        </w:rPr>
        <w:t>）惠民初 </w:t>
      </w:r>
      <w:r>
        <w:rPr>
          <w:rFonts w:ascii="Times New Roman" w:hAnsi="Times New Roman" w:cs="Times New Roman" w:eastAsia="Times New Roman" w:hint="default"/>
        </w:rPr>
        <w:t>4561</w:t>
      </w:r>
      <w:r>
        <w:rPr>
          <w:rFonts w:ascii="Times New Roman" w:hAnsi="Times New Roman" w:cs="Times New Roman" w:eastAsia="Times New Roman" w:hint="default"/>
          <w:spacing w:val="23"/>
        </w:rPr>
        <w:t> </w:t>
      </w:r>
      <w:r>
        <w:rPr>
          <w:spacing w:val="-3"/>
        </w:rPr>
        <w:t>号民事调解书，同时公司如发现被执行人有可执行财产可再次提出执行</w:t>
      </w:r>
    </w:p>
    <w:p>
      <w:pPr>
        <w:pStyle w:val="BodyText"/>
        <w:spacing w:line="240" w:lineRule="auto" w:before="69"/>
        <w:ind w:left="138" w:right="47"/>
        <w:jc w:val="left"/>
      </w:pPr>
      <w:r>
        <w:rPr/>
        <w:t>申请。根据上述情况，公司已于</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年对该笔应收账款</w:t>
      </w:r>
      <w:r>
        <w:rPr>
          <w:spacing w:val="-55"/>
        </w:rPr>
        <w:t> </w:t>
      </w:r>
      <w:r>
        <w:rPr>
          <w:rFonts w:ascii="Times New Roman" w:hAnsi="Times New Roman" w:cs="Times New Roman" w:eastAsia="Times New Roman" w:hint="default"/>
        </w:rPr>
        <w:t>474,800.00</w:t>
      </w:r>
      <w:r>
        <w:rPr>
          <w:rFonts w:ascii="Times New Roman" w:hAnsi="Times New Roman" w:cs="Times New Roman" w:eastAsia="Times New Roman" w:hint="default"/>
          <w:spacing w:val="-5"/>
        </w:rPr>
        <w:t> </w:t>
      </w:r>
      <w:r>
        <w:rPr/>
        <w:t>元全额计提坏账准备。截至</w:t>
      </w:r>
    </w:p>
    <w:p>
      <w:pPr>
        <w:pStyle w:val="BodyText"/>
        <w:spacing w:line="302" w:lineRule="auto" w:before="69"/>
        <w:ind w:left="452" w:right="244" w:hanging="315"/>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 </w:t>
      </w:r>
      <w:r>
        <w:rPr/>
        <w:t>日公司仍未收到正大服饰所欠款项。</w:t>
      </w:r>
      <w:r>
        <w:rPr>
          <w:w w:val="100"/>
        </w:rPr>
        <w:t> </w:t>
      </w:r>
      <w:r>
        <w:rPr/>
        <w:t>公司认为该诉讼事项不会对公司的经营造成重大影响。</w:t>
      </w:r>
      <w:r>
        <w:rPr>
          <w:w w:val="100"/>
        </w:rPr>
        <w:t> </w:t>
      </w:r>
      <w:r>
        <w:rPr>
          <w:rFonts w:ascii="Times New Roman" w:hAnsi="Times New Roman" w:cs="Times New Roman" w:eastAsia="Times New Roman" w:hint="default"/>
        </w:rPr>
        <w:t>2</w:t>
      </w:r>
      <w:r>
        <w:rPr/>
        <w:t>、为其他单位提供债务担保形成的或有负债及其财务影响</w:t>
      </w:r>
      <w:r>
        <w:rPr>
          <w:w w:val="100"/>
        </w:rPr>
        <w:t> </w:t>
      </w:r>
      <w:r>
        <w:rPr/>
        <w:t>福建神威系统集成有限责任公司（以下简称</w:t>
      </w:r>
      <w:r>
        <w:rPr>
          <w:rFonts w:ascii="Times New Roman" w:hAnsi="Times New Roman" w:cs="Times New Roman" w:eastAsia="Times New Roman" w:hint="default"/>
        </w:rPr>
        <w:t>“</w:t>
      </w:r>
      <w:r>
        <w:rPr/>
        <w:t>福建神威</w:t>
      </w:r>
      <w:r>
        <w:rPr>
          <w:rFonts w:ascii="Times New Roman" w:hAnsi="Times New Roman" w:cs="Times New Roman" w:eastAsia="Times New Roman" w:hint="default"/>
        </w:rPr>
        <w:t>”</w:t>
      </w:r>
      <w:r>
        <w:rPr/>
        <w:t>）自</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月设立时即为公司之控</w:t>
      </w:r>
    </w:p>
    <w:p>
      <w:pPr>
        <w:pStyle w:val="BodyText"/>
        <w:spacing w:line="297" w:lineRule="auto" w:before="9"/>
        <w:ind w:left="138" w:right="47"/>
        <w:jc w:val="left"/>
        <w:rPr>
          <w:rFonts w:ascii="Times New Roman" w:hAnsi="Times New Roman" w:cs="Times New Roman" w:eastAsia="Times New Roman" w:hint="default"/>
        </w:rPr>
      </w:pPr>
      <w:r>
        <w:rPr>
          <w:spacing w:val="-6"/>
          <w:w w:val="100"/>
        </w:rPr>
        <w:t>股子公司；</w:t>
      </w:r>
      <w:r>
        <w:rPr>
          <w:rFonts w:ascii="Times New Roman" w:hAnsi="Times New Roman" w:cs="Times New Roman" w:eastAsia="Times New Roman" w:hint="default"/>
          <w:spacing w:val="-6"/>
          <w:w w:val="100"/>
        </w:rPr>
        <w:t>2017</w:t>
      </w:r>
      <w:r>
        <w:rPr>
          <w:rFonts w:ascii="Times New Roman" w:hAnsi="Times New Roman" w:cs="Times New Roman" w:eastAsia="Times New Roman" w:hint="default"/>
          <w:spacing w:val="1"/>
          <w:w w:val="100"/>
        </w:rPr>
        <w:t> </w:t>
      </w:r>
      <w:r>
        <w:rPr>
          <w:w w:val="100"/>
        </w:rPr>
        <w:t>年</w:t>
      </w:r>
      <w:r>
        <w:rPr>
          <w:spacing w:val="-49"/>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1"/>
          <w:w w:val="100"/>
        </w:rPr>
        <w:t> </w:t>
      </w:r>
      <w:r>
        <w:rPr>
          <w:spacing w:val="-7"/>
          <w:w w:val="100"/>
        </w:rPr>
        <w:t>月，公司与珠海汇垠意中投资合伙企业（有限合伙）（以下简称</w:t>
      </w:r>
      <w:r>
        <w:rPr>
          <w:rFonts w:ascii="Times New Roman" w:hAnsi="Times New Roman" w:cs="Times New Roman" w:eastAsia="Times New Roman" w:hint="default"/>
          <w:spacing w:val="-7"/>
          <w:w w:val="100"/>
        </w:rPr>
        <w:t>“</w:t>
      </w:r>
      <w:r>
        <w:rPr>
          <w:spacing w:val="-7"/>
          <w:w w:val="100"/>
        </w:rPr>
        <w:t>珠海汇垠</w:t>
      </w:r>
      <w:r>
        <w:rPr>
          <w:rFonts w:ascii="Times New Roman" w:hAnsi="Times New Roman" w:cs="Times New Roman" w:eastAsia="Times New Roman" w:hint="default"/>
          <w:spacing w:val="-7"/>
          <w:w w:val="100"/>
        </w:rPr>
        <w:t>”</w:t>
      </w:r>
      <w:r>
        <w:rPr>
          <w:spacing w:val="-7"/>
          <w:w w:val="100"/>
        </w:rPr>
        <w:t>）</w:t>
      </w:r>
      <w:r>
        <w:rPr>
          <w:spacing w:val="-104"/>
          <w:w w:val="100"/>
        </w:rPr>
        <w:t> </w:t>
      </w:r>
      <w:r>
        <w:rPr/>
        <w:t>签订《股权转让协议书》，约定将其持有的福建神威</w:t>
      </w:r>
      <w:r>
        <w:rPr>
          <w:spacing w:val="-55"/>
        </w:rPr>
        <w:t> </w:t>
      </w:r>
      <w:r>
        <w:rPr>
          <w:rFonts w:ascii="Times New Roman" w:hAnsi="Times New Roman" w:cs="Times New Roman" w:eastAsia="Times New Roman" w:hint="default"/>
        </w:rPr>
        <w:t>51%</w:t>
      </w:r>
      <w:r>
        <w:rPr/>
        <w:t>的股权转让给珠海汇垠。</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5</w:t>
      </w:r>
    </w:p>
    <w:p>
      <w:pPr>
        <w:pStyle w:val="BodyText"/>
        <w:spacing w:line="240" w:lineRule="auto" w:before="13"/>
        <w:ind w:left="138" w:right="47"/>
        <w:jc w:val="left"/>
      </w:pPr>
      <w:r>
        <w:rPr/>
        <w:t>日股权转让完成后，福建神威变更为公司持股</w:t>
      </w:r>
      <w:r>
        <w:rPr>
          <w:spacing w:val="-53"/>
        </w:rPr>
        <w:t> </w:t>
      </w:r>
      <w:r>
        <w:rPr>
          <w:rFonts w:ascii="Times New Roman" w:hAnsi="Times New Roman" w:cs="Times New Roman" w:eastAsia="Times New Roman" w:hint="default"/>
        </w:rPr>
        <w:t>49%</w:t>
      </w:r>
      <w:r>
        <w:rPr/>
        <w:t>的联营企业。截至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w:t>
      </w:r>
    </w:p>
    <w:p>
      <w:pPr>
        <w:pStyle w:val="BodyText"/>
        <w:spacing w:line="240" w:lineRule="auto" w:before="69"/>
        <w:ind w:left="138" w:right="2631"/>
        <w:jc w:val="left"/>
      </w:pPr>
      <w:r>
        <w:rPr/>
        <w:t>为福建神威提供的有效连带责任担保余额为</w:t>
      </w:r>
      <w:r>
        <w:rPr>
          <w:spacing w:val="-56"/>
        </w:rPr>
        <w:t> </w:t>
      </w:r>
      <w:r>
        <w:rPr>
          <w:rFonts w:ascii="Times New Roman" w:hAnsi="Times New Roman" w:cs="Times New Roman" w:eastAsia="Times New Roman" w:hint="default"/>
        </w:rPr>
        <w:t>3,641.74</w:t>
      </w:r>
      <w:r>
        <w:rPr>
          <w:rFonts w:ascii="Times New Roman" w:hAnsi="Times New Roman" w:cs="Times New Roman" w:eastAsia="Times New Roman" w:hint="default"/>
          <w:spacing w:val="-3"/>
        </w:rPr>
        <w:t> </w:t>
      </w:r>
      <w:r>
        <w:rPr/>
        <w:t>万元。</w:t>
      </w:r>
    </w:p>
    <w:p>
      <w:pPr>
        <w:pStyle w:val="Heading4"/>
        <w:spacing w:line="240" w:lineRule="auto" w:before="129"/>
        <w:ind w:left="138" w:right="2631"/>
        <w:jc w:val="left"/>
        <w:rPr>
          <w:b w:val="0"/>
          <w:bCs w:val="0"/>
        </w:rPr>
      </w:pPr>
      <w:r>
        <w:rPr>
          <w:rFonts w:ascii="宋体" w:hAnsi="宋体" w:cs="宋体" w:eastAsia="宋体" w:hint="default"/>
        </w:rPr>
        <w:t>(2).</w:t>
      </w:r>
      <w:r>
        <w:rPr>
          <w:rFonts w:ascii="宋体" w:hAnsi="宋体" w:cs="宋体" w:eastAsia="宋体" w:hint="default"/>
          <w:spacing w:val="-49"/>
        </w:rPr>
        <w:t> </w:t>
      </w:r>
      <w:r>
        <w:rPr/>
        <w:t>公司没有需要披露的重要或有事项，也应予以说明：</w:t>
      </w:r>
      <w:r>
        <w:rPr>
          <w:b w:val="0"/>
          <w:bCs w:val="0"/>
        </w:rPr>
      </w:r>
    </w:p>
    <w:p>
      <w:pPr>
        <w:pStyle w:val="BodyText"/>
        <w:tabs>
          <w:tab w:pos="1460" w:val="left" w:leader="none"/>
        </w:tabs>
        <w:spacing w:line="240" w:lineRule="auto" w:before="145"/>
        <w:ind w:left="618" w:right="2631"/>
        <w:jc w:val="left"/>
      </w:pPr>
      <w:r>
        <w:rPr/>
        <w:t>□适用</w:t>
        <w:tab/>
        <w:t>√不适用</w:t>
      </w:r>
    </w:p>
    <w:p>
      <w:pPr>
        <w:pStyle w:val="Heading4"/>
        <w:spacing w:line="240" w:lineRule="auto" w:before="145"/>
        <w:ind w:left="138" w:right="2631"/>
        <w:jc w:val="left"/>
        <w:rPr>
          <w:b w:val="0"/>
          <w:bCs w:val="0"/>
        </w:rPr>
      </w:pPr>
      <w:r>
        <w:rPr>
          <w:rFonts w:ascii="Times New Roman" w:hAnsi="Times New Roman" w:cs="Times New Roman" w:eastAsia="Times New Roman" w:hint="default"/>
        </w:rPr>
        <w:t>3</w:t>
      </w:r>
      <w:r>
        <w:rPr/>
        <w:t>、</w:t>
      </w:r>
      <w:r>
        <w:rPr>
          <w:spacing w:val="3"/>
        </w:rPr>
        <w:t> </w:t>
      </w:r>
      <w:r>
        <w:rPr/>
        <w:t>其他</w:t>
      </w:r>
      <w:r>
        <w:rPr>
          <w:b w:val="0"/>
          <w:bCs w:val="0"/>
        </w:rPr>
      </w:r>
    </w:p>
    <w:p>
      <w:pPr>
        <w:tabs>
          <w:tab w:pos="977" w:val="left" w:leader="none"/>
          <w:tab w:pos="1460" w:val="left" w:leader="none"/>
        </w:tabs>
        <w:spacing w:line="367" w:lineRule="auto" w:before="129"/>
        <w:ind w:left="138" w:right="6305" w:firstLine="479"/>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十五、</w:t>
        <w:tab/>
        <w:t>资产负债表日后事项</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04" w:lineRule="exact"/>
        <w:ind w:left="618" w:right="2631"/>
        <w:jc w:val="left"/>
      </w:pPr>
      <w:r>
        <w:rPr/>
        <w:t>□适用 √不适用</w:t>
      </w:r>
    </w:p>
    <w:p>
      <w:pPr>
        <w:pStyle w:val="BodyText"/>
        <w:spacing w:line="297" w:lineRule="auto" w:before="75"/>
        <w:ind w:left="558" w:right="205" w:hanging="106"/>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）公开发行可转换公司债券的申请获得审核通过</w:t>
      </w:r>
      <w:r>
        <w:rPr>
          <w:w w:val="100"/>
        </w:rPr>
        <w:t> </w:t>
      </w:r>
      <w:r>
        <w:rPr>
          <w:spacing w:val="-3"/>
        </w:rPr>
        <w:t>中国证券监督管理委员会（以下简称“中国证监会”）第十八届发行审核委员会 </w:t>
      </w:r>
      <w:r>
        <w:rPr>
          <w:rFonts w:ascii="Times New Roman" w:hAnsi="Times New Roman" w:cs="Times New Roman" w:eastAsia="Times New Roman" w:hint="default"/>
        </w:rPr>
        <w:t>2019 </w:t>
      </w:r>
      <w:r>
        <w:rPr/>
        <w:t>年第</w:t>
      </w:r>
      <w:r>
        <w:rPr>
          <w:spacing w:val="-47"/>
        </w:rPr>
        <w:t> </w:t>
      </w:r>
      <w:r>
        <w:rPr>
          <w:rFonts w:ascii="Times New Roman" w:hAnsi="Times New Roman" w:cs="Times New Roman" w:eastAsia="Times New Roman" w:hint="default"/>
        </w:rPr>
        <w:t>1</w:t>
      </w:r>
    </w:p>
    <w:p>
      <w:pPr>
        <w:pStyle w:val="BodyText"/>
        <w:spacing w:line="314" w:lineRule="auto" w:before="13"/>
        <w:ind w:left="138" w:right="208"/>
        <w:jc w:val="both"/>
      </w:pPr>
      <w:r>
        <w:rPr>
          <w:spacing w:val="-1"/>
        </w:rPr>
        <w:t>次工作会议对公司公开发行可转换公司债券的申请进行了审核。根据会议审核结果，公司本次公</w:t>
      </w:r>
      <w:r>
        <w:rPr>
          <w:spacing w:val="-55"/>
        </w:rPr>
        <w:t> </w:t>
      </w:r>
      <w:r>
        <w:rPr>
          <w:spacing w:val="-55"/>
        </w:rPr>
      </w:r>
      <w:r>
        <w:rPr>
          <w:spacing w:val="-1"/>
        </w:rPr>
        <w:t>开发行可转换公司债券的申请获得审核通过。截至本财务报告公告日，公司尚未收到中国证监会</w:t>
      </w:r>
      <w:r>
        <w:rPr>
          <w:spacing w:val="-55"/>
        </w:rPr>
        <w:t> </w:t>
      </w:r>
      <w:r>
        <w:rPr>
          <w:spacing w:val="-55"/>
        </w:rPr>
      </w:r>
      <w:r>
        <w:rPr/>
        <w:t>的书面核准文件。</w:t>
      </w:r>
    </w:p>
    <w:p>
      <w:pPr>
        <w:pStyle w:val="BodyText"/>
        <w:spacing w:line="240" w:lineRule="auto" w:before="20"/>
        <w:ind w:left="452" w:right="2631"/>
        <w:jc w:val="left"/>
      </w:pPr>
      <w:r>
        <w:rPr/>
        <w:t>（</w:t>
      </w:r>
      <w:r>
        <w:rPr>
          <w:rFonts w:ascii="Times New Roman" w:hAnsi="Times New Roman" w:cs="Times New Roman" w:eastAsia="Times New Roman" w:hint="default"/>
        </w:rPr>
        <w:t>2</w:t>
      </w:r>
      <w:r>
        <w:rPr/>
        <w:t>）控股股东协议转让部分公司股份</w:t>
      </w:r>
    </w:p>
    <w:p>
      <w:pPr>
        <w:pStyle w:val="BodyText"/>
        <w:spacing w:line="302" w:lineRule="auto" w:before="69"/>
        <w:ind w:left="138" w:right="208" w:firstLine="314"/>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spacing w:val="-3"/>
        </w:rPr>
        <w:t>日，公司控股股东、实际控制人吴志雄先生与上海云鑫创业投资有限公司（系</w:t>
      </w:r>
      <w:r>
        <w:rPr>
          <w:w w:val="100"/>
        </w:rPr>
        <w:t> </w:t>
      </w:r>
      <w:r>
        <w:rPr>
          <w:spacing w:val="-2"/>
        </w:rPr>
        <w:t>浙江蚂蚁小微金融服务集团股份有限公司全资子公司，以下简称“上海云鑫”）签署了《股份转</w:t>
      </w:r>
      <w:r>
        <w:rPr>
          <w:spacing w:val="-26"/>
        </w:rPr>
        <w:t> </w:t>
      </w:r>
      <w:r>
        <w:rPr>
          <w:spacing w:val="-26"/>
        </w:rPr>
      </w:r>
      <w:r>
        <w:rPr>
          <w:spacing w:val="-4"/>
        </w:rPr>
        <w:t>让协议》，将其所持有的</w:t>
      </w:r>
      <w:r>
        <w:rPr>
          <w:spacing w:val="-52"/>
        </w:rPr>
        <w:t> </w:t>
      </w:r>
      <w:r>
        <w:rPr>
          <w:rFonts w:ascii="Times New Roman" w:hAnsi="Times New Roman" w:cs="Times New Roman" w:eastAsia="Times New Roman" w:hint="default"/>
        </w:rPr>
        <w:t>29,897,678</w:t>
      </w:r>
      <w:r>
        <w:rPr>
          <w:rFonts w:ascii="Times New Roman" w:hAnsi="Times New Roman" w:cs="Times New Roman" w:eastAsia="Times New Roman" w:hint="default"/>
          <w:spacing w:val="-3"/>
        </w:rPr>
        <w:t> </w:t>
      </w:r>
      <w:r>
        <w:rPr/>
        <w:t>股</w:t>
      </w:r>
      <w:r>
        <w:rPr>
          <w:spacing w:val="-55"/>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股无限售流通股股票转让给上海云鑫，所转让股份占公</w:t>
      </w:r>
      <w:r>
        <w:rPr>
          <w:w w:val="100"/>
        </w:rPr>
        <w:t> </w:t>
      </w:r>
      <w:r>
        <w:rPr/>
        <w:t>司总股本的</w:t>
      </w:r>
      <w:r>
        <w:rPr>
          <w:spacing w:val="-54"/>
        </w:rPr>
        <w:t> </w:t>
      </w:r>
      <w:r>
        <w:rPr>
          <w:rFonts w:ascii="Times New Roman" w:hAnsi="Times New Roman" w:cs="Times New Roman" w:eastAsia="Times New Roman" w:hint="default"/>
        </w:rPr>
        <w:t>5.68%</w:t>
      </w:r>
      <w:r>
        <w:rPr/>
        <w:t>。本次股份转让已于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日完成过户登记手续。</w:t>
      </w:r>
    </w:p>
    <w:p>
      <w:pPr>
        <w:pStyle w:val="BodyText"/>
        <w:spacing w:line="297" w:lineRule="auto" w:before="9"/>
        <w:ind w:left="452" w:right="96"/>
        <w:jc w:val="left"/>
      </w:pPr>
      <w:r>
        <w:rPr/>
        <w:t>（</w:t>
      </w:r>
      <w:r>
        <w:rPr>
          <w:rFonts w:ascii="Times New Roman" w:hAnsi="Times New Roman" w:cs="Times New Roman" w:eastAsia="Times New Roman" w:hint="default"/>
        </w:rPr>
        <w:t>3</w:t>
      </w:r>
      <w:r>
        <w:rPr/>
        <w:t>）设立合资公司</w:t>
      </w:r>
      <w:r>
        <w:rPr>
          <w:w w:val="100"/>
        </w:rPr>
        <w:t> </w:t>
      </w:r>
      <w:r>
        <w:rPr>
          <w:spacing w:val="-6"/>
          <w:w w:val="100"/>
        </w:rPr>
        <w:t>为进一步拓展公司战略布局，提升公司产品市场占有率，公司拟与济宁城投公司设立合资公司。</w:t>
      </w:r>
    </w:p>
    <w:p>
      <w:pPr>
        <w:pStyle w:val="BodyText"/>
        <w:spacing w:line="240" w:lineRule="auto" w:before="34"/>
        <w:ind w:left="138" w:right="47"/>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日，公司与济宁城投公司共同签署了《投资合作协议书》，合资公司注册资本为</w:t>
      </w:r>
    </w:p>
    <w:p>
      <w:pPr>
        <w:pStyle w:val="BodyText"/>
        <w:spacing w:line="240" w:lineRule="auto" w:before="69"/>
        <w:ind w:left="138" w:right="47"/>
        <w:jc w:val="left"/>
      </w:pPr>
      <w:r>
        <w:rPr>
          <w:rFonts w:ascii="Times New Roman" w:hAnsi="Times New Roman" w:cs="Times New Roman" w:eastAsia="Times New Roman" w:hint="default"/>
        </w:rPr>
        <w:t>20,000</w:t>
      </w:r>
      <w:r>
        <w:rPr>
          <w:rFonts w:ascii="Times New Roman" w:hAnsi="Times New Roman" w:cs="Times New Roman" w:eastAsia="Times New Roman" w:hint="default"/>
          <w:spacing w:val="-4"/>
        </w:rPr>
        <w:t> </w:t>
      </w:r>
      <w:r>
        <w:rPr/>
        <w:t>万元（人民币，下同），其中公司以货币形式认缴出资</w:t>
      </w:r>
      <w:r>
        <w:rPr>
          <w:spacing w:val="-54"/>
        </w:rPr>
        <w:t> </w:t>
      </w:r>
      <w:r>
        <w:rPr>
          <w:rFonts w:ascii="Times New Roman" w:hAnsi="Times New Roman" w:cs="Times New Roman" w:eastAsia="Times New Roman" w:hint="default"/>
        </w:rPr>
        <w:t>9,800</w:t>
      </w:r>
      <w:r>
        <w:rPr>
          <w:rFonts w:ascii="Times New Roman" w:hAnsi="Times New Roman" w:cs="Times New Roman" w:eastAsia="Times New Roman" w:hint="default"/>
          <w:spacing w:val="-1"/>
        </w:rPr>
        <w:t> </w:t>
      </w:r>
      <w:r>
        <w:rPr/>
        <w:t>万元（占注册资本的比例为</w:t>
      </w:r>
    </w:p>
    <w:p>
      <w:pPr>
        <w:pStyle w:val="BodyText"/>
        <w:spacing w:line="240" w:lineRule="auto" w:before="69"/>
        <w:ind w:left="138" w:right="47"/>
        <w:jc w:val="left"/>
        <w:rPr>
          <w:rFonts w:ascii="Times New Roman" w:hAnsi="Times New Roman" w:cs="Times New Roman" w:eastAsia="Times New Roman" w:hint="default"/>
        </w:rPr>
      </w:pPr>
      <w:r>
        <w:rPr>
          <w:rFonts w:ascii="Times New Roman" w:hAnsi="Times New Roman" w:cs="Times New Roman" w:eastAsia="Times New Roman" w:hint="default"/>
        </w:rPr>
        <w:t>49%</w:t>
      </w:r>
      <w:r>
        <w:rPr/>
        <w:t>），济宁城投公司以货币形式认缴出资</w:t>
      </w:r>
      <w:r>
        <w:rPr>
          <w:spacing w:val="-59"/>
        </w:rPr>
        <w:t> </w:t>
      </w:r>
      <w:r>
        <w:rPr>
          <w:rFonts w:ascii="Times New Roman" w:hAnsi="Times New Roman" w:cs="Times New Roman" w:eastAsia="Times New Roman" w:hint="default"/>
        </w:rPr>
        <w:t>10,200</w:t>
      </w:r>
      <w:r>
        <w:rPr>
          <w:rFonts w:ascii="Times New Roman" w:hAnsi="Times New Roman" w:cs="Times New Roman" w:eastAsia="Times New Roman" w:hint="default"/>
          <w:spacing w:val="-8"/>
        </w:rPr>
        <w:t> </w:t>
      </w:r>
      <w:r>
        <w:rPr/>
        <w:t>万元（占注册资本的比例为</w:t>
      </w:r>
      <w:r>
        <w:rPr>
          <w:spacing w:val="-58"/>
        </w:rPr>
        <w:t> </w:t>
      </w:r>
      <w:r>
        <w:rPr>
          <w:rFonts w:ascii="Times New Roman" w:hAnsi="Times New Roman" w:cs="Times New Roman" w:eastAsia="Times New Roman" w:hint="default"/>
        </w:rPr>
        <w:t>51%</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59"/>
        </w:rPr>
        <w:t> </w:t>
      </w:r>
      <w:r>
        <w:rPr>
          <w:rFonts w:ascii="Times New Roman" w:hAnsi="Times New Roman" w:cs="Times New Roman" w:eastAsia="Times New Roman" w:hint="default"/>
        </w:rPr>
        <w:t>3</w:t>
      </w:r>
    </w:p>
    <w:p>
      <w:pPr>
        <w:pStyle w:val="BodyText"/>
        <w:spacing w:line="240" w:lineRule="auto" w:before="69"/>
        <w:ind w:left="138" w:right="2631"/>
        <w:jc w:val="left"/>
      </w:pP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日，该合资公司已完成工商登记。</w:t>
      </w:r>
    </w:p>
    <w:p>
      <w:pPr>
        <w:pStyle w:val="BodyText"/>
        <w:spacing w:line="240" w:lineRule="auto" w:before="69"/>
        <w:ind w:left="452" w:right="2631"/>
        <w:jc w:val="left"/>
      </w:pPr>
      <w:r>
        <w:rPr/>
        <w:t>（</w:t>
      </w:r>
      <w:r>
        <w:rPr>
          <w:rFonts w:ascii="Times New Roman" w:hAnsi="Times New Roman" w:cs="Times New Roman" w:eastAsia="Times New Roman" w:hint="default"/>
        </w:rPr>
        <w:t>4</w:t>
      </w:r>
      <w:r>
        <w:rPr/>
        <w:t>）向参股公司增资扩股</w:t>
      </w:r>
    </w:p>
    <w:p>
      <w:pPr>
        <w:spacing w:after="0" w:line="240" w:lineRule="auto"/>
        <w:jc w:val="left"/>
        <w:sectPr>
          <w:pgSz w:w="11910" w:h="16840"/>
          <w:pgMar w:header="0" w:footer="979" w:top="1120" w:bottom="1160" w:left="1660" w:right="1060"/>
        </w:sectPr>
      </w:pPr>
    </w:p>
    <w:p>
      <w:pPr>
        <w:spacing w:line="240" w:lineRule="auto" w:before="0"/>
        <w:rPr>
          <w:rFonts w:ascii="宋体" w:hAnsi="宋体" w:cs="宋体" w:eastAsia="宋体" w:hint="default"/>
          <w:sz w:val="20"/>
          <w:szCs w:val="20"/>
        </w:rPr>
      </w:pPr>
    </w:p>
    <w:p>
      <w:pPr>
        <w:pStyle w:val="BodyText"/>
        <w:spacing w:line="302" w:lineRule="auto" w:before="177"/>
        <w:ind w:right="228" w:firstLine="314"/>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27</w:t>
      </w:r>
      <w:r>
        <w:rPr>
          <w:rFonts w:ascii="Times New Roman" w:hAnsi="Times New Roman" w:cs="Times New Roman" w:eastAsia="Times New Roman" w:hint="default"/>
          <w:spacing w:val="7"/>
        </w:rPr>
        <w:t> </w:t>
      </w:r>
      <w:r>
        <w:rPr>
          <w:spacing w:val="-3"/>
        </w:rPr>
        <w:t>日，公司与成都四方伟业软件股份有限公司（以下简称“四方伟业”、“标的</w:t>
      </w:r>
      <w:r>
        <w:rPr>
          <w:spacing w:val="-3"/>
          <w:w w:val="100"/>
        </w:rPr>
        <w:t> </w:t>
      </w:r>
      <w:r>
        <w:rPr>
          <w:spacing w:val="-6"/>
        </w:rPr>
        <w:t>公司”）及查文宇先生签订了《成都四方伟业软件股份有限公司增资扩股协议》（以下简称“《增</w:t>
      </w:r>
      <w:r>
        <w:rPr>
          <w:spacing w:val="-54"/>
        </w:rPr>
        <w:t> </w:t>
      </w:r>
      <w:r>
        <w:rPr>
          <w:spacing w:val="-54"/>
        </w:rPr>
      </w:r>
      <w:r>
        <w:rPr/>
        <w:t>资扩股协议》”），公司拟向四方伟业出资人民币</w:t>
      </w:r>
      <w:r>
        <w:rPr>
          <w:spacing w:val="-55"/>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
        </w:rPr>
        <w:t> </w:t>
      </w:r>
      <w:r>
        <w:rPr/>
        <w:t>万元（其中</w:t>
      </w:r>
      <w:r>
        <w:rPr>
          <w:spacing w:val="-53"/>
        </w:rPr>
        <w:t> </w:t>
      </w:r>
      <w:r>
        <w:rPr>
          <w:rFonts w:ascii="Times New Roman" w:hAnsi="Times New Roman" w:cs="Times New Roman" w:eastAsia="Times New Roman" w:hint="default"/>
        </w:rPr>
        <w:t>173.61</w:t>
      </w:r>
      <w:r>
        <w:rPr>
          <w:rFonts w:ascii="Times New Roman" w:hAnsi="Times New Roman" w:cs="Times New Roman" w:eastAsia="Times New Roman" w:hint="default"/>
          <w:spacing w:val="-3"/>
        </w:rPr>
        <w:t> </w:t>
      </w:r>
      <w:r>
        <w:rPr/>
        <w:t>万元记入注册资本，</w:t>
      </w:r>
      <w:r>
        <w:rPr>
          <w:w w:val="100"/>
        </w:rPr>
        <w:t> </w:t>
      </w:r>
      <w:r>
        <w:rPr/>
        <w:t>剩余</w:t>
      </w:r>
      <w:r>
        <w:rPr>
          <w:spacing w:val="-53"/>
        </w:rPr>
        <w:t> </w:t>
      </w:r>
      <w:r>
        <w:rPr>
          <w:rFonts w:ascii="Times New Roman" w:hAnsi="Times New Roman" w:cs="Times New Roman" w:eastAsia="Times New Roman" w:hint="default"/>
        </w:rPr>
        <w:t>4,826.39 </w:t>
      </w:r>
      <w:r>
        <w:rPr/>
        <w:t>万元记入资本公积），本次增资完成后公司持有四方伟业的股份比例由</w:t>
      </w:r>
      <w:r>
        <w:rPr>
          <w:spacing w:val="-52"/>
        </w:rPr>
        <w:t> </w:t>
      </w:r>
      <w:r>
        <w:rPr>
          <w:rFonts w:ascii="Times New Roman" w:hAnsi="Times New Roman" w:cs="Times New Roman" w:eastAsia="Times New Roman" w:hint="default"/>
          <w:spacing w:val="-3"/>
        </w:rPr>
        <w:t>10%</w:t>
      </w:r>
      <w:r>
        <w:rPr>
          <w:spacing w:val="-3"/>
        </w:rPr>
        <w:t>增加至</w:t>
      </w:r>
      <w:r>
        <w:rPr>
          <w:spacing w:val="-3"/>
          <w:w w:val="100"/>
        </w:rPr>
        <w:t> </w:t>
      </w:r>
      <w:r>
        <w:rPr>
          <w:rFonts w:ascii="Times New Roman" w:hAnsi="Times New Roman" w:cs="Times New Roman" w:eastAsia="Times New Roman" w:hint="default"/>
        </w:rPr>
        <w:t>15.2941%</w:t>
      </w:r>
      <w:r>
        <w:rPr/>
        <w:t>。</w:t>
      </w:r>
    </w:p>
    <w:p>
      <w:pPr>
        <w:pStyle w:val="BodyText"/>
        <w:spacing w:line="240" w:lineRule="auto" w:before="9"/>
        <w:ind w:left="532" w:right="0"/>
        <w:jc w:val="left"/>
      </w:pPr>
      <w:r>
        <w:rPr/>
        <w:t>（</w:t>
      </w:r>
      <w:r>
        <w:rPr>
          <w:rFonts w:ascii="Times New Roman" w:hAnsi="Times New Roman" w:cs="Times New Roman" w:eastAsia="Times New Roman" w:hint="default"/>
        </w:rPr>
        <w:t>5</w:t>
      </w:r>
      <w:r>
        <w:rPr/>
        <w:t>）重大项目中标事项</w:t>
      </w:r>
    </w:p>
    <w:p>
      <w:pPr>
        <w:pStyle w:val="BodyText"/>
        <w:spacing w:line="304" w:lineRule="auto" w:before="69"/>
        <w:ind w:right="237" w:firstLine="314"/>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日，福建省政府采购网公示了泉州市“互联网</w:t>
      </w:r>
      <w:r>
        <w:rPr>
          <w:rFonts w:ascii="宋体" w:hAnsi="宋体" w:cs="宋体" w:eastAsia="宋体" w:hint="default"/>
        </w:rPr>
        <w:t>+</w:t>
      </w:r>
      <w:r>
        <w:rPr/>
        <w:t>政务服务”一体化行政服务平</w:t>
      </w:r>
      <w:r>
        <w:rPr>
          <w:w w:val="100"/>
        </w:rPr>
        <w:t> </w:t>
      </w:r>
      <w:r>
        <w:rPr>
          <w:spacing w:val="-2"/>
        </w:rPr>
        <w:t>台采购项目（以下简称“本项目”）的中标结果，公司为本项目的中标供应商。该项目中标金额</w:t>
      </w:r>
      <w:r>
        <w:rPr>
          <w:spacing w:val="-25"/>
        </w:rPr>
        <w:t> </w:t>
      </w:r>
      <w:r>
        <w:rPr>
          <w:spacing w:val="-25"/>
        </w:rPr>
      </w:r>
      <w:r>
        <w:rPr/>
        <w:t>为人民币</w:t>
      </w:r>
      <w:r>
        <w:rPr>
          <w:spacing w:val="-53"/>
        </w:rPr>
        <w:t> </w:t>
      </w:r>
      <w:r>
        <w:rPr>
          <w:rFonts w:ascii="Times New Roman" w:hAnsi="Times New Roman" w:cs="Times New Roman" w:eastAsia="Times New Roman" w:hint="default"/>
        </w:rPr>
        <w:t>8,008.65 </w:t>
      </w:r>
      <w:r>
        <w:rPr/>
        <w:t>万元。</w:t>
      </w:r>
    </w:p>
    <w:p>
      <w:pPr>
        <w:pStyle w:val="Heading4"/>
        <w:spacing w:line="281" w:lineRule="exact" w:before="0"/>
        <w:ind w:right="0"/>
        <w:jc w:val="left"/>
        <w:rPr>
          <w:b w:val="0"/>
          <w:bCs w:val="0"/>
        </w:rPr>
      </w:pPr>
      <w:r>
        <w:rPr>
          <w:rFonts w:ascii="Times New Roman" w:hAnsi="Times New Roman" w:cs="Times New Roman" w:eastAsia="Times New Roman" w:hint="default"/>
        </w:rPr>
        <w:t>2</w:t>
      </w:r>
      <w:r>
        <w:rPr/>
        <w:t>、</w:t>
      </w:r>
      <w:r>
        <w:rPr>
          <w:spacing w:val="5"/>
        </w:rPr>
        <w:t> </w:t>
      </w:r>
      <w:r>
        <w:rPr/>
        <w:t>利润分配情况</w:t>
      </w:r>
      <w:r>
        <w:rPr>
          <w:b w:val="0"/>
          <w:bCs w:val="0"/>
        </w:rPr>
      </w:r>
    </w:p>
    <w:p>
      <w:pPr>
        <w:pStyle w:val="BodyText"/>
        <w:spacing w:line="240" w:lineRule="auto" w:before="43"/>
        <w:ind w:left="698" w:right="0"/>
        <w:jc w:val="left"/>
      </w:pPr>
      <w:r>
        <w:rPr/>
        <w:t>√适用 □不适用</w:t>
      </w:r>
    </w:p>
    <w:p>
      <w:pPr>
        <w:pStyle w:val="BodyText"/>
        <w:spacing w:line="240" w:lineRule="auto" w:before="73"/>
        <w:ind w:left="0" w:right="230"/>
        <w:jc w:val="right"/>
      </w:pPr>
      <w:r>
        <w:rPr>
          <w:w w:val="100"/>
        </w:rPr>
        <w:t>根据</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月</w:t>
      </w:r>
      <w:r>
        <w:rPr>
          <w:spacing w:val="-52"/>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日</w:t>
      </w:r>
      <w:r>
        <w:rPr>
          <w:spacing w:val="-3"/>
          <w:w w:val="100"/>
        </w:rPr>
        <w:t>公</w:t>
      </w:r>
      <w:r>
        <w:rPr>
          <w:w w:val="100"/>
        </w:rPr>
        <w:t>司第</w:t>
      </w:r>
      <w:r>
        <w:rPr>
          <w:spacing w:val="-3"/>
          <w:w w:val="100"/>
        </w:rPr>
        <w:t>三</w:t>
      </w:r>
      <w:r>
        <w:rPr>
          <w:w w:val="100"/>
        </w:rPr>
        <w:t>届</w:t>
      </w:r>
      <w:r>
        <w:rPr>
          <w:spacing w:val="-3"/>
          <w:w w:val="100"/>
        </w:rPr>
        <w:t>董</w:t>
      </w:r>
      <w:r>
        <w:rPr>
          <w:w w:val="100"/>
        </w:rPr>
        <w:t>事</w:t>
      </w:r>
      <w:r>
        <w:rPr>
          <w:spacing w:val="-3"/>
          <w:w w:val="100"/>
        </w:rPr>
        <w:t>会</w:t>
      </w:r>
      <w:r>
        <w:rPr>
          <w:spacing w:val="-1"/>
          <w:w w:val="100"/>
        </w:rPr>
        <w:t>第</w:t>
      </w:r>
      <w:r>
        <w:rPr>
          <w:spacing w:val="-3"/>
          <w:w w:val="100"/>
        </w:rPr>
        <w:t>三</w:t>
      </w:r>
      <w:r>
        <w:rPr>
          <w:w w:val="100"/>
        </w:rPr>
        <w:t>十</w:t>
      </w:r>
      <w:r>
        <w:rPr>
          <w:spacing w:val="-3"/>
          <w:w w:val="100"/>
        </w:rPr>
        <w:t>三</w:t>
      </w:r>
      <w:r>
        <w:rPr>
          <w:w w:val="100"/>
        </w:rPr>
        <w:t>次会</w:t>
      </w:r>
      <w:r>
        <w:rPr>
          <w:spacing w:val="-3"/>
          <w:w w:val="100"/>
        </w:rPr>
        <w:t>议</w:t>
      </w:r>
      <w:r>
        <w:rPr>
          <w:w w:val="100"/>
        </w:rPr>
        <w:t>通</w:t>
      </w:r>
      <w:r>
        <w:rPr>
          <w:spacing w:val="-3"/>
          <w:w w:val="100"/>
        </w:rPr>
        <w:t>过</w:t>
      </w:r>
      <w:r>
        <w:rPr>
          <w:spacing w:val="-94"/>
          <w:w w:val="100"/>
        </w:rPr>
        <w:t>的</w:t>
      </w:r>
      <w:r>
        <w:rPr>
          <w:w w:val="100"/>
        </w:rPr>
        <w:t>《</w:t>
      </w:r>
      <w:r>
        <w:rPr>
          <w:spacing w:val="-3"/>
          <w:w w:val="100"/>
        </w:rPr>
        <w:t>关</w:t>
      </w:r>
      <w:r>
        <w:rPr>
          <w:w w:val="100"/>
        </w:rPr>
        <w:t>于</w:t>
      </w:r>
      <w:r>
        <w:rPr>
          <w:spacing w:val="-3"/>
          <w:w w:val="100"/>
        </w:rPr>
        <w:t>公</w:t>
      </w:r>
      <w:r>
        <w:rPr>
          <w:w w:val="100"/>
        </w:rPr>
        <w:t>司</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spacing w:val="-3"/>
          <w:w w:val="100"/>
        </w:rPr>
        <w:t>年</w:t>
      </w:r>
      <w:r>
        <w:rPr>
          <w:w w:val="100"/>
        </w:rPr>
        <w:t>度</w:t>
      </w:r>
      <w:r>
        <w:rPr>
          <w:spacing w:val="-3"/>
          <w:w w:val="100"/>
        </w:rPr>
        <w:t>利润分</w:t>
      </w:r>
      <w:r>
        <w:rPr>
          <w:w w:val="100"/>
        </w:rPr>
      </w:r>
    </w:p>
    <w:p>
      <w:pPr>
        <w:pStyle w:val="BodyText"/>
        <w:spacing w:line="240" w:lineRule="auto" w:before="69"/>
        <w:ind w:right="0"/>
        <w:jc w:val="left"/>
      </w:pPr>
      <w:r>
        <w:rPr/>
        <w:t>配预案的议案》，公司以截止</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日的总股本</w:t>
      </w:r>
      <w:r>
        <w:rPr>
          <w:spacing w:val="-54"/>
        </w:rPr>
        <w:t> </w:t>
      </w:r>
      <w:r>
        <w:rPr>
          <w:rFonts w:ascii="Times New Roman" w:hAnsi="Times New Roman" w:cs="Times New Roman" w:eastAsia="Times New Roman" w:hint="default"/>
        </w:rPr>
        <w:t>526,684,472</w:t>
      </w:r>
      <w:r>
        <w:rPr>
          <w:rFonts w:ascii="Times New Roman" w:hAnsi="Times New Roman" w:cs="Times New Roman" w:eastAsia="Times New Roman" w:hint="default"/>
          <w:spacing w:val="-4"/>
        </w:rPr>
        <w:t> </w:t>
      </w:r>
      <w:r>
        <w:rPr/>
        <w:t>股为基数，向全体股东每</w:t>
      </w:r>
    </w:p>
    <w:p>
      <w:pPr>
        <w:pStyle w:val="BodyText"/>
        <w:spacing w:line="287" w:lineRule="exact" w:before="69"/>
        <w:ind w:right="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股派发现金股利</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元（含税）。本次分配方案须经股东大会审议通过后实施。</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20"/>
        <w:gridCol w:w="5130"/>
      </w:tblGrid>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63,202,136.64</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63,202,136.64</w:t>
            </w:r>
          </w:p>
        </w:tc>
      </w:tr>
    </w:tbl>
    <w:p>
      <w:pPr>
        <w:spacing w:line="240" w:lineRule="auto" w:before="1"/>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3</w:t>
      </w:r>
      <w:r>
        <w:rPr/>
        <w:t>、</w:t>
      </w:r>
      <w:r>
        <w:rPr>
          <w:spacing w:val="4"/>
        </w:rPr>
        <w:t> </w:t>
      </w:r>
      <w:r>
        <w:rPr/>
        <w:t>销售退回</w:t>
      </w:r>
      <w:r>
        <w:rPr>
          <w:b w:val="0"/>
          <w:bCs w:val="0"/>
        </w:rPr>
      </w:r>
    </w:p>
    <w:p>
      <w:pPr>
        <w:pStyle w:val="BodyText"/>
        <w:spacing w:line="240" w:lineRule="auto" w:before="41"/>
        <w:ind w:left="698" w:right="0"/>
        <w:jc w:val="left"/>
      </w:pPr>
      <w:r>
        <w:rPr/>
        <w:t>□适用 √不适用</w:t>
      </w:r>
    </w:p>
    <w:p>
      <w:pPr>
        <w:pStyle w:val="Heading4"/>
        <w:spacing w:line="240" w:lineRule="auto" w:before="58"/>
        <w:ind w:right="0"/>
        <w:jc w:val="left"/>
        <w:rPr>
          <w:b w:val="0"/>
          <w:bCs w:val="0"/>
        </w:rPr>
      </w:pPr>
      <w:r>
        <w:rPr>
          <w:rFonts w:ascii="Times New Roman" w:hAnsi="Times New Roman" w:cs="Times New Roman" w:eastAsia="Times New Roman" w:hint="default"/>
        </w:rPr>
        <w:t>4</w:t>
      </w:r>
      <w:r>
        <w:rPr/>
        <w:t>、</w:t>
      </w:r>
      <w:r>
        <w:rPr>
          <w:spacing w:val="1"/>
        </w:rPr>
        <w:t> </w:t>
      </w:r>
      <w:r>
        <w:rPr/>
        <w:t>其他资产负债表日后事项说明</w:t>
      </w:r>
      <w:r>
        <w:rPr>
          <w:b w:val="0"/>
          <w:bCs w:val="0"/>
        </w:rPr>
      </w:r>
    </w:p>
    <w:p>
      <w:pPr>
        <w:spacing w:line="285" w:lineRule="auto" w:before="40"/>
        <w:ind w:left="218" w:right="6903" w:firstLine="479"/>
        <w:jc w:val="both"/>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十六、</w:t>
      </w:r>
      <w:r>
        <w:rPr>
          <w:rFonts w:ascii="宋体" w:hAnsi="宋体" w:cs="宋体" w:eastAsia="宋体" w:hint="default"/>
          <w:b/>
          <w:bCs/>
          <w:spacing w:val="102"/>
          <w:sz w:val="21"/>
          <w:szCs w:val="21"/>
        </w:rPr>
        <w:t> </w:t>
      </w:r>
      <w:r>
        <w:rPr>
          <w:rFonts w:ascii="宋体" w:hAnsi="宋体" w:cs="宋体" w:eastAsia="宋体" w:hint="default"/>
          <w:b/>
          <w:bCs/>
          <w:sz w:val="21"/>
          <w:szCs w:val="21"/>
        </w:rPr>
        <w:t>其他重要事项</w:t>
      </w:r>
      <w:r>
        <w:rPr>
          <w:rFonts w:ascii="宋体" w:hAnsi="宋体" w:cs="宋体" w:eastAsia="宋体" w:hint="default"/>
          <w:b/>
          <w:bCs/>
          <w:w w:val="100"/>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前期会计差错更正</w:t>
      </w:r>
      <w:r>
        <w:rPr>
          <w:rFonts w:ascii="宋体" w:hAnsi="宋体" w:cs="宋体" w:eastAsia="宋体" w:hint="default"/>
          <w:b/>
          <w:bCs/>
          <w:w w:val="100"/>
          <w:sz w:val="21"/>
          <w:szCs w:val="21"/>
        </w:rPr>
        <w:t> </w:t>
      </w:r>
      <w:r>
        <w:rPr>
          <w:rFonts w:ascii="Times New Roman" w:hAnsi="Times New Roman" w:cs="Times New Roman" w:eastAsia="Times New Roman" w:hint="default"/>
          <w:b/>
          <w:bCs/>
          <w:sz w:val="21"/>
          <w:szCs w:val="21"/>
        </w:rPr>
        <w:t>(1).  </w:t>
      </w:r>
      <w:r>
        <w:rPr>
          <w:rFonts w:ascii="Times New Roman" w:hAnsi="Times New Roman" w:cs="Times New Roman" w:eastAsia="Times New Roman" w:hint="default"/>
          <w:b/>
          <w:bCs/>
          <w:spacing w:val="30"/>
          <w:sz w:val="21"/>
          <w:szCs w:val="21"/>
        </w:rPr>
        <w:t> </w:t>
      </w:r>
      <w:r>
        <w:rPr>
          <w:rFonts w:ascii="宋体" w:hAnsi="宋体" w:cs="宋体" w:eastAsia="宋体" w:hint="default"/>
          <w:b/>
          <w:bCs/>
          <w:sz w:val="21"/>
          <w:szCs w:val="21"/>
        </w:rPr>
        <w:t>追溯重述法</w:t>
      </w:r>
      <w:r>
        <w:rPr>
          <w:rFonts w:ascii="宋体" w:hAnsi="宋体" w:cs="宋体" w:eastAsia="宋体" w:hint="default"/>
          <w:sz w:val="21"/>
          <w:szCs w:val="21"/>
        </w:rPr>
      </w:r>
    </w:p>
    <w:p>
      <w:pPr>
        <w:pStyle w:val="BodyText"/>
        <w:spacing w:line="271" w:lineRule="exact"/>
        <w:ind w:left="698" w:right="0"/>
        <w:jc w:val="left"/>
      </w:pPr>
      <w:r>
        <w:rPr/>
        <w:t>□适用 √不适用</w:t>
      </w:r>
    </w:p>
    <w:p>
      <w:pPr>
        <w:pStyle w:val="Heading4"/>
        <w:spacing w:line="240" w:lineRule="auto" w:before="58"/>
        <w:ind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30"/>
        </w:rPr>
        <w:t> </w:t>
      </w:r>
      <w:r>
        <w:rPr/>
        <w:t>未来适用法</w:t>
      </w:r>
      <w:r>
        <w:rPr>
          <w:b w:val="0"/>
          <w:bCs w:val="0"/>
        </w:rPr>
      </w:r>
    </w:p>
    <w:p>
      <w:pPr>
        <w:pStyle w:val="BodyText"/>
        <w:spacing w:line="240" w:lineRule="auto" w:before="40"/>
        <w:ind w:left="698" w:right="0"/>
        <w:jc w:val="left"/>
      </w:pPr>
      <w:r>
        <w:rPr/>
        <w:t>□适用 √不适用</w:t>
      </w:r>
    </w:p>
    <w:p>
      <w:pPr>
        <w:pStyle w:val="Heading4"/>
        <w:spacing w:line="240" w:lineRule="auto" w:before="58"/>
        <w:ind w:right="0"/>
        <w:jc w:val="left"/>
        <w:rPr>
          <w:b w:val="0"/>
          <w:bCs w:val="0"/>
        </w:rPr>
      </w:pPr>
      <w:r>
        <w:rPr>
          <w:rFonts w:ascii="Times New Roman" w:hAnsi="Times New Roman" w:cs="Times New Roman" w:eastAsia="Times New Roman" w:hint="default"/>
        </w:rPr>
        <w:t>2</w:t>
      </w:r>
      <w:r>
        <w:rPr/>
        <w:t>、</w:t>
      </w:r>
      <w:r>
        <w:rPr>
          <w:spacing w:val="4"/>
        </w:rPr>
        <w:t> </w:t>
      </w:r>
      <w:r>
        <w:rPr/>
        <w:t>债务重组</w:t>
      </w:r>
      <w:r>
        <w:rPr>
          <w:b w:val="0"/>
          <w:bCs w:val="0"/>
        </w:rPr>
      </w:r>
    </w:p>
    <w:p>
      <w:pPr>
        <w:pStyle w:val="BodyText"/>
        <w:spacing w:line="240" w:lineRule="auto" w:before="41"/>
        <w:ind w:left="698" w:right="0"/>
        <w:jc w:val="left"/>
      </w:pPr>
      <w:r>
        <w:rPr/>
        <w:t>□适用 √不适用</w:t>
      </w:r>
    </w:p>
    <w:p>
      <w:pPr>
        <w:pStyle w:val="Heading4"/>
        <w:spacing w:line="240" w:lineRule="auto" w:before="58"/>
        <w:ind w:right="0"/>
        <w:jc w:val="left"/>
        <w:rPr>
          <w:b w:val="0"/>
          <w:bCs w:val="0"/>
        </w:rPr>
      </w:pPr>
      <w:r>
        <w:rPr>
          <w:rFonts w:ascii="Times New Roman" w:hAnsi="Times New Roman" w:cs="Times New Roman" w:eastAsia="Times New Roman" w:hint="default"/>
        </w:rPr>
        <w:t>3</w:t>
      </w:r>
      <w:r>
        <w:rPr/>
        <w:t>、</w:t>
      </w:r>
      <w:r>
        <w:rPr>
          <w:spacing w:val="4"/>
        </w:rPr>
        <w:t> </w:t>
      </w:r>
      <w:r>
        <w:rPr/>
        <w:t>资产置换</w:t>
      </w:r>
      <w:r>
        <w:rPr>
          <w:b w:val="0"/>
          <w:bCs w:val="0"/>
        </w:rPr>
      </w:r>
    </w:p>
    <w:p>
      <w:pPr>
        <w:pStyle w:val="Heading4"/>
        <w:spacing w:line="240" w:lineRule="auto" w:before="40"/>
        <w:ind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31"/>
        </w:rPr>
        <w:t> </w:t>
      </w:r>
      <w:r>
        <w:rPr/>
        <w:t>非货币性资产交换</w:t>
      </w:r>
      <w:r>
        <w:rPr>
          <w:b w:val="0"/>
          <w:bCs w:val="0"/>
        </w:rPr>
      </w:r>
    </w:p>
    <w:p>
      <w:pPr>
        <w:pStyle w:val="BodyText"/>
        <w:tabs>
          <w:tab w:pos="1540" w:val="left" w:leader="none"/>
        </w:tabs>
        <w:spacing w:line="240" w:lineRule="auto" w:before="119"/>
        <w:ind w:left="698" w:right="0"/>
        <w:jc w:val="left"/>
      </w:pPr>
      <w:r>
        <w:rPr/>
        <w:t>□适用</w:t>
        <w:tab/>
        <w:t>√不适用</w:t>
      </w:r>
    </w:p>
    <w:p>
      <w:pPr>
        <w:pStyle w:val="Heading4"/>
        <w:spacing w:line="240" w:lineRule="auto" w:before="68"/>
        <w:ind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30"/>
        </w:rPr>
        <w:t> </w:t>
      </w:r>
      <w:r>
        <w:rPr/>
        <w:t>其他资产置换</w:t>
      </w:r>
      <w:r>
        <w:rPr>
          <w:b w:val="0"/>
          <w:bCs w:val="0"/>
        </w:rPr>
      </w:r>
    </w:p>
    <w:p>
      <w:pPr>
        <w:pStyle w:val="BodyText"/>
        <w:tabs>
          <w:tab w:pos="1540" w:val="left" w:leader="none"/>
        </w:tabs>
        <w:spacing w:line="240" w:lineRule="auto" w:before="40"/>
        <w:ind w:left="698" w:right="0"/>
        <w:jc w:val="left"/>
      </w:pPr>
      <w:r>
        <w:rPr/>
        <w:t>□适用</w:t>
        <w:tab/>
        <w:t>√不适用</w:t>
      </w:r>
    </w:p>
    <w:p>
      <w:pPr>
        <w:pStyle w:val="Heading4"/>
        <w:spacing w:line="240" w:lineRule="auto" w:before="58"/>
        <w:ind w:right="0"/>
        <w:jc w:val="left"/>
        <w:rPr>
          <w:b w:val="0"/>
          <w:bCs w:val="0"/>
        </w:rPr>
      </w:pPr>
      <w:r>
        <w:rPr>
          <w:rFonts w:ascii="Times New Roman" w:hAnsi="Times New Roman" w:cs="Times New Roman" w:eastAsia="Times New Roman" w:hint="default"/>
        </w:rPr>
        <w:t>4</w:t>
      </w:r>
      <w:r>
        <w:rPr/>
        <w:t>、</w:t>
      </w:r>
      <w:r>
        <w:rPr>
          <w:spacing w:val="4"/>
        </w:rPr>
        <w:t> </w:t>
      </w:r>
      <w:r>
        <w:rPr/>
        <w:t>年金计划</w:t>
      </w:r>
      <w:r>
        <w:rPr>
          <w:b w:val="0"/>
          <w:bCs w:val="0"/>
        </w:rPr>
      </w:r>
    </w:p>
    <w:p>
      <w:pPr>
        <w:pStyle w:val="BodyText"/>
        <w:spacing w:line="240" w:lineRule="auto" w:before="40"/>
        <w:ind w:left="698" w:right="0"/>
        <w:jc w:val="left"/>
      </w:pPr>
      <w:r>
        <w:rPr/>
        <w:t>□适用 √不适用</w:t>
      </w:r>
    </w:p>
    <w:p>
      <w:pPr>
        <w:pStyle w:val="Heading4"/>
        <w:spacing w:line="240" w:lineRule="auto" w:before="58"/>
        <w:ind w:right="0"/>
        <w:jc w:val="left"/>
        <w:rPr>
          <w:b w:val="0"/>
          <w:bCs w:val="0"/>
        </w:rPr>
      </w:pPr>
      <w:r>
        <w:rPr>
          <w:rFonts w:ascii="Times New Roman" w:hAnsi="Times New Roman" w:cs="Times New Roman" w:eastAsia="Times New Roman" w:hint="default"/>
        </w:rPr>
        <w:t>5</w:t>
      </w:r>
      <w:r>
        <w:rPr/>
        <w:t>、</w:t>
      </w:r>
      <w:r>
        <w:rPr>
          <w:spacing w:val="4"/>
        </w:rPr>
        <w:t> </w:t>
      </w:r>
      <w:r>
        <w:rPr/>
        <w:t>终止经营</w:t>
      </w:r>
      <w:r>
        <w:rPr>
          <w:b w:val="0"/>
          <w:bCs w:val="0"/>
        </w:rPr>
      </w:r>
    </w:p>
    <w:p>
      <w:pPr>
        <w:pStyle w:val="BodyText"/>
        <w:spacing w:line="240" w:lineRule="auto" w:before="41"/>
        <w:ind w:left="698" w:right="0"/>
        <w:jc w:val="left"/>
      </w:pPr>
      <w:r>
        <w:rPr/>
        <w:t>□适用 √不适用</w:t>
      </w:r>
    </w:p>
    <w:p>
      <w:pPr>
        <w:spacing w:after="0" w:line="240" w:lineRule="auto"/>
        <w:jc w:val="left"/>
        <w:sectPr>
          <w:pgSz w:w="11910" w:h="16840"/>
          <w:pgMar w:header="0" w:footer="979" w:top="1120" w:bottom="1160" w:left="1580" w:right="1040"/>
        </w:sectPr>
      </w:pPr>
    </w:p>
    <w:p>
      <w:pPr>
        <w:spacing w:line="240" w:lineRule="auto" w:before="12"/>
        <w:rPr>
          <w:rFonts w:ascii="宋体" w:hAnsi="宋体" w:cs="宋体" w:eastAsia="宋体" w:hint="default"/>
          <w:sz w:val="24"/>
          <w:szCs w:val="24"/>
        </w:rPr>
      </w:pPr>
    </w:p>
    <w:p>
      <w:pPr>
        <w:pStyle w:val="Heading4"/>
        <w:spacing w:line="240" w:lineRule="auto"/>
        <w:ind w:right="2631"/>
        <w:jc w:val="left"/>
        <w:rPr>
          <w:b w:val="0"/>
          <w:bCs w:val="0"/>
        </w:rPr>
      </w:pPr>
      <w:r>
        <w:rPr>
          <w:rFonts w:ascii="Times New Roman" w:hAnsi="Times New Roman" w:cs="Times New Roman" w:eastAsia="Times New Roman" w:hint="default"/>
        </w:rPr>
        <w:t>6</w:t>
      </w:r>
      <w:r>
        <w:rPr/>
        <w:t>、</w:t>
      </w:r>
      <w:r>
        <w:rPr>
          <w:spacing w:val="4"/>
        </w:rPr>
        <w:t> </w:t>
      </w:r>
      <w:r>
        <w:rPr/>
        <w:t>分部信息</w:t>
      </w:r>
      <w:r>
        <w:rPr>
          <w:b w:val="0"/>
          <w:bCs w:val="0"/>
        </w:rPr>
      </w:r>
    </w:p>
    <w:p>
      <w:pPr>
        <w:pStyle w:val="Heading4"/>
        <w:spacing w:line="240" w:lineRule="auto" w:before="43"/>
        <w:ind w:right="2631"/>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7"/>
        </w:rPr>
        <w:t> </w:t>
      </w:r>
      <w:r>
        <w:rPr/>
        <w:t>报告分部的确定依据与会计政策</w:t>
      </w:r>
      <w:r>
        <w:rPr>
          <w:b w:val="0"/>
          <w:bCs w:val="0"/>
        </w:rPr>
      </w:r>
    </w:p>
    <w:p>
      <w:pPr>
        <w:pStyle w:val="BodyText"/>
        <w:tabs>
          <w:tab w:pos="1540" w:val="left" w:leader="none"/>
        </w:tabs>
        <w:spacing w:line="240" w:lineRule="auto" w:before="40"/>
        <w:ind w:left="698" w:right="2631"/>
        <w:jc w:val="left"/>
      </w:pPr>
      <w:r>
        <w:rPr/>
        <w:t>√适用</w:t>
        <w:tab/>
        <w:t>□不适用</w:t>
      </w:r>
    </w:p>
    <w:p>
      <w:pPr>
        <w:pStyle w:val="BodyText"/>
        <w:spacing w:line="297" w:lineRule="auto" w:before="75"/>
        <w:ind w:left="638" w:right="47" w:firstLine="60"/>
        <w:jc w:val="left"/>
      </w:pPr>
      <w:r>
        <w:rPr>
          <w:rFonts w:ascii="Times New Roman" w:hAnsi="Times New Roman" w:cs="Times New Roman" w:eastAsia="Times New Roman" w:hint="default"/>
        </w:rPr>
        <w:t>1</w:t>
      </w:r>
      <w:r>
        <w:rPr>
          <w:rFonts w:ascii="宋体" w:hAnsi="宋体" w:cs="宋体" w:eastAsia="宋体" w:hint="default"/>
        </w:rPr>
        <w:t>.</w:t>
      </w:r>
      <w:r>
        <w:rPr/>
        <w:t>报告分部的确定依据与会计政策：</w:t>
      </w:r>
      <w:r>
        <w:rPr>
          <w:w w:val="100"/>
        </w:rPr>
        <w:t> </w:t>
      </w:r>
      <w:r>
        <w:rPr>
          <w:spacing w:val="-2"/>
        </w:rPr>
        <w:t>本公司以内部组织结构、管理要求、内部报告制度为依据确定业务分部。本公司的业务分部</w:t>
      </w:r>
    </w:p>
    <w:p>
      <w:pPr>
        <w:pStyle w:val="BodyText"/>
        <w:spacing w:line="240" w:lineRule="auto" w:before="34"/>
        <w:ind w:right="2631"/>
        <w:jc w:val="left"/>
      </w:pPr>
      <w:r>
        <w:rPr/>
        <w:t>是指同时满足下列条件的组成部分：</w:t>
      </w:r>
    </w:p>
    <w:p>
      <w:pPr>
        <w:pStyle w:val="BodyText"/>
        <w:tabs>
          <w:tab w:pos="1477" w:val="left" w:leader="none"/>
        </w:tabs>
        <w:spacing w:line="240" w:lineRule="auto" w:before="85"/>
        <w:ind w:left="638" w:right="2631"/>
        <w:jc w:val="left"/>
      </w:pPr>
      <w:r>
        <w:rPr/>
        <w:t>（</w:t>
      </w:r>
      <w:r>
        <w:rPr>
          <w:rFonts w:ascii="Times New Roman" w:hAnsi="Times New Roman" w:cs="Times New Roman" w:eastAsia="Times New Roman" w:hint="default"/>
        </w:rPr>
        <w:t>1</w:t>
      </w:r>
      <w:r>
        <w:rPr/>
        <w:t>）</w:t>
        <w:tab/>
        <w:t>该组成部分能够在日常活动中产生收入、发生费用；</w:t>
      </w:r>
    </w:p>
    <w:p>
      <w:pPr>
        <w:pStyle w:val="BodyText"/>
        <w:tabs>
          <w:tab w:pos="1477" w:val="left" w:leader="none"/>
        </w:tabs>
        <w:spacing w:line="240" w:lineRule="auto" w:before="69"/>
        <w:ind w:left="638" w:right="47"/>
        <w:jc w:val="left"/>
      </w:pPr>
      <w:r>
        <w:rPr/>
        <w:t>（</w:t>
      </w:r>
      <w:r>
        <w:rPr>
          <w:rFonts w:ascii="Times New Roman" w:hAnsi="Times New Roman" w:cs="Times New Roman" w:eastAsia="Times New Roman" w:hint="default"/>
        </w:rPr>
        <w:t>2</w:t>
      </w:r>
      <w:r>
        <w:rPr/>
        <w:t>）</w:t>
        <w:tab/>
        <w:t>管理层能够定期评价该组成部分的经营成果，以决定向其配置资源、评价其业绩；</w:t>
      </w:r>
    </w:p>
    <w:p>
      <w:pPr>
        <w:pStyle w:val="BodyText"/>
        <w:tabs>
          <w:tab w:pos="1477" w:val="left" w:leader="none"/>
        </w:tabs>
        <w:spacing w:line="297" w:lineRule="auto" w:before="69"/>
        <w:ind w:left="638" w:right="349"/>
        <w:jc w:val="left"/>
      </w:pPr>
      <w:r>
        <w:rPr/>
        <w:t>（</w:t>
      </w:r>
      <w:r>
        <w:rPr>
          <w:rFonts w:ascii="Times New Roman" w:hAnsi="Times New Roman" w:cs="Times New Roman" w:eastAsia="Times New Roman" w:hint="default"/>
        </w:rPr>
        <w:t>3</w:t>
      </w:r>
      <w:r>
        <w:rPr/>
        <w:t>）</w:t>
        <w:tab/>
        <w:t>能够取得该组成部分的财务状况、经营成果和现金流量等有关会计信息。</w:t>
      </w:r>
      <w:r>
        <w:rPr>
          <w:w w:val="100"/>
        </w:rPr>
        <w:t> </w:t>
      </w:r>
      <w:r>
        <w:rPr>
          <w:spacing w:val="-2"/>
        </w:rPr>
        <w:t>本公司以业务分部为基础确定报告分部，满足下列条件之一的业务分部确定为报告分部：</w:t>
      </w:r>
    </w:p>
    <w:p>
      <w:pPr>
        <w:pStyle w:val="BodyText"/>
        <w:spacing w:line="240" w:lineRule="auto" w:before="34"/>
        <w:ind w:left="638" w:right="47"/>
        <w:jc w:val="left"/>
      </w:pPr>
      <w:r>
        <w:rPr>
          <w:spacing w:val="-2"/>
        </w:rPr>
        <w:t>①该经营分部的分部收入占所有分部收入合计的</w:t>
      </w:r>
      <w:r>
        <w:rPr>
          <w:spacing w:val="-1"/>
        </w:rPr>
        <w:t> </w:t>
      </w:r>
      <w:r>
        <w:rPr>
          <w:rFonts w:ascii="Times New Roman" w:hAnsi="Times New Roman" w:cs="Times New Roman" w:eastAsia="Times New Roman" w:hint="default"/>
          <w:spacing w:val="-2"/>
        </w:rPr>
        <w:t>10%</w:t>
      </w:r>
      <w:r>
        <w:rPr>
          <w:spacing w:val="-2"/>
        </w:rPr>
        <w:t>或者以上；</w:t>
      </w:r>
    </w:p>
    <w:p>
      <w:pPr>
        <w:pStyle w:val="BodyText"/>
        <w:spacing w:line="314" w:lineRule="auto" w:before="69"/>
        <w:ind w:right="47" w:firstLine="419"/>
        <w:jc w:val="left"/>
      </w:pPr>
      <w:r>
        <w:rPr>
          <w:spacing w:val="-2"/>
        </w:rPr>
        <w:t>②该分部的分部利润（亏损）的绝对额，占所有盈利分部利润合计额或者所有亏损分部亏损</w:t>
      </w:r>
      <w:r>
        <w:rPr>
          <w:w w:val="100"/>
        </w:rPr>
        <w:t> </w:t>
      </w:r>
      <w:r>
        <w:rPr/>
        <w:t>合计额的绝对额两者中较大者的</w:t>
      </w:r>
      <w:r>
        <w:rPr>
          <w:spacing w:val="-56"/>
        </w:rPr>
        <w:t> </w:t>
      </w:r>
      <w:r>
        <w:rPr>
          <w:rFonts w:ascii="Times New Roman" w:hAnsi="Times New Roman" w:cs="Times New Roman" w:eastAsia="Times New Roman" w:hint="default"/>
        </w:rPr>
        <w:t>10%</w:t>
      </w:r>
      <w:r>
        <w:rPr/>
        <w:t>或者以上；</w:t>
      </w:r>
    </w:p>
    <w:p>
      <w:pPr>
        <w:pStyle w:val="BodyText"/>
        <w:spacing w:line="297" w:lineRule="auto"/>
        <w:ind w:left="638" w:right="47"/>
        <w:jc w:val="left"/>
      </w:pPr>
      <w:r>
        <w:rPr/>
        <w:t>③该分部的分部资产占所有分部资产合计额的</w:t>
      </w:r>
      <w:r>
        <w:rPr>
          <w:spacing w:val="-53"/>
        </w:rPr>
        <w:t> </w:t>
      </w:r>
      <w:r>
        <w:rPr>
          <w:rFonts w:ascii="Times New Roman" w:hAnsi="Times New Roman" w:cs="Times New Roman" w:eastAsia="Times New Roman" w:hint="default"/>
        </w:rPr>
        <w:t>10%</w:t>
      </w:r>
      <w:r>
        <w:rPr/>
        <w:t>或者以上。</w:t>
      </w:r>
      <w:r>
        <w:rPr>
          <w:w w:val="100"/>
        </w:rPr>
        <w:t> </w:t>
      </w:r>
      <w:r>
        <w:rPr>
          <w:spacing w:val="-2"/>
        </w:rPr>
        <w:t>按上述会计政策确定的报告分部的经营分部的对外交易收入合计额占合并总收入的比重未达</w:t>
      </w:r>
    </w:p>
    <w:p>
      <w:pPr>
        <w:pStyle w:val="BodyText"/>
        <w:spacing w:line="297" w:lineRule="auto" w:before="34"/>
        <w:ind w:right="47"/>
        <w:jc w:val="left"/>
      </w:pPr>
      <w:r>
        <w:rPr/>
        <w:t>到 </w:t>
      </w:r>
      <w:r>
        <w:rPr>
          <w:rFonts w:ascii="Times New Roman" w:hAnsi="Times New Roman" w:cs="Times New Roman" w:eastAsia="Times New Roman" w:hint="default"/>
          <w:spacing w:val="-2"/>
        </w:rPr>
        <w:t>75%</w:t>
      </w:r>
      <w:r>
        <w:rPr>
          <w:spacing w:val="-2"/>
        </w:rPr>
        <w:t>时，增加报告分部的数量，按下述规定将其他未作为报告分部的经营分部纳入报告分部的</w:t>
      </w:r>
      <w:r>
        <w:rPr>
          <w:spacing w:val="-87"/>
        </w:rPr>
        <w:t> </w:t>
      </w:r>
      <w:r>
        <w:rPr>
          <w:spacing w:val="-87"/>
        </w:rPr>
      </w:r>
      <w:r>
        <w:rPr/>
        <w:t>范围，直到该比重达到</w:t>
      </w:r>
      <w:r>
        <w:rPr>
          <w:spacing w:val="-56"/>
        </w:rPr>
        <w:t> </w:t>
      </w:r>
      <w:r>
        <w:rPr>
          <w:rFonts w:ascii="Times New Roman" w:hAnsi="Times New Roman" w:cs="Times New Roman" w:eastAsia="Times New Roman" w:hint="default"/>
        </w:rPr>
        <w:t>75%</w:t>
      </w:r>
      <w:r>
        <w:rPr/>
        <w:t>：</w:t>
      </w:r>
    </w:p>
    <w:p>
      <w:pPr>
        <w:pStyle w:val="BodyText"/>
        <w:spacing w:line="240" w:lineRule="auto" w:before="13"/>
        <w:ind w:left="638" w:right="47"/>
        <w:jc w:val="left"/>
      </w:pPr>
      <w:r>
        <w:rPr/>
        <w:t>①将管理层认为披露该经营分部信息对会计信息使用者有用的经营分部确定为报告分部；</w:t>
      </w:r>
    </w:p>
    <w:p>
      <w:pPr>
        <w:pStyle w:val="BodyText"/>
        <w:spacing w:line="314" w:lineRule="auto" w:before="85"/>
        <w:ind w:right="47" w:firstLine="419"/>
        <w:jc w:val="left"/>
      </w:pPr>
      <w:r>
        <w:rPr>
          <w:spacing w:val="-2"/>
        </w:rPr>
        <w:t>②将该经营分部与一个或一个以上的具有相似经济特征、满足经营分部合并条件的其他经营</w:t>
      </w:r>
      <w:r>
        <w:rPr>
          <w:w w:val="100"/>
        </w:rPr>
        <w:t> </w:t>
      </w:r>
      <w:r>
        <w:rPr/>
        <w:t>分部合并，作为一个报告分部。</w:t>
      </w:r>
    </w:p>
    <w:p>
      <w:pPr>
        <w:pStyle w:val="BodyText"/>
        <w:spacing w:line="314" w:lineRule="auto" w:before="20"/>
        <w:ind w:right="47" w:firstLine="419"/>
        <w:jc w:val="left"/>
      </w:pPr>
      <w:r>
        <w:rPr>
          <w:spacing w:val="-2"/>
        </w:rPr>
        <w:t>分部间转移价格参照市场价格确定，与各分部共同使用的资产、相关的费用按照收入比例在</w:t>
      </w:r>
      <w:r>
        <w:rPr>
          <w:w w:val="100"/>
        </w:rPr>
        <w:t> </w:t>
      </w:r>
      <w:r>
        <w:rPr/>
        <w:t>不同的分部之间分配。</w:t>
      </w:r>
    </w:p>
    <w:p>
      <w:pPr>
        <w:pStyle w:val="Heading4"/>
        <w:spacing w:line="240" w:lineRule="auto" w:before="3"/>
        <w:ind w:right="2631"/>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31"/>
        </w:rPr>
        <w:t> </w:t>
      </w:r>
      <w:r>
        <w:rPr/>
        <w:t>报告分部的财务信息</w:t>
      </w:r>
      <w:r>
        <w:rPr>
          <w:b w:val="0"/>
          <w:bCs w:val="0"/>
        </w:rPr>
      </w:r>
    </w:p>
    <w:p>
      <w:pPr>
        <w:pStyle w:val="BodyText"/>
        <w:tabs>
          <w:tab w:pos="1060" w:val="left" w:leader="none"/>
        </w:tabs>
        <w:spacing w:line="240" w:lineRule="auto" w:before="40"/>
        <w:ind w:right="2631"/>
        <w:jc w:val="left"/>
      </w:pPr>
      <w:r>
        <w:rPr>
          <w:spacing w:val="-1"/>
        </w:rPr>
        <w:t>√适用</w:t>
        <w:tab/>
      </w:r>
      <w:r>
        <w:rPr>
          <w:spacing w:val="-2"/>
        </w:rPr>
        <w:t>□不适用</w:t>
      </w:r>
    </w:p>
    <w:p>
      <w:pPr>
        <w:pStyle w:val="BodyText"/>
        <w:tabs>
          <w:tab w:pos="1051" w:val="left" w:leader="none"/>
        </w:tabs>
        <w:spacing w:line="274" w:lineRule="exact"/>
        <w:ind w:left="0" w:right="130"/>
        <w:jc w:val="right"/>
      </w:pPr>
      <w:r>
        <w:rPr>
          <w:spacing w:val="-1"/>
        </w:rPr>
        <w:t>单位：元</w:t>
        <w:tab/>
      </w:r>
      <w:r>
        <w:rPr>
          <w:spacing w:val="-2"/>
        </w:rPr>
        <w:t>币种：人民币</w:t>
      </w:r>
    </w:p>
    <w:p>
      <w:pPr>
        <w:pStyle w:val="BodyText"/>
        <w:spacing w:line="240" w:lineRule="auto" w:before="109"/>
        <w:ind w:right="2631"/>
        <w:jc w:val="left"/>
      </w:pPr>
      <w:r>
        <w:rPr/>
        <w:t>（</w:t>
      </w:r>
      <w:r>
        <w:rPr>
          <w:rFonts w:ascii="Times New Roman" w:hAnsi="Times New Roman" w:cs="Times New Roman" w:eastAsia="Times New Roman" w:hint="default"/>
        </w:rPr>
        <w:t>1</w:t>
      </w:r>
      <w:r>
        <w:rPr/>
        <w:t>）主营业收入（分行业）</w:t>
      </w:r>
    </w:p>
    <w:p>
      <w:pPr>
        <w:spacing w:line="240" w:lineRule="auto" w:before="10"/>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238"/>
        <w:gridCol w:w="2024"/>
        <w:gridCol w:w="1983"/>
        <w:gridCol w:w="1702"/>
        <w:gridCol w:w="1887"/>
      </w:tblGrid>
      <w:tr>
        <w:trPr>
          <w:trHeight w:val="504" w:hRule="exact"/>
        </w:trPr>
        <w:tc>
          <w:tcPr>
            <w:tcW w:w="123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2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57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05" w:hRule="exact"/>
        </w:trPr>
        <w:tc>
          <w:tcPr>
            <w:tcW w:w="1238" w:type="dxa"/>
            <w:vMerge/>
            <w:tcBorders>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7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5"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5"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07"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506"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公安行业</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303,854,109.25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214,531,827.97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67" w:right="0"/>
              <w:jc w:val="left"/>
              <w:rPr>
                <w:rFonts w:ascii="Times New Roman" w:hAnsi="Times New Roman" w:cs="Times New Roman" w:eastAsia="Times New Roman" w:hint="default"/>
                <w:sz w:val="21"/>
                <w:szCs w:val="21"/>
              </w:rPr>
            </w:pPr>
            <w:r>
              <w:rPr>
                <w:rFonts w:ascii="Times New Roman"/>
                <w:sz w:val="21"/>
              </w:rPr>
              <w:t>538,924,010.68</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379,109,248.00</w:t>
            </w:r>
          </w:p>
        </w:tc>
      </w:tr>
      <w:tr>
        <w:trPr>
          <w:trHeight w:val="50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政务行业</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pacing w:val="-1"/>
                <w:sz w:val="21"/>
              </w:rPr>
              <w:t>520,439,665.61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233,395,342.96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236,207,129.49</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134,175,694.63</w:t>
            </w:r>
          </w:p>
        </w:tc>
      </w:tr>
      <w:tr>
        <w:trPr>
          <w:trHeight w:val="506"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民生行业</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pacing w:val="-1"/>
                <w:sz w:val="21"/>
              </w:rPr>
              <w:t>147,971,627.45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pacing w:val="-1"/>
                <w:sz w:val="21"/>
              </w:rPr>
              <w:t>84,253,905.68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28,652,783.78</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23,177,390.65</w:t>
            </w:r>
          </w:p>
        </w:tc>
      </w:tr>
      <w:tr>
        <w:trPr>
          <w:trHeight w:val="50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其他行业</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5,387,226.27</w:t>
            </w:r>
            <w:r>
              <w:rPr>
                <w:rFonts w:ascii="Times New Roman"/>
                <w:sz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pacing w:val="-1"/>
                <w:sz w:val="21"/>
              </w:rPr>
              <w:t>3,154,178.99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1,832,880.05</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1,050,401.13</w:t>
            </w:r>
          </w:p>
        </w:tc>
      </w:tr>
      <w:tr>
        <w:trPr>
          <w:trHeight w:val="50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977,652,628.58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pacing w:val="-1"/>
                <w:sz w:val="21"/>
              </w:rPr>
              <w:t>535,335,255.60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805,616,804.00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537,512,734.41</w:t>
            </w:r>
          </w:p>
        </w:tc>
      </w:tr>
    </w:tbl>
    <w:p>
      <w:pPr>
        <w:pStyle w:val="BodyText"/>
        <w:spacing w:line="240" w:lineRule="auto" w:before="78"/>
        <w:ind w:right="2631"/>
        <w:jc w:val="left"/>
      </w:pPr>
      <w:r>
        <w:rPr/>
        <w:t>（</w:t>
      </w:r>
      <w:r>
        <w:rPr>
          <w:rFonts w:ascii="Times New Roman" w:hAnsi="Times New Roman" w:cs="Times New Roman" w:eastAsia="Times New Roman" w:hint="default"/>
        </w:rPr>
        <w:t>2</w:t>
      </w:r>
      <w:r>
        <w:rPr/>
        <w:t>）主营业收入（分地区）</w:t>
      </w:r>
    </w:p>
    <w:p>
      <w:pPr>
        <w:spacing w:line="240" w:lineRule="auto" w:before="10"/>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238"/>
        <w:gridCol w:w="4007"/>
        <w:gridCol w:w="3589"/>
      </w:tblGrid>
      <w:tr>
        <w:trPr>
          <w:trHeight w:val="50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39" w:right="0"/>
              <w:jc w:val="center"/>
              <w:rPr>
                <w:rFonts w:ascii="宋体" w:hAnsi="宋体" w:cs="宋体" w:eastAsia="宋体" w:hint="default"/>
                <w:sz w:val="22"/>
                <w:szCs w:val="22"/>
              </w:rPr>
            </w:pPr>
            <w:r>
              <w:rPr>
                <w:rFonts w:ascii="宋体" w:hAnsi="宋体" w:cs="宋体" w:eastAsia="宋体" w:hint="default"/>
                <w:sz w:val="22"/>
                <w:szCs w:val="22"/>
              </w:rPr>
              <w:t>本期金额</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567" w:right="0"/>
              <w:jc w:val="left"/>
              <w:rPr>
                <w:rFonts w:ascii="宋体" w:hAnsi="宋体" w:cs="宋体" w:eastAsia="宋体" w:hint="default"/>
                <w:sz w:val="22"/>
                <w:szCs w:val="22"/>
              </w:rPr>
            </w:pPr>
            <w:r>
              <w:rPr>
                <w:rFonts w:ascii="宋体" w:hAnsi="宋体" w:cs="宋体" w:eastAsia="宋体" w:hint="default"/>
                <w:sz w:val="22"/>
                <w:szCs w:val="22"/>
              </w:rPr>
              <w:t>上期金额</w:t>
            </w:r>
          </w:p>
        </w:tc>
      </w:tr>
    </w:tbl>
    <w:p>
      <w:pPr>
        <w:spacing w:after="0" w:line="240" w:lineRule="auto"/>
        <w:jc w:val="left"/>
        <w:rPr>
          <w:rFonts w:ascii="宋体" w:hAnsi="宋体" w:cs="宋体" w:eastAsia="宋体" w:hint="default"/>
          <w:sz w:val="22"/>
          <w:szCs w:val="22"/>
        </w:rPr>
        <w:sectPr>
          <w:pgSz w:w="11910" w:h="16840"/>
          <w:pgMar w:header="0" w:footer="979" w:top="1120" w:bottom="1160" w:left="158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38"/>
        <w:gridCol w:w="2024"/>
        <w:gridCol w:w="1983"/>
        <w:gridCol w:w="1702"/>
        <w:gridCol w:w="1887"/>
      </w:tblGrid>
      <w:tr>
        <w:trPr>
          <w:trHeight w:val="507" w:hRule="exact"/>
        </w:trPr>
        <w:tc>
          <w:tcPr>
            <w:tcW w:w="1238" w:type="dxa"/>
            <w:tcBorders>
              <w:top w:val="single" w:sz="4" w:space="0" w:color="000000"/>
              <w:left w:val="single" w:sz="4" w:space="0" w:color="000000"/>
              <w:bottom w:val="single" w:sz="4" w:space="0" w:color="000000"/>
              <w:right w:val="single" w:sz="4" w:space="0" w:color="000000"/>
            </w:tcBorders>
          </w:tcPr>
          <w:p>
            <w:pPr/>
          </w:p>
        </w:tc>
        <w:tc>
          <w:tcPr>
            <w:tcW w:w="20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7"/>
              <w:ind w:left="37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7"/>
              <w:ind w:left="14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7"/>
              <w:ind w:left="215"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7"/>
              <w:ind w:left="307"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50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华南区</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811,162,208.72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pacing w:val="-1"/>
                <w:sz w:val="21"/>
              </w:rPr>
              <w:t>460,702,909.65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692,412,202.46</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480,112,759.52</w:t>
            </w:r>
          </w:p>
        </w:tc>
      </w:tr>
      <w:tr>
        <w:trPr>
          <w:trHeight w:val="506"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56,071,203.38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19,350,485.37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45,578,536.45</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16,429,771.44</w:t>
            </w:r>
          </w:p>
        </w:tc>
      </w:tr>
      <w:tr>
        <w:trPr>
          <w:trHeight w:val="50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华北区</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pacing w:val="-1"/>
                <w:sz w:val="21"/>
              </w:rPr>
              <w:t>68,969,102.69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pacing w:val="-1"/>
                <w:sz w:val="21"/>
              </w:rPr>
              <w:t>38,049,009.10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22,796,751.28</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3,955,755.02</w:t>
            </w:r>
          </w:p>
        </w:tc>
      </w:tr>
      <w:tr>
        <w:trPr>
          <w:trHeight w:val="506"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西部区</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pacing w:val="-1"/>
                <w:sz w:val="21"/>
              </w:rPr>
              <w:t>41,450,113.79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pacing w:val="-1"/>
                <w:sz w:val="21"/>
              </w:rPr>
              <w:t>17,232,851.47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44,829,313.81</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37,014,448.43</w:t>
            </w:r>
          </w:p>
        </w:tc>
      </w:tr>
      <w:tr>
        <w:trPr>
          <w:trHeight w:val="415"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977,652,628.58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9"/>
              <w:jc w:val="right"/>
              <w:rPr>
                <w:rFonts w:ascii="Times New Roman" w:hAnsi="Times New Roman" w:cs="Times New Roman" w:eastAsia="Times New Roman" w:hint="default"/>
                <w:sz w:val="21"/>
                <w:szCs w:val="21"/>
              </w:rPr>
            </w:pPr>
            <w:r>
              <w:rPr>
                <w:rFonts w:ascii="Times New Roman"/>
                <w:spacing w:val="-1"/>
                <w:sz w:val="21"/>
              </w:rPr>
              <w:t>535,335,255.60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805,616,804.00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537,512,734.41</w:t>
            </w:r>
          </w:p>
        </w:tc>
      </w:tr>
    </w:tbl>
    <w:p>
      <w:pPr>
        <w:spacing w:line="240" w:lineRule="auto" w:before="9"/>
        <w:rPr>
          <w:rFonts w:ascii="宋体" w:hAnsi="宋体" w:cs="宋体" w:eastAsia="宋体" w:hint="default"/>
          <w:sz w:val="18"/>
          <w:szCs w:val="18"/>
        </w:rPr>
      </w:pPr>
    </w:p>
    <w:p>
      <w:pPr>
        <w:pStyle w:val="Heading4"/>
        <w:spacing w:line="240" w:lineRule="auto"/>
        <w:ind w:right="99"/>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4"/>
        </w:rPr>
        <w:t> </w:t>
      </w:r>
      <w:r>
        <w:rPr/>
        <w:t>公司无报告分部的，或者不能披露各报告分部的资产总额和负债总额的，应说明原因</w:t>
      </w:r>
      <w:r>
        <w:rPr>
          <w:b w:val="0"/>
          <w:bCs w:val="0"/>
        </w:rPr>
      </w:r>
    </w:p>
    <w:p>
      <w:pPr>
        <w:pStyle w:val="BodyText"/>
        <w:tabs>
          <w:tab w:pos="1540" w:val="left" w:leader="none"/>
        </w:tabs>
        <w:spacing w:line="240" w:lineRule="auto" w:before="43"/>
        <w:ind w:left="698" w:right="99"/>
        <w:jc w:val="left"/>
      </w:pPr>
      <w:r>
        <w:rPr/>
        <w:t>□适用</w:t>
        <w:tab/>
        <w:t>√不适用</w:t>
      </w:r>
    </w:p>
    <w:p>
      <w:pPr>
        <w:pStyle w:val="Heading4"/>
        <w:spacing w:line="240" w:lineRule="auto" w:before="56"/>
        <w:ind w:right="99"/>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9"/>
        </w:rPr>
        <w:t> </w:t>
      </w:r>
      <w:r>
        <w:rPr/>
        <w:t>其他说明</w:t>
      </w:r>
      <w:r>
        <w:rPr>
          <w:b w:val="0"/>
          <w:bCs w:val="0"/>
        </w:rPr>
      </w:r>
    </w:p>
    <w:p>
      <w:pPr>
        <w:pStyle w:val="BodyText"/>
        <w:tabs>
          <w:tab w:pos="1540" w:val="left" w:leader="none"/>
        </w:tabs>
        <w:spacing w:line="240" w:lineRule="auto" w:before="43"/>
        <w:ind w:left="698" w:right="99"/>
        <w:jc w:val="left"/>
      </w:pPr>
      <w:r>
        <w:rPr/>
        <w:t>□适用</w:t>
        <w:tab/>
        <w:t>√不适用</w:t>
      </w:r>
    </w:p>
    <w:p>
      <w:pPr>
        <w:pStyle w:val="Heading4"/>
        <w:spacing w:line="240" w:lineRule="auto" w:before="56"/>
        <w:ind w:right="99"/>
        <w:jc w:val="left"/>
        <w:rPr>
          <w:b w:val="0"/>
          <w:bCs w:val="0"/>
        </w:rPr>
      </w:pPr>
      <w:r>
        <w:rPr>
          <w:rFonts w:ascii="Times New Roman" w:hAnsi="Times New Roman" w:cs="Times New Roman" w:eastAsia="Times New Roman" w:hint="default"/>
        </w:rPr>
        <w:t>7</w:t>
      </w:r>
      <w:r>
        <w:rPr/>
        <w:t>、</w:t>
      </w:r>
      <w:r>
        <w:rPr>
          <w:spacing w:val="4"/>
        </w:rPr>
        <w:t> </w:t>
      </w:r>
      <w:r>
        <w:rPr/>
        <w:t>其他对投资者决策有影响的重要交易和事项</w:t>
      </w:r>
      <w:r>
        <w:rPr>
          <w:b w:val="0"/>
          <w:bCs w:val="0"/>
        </w:rPr>
      </w:r>
    </w:p>
    <w:p>
      <w:pPr>
        <w:pStyle w:val="BodyText"/>
        <w:tabs>
          <w:tab w:pos="1540" w:val="left" w:leader="none"/>
        </w:tabs>
        <w:spacing w:line="314" w:lineRule="auto" w:before="119"/>
        <w:ind w:left="532" w:right="6883" w:firstLine="165"/>
        <w:jc w:val="left"/>
      </w:pPr>
      <w:r>
        <w:rPr/>
        <w:t>□适用</w:t>
        <w:tab/>
      </w:r>
      <w:r>
        <w:rPr>
          <w:spacing w:val="-2"/>
        </w:rPr>
        <w:t>√不适用</w:t>
      </w:r>
      <w:r>
        <w:rPr>
          <w:w w:val="100"/>
        </w:rPr>
        <w:t> </w:t>
      </w: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t>、配股发行</w:t>
      </w:r>
    </w:p>
    <w:p>
      <w:pPr>
        <w:pStyle w:val="BodyText"/>
        <w:spacing w:line="297" w:lineRule="auto"/>
        <w:ind w:right="203" w:firstLine="419"/>
        <w:jc w:val="left"/>
        <w:rPr>
          <w:rFonts w:ascii="Times New Roman" w:hAnsi="Times New Roman" w:cs="Times New Roman" w:eastAsia="Times New Roman" w:hint="default"/>
        </w:rPr>
      </w:pPr>
      <w:r>
        <w:rPr>
          <w:spacing w:val="-3"/>
        </w:rPr>
        <w:t>经中国证券监督管理委员会证监许可〔</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2382</w:t>
      </w:r>
      <w:r>
        <w:rPr>
          <w:rFonts w:ascii="Times New Roman" w:hAnsi="Times New Roman" w:cs="Times New Roman" w:eastAsia="Times New Roman" w:hint="default"/>
          <w:spacing w:val="21"/>
        </w:rPr>
        <w:t> </w:t>
      </w:r>
      <w:r>
        <w:rPr/>
        <w:t>号文《关于核准南威软件股份有限公司配</w:t>
      </w:r>
      <w:r>
        <w:rPr>
          <w:w w:val="100"/>
        </w:rPr>
        <w:t> </w:t>
      </w:r>
      <w:r>
        <w:rPr/>
        <w:t>股的批复》核准，公司以</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日为配股股权登记日，按上交所收市后公司总股本</w:t>
      </w:r>
      <w:r>
        <w:rPr>
          <w:spacing w:val="-40"/>
        </w:rPr>
        <w:t> </w:t>
      </w:r>
      <w:r>
        <w:rPr>
          <w:rFonts w:ascii="Times New Roman" w:hAnsi="Times New Roman" w:cs="Times New Roman" w:eastAsia="Times New Roman" w:hint="default"/>
        </w:rPr>
        <w:t>407,097,800</w:t>
      </w:r>
    </w:p>
    <w:p>
      <w:pPr>
        <w:pStyle w:val="BodyText"/>
        <w:spacing w:line="240" w:lineRule="auto" w:before="14"/>
        <w:ind w:right="99"/>
        <w:jc w:val="left"/>
      </w:pPr>
      <w:r>
        <w:rPr/>
        <w:t>股为基数，每</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股配</w:t>
      </w:r>
      <w:r>
        <w:rPr>
          <w:spacing w:val="-42"/>
        </w:rPr>
        <w:t> </w:t>
      </w:r>
      <w:r>
        <w:rPr>
          <w:rFonts w:ascii="Times New Roman" w:hAnsi="Times New Roman" w:cs="Times New Roman" w:eastAsia="Times New Roman" w:hint="default"/>
        </w:rPr>
        <w:t>2.9980377</w:t>
      </w:r>
      <w:r>
        <w:rPr>
          <w:rFonts w:ascii="Times New Roman" w:hAnsi="Times New Roman" w:cs="Times New Roman" w:eastAsia="Times New Roman" w:hint="default"/>
          <w:spacing w:val="9"/>
        </w:rPr>
        <w:t> </w:t>
      </w:r>
      <w:r>
        <w:rPr/>
        <w:t>股的比例向全体股东配售股份</w:t>
      </w:r>
      <w:r>
        <w:rPr>
          <w:spacing w:val="-43"/>
        </w:rPr>
        <w:t> </w:t>
      </w:r>
      <w:r>
        <w:rPr>
          <w:rFonts w:ascii="Times New Roman" w:hAnsi="Times New Roman" w:cs="Times New Roman" w:eastAsia="Times New Roman" w:hint="default"/>
        </w:rPr>
        <w:t>122,049,456</w:t>
      </w:r>
      <w:r>
        <w:rPr>
          <w:rFonts w:ascii="Times New Roman" w:hAnsi="Times New Roman" w:cs="Times New Roman" w:eastAsia="Times New Roman" w:hint="default"/>
          <w:spacing w:val="7"/>
        </w:rPr>
        <w:t> </w:t>
      </w:r>
      <w:r>
        <w:rPr/>
        <w:t>股，本次配股发行价</w:t>
      </w:r>
    </w:p>
    <w:p>
      <w:pPr>
        <w:pStyle w:val="BodyText"/>
        <w:spacing w:line="240" w:lineRule="auto" w:before="69"/>
        <w:ind w:right="99"/>
        <w:jc w:val="left"/>
      </w:pPr>
      <w:r>
        <w:rPr/>
        <w:t>为每股人民币</w:t>
      </w:r>
      <w:r>
        <w:rPr>
          <w:spacing w:val="-52"/>
        </w:rPr>
        <w:t> </w:t>
      </w:r>
      <w:r>
        <w:rPr>
          <w:rFonts w:ascii="Times New Roman" w:hAnsi="Times New Roman" w:cs="Times New Roman" w:eastAsia="Times New Roman" w:hint="default"/>
        </w:rPr>
        <w:t>5.50</w:t>
      </w:r>
      <w:r>
        <w:rPr>
          <w:rFonts w:ascii="Times New Roman" w:hAnsi="Times New Roman" w:cs="Times New Roman" w:eastAsia="Times New Roman" w:hint="default"/>
          <w:spacing w:val="-2"/>
        </w:rPr>
        <w:t> </w:t>
      </w:r>
      <w:r>
        <w:rPr/>
        <w:t>元。</w:t>
      </w:r>
    </w:p>
    <w:p>
      <w:pPr>
        <w:pStyle w:val="BodyText"/>
        <w:spacing w:line="240" w:lineRule="auto" w:before="69"/>
        <w:ind w:left="638" w:right="99"/>
        <w:jc w:val="left"/>
      </w:pPr>
      <w:r>
        <w:rPr>
          <w:spacing w:val="12"/>
        </w:rPr>
        <w:t>本次配股实际配售人民币普通股（</w:t>
      </w:r>
      <w:r>
        <w:rPr>
          <w:rFonts w:ascii="Times New Roman" w:hAnsi="Times New Roman" w:cs="Times New Roman" w:eastAsia="Times New Roman" w:hint="default"/>
          <w:spacing w:val="12"/>
        </w:rPr>
        <w:t>A   </w:t>
      </w:r>
      <w:r>
        <w:rPr/>
        <w:t>股）</w:t>
      </w:r>
      <w:r>
        <w:rPr>
          <w:rFonts w:ascii="Times New Roman" w:hAnsi="Times New Roman" w:cs="Times New Roman" w:eastAsia="Times New Roman" w:hint="default"/>
        </w:rPr>
        <w:t>120,159,152 </w:t>
      </w:r>
      <w:r>
        <w:rPr>
          <w:rFonts w:ascii="Times New Roman" w:hAnsi="Times New Roman" w:cs="Times New Roman" w:eastAsia="Times New Roman" w:hint="default"/>
          <w:spacing w:val="44"/>
        </w:rPr>
        <w:t> </w:t>
      </w:r>
      <w:r>
        <w:rPr>
          <w:spacing w:val="11"/>
        </w:rPr>
        <w:t>股，实际募集资金净额为人民币</w:t>
      </w:r>
    </w:p>
    <w:p>
      <w:pPr>
        <w:pStyle w:val="BodyText"/>
        <w:spacing w:line="240" w:lineRule="auto" w:before="69"/>
        <w:ind w:right="0"/>
        <w:jc w:val="left"/>
      </w:pPr>
      <w:r>
        <w:rPr>
          <w:rFonts w:ascii="Times New Roman" w:hAnsi="Times New Roman" w:cs="Times New Roman" w:eastAsia="Times New Roman" w:hint="default"/>
        </w:rPr>
        <w:t>651,159,235.15 </w:t>
      </w:r>
      <w:r>
        <w:rPr/>
        <w:t>元，变更后的注册资本为人民币</w:t>
      </w:r>
      <w:r>
        <w:rPr>
          <w:spacing w:val="-53"/>
        </w:rPr>
        <w:t> </w:t>
      </w:r>
      <w:r>
        <w:rPr>
          <w:rFonts w:ascii="Times New Roman" w:hAnsi="Times New Roman" w:cs="Times New Roman" w:eastAsia="Times New Roman" w:hint="default"/>
        </w:rPr>
        <w:t>527,256,952.00 </w:t>
      </w:r>
      <w:r>
        <w:rPr/>
        <w:t>元</w:t>
      </w:r>
      <w:r>
        <w:rPr>
          <w:rFonts w:ascii="宋体" w:hAnsi="宋体" w:cs="宋体" w:eastAsia="宋体" w:hint="default"/>
        </w:rPr>
        <w:t>,</w:t>
      </w:r>
      <w:r>
        <w:rPr/>
        <w:t>股本总数为</w:t>
      </w:r>
      <w:r>
        <w:rPr>
          <w:spacing w:val="-52"/>
        </w:rPr>
        <w:t> </w:t>
      </w:r>
      <w:r>
        <w:rPr>
          <w:rFonts w:ascii="Times New Roman" w:hAnsi="Times New Roman" w:cs="Times New Roman" w:eastAsia="Times New Roman" w:hint="default"/>
        </w:rPr>
        <w:t>527,256,952.00</w:t>
      </w:r>
      <w:r>
        <w:rPr>
          <w:rFonts w:ascii="Times New Roman" w:hAnsi="Times New Roman" w:cs="Times New Roman" w:eastAsia="Times New Roman" w:hint="default"/>
          <w:spacing w:val="2"/>
        </w:rPr>
        <w:t> </w:t>
      </w:r>
      <w:r>
        <w:rPr>
          <w:spacing w:val="-3"/>
        </w:rPr>
        <w:t>元。</w:t>
      </w:r>
      <w:r>
        <w:rPr/>
      </w:r>
    </w:p>
    <w:p>
      <w:pPr>
        <w:pStyle w:val="BodyText"/>
        <w:spacing w:line="240" w:lineRule="auto" w:before="69"/>
        <w:ind w:right="99"/>
        <w:jc w:val="left"/>
        <w:rPr>
          <w:rFonts w:ascii="Times New Roman" w:hAnsi="Times New Roman" w:cs="Times New Roman" w:eastAsia="Times New Roman" w:hint="default"/>
        </w:rPr>
      </w:pPr>
      <w:r>
        <w:rPr>
          <w:spacing w:val="-4"/>
        </w:rPr>
        <w:t>经上海证券交易所同意，公司本次配股共计配售的</w:t>
      </w:r>
      <w:r>
        <w:rPr>
          <w:spacing w:val="-49"/>
        </w:rPr>
        <w:t> </w:t>
      </w:r>
      <w:r>
        <w:rPr>
          <w:rFonts w:ascii="Times New Roman" w:hAnsi="Times New Roman" w:cs="Times New Roman" w:eastAsia="Times New Roman" w:hint="default"/>
        </w:rPr>
        <w:t>120,159,152</w:t>
      </w:r>
      <w:r>
        <w:rPr>
          <w:rFonts w:ascii="Times New Roman" w:hAnsi="Times New Roman" w:cs="Times New Roman" w:eastAsia="Times New Roman" w:hint="default"/>
          <w:spacing w:val="6"/>
        </w:rPr>
        <w:t> </w:t>
      </w:r>
      <w:r>
        <w:rPr/>
        <w:t>股人民币普通股于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30</w:t>
      </w:r>
    </w:p>
    <w:p>
      <w:pPr>
        <w:pStyle w:val="BodyText"/>
        <w:spacing w:line="240" w:lineRule="auto" w:before="69"/>
        <w:ind w:right="99"/>
        <w:jc w:val="left"/>
      </w:pPr>
      <w:r>
        <w:rPr/>
        <w:t>日起上市流通。</w:t>
      </w:r>
    </w:p>
    <w:p>
      <w:pPr>
        <w:pStyle w:val="BodyText"/>
        <w:spacing w:line="240" w:lineRule="auto" w:before="85"/>
        <w:ind w:left="638" w:right="99"/>
        <w:jc w:val="left"/>
      </w:pPr>
      <w:r>
        <w:rPr/>
        <w:t>（</w:t>
      </w:r>
      <w:r>
        <w:rPr>
          <w:rFonts w:ascii="Times New Roman" w:hAnsi="Times New Roman" w:cs="Times New Roman" w:eastAsia="Times New Roman" w:hint="default"/>
        </w:rPr>
        <w:t>2</w:t>
      </w:r>
      <w:r>
        <w:rPr/>
        <w:t>）完成控股子公司股权转让</w:t>
      </w:r>
    </w:p>
    <w:p>
      <w:pPr>
        <w:pStyle w:val="BodyText"/>
        <w:spacing w:line="240" w:lineRule="auto" w:before="69"/>
        <w:ind w:left="638" w:right="99"/>
        <w:jc w:val="left"/>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10"/>
        </w:rPr>
        <w:t> </w:t>
      </w:r>
      <w:r>
        <w:rPr>
          <w:w w:val="100"/>
        </w:rPr>
        <w:t>年</w:t>
      </w:r>
      <w:r>
        <w:rPr>
          <w:spacing w:val="-62"/>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0"/>
        </w:rPr>
        <w:t> </w:t>
      </w:r>
      <w:r>
        <w:rPr>
          <w:w w:val="100"/>
        </w:rPr>
        <w:t>月</w:t>
      </w:r>
      <w:r>
        <w:rPr>
          <w:spacing w:val="-60"/>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spacing w:val="-10"/>
        </w:rPr>
        <w:t> </w:t>
      </w:r>
      <w:r>
        <w:rPr>
          <w:w w:val="100"/>
        </w:rPr>
        <w:t>日</w:t>
      </w:r>
      <w:r>
        <w:rPr>
          <w:spacing w:val="-106"/>
          <w:w w:val="100"/>
        </w:rPr>
        <w:t>，</w:t>
      </w:r>
      <w:r>
        <w:rPr>
          <w:spacing w:val="-3"/>
          <w:w w:val="100"/>
        </w:rPr>
        <w:t>公</w:t>
      </w:r>
      <w:r>
        <w:rPr>
          <w:w w:val="100"/>
        </w:rPr>
        <w:t>司</w:t>
      </w:r>
      <w:r>
        <w:rPr>
          <w:spacing w:val="-3"/>
          <w:w w:val="100"/>
        </w:rPr>
        <w:t>与</w:t>
      </w:r>
      <w:r>
        <w:rPr>
          <w:w w:val="100"/>
        </w:rPr>
        <w:t>珠海</w:t>
      </w:r>
      <w:r>
        <w:rPr>
          <w:spacing w:val="-3"/>
          <w:w w:val="100"/>
        </w:rPr>
        <w:t>汇</w:t>
      </w:r>
      <w:r>
        <w:rPr>
          <w:w w:val="100"/>
        </w:rPr>
        <w:t>垠</w:t>
      </w:r>
      <w:r>
        <w:rPr>
          <w:spacing w:val="-3"/>
          <w:w w:val="100"/>
        </w:rPr>
        <w:t>意</w:t>
      </w:r>
      <w:r>
        <w:rPr>
          <w:w w:val="100"/>
        </w:rPr>
        <w:t>中</w:t>
      </w:r>
      <w:r>
        <w:rPr>
          <w:spacing w:val="-3"/>
          <w:w w:val="100"/>
        </w:rPr>
        <w:t>投</w:t>
      </w:r>
      <w:r>
        <w:rPr>
          <w:w w:val="100"/>
        </w:rPr>
        <w:t>资</w:t>
      </w:r>
      <w:r>
        <w:rPr>
          <w:spacing w:val="-3"/>
          <w:w w:val="100"/>
        </w:rPr>
        <w:t>合</w:t>
      </w:r>
      <w:r>
        <w:rPr>
          <w:w w:val="100"/>
        </w:rPr>
        <w:t>伙</w:t>
      </w:r>
      <w:r>
        <w:rPr>
          <w:spacing w:val="-3"/>
          <w:w w:val="100"/>
        </w:rPr>
        <w:t>企</w:t>
      </w:r>
      <w:r>
        <w:rPr>
          <w:spacing w:val="-106"/>
          <w:w w:val="100"/>
        </w:rPr>
        <w:t>业</w:t>
      </w:r>
      <w:r>
        <w:rPr>
          <w:w w:val="100"/>
        </w:rPr>
        <w:t>（</w:t>
      </w:r>
      <w:r>
        <w:rPr>
          <w:spacing w:val="-3"/>
          <w:w w:val="100"/>
        </w:rPr>
        <w:t>有</w:t>
      </w:r>
      <w:r>
        <w:rPr>
          <w:w w:val="100"/>
        </w:rPr>
        <w:t>限</w:t>
      </w:r>
      <w:r>
        <w:rPr>
          <w:spacing w:val="-3"/>
          <w:w w:val="100"/>
        </w:rPr>
        <w:t>合</w:t>
      </w:r>
      <w:r>
        <w:rPr>
          <w:w w:val="100"/>
        </w:rPr>
        <w:t>伙</w:t>
      </w:r>
      <w:r>
        <w:rPr>
          <w:spacing w:val="-212"/>
          <w:w w:val="100"/>
        </w:rPr>
        <w:t>）</w:t>
      </w:r>
      <w:r>
        <w:rPr>
          <w:spacing w:val="-3"/>
          <w:w w:val="100"/>
        </w:rPr>
        <w:t>（</w:t>
      </w:r>
      <w:r>
        <w:rPr>
          <w:w w:val="100"/>
        </w:rPr>
        <w:t>以</w:t>
      </w:r>
      <w:r>
        <w:rPr>
          <w:spacing w:val="-3"/>
          <w:w w:val="100"/>
        </w:rPr>
        <w:t>下</w:t>
      </w:r>
      <w:r>
        <w:rPr>
          <w:w w:val="100"/>
        </w:rPr>
        <w:t>简</w:t>
      </w:r>
      <w:r>
        <w:rPr>
          <w:spacing w:val="-2"/>
          <w:w w:val="100"/>
        </w:rPr>
        <w:t>称</w:t>
      </w:r>
      <w:r>
        <w:rPr>
          <w:spacing w:val="-3"/>
          <w:w w:val="100"/>
        </w:rPr>
        <w:t>“</w:t>
      </w:r>
      <w:r>
        <w:rPr>
          <w:w w:val="100"/>
        </w:rPr>
        <w:t>珠海</w:t>
      </w:r>
      <w:r>
        <w:rPr>
          <w:spacing w:val="-3"/>
          <w:w w:val="100"/>
        </w:rPr>
        <w:t>汇</w:t>
      </w:r>
      <w:r>
        <w:rPr>
          <w:spacing w:val="-1"/>
          <w:w w:val="100"/>
        </w:rPr>
        <w:t>垠</w:t>
      </w:r>
      <w:r>
        <w:rPr>
          <w:spacing w:val="-3"/>
          <w:w w:val="100"/>
        </w:rPr>
        <w:t>”</w:t>
      </w:r>
      <w:r>
        <w:rPr>
          <w:w w:val="100"/>
        </w:rPr>
        <w:t>）</w:t>
      </w:r>
    </w:p>
    <w:p>
      <w:pPr>
        <w:pStyle w:val="BodyText"/>
        <w:spacing w:line="240" w:lineRule="auto" w:before="69"/>
        <w:ind w:right="99"/>
        <w:jc w:val="left"/>
      </w:pPr>
      <w:r>
        <w:rPr/>
        <w:t>签订了《股权转让协议》，珠海汇垠以人民币 </w:t>
      </w:r>
      <w:r>
        <w:rPr>
          <w:rFonts w:ascii="Times New Roman" w:hAnsi="Times New Roman" w:cs="Times New Roman" w:eastAsia="Times New Roman" w:hint="default"/>
        </w:rPr>
        <w:t>2,550</w:t>
      </w:r>
      <w:r>
        <w:rPr>
          <w:rFonts w:ascii="Times New Roman" w:hAnsi="Times New Roman" w:cs="Times New Roman" w:eastAsia="Times New Roman" w:hint="default"/>
          <w:spacing w:val="4"/>
        </w:rPr>
        <w:t> </w:t>
      </w:r>
      <w:r>
        <w:rPr/>
        <w:t>万元受让本公司之子公司福建神威系统集成</w:t>
      </w:r>
    </w:p>
    <w:p>
      <w:pPr>
        <w:pStyle w:val="BodyText"/>
        <w:spacing w:line="240" w:lineRule="auto" w:before="70"/>
        <w:ind w:right="99"/>
        <w:jc w:val="left"/>
      </w:pPr>
      <w:r>
        <w:rPr/>
        <w:t>有限责任公司</w:t>
      </w:r>
      <w:r>
        <w:rPr>
          <w:spacing w:val="-54"/>
        </w:rPr>
        <w:t> </w:t>
      </w:r>
      <w:r>
        <w:rPr>
          <w:rFonts w:ascii="Times New Roman" w:hAnsi="Times New Roman" w:cs="Times New Roman" w:eastAsia="Times New Roman" w:hint="default"/>
        </w:rPr>
        <w:t>51%</w:t>
      </w:r>
      <w:r>
        <w:rPr/>
        <w:t>的股权。本次股权转让于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月日完成工商变更登记手续。</w:t>
      </w:r>
    </w:p>
    <w:p>
      <w:pPr>
        <w:pStyle w:val="BodyText"/>
        <w:spacing w:line="240" w:lineRule="auto" w:before="69"/>
        <w:ind w:left="638" w:right="99"/>
        <w:jc w:val="left"/>
      </w:pPr>
      <w:r>
        <w:rPr/>
        <w:t>（</w:t>
      </w:r>
      <w:r>
        <w:rPr>
          <w:rFonts w:ascii="宋体" w:hAnsi="宋体" w:cs="宋体" w:eastAsia="宋体" w:hint="default"/>
        </w:rPr>
        <w:t>3</w:t>
      </w:r>
      <w:r>
        <w:rPr/>
        <w:t>）完成对深圳太极云软技术股份有限公司的收购</w:t>
      </w:r>
    </w:p>
    <w:p>
      <w:pPr>
        <w:pStyle w:val="BodyText"/>
        <w:spacing w:line="302" w:lineRule="auto" w:before="85"/>
        <w:ind w:right="207" w:firstLine="419"/>
        <w:jc w:val="right"/>
        <w:rPr>
          <w:rFonts w:ascii="Times New Roman" w:hAnsi="Times New Roman" w:cs="Times New Roman" w:eastAsia="Times New Roman"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24</w:t>
      </w:r>
      <w:r>
        <w:rPr>
          <w:rFonts w:ascii="Times New Roman" w:hAnsi="Times New Roman" w:cs="Times New Roman" w:eastAsia="Times New Roman" w:hint="default"/>
          <w:spacing w:val="9"/>
        </w:rPr>
        <w:t> </w:t>
      </w:r>
      <w:r>
        <w:rPr/>
        <w:t>日，公司与深圳太极云软股权投资管理合伙企业（普通合伙）、深圳潇湘君</w:t>
      </w:r>
      <w:r>
        <w:rPr>
          <w:w w:val="100"/>
        </w:rPr>
        <w:t> </w:t>
      </w:r>
      <w:r>
        <w:rPr>
          <w:spacing w:val="-4"/>
        </w:rPr>
        <w:t>辰企业（有限合伙）、深圳得壹卓投资企业（有限合伙）、邱德强、巩福、曾崛（以下简称</w:t>
      </w:r>
      <w:r>
        <w:rPr>
          <w:rFonts w:ascii="Times New Roman" w:hAnsi="Times New Roman" w:cs="Times New Roman" w:eastAsia="Times New Roman" w:hint="default"/>
          <w:spacing w:val="-4"/>
        </w:rPr>
        <w:t>“</w:t>
      </w:r>
      <w:r>
        <w:rPr>
          <w:spacing w:val="-4"/>
        </w:rPr>
        <w:t>交易</w:t>
      </w:r>
      <w:r>
        <w:rPr>
          <w:spacing w:val="-45"/>
        </w:rPr>
        <w:t> </w:t>
      </w:r>
      <w:r>
        <w:rPr>
          <w:spacing w:val="-4"/>
        </w:rPr>
        <w:t>对方</w:t>
      </w:r>
      <w:r>
        <w:rPr>
          <w:rFonts w:ascii="Times New Roman" w:hAnsi="Times New Roman" w:cs="Times New Roman" w:eastAsia="Times New Roman" w:hint="default"/>
          <w:spacing w:val="-4"/>
        </w:rPr>
        <w:t>”</w:t>
      </w:r>
      <w:r>
        <w:rPr>
          <w:spacing w:val="-4"/>
        </w:rPr>
        <w:t>）签署了《南威软件股份有限公司与深圳太极云软技术股份有限公司股东之资产购买框架协</w:t>
      </w:r>
      <w:r>
        <w:rPr>
          <w:spacing w:val="-45"/>
        </w:rPr>
        <w:t> </w:t>
      </w:r>
      <w:r>
        <w:rPr>
          <w:spacing w:val="-45"/>
        </w:rPr>
      </w:r>
      <w:r>
        <w:rPr>
          <w:spacing w:val="-2"/>
        </w:rPr>
        <w:t>议》和《南威软件股份有限公司与深圳太极云软技术股份有限公司股东之盈利预测补偿协议》。</w:t>
      </w:r>
      <w:r>
        <w:rPr>
          <w:spacing w:val="-53"/>
        </w:rPr>
        <w:t> </w:t>
      </w:r>
      <w:r>
        <w:rPr>
          <w:spacing w:val="-53"/>
        </w:rPr>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spacing w:val="-3"/>
        </w:rPr>
        <w:t>日，公司与交易对方签署了《南威软件股份有限公司与深圳太极云软技术股份</w:t>
      </w:r>
      <w:r>
        <w:rPr>
          <w:w w:val="100"/>
        </w:rPr>
        <w:t> </w:t>
      </w:r>
      <w:r>
        <w:rPr>
          <w:spacing w:val="-1"/>
        </w:rPr>
        <w:t>有限公司股东之资产购买框架协议之补充协议》。公司拟以现金方式收购交易对方持有的深圳太</w:t>
      </w:r>
      <w:r>
        <w:rPr>
          <w:spacing w:val="-73"/>
        </w:rPr>
        <w:t> </w:t>
      </w:r>
      <w:r>
        <w:rPr>
          <w:spacing w:val="-73"/>
        </w:rPr>
      </w:r>
      <w:r>
        <w:rPr>
          <w:spacing w:val="-12"/>
          <w:w w:val="100"/>
        </w:rPr>
        <w:t>极云软技术股份有限公司（以下简称“太极云软”）</w:t>
      </w:r>
      <w:r>
        <w:rPr>
          <w:rFonts w:ascii="Times New Roman" w:hAnsi="Times New Roman" w:cs="Times New Roman" w:eastAsia="Times New Roman" w:hint="default"/>
          <w:spacing w:val="-12"/>
          <w:w w:val="100"/>
        </w:rPr>
        <w:t>61%</w:t>
      </w:r>
      <w:r>
        <w:rPr>
          <w:spacing w:val="-12"/>
          <w:w w:val="100"/>
        </w:rPr>
        <w:t>股份，股份转让总价款为人民币</w:t>
      </w:r>
      <w:r>
        <w:rPr>
          <w:spacing w:val="-49"/>
          <w:w w:val="100"/>
        </w:rPr>
        <w:t> </w:t>
      </w:r>
      <w:r>
        <w:rPr>
          <w:rFonts w:ascii="Times New Roman" w:hAnsi="Times New Roman" w:cs="Times New Roman" w:eastAsia="Times New Roman" w:hint="default"/>
          <w:spacing w:val="-1"/>
          <w:w w:val="100"/>
        </w:rPr>
        <w:t>213,488,450</w:t>
      </w:r>
    </w:p>
    <w:p>
      <w:pPr>
        <w:pStyle w:val="BodyText"/>
        <w:spacing w:line="240" w:lineRule="auto" w:before="9"/>
        <w:ind w:right="99"/>
        <w:jc w:val="left"/>
      </w:pPr>
      <w:r>
        <w:rPr/>
        <w:t>元。</w:t>
      </w:r>
    </w:p>
    <w:p>
      <w:pPr>
        <w:spacing w:after="0" w:line="240" w:lineRule="auto"/>
        <w:jc w:val="left"/>
        <w:sectPr>
          <w:pgSz w:w="11910" w:h="16840"/>
          <w:pgMar w:header="0" w:footer="979" w:top="1120" w:bottom="1160" w:left="1580" w:right="1060"/>
        </w:sectPr>
      </w:pPr>
    </w:p>
    <w:p>
      <w:pPr>
        <w:spacing w:line="240" w:lineRule="auto" w:before="0"/>
        <w:rPr>
          <w:rFonts w:ascii="宋体" w:hAnsi="宋体" w:cs="宋体" w:eastAsia="宋体" w:hint="default"/>
          <w:sz w:val="20"/>
          <w:szCs w:val="20"/>
        </w:rPr>
      </w:pPr>
    </w:p>
    <w:p>
      <w:pPr>
        <w:pStyle w:val="BodyText"/>
        <w:spacing w:line="290" w:lineRule="auto" w:before="177"/>
        <w:ind w:right="47" w:firstLine="419"/>
        <w:jc w:val="left"/>
        <w:rPr>
          <w:rFonts w:ascii="宋体" w:hAnsi="宋体" w:cs="宋体" w:eastAsia="宋体"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28</w:t>
      </w:r>
      <w:r>
        <w:rPr>
          <w:rFonts w:ascii="Times New Roman" w:hAnsi="Times New Roman" w:cs="Times New Roman" w:eastAsia="Times New Roman" w:hint="default"/>
          <w:spacing w:val="10"/>
        </w:rPr>
        <w:t> </w:t>
      </w:r>
      <w:r>
        <w:rPr>
          <w:spacing w:val="-3"/>
        </w:rPr>
        <w:t>日，深圳市市场监督管理局出具了《变更（备案）通知书》公司现金收购深</w:t>
      </w:r>
      <w:r>
        <w:rPr>
          <w:w w:val="100"/>
        </w:rPr>
        <w:t> </w:t>
      </w:r>
      <w:r>
        <w:rPr/>
        <w:t>圳太极</w:t>
      </w:r>
      <w:r>
        <w:rPr>
          <w:spacing w:val="-55"/>
        </w:rPr>
        <w:t> </w:t>
      </w:r>
      <w:r>
        <w:rPr>
          <w:rFonts w:ascii="Times New Roman" w:hAnsi="Times New Roman" w:cs="Times New Roman" w:eastAsia="Times New Roman" w:hint="default"/>
        </w:rPr>
        <w:t>61%</w:t>
      </w:r>
      <w:r>
        <w:rPr/>
        <w:t>股份的过户手续已经完成。自本次交割完成后，太极云软成为公司的控股子公司。</w:t>
      </w:r>
      <w:r>
        <w:rPr>
          <w:w w:val="100"/>
        </w:rPr>
        <w:t> </w:t>
      </w:r>
      <w:r>
        <w:rPr>
          <w:rFonts w:ascii="Times New Roman" w:hAnsi="Times New Roman" w:cs="Times New Roman" w:eastAsia="Times New Roman" w:hint="default"/>
          <w:b/>
          <w:bCs/>
        </w:rPr>
        <w:t>8</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其他</w:t>
      </w:r>
      <w:r>
        <w:rPr>
          <w:rFonts w:ascii="宋体" w:hAnsi="宋体" w:cs="宋体" w:eastAsia="宋体" w:hint="default"/>
        </w:rPr>
      </w:r>
    </w:p>
    <w:p>
      <w:pPr>
        <w:pStyle w:val="BodyText"/>
        <w:tabs>
          <w:tab w:pos="1540" w:val="left" w:leader="none"/>
        </w:tabs>
        <w:spacing w:line="269" w:lineRule="exact"/>
        <w:ind w:left="698" w:right="2631"/>
        <w:jc w:val="left"/>
      </w:pPr>
      <w:r>
        <w:rPr/>
        <w:t>□适用</w:t>
        <w:tab/>
        <w:t>√不适用</w:t>
      </w:r>
    </w:p>
    <w:p>
      <w:pPr>
        <w:pStyle w:val="Heading4"/>
        <w:tabs>
          <w:tab w:pos="1057" w:val="left" w:leader="none"/>
        </w:tabs>
        <w:spacing w:line="240" w:lineRule="auto" w:before="56"/>
        <w:ind w:right="2631"/>
        <w:jc w:val="left"/>
        <w:rPr>
          <w:b w:val="0"/>
          <w:bCs w:val="0"/>
        </w:rPr>
      </w:pPr>
      <w:r>
        <w:rPr/>
        <w:t>十七、</w:t>
        <w:tab/>
        <w:t>母公司财务报表主要项目注释</w:t>
      </w:r>
      <w:r>
        <w:rPr>
          <w:b w:val="0"/>
          <w:bCs w:val="0"/>
        </w:rPr>
      </w:r>
    </w:p>
    <w:p>
      <w:pPr>
        <w:pStyle w:val="Heading4"/>
        <w:spacing w:line="273" w:lineRule="auto" w:before="58"/>
        <w:ind w:right="6623"/>
        <w:jc w:val="left"/>
        <w:rPr>
          <w:b w:val="0"/>
          <w:bCs w:val="0"/>
        </w:rPr>
      </w:pPr>
      <w:r>
        <w:rPr>
          <w:rFonts w:ascii="Times New Roman" w:hAnsi="Times New Roman" w:cs="Times New Roman" w:eastAsia="Times New Roman" w:hint="default"/>
        </w:rPr>
        <w:t>1</w:t>
      </w:r>
      <w:r>
        <w:rPr/>
        <w:t>、</w:t>
      </w:r>
      <w:r>
        <w:rPr>
          <w:spacing w:val="6"/>
        </w:rPr>
        <w:t> </w:t>
      </w:r>
      <w:r>
        <w:rPr/>
        <w:t>应收票据及应收账款</w:t>
      </w:r>
      <w:r>
        <w:rPr>
          <w:w w:val="100"/>
        </w:rPr>
        <w:t> </w:t>
      </w:r>
      <w:r>
        <w:rPr/>
        <w:t>总表情况</w:t>
      </w:r>
      <w:r>
        <w:rPr>
          <w:b w:val="0"/>
          <w:bCs w:val="0"/>
        </w:rPr>
      </w:r>
    </w:p>
    <w:p>
      <w:pPr>
        <w:pStyle w:val="Heading4"/>
        <w:spacing w:line="240" w:lineRule="auto" w:before="29"/>
        <w:ind w:right="2631"/>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分类列示</w:t>
      </w:r>
      <w:r>
        <w:rPr>
          <w:b w:val="0"/>
          <w:bCs w:val="0"/>
        </w:rPr>
      </w:r>
    </w:p>
    <w:p>
      <w:pPr>
        <w:pStyle w:val="BodyText"/>
        <w:spacing w:line="240" w:lineRule="auto" w:before="40"/>
        <w:ind w:left="698" w:right="2631"/>
        <w:jc w:val="left"/>
      </w:pPr>
      <w:r>
        <w:rPr/>
        <w:t>√适用 □不适用</w:t>
      </w:r>
    </w:p>
    <w:p>
      <w:pPr>
        <w:pStyle w:val="BodyText"/>
        <w:tabs>
          <w:tab w:pos="1051" w:val="left" w:leader="none"/>
        </w:tabs>
        <w:spacing w:line="274" w:lineRule="exact"/>
        <w:ind w:left="0" w:right="233"/>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13"/>
        <w:gridCol w:w="2864"/>
        <w:gridCol w:w="2847"/>
      </w:tblGrid>
      <w:tr>
        <w:trPr>
          <w:trHeight w:val="284"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195,680,383.64</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267,073,411.93</w:t>
            </w: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195,680,383.64</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267,073,411.93</w:t>
            </w:r>
          </w:p>
        </w:tc>
      </w:tr>
    </w:tbl>
    <w:p>
      <w:pPr>
        <w:spacing w:line="240" w:lineRule="auto" w:before="3"/>
        <w:rPr>
          <w:rFonts w:ascii="宋体" w:hAnsi="宋体" w:cs="宋体" w:eastAsia="宋体" w:hint="default"/>
          <w:sz w:val="21"/>
          <w:szCs w:val="21"/>
        </w:rPr>
      </w:pPr>
    </w:p>
    <w:p>
      <w:pPr>
        <w:pStyle w:val="BodyText"/>
        <w:spacing w:line="240" w:lineRule="auto" w:before="36"/>
        <w:ind w:right="2631"/>
        <w:jc w:val="left"/>
      </w:pPr>
      <w:r>
        <w:rPr/>
        <w:t>其他说明：</w:t>
      </w:r>
    </w:p>
    <w:p>
      <w:pPr>
        <w:spacing w:line="367" w:lineRule="auto" w:before="85"/>
        <w:ind w:left="218" w:right="6954" w:firstLine="419"/>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应收票据</w:t>
      </w:r>
      <w:r>
        <w:rPr>
          <w:rFonts w:ascii="宋体" w:hAnsi="宋体" w:cs="宋体" w:eastAsia="宋体" w:hint="default"/>
          <w:sz w:val="21"/>
          <w:szCs w:val="21"/>
        </w:rPr>
      </w:r>
    </w:p>
    <w:p>
      <w:pPr>
        <w:pStyle w:val="Heading4"/>
        <w:spacing w:line="240" w:lineRule="auto" w:before="34"/>
        <w:ind w:right="2631"/>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应收票据分类列示</w:t>
      </w:r>
      <w:r>
        <w:rPr>
          <w:b w:val="0"/>
          <w:bCs w:val="0"/>
        </w:rPr>
      </w:r>
    </w:p>
    <w:p>
      <w:pPr>
        <w:pStyle w:val="BodyText"/>
        <w:spacing w:line="240" w:lineRule="auto" w:before="129"/>
        <w:ind w:left="698" w:right="2631"/>
        <w:jc w:val="left"/>
      </w:pPr>
      <w:r>
        <w:rPr/>
        <w:t>□适用 √不适用</w:t>
      </w:r>
    </w:p>
    <w:p>
      <w:pPr>
        <w:pStyle w:val="Heading4"/>
        <w:spacing w:line="240" w:lineRule="auto" w:before="145"/>
        <w:ind w:right="2631"/>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期末公司已质押的应收票据</w:t>
      </w:r>
      <w:r>
        <w:rPr>
          <w:b w:val="0"/>
          <w:bCs w:val="0"/>
        </w:rPr>
      </w:r>
    </w:p>
    <w:p>
      <w:pPr>
        <w:pStyle w:val="BodyText"/>
        <w:spacing w:line="240" w:lineRule="auto" w:before="129"/>
        <w:ind w:left="698" w:right="2631"/>
        <w:jc w:val="left"/>
      </w:pPr>
      <w:r>
        <w:rPr/>
        <w:t>□适用 √不适用</w:t>
      </w:r>
    </w:p>
    <w:p>
      <w:pPr>
        <w:pStyle w:val="Heading4"/>
        <w:spacing w:line="240" w:lineRule="auto" w:before="145"/>
        <w:ind w:right="2631"/>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期末公司已背书或贴现且在资产负债表日尚未到期的应收票据</w:t>
      </w:r>
      <w:r>
        <w:rPr>
          <w:b w:val="0"/>
          <w:bCs w:val="0"/>
        </w:rPr>
      </w:r>
    </w:p>
    <w:p>
      <w:pPr>
        <w:pStyle w:val="BodyText"/>
        <w:spacing w:line="240" w:lineRule="auto" w:before="129"/>
        <w:ind w:left="638" w:right="2631"/>
        <w:jc w:val="left"/>
      </w:pPr>
      <w:r>
        <w:rPr/>
        <w:t>□适用 √不适用</w:t>
      </w:r>
    </w:p>
    <w:p>
      <w:pPr>
        <w:pStyle w:val="Heading4"/>
        <w:spacing w:line="240" w:lineRule="auto" w:before="145"/>
        <w:ind w:right="2631"/>
        <w:jc w:val="left"/>
        <w:rPr>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51"/>
        </w:rPr>
        <w:t> </w:t>
      </w:r>
      <w:r>
        <w:rPr/>
        <w:t>期末公司因出票人未履约而将其转应收账款的票据</w:t>
      </w:r>
      <w:r>
        <w:rPr>
          <w:b w:val="0"/>
          <w:bCs w:val="0"/>
        </w:rPr>
      </w:r>
    </w:p>
    <w:p>
      <w:pPr>
        <w:pStyle w:val="BodyText"/>
        <w:spacing w:line="314" w:lineRule="auto" w:before="129"/>
        <w:ind w:left="640" w:right="6894" w:firstLine="57"/>
        <w:jc w:val="left"/>
      </w:pPr>
      <w:r>
        <w:rPr/>
        <w:t>□适用 √不适用</w:t>
      </w:r>
      <w:r>
        <w:rPr>
          <w:w w:val="100"/>
        </w:rPr>
        <w:t> </w:t>
      </w:r>
      <w:r>
        <w:rPr/>
        <w:t>其他说明：</w:t>
      </w:r>
    </w:p>
    <w:p>
      <w:pPr>
        <w:pStyle w:val="BodyText"/>
        <w:spacing w:line="240" w:lineRule="auto" w:before="20"/>
        <w:ind w:left="638" w:right="2631"/>
        <w:jc w:val="left"/>
      </w:pPr>
      <w:r>
        <w:rPr/>
        <w:t>□适用 √不适用</w:t>
      </w:r>
    </w:p>
    <w:p>
      <w:pPr>
        <w:spacing w:after="0" w:line="240" w:lineRule="auto"/>
        <w:jc w:val="left"/>
        <w:sectPr>
          <w:pgSz w:w="11910" w:h="16840"/>
          <w:pgMar w:header="0" w:footer="979" w:top="1120" w:bottom="1160" w:left="15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0"/>
          <w:footerReference w:type="default" r:id="rId71"/>
          <w:pgSz w:w="16840" w:h="11910" w:orient="landscape"/>
          <w:pgMar w:header="857" w:footer="980" w:top="1120" w:bottom="1160" w:left="1300" w:right="1400"/>
          <w:pgNumType w:start="225"/>
        </w:sectPr>
      </w:pPr>
    </w:p>
    <w:p>
      <w:pPr>
        <w:spacing w:line="240" w:lineRule="auto" w:before="12"/>
        <w:rPr>
          <w:rFonts w:ascii="宋体" w:hAnsi="宋体" w:cs="宋体" w:eastAsia="宋体" w:hint="default"/>
          <w:sz w:val="13"/>
          <w:szCs w:val="13"/>
        </w:rPr>
      </w:pPr>
    </w:p>
    <w:p>
      <w:pPr>
        <w:pStyle w:val="Heading4"/>
        <w:spacing w:line="240" w:lineRule="auto" w:before="0"/>
        <w:ind w:left="140" w:right="-18"/>
        <w:jc w:val="left"/>
        <w:rPr>
          <w:b w:val="0"/>
          <w:bCs w:val="0"/>
        </w:rPr>
      </w:pPr>
      <w:r>
        <w:rPr/>
        <w:t>应收账款</w:t>
      </w:r>
      <w:r>
        <w:rPr>
          <w:b w:val="0"/>
          <w:bCs w:val="0"/>
        </w:rPr>
      </w:r>
    </w:p>
    <w:p>
      <w:pPr>
        <w:pStyle w:val="Heading4"/>
        <w:spacing w:line="240" w:lineRule="auto" w:before="58"/>
        <w:ind w:left="140" w:right="-18"/>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31"/>
        </w:rPr>
        <w:t> </w:t>
      </w:r>
      <w:r>
        <w:rPr/>
        <w:t>应收账款分类披露</w:t>
      </w:r>
      <w:r>
        <w:rPr>
          <w:b w:val="0"/>
          <w:bCs w:val="0"/>
        </w:rPr>
      </w:r>
    </w:p>
    <w:p>
      <w:pPr>
        <w:pStyle w:val="BodyText"/>
        <w:tabs>
          <w:tab w:pos="1402" w:val="left" w:leader="none"/>
        </w:tabs>
        <w:spacing w:line="240" w:lineRule="auto" w:before="40"/>
        <w:ind w:left="560"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580" w:bottom="280" w:left="1300" w:right="1400"/>
          <w:cols w:num="2" w:equalWidth="0">
            <w:col w:w="2315" w:space="9247"/>
            <w:col w:w="257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72"/>
        <w:gridCol w:w="1418"/>
        <w:gridCol w:w="992"/>
        <w:gridCol w:w="1416"/>
        <w:gridCol w:w="994"/>
        <w:gridCol w:w="1416"/>
        <w:gridCol w:w="1702"/>
        <w:gridCol w:w="710"/>
        <w:gridCol w:w="1844"/>
        <w:gridCol w:w="708"/>
        <w:gridCol w:w="1416"/>
      </w:tblGrid>
      <w:tr>
        <w:trPr>
          <w:trHeight w:val="283" w:hRule="exact"/>
        </w:trPr>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62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3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272" w:type="dxa"/>
            <w:vMerge/>
            <w:tcBorders>
              <w:left w:val="single" w:sz="4" w:space="0" w:color="000000"/>
              <w:right w:val="single" w:sz="4" w:space="0" w:color="000000"/>
            </w:tcBorders>
          </w:tcPr>
          <w:p>
            <w:pP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6" w:type="dxa"/>
            <w:vMerge w:val="restart"/>
            <w:tcBorders>
              <w:top w:val="single" w:sz="4" w:space="0" w:color="000000"/>
              <w:left w:val="single" w:sz="4" w:space="0" w:color="000000"/>
              <w:right w:val="single" w:sz="4" w:space="0" w:color="000000"/>
            </w:tcBorders>
          </w:tcPr>
          <w:p>
            <w:pPr>
              <w:pStyle w:val="TableParagraph"/>
              <w:spacing w:line="272" w:lineRule="exact" w:before="135"/>
              <w:ind w:left="494" w:right="489"/>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16" w:type="dxa"/>
            <w:vMerge w:val="restart"/>
            <w:tcBorders>
              <w:top w:val="single" w:sz="4" w:space="0" w:color="000000"/>
              <w:left w:val="single" w:sz="4" w:space="0" w:color="000000"/>
              <w:right w:val="single" w:sz="4" w:space="0" w:color="000000"/>
            </w:tcBorders>
          </w:tcPr>
          <w:p>
            <w:pPr>
              <w:pStyle w:val="TableParagraph"/>
              <w:spacing w:line="272" w:lineRule="exact" w:before="135"/>
              <w:ind w:left="491" w:right="490"/>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7" w:hRule="exact"/>
        </w:trPr>
        <w:tc>
          <w:tcPr>
            <w:tcW w:w="1272"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89" w:lineRule="exact"/>
              <w:ind w:left="2" w:right="0"/>
              <w:jc w:val="center"/>
              <w:rPr>
                <w:rFonts w:ascii="宋体" w:hAnsi="宋体" w:cs="宋体" w:eastAsia="宋体" w:hint="default"/>
                <w:sz w:val="21"/>
                <w:szCs w:val="21"/>
              </w:rPr>
            </w:pPr>
            <w:r>
              <w:rPr>
                <w:rFonts w:ascii="宋体"/>
                <w:sz w:val="21"/>
              </w:rPr>
              <w:t>(</w:t>
            </w:r>
            <w:r>
              <w:rPr>
                <w:rFonts w:ascii="Times New Roman"/>
                <w:sz w:val="21"/>
              </w:rPr>
              <w:t>%</w:t>
            </w:r>
            <w:r>
              <w:rPr>
                <w:rFonts w:ascii="宋体"/>
                <w:sz w:val="21"/>
              </w:rPr>
              <w:t>)</w:t>
            </w:r>
          </w:p>
        </w:tc>
        <w:tc>
          <w:tcPr>
            <w:tcW w:w="1416"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hanging="2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9" w:lineRule="exact"/>
              <w:ind w:left="158" w:right="0"/>
              <w:jc w:val="left"/>
              <w:rPr>
                <w:rFonts w:ascii="宋体" w:hAnsi="宋体" w:cs="宋体" w:eastAsia="宋体" w:hint="default"/>
                <w:sz w:val="21"/>
                <w:szCs w:val="21"/>
              </w:rPr>
            </w:pPr>
            <w:r>
              <w:rPr>
                <w:rFonts w:ascii="宋体"/>
                <w:sz w:val="21"/>
              </w:rPr>
              <w:t>(</w:t>
            </w:r>
            <w:r>
              <w:rPr>
                <w:rFonts w:ascii="Times New Roman"/>
                <w:sz w:val="21"/>
              </w:rPr>
              <w:t>%</w:t>
            </w:r>
            <w:r>
              <w:rPr>
                <w:rFonts w:ascii="宋体"/>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hanging="17"/>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9" w:lineRule="exact"/>
              <w:ind w:left="4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6" w:type="dxa"/>
            <w:vMerge/>
            <w:tcBorders>
              <w:left w:val="single" w:sz="4" w:space="0" w:color="000000"/>
              <w:bottom w:val="single" w:sz="4" w:space="0" w:color="000000"/>
              <w:right w:val="single" w:sz="4" w:space="0" w:color="000000"/>
            </w:tcBorders>
          </w:tcPr>
          <w:p>
            <w:pPr/>
          </w:p>
        </w:tc>
      </w:tr>
      <w:tr>
        <w:trPr>
          <w:trHeight w:val="145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23"/>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66"/>
                <w:sz w:val="21"/>
                <w:szCs w:val="21"/>
              </w:rPr>
              <w:t> </w:t>
            </w:r>
            <w:r>
              <w:rPr>
                <w:rFonts w:ascii="宋体" w:hAnsi="宋体" w:cs="宋体" w:eastAsia="宋体" w:hint="default"/>
                <w:sz w:val="21"/>
                <w:szCs w:val="21"/>
              </w:rPr>
              <w:t>项</w:t>
            </w:r>
            <w:r>
              <w:rPr>
                <w:rFonts w:ascii="宋体" w:hAnsi="宋体" w:cs="宋体" w:eastAsia="宋体" w:hint="default"/>
                <w:spacing w:val="-66"/>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额</w:t>
            </w:r>
            <w:r>
              <w:rPr>
                <w:rFonts w:ascii="宋体" w:hAnsi="宋体" w:cs="宋体" w:eastAsia="宋体" w:hint="default"/>
                <w:spacing w:val="-64"/>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spacing w:val="-66"/>
                <w:sz w:val="21"/>
                <w:szCs w:val="21"/>
              </w:rPr>
              <w:t> </w:t>
            </w:r>
            <w:r>
              <w:rPr>
                <w:rFonts w:ascii="宋体" w:hAnsi="宋体" w:cs="宋体" w:eastAsia="宋体" w:hint="default"/>
                <w:sz w:val="21"/>
                <w:szCs w:val="21"/>
              </w:rPr>
              <w:t>并</w:t>
            </w:r>
            <w:r>
              <w:rPr>
                <w:rFonts w:ascii="宋体" w:hAnsi="宋体" w:cs="宋体" w:eastAsia="宋体" w:hint="default"/>
                <w:spacing w:val="-66"/>
                <w:sz w:val="21"/>
                <w:szCs w:val="21"/>
              </w:rPr>
              <w:t> </w:t>
            </w:r>
            <w:r>
              <w:rPr>
                <w:rFonts w:ascii="宋体" w:hAnsi="宋体" w:cs="宋体" w:eastAsia="宋体" w:hint="default"/>
                <w:sz w:val="21"/>
                <w:szCs w:val="21"/>
              </w:rPr>
              <w:t>单</w:t>
            </w:r>
            <w:r>
              <w:rPr>
                <w:rFonts w:ascii="宋体" w:hAnsi="宋体" w:cs="宋体" w:eastAsia="宋体" w:hint="default"/>
                <w:spacing w:val="-66"/>
                <w:sz w:val="21"/>
                <w:szCs w:val="21"/>
              </w:rPr>
              <w:t> </w:t>
            </w:r>
            <w:r>
              <w:rPr>
                <w:rFonts w:ascii="宋体" w:hAnsi="宋体" w:cs="宋体" w:eastAsia="宋体" w:hint="default"/>
                <w:sz w:val="21"/>
                <w:szCs w:val="21"/>
              </w:rPr>
              <w:t>独</w:t>
            </w:r>
            <w:r>
              <w:rPr>
                <w:rFonts w:ascii="宋体" w:hAnsi="宋体" w:cs="宋体" w:eastAsia="宋体" w:hint="default"/>
                <w:spacing w:val="-64"/>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spacing w:val="-66"/>
                <w:sz w:val="21"/>
                <w:szCs w:val="21"/>
              </w:rPr>
              <w:t> </w:t>
            </w:r>
            <w:r>
              <w:rPr>
                <w:rFonts w:ascii="宋体" w:hAnsi="宋体" w:cs="宋体" w:eastAsia="宋体" w:hint="default"/>
                <w:sz w:val="21"/>
                <w:szCs w:val="21"/>
              </w:rPr>
              <w:t>坏</w:t>
            </w:r>
            <w:r>
              <w:rPr>
                <w:rFonts w:ascii="宋体" w:hAnsi="宋体" w:cs="宋体" w:eastAsia="宋体" w:hint="default"/>
                <w:spacing w:val="-66"/>
                <w:sz w:val="21"/>
                <w:szCs w:val="21"/>
              </w:rPr>
              <w:t> </w:t>
            </w:r>
            <w:r>
              <w:rPr>
                <w:rFonts w:ascii="宋体" w:hAnsi="宋体" w:cs="宋体" w:eastAsia="宋体" w:hint="default"/>
                <w:sz w:val="21"/>
                <w:szCs w:val="21"/>
              </w:rPr>
              <w:t>账</w:t>
            </w:r>
            <w:r>
              <w:rPr>
                <w:rFonts w:ascii="宋体" w:hAnsi="宋体" w:cs="宋体" w:eastAsia="宋体" w:hint="default"/>
                <w:spacing w:val="-66"/>
                <w:sz w:val="21"/>
                <w:szCs w:val="21"/>
              </w:rPr>
              <w:t> </w:t>
            </w:r>
            <w:r>
              <w:rPr>
                <w:rFonts w:ascii="宋体" w:hAnsi="宋体" w:cs="宋体" w:eastAsia="宋体" w:hint="default"/>
                <w:sz w:val="21"/>
                <w:szCs w:val="21"/>
              </w:rPr>
              <w:t>准</w:t>
            </w:r>
            <w:r>
              <w:rPr>
                <w:rFonts w:ascii="宋体" w:hAnsi="宋体" w:cs="宋体" w:eastAsia="宋体" w:hint="default"/>
                <w:spacing w:val="-64"/>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的应收账款</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23"/>
              <w:jc w:val="both"/>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66"/>
                <w:sz w:val="21"/>
                <w:szCs w:val="21"/>
              </w:rPr>
              <w:t> </w:t>
            </w:r>
            <w:r>
              <w:rPr>
                <w:rFonts w:ascii="宋体" w:hAnsi="宋体" w:cs="宋体" w:eastAsia="宋体" w:hint="default"/>
                <w:sz w:val="21"/>
                <w:szCs w:val="21"/>
              </w:rPr>
              <w:t>信</w:t>
            </w:r>
            <w:r>
              <w:rPr>
                <w:rFonts w:ascii="宋体" w:hAnsi="宋体" w:cs="宋体" w:eastAsia="宋体" w:hint="default"/>
                <w:spacing w:val="-66"/>
                <w:sz w:val="21"/>
                <w:szCs w:val="21"/>
              </w:rPr>
              <w:t> </w:t>
            </w:r>
            <w:r>
              <w:rPr>
                <w:rFonts w:ascii="宋体" w:hAnsi="宋体" w:cs="宋体" w:eastAsia="宋体" w:hint="default"/>
                <w:sz w:val="21"/>
                <w:szCs w:val="21"/>
              </w:rPr>
              <w:t>用</w:t>
            </w:r>
            <w:r>
              <w:rPr>
                <w:rFonts w:ascii="宋体" w:hAnsi="宋体" w:cs="宋体" w:eastAsia="宋体" w:hint="default"/>
                <w:spacing w:val="-66"/>
                <w:sz w:val="21"/>
                <w:szCs w:val="21"/>
              </w:rPr>
              <w:t> </w:t>
            </w:r>
            <w:r>
              <w:rPr>
                <w:rFonts w:ascii="宋体" w:hAnsi="宋体" w:cs="宋体" w:eastAsia="宋体" w:hint="default"/>
                <w:sz w:val="21"/>
                <w:szCs w:val="21"/>
              </w:rPr>
              <w:t>风</w:t>
            </w:r>
            <w:r>
              <w:rPr>
                <w:rFonts w:ascii="宋体" w:hAnsi="宋体" w:cs="宋体" w:eastAsia="宋体" w:hint="default"/>
                <w:spacing w:val="-64"/>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特</w:t>
            </w:r>
            <w:r>
              <w:rPr>
                <w:rFonts w:ascii="宋体" w:hAnsi="宋体" w:cs="宋体" w:eastAsia="宋体" w:hint="default"/>
                <w:spacing w:val="-66"/>
                <w:sz w:val="21"/>
                <w:szCs w:val="21"/>
              </w:rPr>
              <w:t> </w:t>
            </w:r>
            <w:r>
              <w:rPr>
                <w:rFonts w:ascii="宋体" w:hAnsi="宋体" w:cs="宋体" w:eastAsia="宋体" w:hint="default"/>
                <w:sz w:val="21"/>
                <w:szCs w:val="21"/>
              </w:rPr>
              <w:t>征</w:t>
            </w:r>
            <w:r>
              <w:rPr>
                <w:rFonts w:ascii="宋体" w:hAnsi="宋体" w:cs="宋体" w:eastAsia="宋体" w:hint="default"/>
                <w:spacing w:val="-66"/>
                <w:sz w:val="21"/>
                <w:szCs w:val="21"/>
              </w:rPr>
              <w:t> </w:t>
            </w:r>
            <w:r>
              <w:rPr>
                <w:rFonts w:ascii="宋体" w:hAnsi="宋体" w:cs="宋体" w:eastAsia="宋体" w:hint="default"/>
                <w:sz w:val="21"/>
                <w:szCs w:val="21"/>
              </w:rPr>
              <w:t>组</w:t>
            </w:r>
            <w:r>
              <w:rPr>
                <w:rFonts w:ascii="宋体" w:hAnsi="宋体" w:cs="宋体" w:eastAsia="宋体" w:hint="default"/>
                <w:spacing w:val="-66"/>
                <w:sz w:val="21"/>
                <w:szCs w:val="21"/>
              </w:rPr>
              <w:t> </w:t>
            </w:r>
            <w:r>
              <w:rPr>
                <w:rFonts w:ascii="宋体" w:hAnsi="宋体" w:cs="宋体" w:eastAsia="宋体" w:hint="default"/>
                <w:sz w:val="21"/>
                <w:szCs w:val="21"/>
              </w:rPr>
              <w:t>合</w:t>
            </w:r>
            <w:r>
              <w:rPr>
                <w:rFonts w:ascii="宋体" w:hAnsi="宋体" w:cs="宋体" w:eastAsia="宋体" w:hint="default"/>
                <w:spacing w:val="-64"/>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spacing w:val="-66"/>
                <w:sz w:val="21"/>
                <w:szCs w:val="21"/>
              </w:rPr>
              <w:t> </w:t>
            </w:r>
            <w:r>
              <w:rPr>
                <w:rFonts w:ascii="宋体" w:hAnsi="宋体" w:cs="宋体" w:eastAsia="宋体" w:hint="default"/>
                <w:sz w:val="21"/>
                <w:szCs w:val="21"/>
              </w:rPr>
              <w:t>坏</w:t>
            </w:r>
            <w:r>
              <w:rPr>
                <w:rFonts w:ascii="宋体" w:hAnsi="宋体" w:cs="宋体" w:eastAsia="宋体" w:hint="default"/>
                <w:spacing w:val="-66"/>
                <w:sz w:val="21"/>
                <w:szCs w:val="21"/>
              </w:rPr>
              <w:t> </w:t>
            </w:r>
            <w:r>
              <w:rPr>
                <w:rFonts w:ascii="宋体" w:hAnsi="宋体" w:cs="宋体" w:eastAsia="宋体" w:hint="default"/>
                <w:sz w:val="21"/>
                <w:szCs w:val="21"/>
              </w:rPr>
              <w:t>账</w:t>
            </w:r>
            <w:r>
              <w:rPr>
                <w:rFonts w:ascii="宋体" w:hAnsi="宋体" w:cs="宋体" w:eastAsia="宋体" w:hint="default"/>
                <w:spacing w:val="-66"/>
                <w:sz w:val="21"/>
                <w:szCs w:val="21"/>
              </w:rPr>
              <w:t> </w:t>
            </w:r>
            <w:r>
              <w:rPr>
                <w:rFonts w:ascii="宋体" w:hAnsi="宋体" w:cs="宋体" w:eastAsia="宋体" w:hint="default"/>
                <w:sz w:val="21"/>
                <w:szCs w:val="21"/>
              </w:rPr>
              <w:t>准</w:t>
            </w:r>
            <w:r>
              <w:rPr>
                <w:rFonts w:ascii="宋体" w:hAnsi="宋体" w:cs="宋体" w:eastAsia="宋体" w:hint="default"/>
                <w:spacing w:val="-64"/>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的应收账款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236,489,317.23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99.80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40,808,933.59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17.26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195,680,383.64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299,149,367.25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177" w:right="0"/>
              <w:jc w:val="center"/>
              <w:rPr>
                <w:rFonts w:ascii="Times New Roman" w:hAnsi="Times New Roman" w:cs="Times New Roman" w:eastAsia="Times New Roman" w:hint="default"/>
                <w:sz w:val="21"/>
                <w:szCs w:val="21"/>
              </w:rPr>
            </w:pPr>
            <w:r>
              <w:rPr>
                <w:rFonts w:ascii="Times New Roman"/>
                <w:sz w:val="21"/>
              </w:rPr>
              <w:t>99.84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32,075,955.32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10.72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2" w:right="0"/>
              <w:jc w:val="center"/>
              <w:rPr>
                <w:rFonts w:ascii="Times New Roman" w:hAnsi="Times New Roman" w:cs="Times New Roman" w:eastAsia="Times New Roman" w:hint="default"/>
                <w:sz w:val="21"/>
                <w:szCs w:val="21"/>
              </w:rPr>
            </w:pPr>
            <w:r>
              <w:rPr>
                <w:rFonts w:ascii="Times New Roman"/>
                <w:sz w:val="21"/>
              </w:rPr>
              <w:t>267,073,411.93</w:t>
            </w:r>
          </w:p>
        </w:tc>
      </w:tr>
      <w:tr>
        <w:trPr>
          <w:trHeight w:val="181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23"/>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66"/>
                <w:sz w:val="21"/>
                <w:szCs w:val="21"/>
              </w:rPr>
              <w:t> </w:t>
            </w:r>
            <w:r>
              <w:rPr>
                <w:rFonts w:ascii="宋体" w:hAnsi="宋体" w:cs="宋体" w:eastAsia="宋体" w:hint="default"/>
                <w:sz w:val="21"/>
                <w:szCs w:val="21"/>
              </w:rPr>
              <w:t>项</w:t>
            </w:r>
            <w:r>
              <w:rPr>
                <w:rFonts w:ascii="宋体" w:hAnsi="宋体" w:cs="宋体" w:eastAsia="宋体" w:hint="default"/>
                <w:spacing w:val="-66"/>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额</w:t>
            </w:r>
            <w:r>
              <w:rPr>
                <w:rFonts w:ascii="宋体" w:hAnsi="宋体" w:cs="宋体" w:eastAsia="宋体" w:hint="default"/>
                <w:spacing w:val="-64"/>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spacing w:val="-66"/>
                <w:sz w:val="21"/>
                <w:szCs w:val="21"/>
              </w:rPr>
              <w:t> </w:t>
            </w:r>
            <w:r>
              <w:rPr>
                <w:rFonts w:ascii="宋体" w:hAnsi="宋体" w:cs="宋体" w:eastAsia="宋体" w:hint="default"/>
                <w:sz w:val="21"/>
                <w:szCs w:val="21"/>
              </w:rPr>
              <w:t>大</w:t>
            </w:r>
            <w:r>
              <w:rPr>
                <w:rFonts w:ascii="宋体" w:hAnsi="宋体" w:cs="宋体" w:eastAsia="宋体" w:hint="default"/>
                <w:spacing w:val="-66"/>
                <w:sz w:val="21"/>
                <w:szCs w:val="21"/>
              </w:rPr>
              <w:t> </w:t>
            </w:r>
            <w:r>
              <w:rPr>
                <w:rFonts w:ascii="宋体" w:hAnsi="宋体" w:cs="宋体" w:eastAsia="宋体" w:hint="default"/>
                <w:sz w:val="21"/>
                <w:szCs w:val="21"/>
              </w:rPr>
              <w:t>但</w:t>
            </w:r>
            <w:r>
              <w:rPr>
                <w:rFonts w:ascii="宋体" w:hAnsi="宋体" w:cs="宋体" w:eastAsia="宋体" w:hint="default"/>
                <w:spacing w:val="-66"/>
                <w:sz w:val="21"/>
                <w:szCs w:val="21"/>
              </w:rPr>
              <w:t> </w:t>
            </w:r>
            <w:r>
              <w:rPr>
                <w:rFonts w:ascii="宋体" w:hAnsi="宋体" w:cs="宋体" w:eastAsia="宋体" w:hint="default"/>
                <w:sz w:val="21"/>
                <w:szCs w:val="21"/>
              </w:rPr>
              <w:t>单</w:t>
            </w:r>
            <w:r>
              <w:rPr>
                <w:rFonts w:ascii="宋体" w:hAnsi="宋体" w:cs="宋体" w:eastAsia="宋体" w:hint="default"/>
                <w:spacing w:val="-64"/>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spacing w:val="-66"/>
                <w:sz w:val="21"/>
                <w:szCs w:val="21"/>
              </w:rPr>
              <w:t> </w:t>
            </w:r>
            <w:r>
              <w:rPr>
                <w:rFonts w:ascii="宋体" w:hAnsi="宋体" w:cs="宋体" w:eastAsia="宋体" w:hint="default"/>
                <w:sz w:val="21"/>
                <w:szCs w:val="21"/>
              </w:rPr>
              <w:t>提</w:t>
            </w:r>
            <w:r>
              <w:rPr>
                <w:rFonts w:ascii="宋体" w:hAnsi="宋体" w:cs="宋体" w:eastAsia="宋体" w:hint="default"/>
                <w:spacing w:val="-66"/>
                <w:sz w:val="21"/>
                <w:szCs w:val="21"/>
              </w:rPr>
              <w:t> </w:t>
            </w:r>
            <w:r>
              <w:rPr>
                <w:rFonts w:ascii="宋体" w:hAnsi="宋体" w:cs="宋体" w:eastAsia="宋体" w:hint="default"/>
                <w:sz w:val="21"/>
                <w:szCs w:val="21"/>
              </w:rPr>
              <w:t>坏</w:t>
            </w:r>
            <w:r>
              <w:rPr>
                <w:rFonts w:ascii="宋体" w:hAnsi="宋体" w:cs="宋体" w:eastAsia="宋体" w:hint="default"/>
                <w:spacing w:val="-66"/>
                <w:sz w:val="21"/>
                <w:szCs w:val="21"/>
              </w:rPr>
              <w:t> </w:t>
            </w:r>
            <w:r>
              <w:rPr>
                <w:rFonts w:ascii="宋体" w:hAnsi="宋体" w:cs="宋体" w:eastAsia="宋体" w:hint="default"/>
                <w:sz w:val="21"/>
                <w:szCs w:val="21"/>
              </w:rPr>
              <w:t>账</w:t>
            </w:r>
            <w:r>
              <w:rPr>
                <w:rFonts w:ascii="宋体" w:hAnsi="宋体" w:cs="宋体" w:eastAsia="宋体" w:hint="default"/>
                <w:spacing w:val="-64"/>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应</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spacing w:val="-64"/>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474,800.00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474,800.00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474,800.00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83" w:right="0"/>
              <w:jc w:val="center"/>
              <w:rPr>
                <w:rFonts w:ascii="Times New Roman" w:hAnsi="Times New Roman" w:cs="Times New Roman" w:eastAsia="Times New Roman" w:hint="default"/>
                <w:sz w:val="21"/>
                <w:szCs w:val="21"/>
              </w:rPr>
            </w:pPr>
            <w:r>
              <w:rPr>
                <w:rFonts w:ascii="Times New Roman"/>
                <w:sz w:val="21"/>
              </w:rPr>
              <w:t>0.16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474,800.00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236,964,117.23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41,283,733.59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195,680,383.64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299,624,167.25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center"/>
              <w:rPr>
                <w:rFonts w:ascii="Times New Roman" w:hAnsi="Times New Roman" w:cs="Times New Roman" w:eastAsia="Times New Roman" w:hint="default"/>
                <w:sz w:val="21"/>
                <w:szCs w:val="21"/>
              </w:rPr>
            </w:pPr>
            <w:r>
              <w:rPr>
                <w:rFonts w:ascii="Times New Roman"/>
                <w:sz w:val="21"/>
              </w:rPr>
              <w:t>100.00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32,550,755.32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21"/>
                <w:szCs w:val="21"/>
              </w:rPr>
            </w:pPr>
            <w:r>
              <w:rPr>
                <w:rFonts w:ascii="Times New Roman"/>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 w:right="0"/>
              <w:jc w:val="center"/>
              <w:rPr>
                <w:rFonts w:ascii="Times New Roman" w:hAnsi="Times New Roman" w:cs="Times New Roman" w:eastAsia="Times New Roman" w:hint="default"/>
                <w:sz w:val="21"/>
                <w:szCs w:val="21"/>
              </w:rPr>
            </w:pPr>
            <w:r>
              <w:rPr>
                <w:rFonts w:ascii="Times New Roman"/>
                <w:sz w:val="21"/>
              </w:rPr>
              <w:t>267,073,411.93</w:t>
            </w:r>
          </w:p>
        </w:tc>
      </w:tr>
    </w:tbl>
    <w:p>
      <w:pPr>
        <w:spacing w:line="240" w:lineRule="auto" w:before="2"/>
        <w:rPr>
          <w:rFonts w:ascii="宋体" w:hAnsi="宋体" w:cs="宋体" w:eastAsia="宋体" w:hint="default"/>
          <w:sz w:val="20"/>
          <w:szCs w:val="20"/>
        </w:rPr>
      </w:pPr>
    </w:p>
    <w:p>
      <w:pPr>
        <w:pStyle w:val="BodyText"/>
        <w:spacing w:line="240" w:lineRule="auto" w:before="36"/>
        <w:ind w:left="140" w:right="0"/>
        <w:jc w:val="left"/>
      </w:pPr>
      <w:r>
        <w:rPr/>
        <w:t>期末单项金额重大并单项计提坏账准备的应收账款：</w:t>
      </w:r>
    </w:p>
    <w:p>
      <w:pPr>
        <w:pStyle w:val="BodyText"/>
        <w:spacing w:line="240" w:lineRule="auto" w:before="56"/>
        <w:ind w:left="560" w:right="0"/>
        <w:jc w:val="left"/>
      </w:pPr>
      <w:r>
        <w:rPr/>
        <w:t>□适用</w:t>
      </w:r>
      <w:r>
        <w:rPr>
          <w:spacing w:val="-1"/>
        </w:rPr>
        <w:t> </w:t>
      </w:r>
      <w:r>
        <w:rPr/>
        <w:t>√不适用</w:t>
      </w:r>
    </w:p>
    <w:p>
      <w:pPr>
        <w:spacing w:after="0" w:line="240" w:lineRule="auto"/>
        <w:jc w:val="left"/>
        <w:sectPr>
          <w:type w:val="continuous"/>
          <w:pgSz w:w="16840" w:h="11910" w:orient="landscape"/>
          <w:pgMar w:top="1580" w:bottom="280" w:left="1300" w:right="14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36"/>
        <w:ind w:left="560" w:right="0"/>
        <w:jc w:val="left"/>
      </w:pPr>
      <w:r>
        <w:rPr/>
        <w:t>组合中，按账龄分析法计提坏账准备的应收账款：</w:t>
      </w:r>
    </w:p>
    <w:p>
      <w:pPr>
        <w:pStyle w:val="BodyText"/>
        <w:tabs>
          <w:tab w:pos="11225" w:val="left" w:leader="none"/>
          <w:tab w:pos="12276" w:val="left" w:leader="none"/>
        </w:tabs>
        <w:spacing w:line="240" w:lineRule="auto" w:before="56"/>
        <w:ind w:left="620" w:right="0"/>
        <w:jc w:val="left"/>
      </w:pPr>
      <w:r>
        <w:rPr>
          <w:spacing w:val="-1"/>
        </w:rPr>
        <w:t>√适用</w:t>
      </w:r>
      <w:r>
        <w:rPr>
          <w:spacing w:val="10"/>
        </w:rPr>
        <w:t> </w:t>
      </w:r>
      <w:r>
        <w:rPr>
          <w:spacing w:val="-2"/>
        </w:rPr>
        <w:t>□不适用</w:t>
        <w:tab/>
      </w: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262" w:type="dxa"/>
        <w:tblLayout w:type="fixed"/>
        <w:tblCellMar>
          <w:top w:w="0" w:type="dxa"/>
          <w:left w:w="0" w:type="dxa"/>
          <w:bottom w:w="0" w:type="dxa"/>
          <w:right w:w="0" w:type="dxa"/>
        </w:tblCellMar>
        <w:tblLook w:val="01E0"/>
      </w:tblPr>
      <w:tblGrid>
        <w:gridCol w:w="4681"/>
        <w:gridCol w:w="3260"/>
        <w:gridCol w:w="3118"/>
        <w:gridCol w:w="2564"/>
      </w:tblGrid>
      <w:tr>
        <w:trPr>
          <w:trHeight w:val="307" w:hRule="exact"/>
        </w:trPr>
        <w:tc>
          <w:tcPr>
            <w:tcW w:w="4681" w:type="dxa"/>
            <w:vMerge w:val="restart"/>
            <w:tcBorders>
              <w:top w:val="single" w:sz="4" w:space="0" w:color="000000"/>
              <w:left w:val="single" w:sz="4" w:space="0" w:color="000000"/>
              <w:right w:val="single" w:sz="4" w:space="0" w:color="000000"/>
            </w:tcBorders>
          </w:tcPr>
          <w:p>
            <w:pPr>
              <w:pStyle w:val="TableParagraph"/>
              <w:spacing w:line="240" w:lineRule="auto" w:before="119"/>
              <w:ind w:left="42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89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17"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4681" w:type="dxa"/>
            <w:vMerge/>
            <w:tcBorders>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113,070,732.50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3,392,121.98</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3260"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113,070,732.50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3,392,121.98</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3</w:t>
            </w:r>
          </w:p>
        </w:tc>
      </w:tr>
      <w:tr>
        <w:trPr>
          <w:trHeight w:val="281"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59,286,086.89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5,928,608.69</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10.00</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12,916,417.81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2,583,283.56</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20.00</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10,953,731.88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5,476,865.94</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50.00</w:t>
            </w:r>
          </w:p>
        </w:tc>
      </w:tr>
      <w:tr>
        <w:trPr>
          <w:trHeight w:val="281"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18,563,902.34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14,851,121.87</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80.00</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8,576,931.55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8,576,931.55</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223,367,802.97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40,808,933.59</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18.27</w:t>
            </w:r>
          </w:p>
        </w:tc>
      </w:tr>
    </w:tbl>
    <w:p>
      <w:pPr>
        <w:pStyle w:val="BodyText"/>
        <w:spacing w:line="290" w:lineRule="auto" w:before="26"/>
        <w:ind w:left="620" w:right="11521" w:hanging="481"/>
        <w:jc w:val="left"/>
      </w:pPr>
      <w:r>
        <w:rPr>
          <w:spacing w:val="-2"/>
        </w:rPr>
        <w:t>确定该组合依据的说明：</w:t>
      </w:r>
      <w:r>
        <w:rPr>
          <w:spacing w:val="-82"/>
        </w:rPr>
        <w:t> </w:t>
      </w:r>
      <w:r>
        <w:rPr>
          <w:spacing w:val="-82"/>
        </w:rPr>
      </w:r>
      <w:r>
        <w:rPr/>
        <w:t>无</w:t>
      </w:r>
    </w:p>
    <w:p>
      <w:pPr>
        <w:pStyle w:val="BodyText"/>
        <w:spacing w:line="240" w:lineRule="auto" w:before="15"/>
        <w:ind w:left="140" w:right="0"/>
        <w:jc w:val="left"/>
      </w:pPr>
      <w:r>
        <w:rPr/>
        <w:t>组合中，采用余额百分比法计提坏账准备的应收账款：</w:t>
      </w:r>
    </w:p>
    <w:p>
      <w:pPr>
        <w:pStyle w:val="BodyText"/>
        <w:spacing w:line="290" w:lineRule="auto" w:before="56"/>
        <w:ind w:left="140" w:right="8188" w:firstLine="480"/>
        <w:jc w:val="left"/>
      </w:pPr>
      <w:r>
        <w:rPr/>
        <w:t>□适用</w:t>
      </w:r>
      <w:r>
        <w:rPr>
          <w:spacing w:val="-2"/>
        </w:rPr>
        <w:t> </w:t>
      </w:r>
      <w:r>
        <w:rPr/>
        <w:t>√不适用</w:t>
      </w:r>
      <w:r>
        <w:rPr>
          <w:w w:val="100"/>
        </w:rPr>
        <w:t> </w:t>
      </w:r>
      <w:r>
        <w:rPr>
          <w:spacing w:val="-2"/>
        </w:rPr>
        <w:t>组合中，采用其他方法计提坏账准备的应收账款：</w:t>
      </w:r>
    </w:p>
    <w:p>
      <w:pPr>
        <w:pStyle w:val="BodyText"/>
        <w:spacing w:line="240" w:lineRule="auto" w:before="12"/>
        <w:ind w:left="620" w:right="0"/>
        <w:jc w:val="left"/>
      </w:pPr>
      <w:r>
        <w:rPr/>
        <w:t>□适用</w:t>
      </w:r>
      <w:r>
        <w:rPr>
          <w:spacing w:val="-1"/>
        </w:rPr>
        <w:t> </w:t>
      </w:r>
      <w:r>
        <w:rPr/>
        <w:t>√不适用</w:t>
      </w:r>
    </w:p>
    <w:p>
      <w:pPr>
        <w:spacing w:after="0" w:line="240" w:lineRule="auto"/>
        <w:jc w:val="left"/>
        <w:sectPr>
          <w:pgSz w:w="16840" w:h="11910" w:orient="landscape"/>
          <w:pgMar w:header="857" w:footer="980" w:top="1120" w:bottom="116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4"/>
        <w:spacing w:line="240" w:lineRule="auto"/>
        <w:ind w:right="2631"/>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8"/>
        </w:rPr>
        <w:t> </w:t>
      </w:r>
      <w:r>
        <w:rPr/>
        <w:t>本期计提、收回或转回的坏账准备情况</w:t>
      </w:r>
      <w:r>
        <w:rPr>
          <w:b w:val="0"/>
          <w:bCs w:val="0"/>
        </w:rPr>
      </w:r>
    </w:p>
    <w:p>
      <w:pPr>
        <w:pStyle w:val="BodyText"/>
        <w:spacing w:line="297" w:lineRule="auto" w:before="129"/>
        <w:ind w:left="700" w:right="1390" w:hanging="3"/>
        <w:jc w:val="left"/>
      </w:pPr>
      <w:r>
        <w:rPr/>
        <w:t>本期计提坏账准备金额</w:t>
      </w:r>
      <w:r>
        <w:rPr>
          <w:spacing w:val="-53"/>
        </w:rPr>
        <w:t> </w:t>
      </w:r>
      <w:r>
        <w:rPr>
          <w:rFonts w:ascii="Times New Roman" w:hAnsi="Times New Roman" w:cs="Times New Roman" w:eastAsia="Times New Roman" w:hint="default"/>
        </w:rPr>
        <w:t>8,779,542.21</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w:t>
      </w:r>
      <w:r>
        <w:rPr>
          <w:w w:val="100"/>
        </w:rPr>
        <w:t> </w:t>
      </w:r>
      <w:r>
        <w:rPr/>
        <w:t>其中本期坏账准备收回或转回金额重要的：</w:t>
      </w:r>
    </w:p>
    <w:p>
      <w:pPr>
        <w:pStyle w:val="BodyText"/>
        <w:spacing w:line="233" w:lineRule="exact"/>
        <w:ind w:left="698" w:right="2631"/>
        <w:jc w:val="left"/>
      </w:pPr>
      <w:r>
        <w:rPr/>
        <w:t>□适用 √不适用</w:t>
      </w:r>
    </w:p>
    <w:p>
      <w:pPr>
        <w:pStyle w:val="Heading4"/>
        <w:spacing w:line="240" w:lineRule="auto" w:before="58"/>
        <w:ind w:right="2631"/>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8"/>
        </w:rPr>
        <w:t> </w:t>
      </w:r>
      <w:r>
        <w:rPr/>
        <w:t>本期实际核销的应收账款情况</w:t>
      </w:r>
      <w:r>
        <w:rPr>
          <w:b w:val="0"/>
          <w:bCs w:val="0"/>
        </w:rPr>
      </w:r>
    </w:p>
    <w:p>
      <w:pPr>
        <w:pStyle w:val="BodyText"/>
        <w:spacing w:line="240" w:lineRule="auto" w:before="40"/>
        <w:ind w:left="698" w:right="2631"/>
        <w:jc w:val="left"/>
      </w:pPr>
      <w:r>
        <w:rPr/>
        <w:t>√适用 □不适用</w:t>
      </w:r>
    </w:p>
    <w:p>
      <w:pPr>
        <w:pStyle w:val="BodyText"/>
        <w:tabs>
          <w:tab w:pos="1051" w:val="left" w:leader="none"/>
        </w:tabs>
        <w:spacing w:line="274" w:lineRule="exact"/>
        <w:ind w:left="0" w:right="1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67"/>
        <w:gridCol w:w="4657"/>
      </w:tblGrid>
      <w:tr>
        <w:trPr>
          <w:trHeight w:val="283"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1"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46,563.94</w:t>
            </w:r>
          </w:p>
        </w:tc>
      </w:tr>
    </w:tbl>
    <w:p>
      <w:pPr>
        <w:pStyle w:val="BodyText"/>
        <w:spacing w:line="241" w:lineRule="exact"/>
        <w:ind w:right="2631"/>
        <w:jc w:val="left"/>
      </w:pPr>
      <w:r>
        <w:rPr/>
        <w:t>其中重要的应收账款核销情况</w:t>
      </w:r>
    </w:p>
    <w:p>
      <w:pPr>
        <w:pStyle w:val="BodyText"/>
        <w:spacing w:line="274" w:lineRule="exact"/>
        <w:ind w:left="638" w:right="2631"/>
        <w:jc w:val="left"/>
      </w:pPr>
      <w:r>
        <w:rPr/>
        <w:t>□适用 √不适用</w:t>
      </w:r>
    </w:p>
    <w:p>
      <w:pPr>
        <w:pStyle w:val="Heading4"/>
        <w:spacing w:line="240" w:lineRule="auto" w:before="56"/>
        <w:ind w:right="2631"/>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7"/>
        </w:rPr>
        <w:t> </w:t>
      </w:r>
      <w:r>
        <w:rPr/>
        <w:t>按欠款方归集的期末余额前五名的应收账款情况</w:t>
      </w:r>
      <w:r>
        <w:rPr>
          <w:b w:val="0"/>
          <w:bCs w:val="0"/>
        </w:rPr>
      </w:r>
    </w:p>
    <w:p>
      <w:pPr>
        <w:spacing w:line="240" w:lineRule="auto" w:before="12"/>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1997"/>
      </w:tblGrid>
      <w:tr>
        <w:trPr>
          <w:trHeight w:val="7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704"/>
              <w:jc w:val="righ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91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513" w:right="177" w:firstLine="86"/>
              <w:jc w:val="left"/>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w w:val="100"/>
                <w:sz w:val="21"/>
                <w:szCs w:val="21"/>
              </w:rPr>
              <w:t> </w:t>
            </w:r>
            <w:r>
              <w:rPr>
                <w:rFonts w:ascii="宋体" w:hAnsi="宋体" w:cs="宋体" w:eastAsia="宋体" w:hint="default"/>
                <w:sz w:val="21"/>
                <w:szCs w:val="21"/>
              </w:rPr>
              <w:t>的比例（</w:t>
            </w:r>
            <w:r>
              <w:rPr>
                <w:rFonts w:ascii="Times New Roman" w:hAnsi="Times New Roman" w:cs="Times New Roman" w:eastAsia="Times New Roman" w:hint="default"/>
                <w:position w:val="1"/>
                <w:sz w:val="21"/>
                <w:szCs w:val="21"/>
              </w:rPr>
              <w:t>%</w:t>
            </w:r>
            <w:r>
              <w:rPr>
                <w:rFonts w:ascii="宋体" w:hAnsi="宋体" w:cs="宋体" w:eastAsia="宋体" w:hint="default"/>
                <w:sz w:val="21"/>
                <w:szCs w:val="21"/>
              </w:rPr>
              <w:t>）</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78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20,650,000.00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8.71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2,065,000.00</w:t>
            </w: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14,647,286.35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6.18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439,418.59</w:t>
            </w:r>
          </w:p>
        </w:tc>
      </w:tr>
      <w:tr>
        <w:trPr>
          <w:trHeight w:val="37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10,465,477.84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z w:val="21"/>
              </w:rPr>
              <w:t>4.42</w:t>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9,082,000.00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3.83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272,460.00</w:t>
            </w: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spacing w:val="-1"/>
                <w:sz w:val="21"/>
              </w:rPr>
              <w:t>8,842,885.82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sz w:val="21"/>
              </w:rPr>
              <w:t>3.73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spacing w:val="-1"/>
                <w:sz w:val="21"/>
              </w:rPr>
              <w:t>446,073.75</w:t>
            </w: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04"/>
              <w:jc w:val="right"/>
              <w:rPr>
                <w:rFonts w:ascii="宋体" w:hAnsi="宋体" w:cs="宋体" w:eastAsia="宋体" w:hint="default"/>
                <w:sz w:val="21"/>
                <w:szCs w:val="21"/>
              </w:rPr>
            </w:pPr>
            <w:r>
              <w:rPr>
                <w:rFonts w:ascii="宋体" w:hAnsi="宋体" w:cs="宋体" w:eastAsia="宋体" w:hint="default"/>
                <w:sz w:val="21"/>
                <w:szCs w:val="21"/>
              </w:rPr>
              <w:t>小计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63,687,650.01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26.87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3,222,952.34</w:t>
            </w:r>
          </w:p>
        </w:tc>
      </w:tr>
    </w:tbl>
    <w:p>
      <w:pPr>
        <w:spacing w:line="240" w:lineRule="auto" w:before="7"/>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headerReference w:type="default" r:id="rId72"/>
          <w:footerReference w:type="default" r:id="rId73"/>
          <w:pgSz w:w="11910" w:h="16840"/>
          <w:pgMar w:header="857" w:footer="979" w:top="1120" w:bottom="1160" w:left="1580" w:right="1140"/>
          <w:pgNumType w:start="227"/>
        </w:sectPr>
      </w:pPr>
    </w:p>
    <w:p>
      <w:pPr>
        <w:pStyle w:val="BodyText"/>
        <w:tabs>
          <w:tab w:pos="1060" w:val="left" w:leader="none"/>
        </w:tabs>
        <w:spacing w:line="240" w:lineRule="auto" w:before="36"/>
        <w:ind w:right="-17"/>
        <w:jc w:val="left"/>
      </w:pPr>
      <w:r>
        <w:rPr>
          <w:spacing w:val="-1"/>
        </w:rPr>
        <w:t>□适用</w:t>
        <w:tab/>
      </w:r>
      <w:r>
        <w:rPr>
          <w:spacing w:val="-2"/>
        </w:rPr>
        <w:t>√不适用</w:t>
      </w:r>
    </w:p>
    <w:p>
      <w:pPr>
        <w:pStyle w:val="Heading4"/>
        <w:spacing w:line="240" w:lineRule="auto" w:before="56"/>
        <w:ind w:right="-17"/>
        <w:jc w:val="left"/>
        <w:rPr>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28"/>
        </w:rPr>
        <w:t> </w:t>
      </w:r>
      <w:r>
        <w:rPr/>
        <w:t>因金融资产转移而终止确认的应收账款</w:t>
      </w:r>
      <w:r>
        <w:rPr>
          <w:b w:val="0"/>
          <w:bCs w:val="0"/>
        </w:rPr>
      </w:r>
    </w:p>
    <w:p>
      <w:pPr>
        <w:pStyle w:val="BodyText"/>
        <w:tabs>
          <w:tab w:pos="1540" w:val="left" w:leader="none"/>
        </w:tabs>
        <w:spacing w:line="240" w:lineRule="auto" w:before="43"/>
        <w:ind w:left="698" w:right="-17"/>
        <w:jc w:val="left"/>
      </w:pPr>
      <w:r>
        <w:rPr/>
        <w:t>□适用</w:t>
        <w:tab/>
        <w:t>√不适用</w:t>
      </w:r>
    </w:p>
    <w:p>
      <w:pPr>
        <w:pStyle w:val="Heading4"/>
        <w:spacing w:line="240" w:lineRule="auto" w:before="56"/>
        <w:ind w:right="-17"/>
        <w:jc w:val="left"/>
        <w:rPr>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27"/>
        </w:rPr>
        <w:t> </w:t>
      </w:r>
      <w:r>
        <w:rPr/>
        <w:t>转移应收账款且继续涉入形成的资产、负债金额</w:t>
      </w:r>
      <w:r>
        <w:rPr>
          <w:b w:val="0"/>
          <w:bCs w:val="0"/>
        </w:rPr>
      </w:r>
    </w:p>
    <w:p>
      <w:pPr>
        <w:pStyle w:val="BodyText"/>
        <w:tabs>
          <w:tab w:pos="1540" w:val="left" w:leader="none"/>
        </w:tabs>
        <w:spacing w:line="272" w:lineRule="exact" w:before="70"/>
        <w:ind w:right="2748" w:firstLine="479"/>
        <w:jc w:val="left"/>
      </w:pPr>
      <w:r>
        <w:rPr/>
        <w:t>□适用</w:t>
        <w:tab/>
      </w:r>
      <w:r>
        <w:rPr>
          <w:spacing w:val="-2"/>
        </w:rPr>
        <w:t>√不适用</w:t>
      </w:r>
      <w:r>
        <w:rPr>
          <w:w w:val="100"/>
        </w:rPr>
        <w:t> </w:t>
      </w:r>
      <w:r>
        <w:rPr/>
        <w:t>其他说明：</w:t>
      </w:r>
    </w:p>
    <w:p>
      <w:pPr>
        <w:pStyle w:val="BodyText"/>
        <w:spacing w:line="249" w:lineRule="exact"/>
        <w:ind w:left="698" w:right="-17"/>
        <w:jc w:val="left"/>
      </w:pPr>
      <w:r>
        <w:rPr/>
        <w:t>□适用 √不适用</w:t>
      </w:r>
    </w:p>
    <w:p>
      <w:pPr>
        <w:pStyle w:val="Heading4"/>
        <w:spacing w:line="276" w:lineRule="auto" w:before="57"/>
        <w:ind w:right="3413"/>
        <w:jc w:val="left"/>
        <w:rPr>
          <w:b w:val="0"/>
          <w:bCs w:val="0"/>
        </w:rPr>
      </w:pPr>
      <w:r>
        <w:rPr>
          <w:rFonts w:ascii="Times New Roman" w:hAnsi="Times New Roman" w:cs="Times New Roman" w:eastAsia="Times New Roman" w:hint="default"/>
        </w:rPr>
        <w:t>2</w:t>
      </w:r>
      <w:r>
        <w:rPr/>
        <w:t>、</w:t>
      </w:r>
      <w:r>
        <w:rPr>
          <w:spacing w:val="4"/>
        </w:rPr>
        <w:t> </w:t>
      </w:r>
      <w:r>
        <w:rPr/>
        <w:t>其他应收款</w:t>
      </w:r>
      <w:r>
        <w:rPr>
          <w:w w:val="100"/>
        </w:rPr>
        <w:t> </w:t>
      </w:r>
      <w:r>
        <w:rPr/>
        <w:t>总表情况</w:t>
      </w:r>
      <w:r>
        <w:rPr>
          <w:b w:val="0"/>
          <w:bCs w:val="0"/>
        </w:rPr>
      </w:r>
    </w:p>
    <w:p>
      <w:pPr>
        <w:pStyle w:val="Heading4"/>
        <w:spacing w:line="240" w:lineRule="auto" w:before="25"/>
        <w:ind w:right="-17"/>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5"/>
        </w:rPr>
        <w:t> </w:t>
      </w:r>
      <w:r>
        <w:rPr/>
        <w:t>分类列示</w:t>
      </w:r>
      <w:r>
        <w:rPr>
          <w:b w:val="0"/>
          <w:bCs w:val="0"/>
        </w:rPr>
      </w:r>
    </w:p>
    <w:p>
      <w:pPr>
        <w:pStyle w:val="BodyText"/>
        <w:spacing w:line="240" w:lineRule="auto" w:before="40"/>
        <w:ind w:left="69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140"/>
          <w:cols w:num="2" w:equalWidth="0">
            <w:col w:w="5132" w:space="1390"/>
            <w:col w:w="26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13"/>
        <w:gridCol w:w="2864"/>
        <w:gridCol w:w="2847"/>
      </w:tblGrid>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7"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183,156.53</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0.00</w:t>
            </w:r>
          </w:p>
        </w:tc>
      </w:tr>
      <w:tr>
        <w:trPr>
          <w:trHeight w:val="281"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70,235,146.19</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64,029,113.11</w:t>
            </w: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70,418,302.72</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64,029,113.11</w:t>
            </w:r>
          </w:p>
        </w:tc>
      </w:tr>
    </w:tbl>
    <w:p>
      <w:pPr>
        <w:spacing w:line="240" w:lineRule="auto" w:before="5"/>
        <w:rPr>
          <w:rFonts w:ascii="宋体" w:hAnsi="宋体" w:cs="宋体" w:eastAsia="宋体" w:hint="default"/>
          <w:sz w:val="15"/>
          <w:szCs w:val="15"/>
        </w:rPr>
      </w:pPr>
    </w:p>
    <w:p>
      <w:pPr>
        <w:pStyle w:val="BodyText"/>
        <w:spacing w:line="274" w:lineRule="exact" w:before="36"/>
        <w:ind w:right="2631"/>
        <w:jc w:val="left"/>
      </w:pPr>
      <w:r>
        <w:rPr/>
        <w:t>其他说明：</w:t>
      </w:r>
    </w:p>
    <w:p>
      <w:pPr>
        <w:pStyle w:val="BodyText"/>
        <w:spacing w:line="274" w:lineRule="exact"/>
        <w:ind w:left="698" w:right="2631"/>
        <w:jc w:val="left"/>
      </w:pPr>
      <w:r>
        <w:rPr/>
        <w:t>□适用 √不适用</w:t>
      </w:r>
    </w:p>
    <w:p>
      <w:pPr>
        <w:spacing w:after="0" w:line="274" w:lineRule="exact"/>
        <w:jc w:val="left"/>
        <w:sectPr>
          <w:type w:val="continuous"/>
          <w:pgSz w:w="11910" w:h="16840"/>
          <w:pgMar w:top="1580" w:bottom="280" w:left="1580" w:right="1140"/>
        </w:sect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57" w:footer="979" w:top="1120" w:bottom="1160" w:left="1660" w:right="1140"/>
        </w:sectPr>
      </w:pPr>
    </w:p>
    <w:p>
      <w:pPr>
        <w:pStyle w:val="Heading4"/>
        <w:spacing w:line="240" w:lineRule="auto"/>
        <w:ind w:left="138" w:right="-19"/>
        <w:jc w:val="left"/>
        <w:rPr>
          <w:b w:val="0"/>
          <w:bCs w:val="0"/>
        </w:rPr>
      </w:pPr>
      <w:r>
        <w:rPr/>
        <w:t>应收利息</w:t>
      </w:r>
      <w:r>
        <w:rPr>
          <w:b w:val="0"/>
          <w:bCs w:val="0"/>
        </w:rPr>
      </w:r>
    </w:p>
    <w:p>
      <w:pPr>
        <w:pStyle w:val="Heading4"/>
        <w:spacing w:line="240" w:lineRule="auto" w:before="58"/>
        <w:ind w:left="138" w:right="-19"/>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5"/>
        </w:rPr>
        <w:t> </w:t>
      </w:r>
      <w:r>
        <w:rPr/>
        <w:t>应收利息分类</w:t>
      </w:r>
      <w:r>
        <w:rPr>
          <w:b w:val="0"/>
          <w:bCs w:val="0"/>
        </w:rPr>
      </w:r>
    </w:p>
    <w:p>
      <w:pPr>
        <w:pStyle w:val="BodyText"/>
        <w:spacing w:line="240" w:lineRule="auto" w:before="40"/>
        <w:ind w:left="6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140"/>
          <w:cols w:num="2" w:equalWidth="0">
            <w:col w:w="2195" w:space="4326"/>
            <w:col w:w="258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58"/>
        <w:gridCol w:w="3024"/>
        <w:gridCol w:w="3044"/>
      </w:tblGrid>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1"/>
              <w:jc w:val="right"/>
              <w:rPr>
                <w:rFonts w:ascii="宋体" w:hAnsi="宋体" w:cs="宋体" w:eastAsia="宋体" w:hint="default"/>
                <w:sz w:val="21"/>
                <w:szCs w:val="21"/>
              </w:rPr>
            </w:pPr>
            <w:r>
              <w:rPr>
                <w:rFonts w:ascii="宋体" w:hAnsi="宋体" w:cs="宋体" w:eastAsia="宋体" w:hint="default"/>
                <w:sz w:val="21"/>
                <w:szCs w:val="21"/>
              </w:rPr>
              <w:t>项目</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7"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183,156.53</w:t>
            </w:r>
          </w:p>
        </w:tc>
        <w:tc>
          <w:tcPr>
            <w:tcW w:w="30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1"/>
              <w:jc w:val="right"/>
              <w:rPr>
                <w:rFonts w:ascii="宋体" w:hAnsi="宋体" w:cs="宋体" w:eastAsia="宋体" w:hint="default"/>
                <w:sz w:val="21"/>
                <w:szCs w:val="21"/>
              </w:rPr>
            </w:pPr>
            <w:r>
              <w:rPr>
                <w:rFonts w:ascii="宋体" w:hAnsi="宋体" w:cs="宋体" w:eastAsia="宋体" w:hint="default"/>
                <w:sz w:val="21"/>
                <w:szCs w:val="21"/>
              </w:rPr>
              <w:t>合计</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183,156.53</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12"/>
        <w:rPr>
          <w:rFonts w:ascii="宋体" w:hAnsi="宋体" w:cs="宋体" w:eastAsia="宋体" w:hint="default"/>
          <w:sz w:val="28"/>
          <w:szCs w:val="28"/>
        </w:rPr>
      </w:pPr>
    </w:p>
    <w:p>
      <w:pPr>
        <w:pStyle w:val="Heading4"/>
        <w:spacing w:line="240" w:lineRule="auto"/>
        <w:ind w:left="138" w:right="0"/>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5"/>
        </w:rPr>
        <w:t> </w:t>
      </w:r>
      <w:r>
        <w:rPr/>
        <w:t>重要逾期利息</w:t>
      </w:r>
      <w:r>
        <w:rPr>
          <w:b w:val="0"/>
          <w:bCs w:val="0"/>
        </w:rPr>
      </w:r>
    </w:p>
    <w:p>
      <w:pPr>
        <w:pStyle w:val="BodyText"/>
        <w:spacing w:line="314" w:lineRule="auto" w:before="129"/>
        <w:ind w:left="138" w:right="6894" w:firstLine="479"/>
        <w:jc w:val="left"/>
      </w:pPr>
      <w:r>
        <w:rPr/>
        <w:t>□适用 √不适用</w:t>
      </w:r>
      <w:r>
        <w:rPr>
          <w:w w:val="100"/>
        </w:rPr>
        <w:t> </w:t>
      </w:r>
      <w:r>
        <w:rPr/>
        <w:t>其他说明：</w:t>
      </w:r>
    </w:p>
    <w:p>
      <w:pPr>
        <w:pStyle w:val="BodyText"/>
        <w:spacing w:line="240" w:lineRule="auto" w:before="20"/>
        <w:ind w:left="618" w:right="0"/>
        <w:jc w:val="left"/>
      </w:pPr>
      <w:r>
        <w:rPr/>
        <w:t>□适用 √不适用</w:t>
      </w:r>
    </w:p>
    <w:p>
      <w:pPr>
        <w:pStyle w:val="Heading4"/>
        <w:spacing w:line="240" w:lineRule="auto" w:before="145"/>
        <w:ind w:left="138" w:right="0"/>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5"/>
        </w:rPr>
        <w:t> </w:t>
      </w:r>
      <w:r>
        <w:rPr/>
        <w:t>应收股利</w:t>
      </w:r>
      <w:r>
        <w:rPr>
          <w:b w:val="0"/>
          <w:bCs w:val="0"/>
        </w:rPr>
      </w:r>
    </w:p>
    <w:p>
      <w:pPr>
        <w:pStyle w:val="BodyText"/>
        <w:spacing w:line="240" w:lineRule="auto" w:before="129"/>
        <w:ind w:left="618" w:right="0"/>
        <w:jc w:val="left"/>
      </w:pPr>
      <w:r>
        <w:rPr/>
        <w:t>□适用 √不适用</w:t>
      </w:r>
    </w:p>
    <w:p>
      <w:pPr>
        <w:pStyle w:val="Heading4"/>
        <w:spacing w:line="240" w:lineRule="auto" w:before="145"/>
        <w:ind w:left="138" w:right="0"/>
        <w:jc w:val="left"/>
        <w:rPr>
          <w:b w:val="0"/>
          <w:bCs w:val="0"/>
        </w:rPr>
      </w:pPr>
      <w:r>
        <w:rPr>
          <w:rFonts w:ascii="Times New Roman" w:hAnsi="Times New Roman" w:cs="Times New Roman" w:eastAsia="Times New Roman" w:hint="default"/>
        </w:rPr>
        <w:t>(5).  </w:t>
      </w:r>
      <w:r>
        <w:rPr/>
        <w:t>重要的账龄超过 </w:t>
      </w:r>
      <w:r>
        <w:rPr>
          <w:rFonts w:ascii="宋体" w:hAnsi="宋体" w:cs="宋体" w:eastAsia="宋体" w:hint="default"/>
        </w:rPr>
        <w:t>1</w:t>
      </w:r>
      <w:r>
        <w:rPr>
          <w:rFonts w:ascii="宋体" w:hAnsi="宋体" w:cs="宋体" w:eastAsia="宋体" w:hint="default"/>
          <w:spacing w:val="-82"/>
        </w:rPr>
        <w:t> </w:t>
      </w:r>
      <w:r>
        <w:rPr/>
        <w:t>年的应收股利</w:t>
      </w:r>
      <w:r>
        <w:rPr>
          <w:b w:val="0"/>
          <w:bCs w:val="0"/>
        </w:rPr>
      </w:r>
    </w:p>
    <w:p>
      <w:pPr>
        <w:pStyle w:val="BodyText"/>
        <w:spacing w:line="240" w:lineRule="auto" w:before="129"/>
        <w:ind w:left="618" w:right="0"/>
        <w:jc w:val="left"/>
      </w:pPr>
      <w:r>
        <w:rPr/>
        <w:t>□适用 √不适用</w:t>
      </w:r>
    </w:p>
    <w:p>
      <w:pPr>
        <w:pStyle w:val="Heading3"/>
        <w:spacing w:line="240" w:lineRule="auto"/>
        <w:ind w:right="0"/>
        <w:jc w:val="left"/>
      </w:pPr>
      <w:r>
        <w:rPr/>
        <w:t>其他说明：</w:t>
      </w:r>
    </w:p>
    <w:p>
      <w:pPr>
        <w:pStyle w:val="BodyText"/>
        <w:spacing w:line="240" w:lineRule="auto" w:before="81"/>
        <w:ind w:left="618" w:right="0"/>
        <w:jc w:val="left"/>
      </w:pPr>
      <w:r>
        <w:rPr/>
        <w:t>□适用 √不适用</w:t>
      </w:r>
    </w:p>
    <w:p>
      <w:pPr>
        <w:spacing w:after="0" w:line="240" w:lineRule="auto"/>
        <w:jc w:val="left"/>
        <w:sectPr>
          <w:type w:val="continuous"/>
          <w:pgSz w:w="11910" w:h="16840"/>
          <w:pgMar w:top="1580" w:bottom="2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74"/>
          <w:footerReference w:type="default" r:id="rId75"/>
          <w:pgSz w:w="16840" w:h="11910" w:orient="landscape"/>
          <w:pgMar w:header="857" w:footer="980" w:top="1120" w:bottom="1160" w:left="1300" w:right="1400"/>
          <w:pgNumType w:start="229"/>
        </w:sectPr>
      </w:pPr>
    </w:p>
    <w:p>
      <w:pPr>
        <w:pStyle w:val="Heading4"/>
        <w:spacing w:line="240" w:lineRule="auto"/>
        <w:ind w:left="140" w:right="-18"/>
        <w:jc w:val="left"/>
        <w:rPr>
          <w:b w:val="0"/>
          <w:bCs w:val="0"/>
        </w:rPr>
      </w:pPr>
      <w:r>
        <w:rPr/>
        <w:t>其他应收款</w:t>
      </w:r>
      <w:r>
        <w:rPr>
          <w:b w:val="0"/>
          <w:bCs w:val="0"/>
        </w:rPr>
      </w:r>
    </w:p>
    <w:p>
      <w:pPr>
        <w:pStyle w:val="Heading4"/>
        <w:spacing w:line="240" w:lineRule="auto" w:before="58"/>
        <w:ind w:left="140" w:right="-18"/>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其他应收款分类披露</w:t>
      </w:r>
      <w:r>
        <w:rPr>
          <w:b w:val="0"/>
          <w:bCs w:val="0"/>
        </w:rPr>
      </w:r>
    </w:p>
    <w:p>
      <w:pPr>
        <w:pStyle w:val="BodyText"/>
        <w:tabs>
          <w:tab w:pos="1462" w:val="left" w:leader="none"/>
        </w:tabs>
        <w:spacing w:line="240" w:lineRule="auto" w:before="40"/>
        <w:ind w:left="620"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580" w:bottom="280" w:left="1300" w:right="1400"/>
          <w:cols w:num="2" w:equalWidth="0">
            <w:col w:w="2445" w:space="9118"/>
            <w:col w:w="257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14"/>
        <w:gridCol w:w="1558"/>
        <w:gridCol w:w="711"/>
        <w:gridCol w:w="1702"/>
        <w:gridCol w:w="708"/>
        <w:gridCol w:w="1416"/>
        <w:gridCol w:w="1418"/>
        <w:gridCol w:w="850"/>
        <w:gridCol w:w="1277"/>
        <w:gridCol w:w="1277"/>
        <w:gridCol w:w="1416"/>
      </w:tblGrid>
      <w:tr>
        <w:trPr>
          <w:trHeight w:val="293" w:hRule="exact"/>
        </w:trPr>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0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2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2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2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414" w:type="dxa"/>
            <w:vMerge/>
            <w:tcBorders>
              <w:left w:val="single" w:sz="4" w:space="0" w:color="000000"/>
              <w:right w:val="single" w:sz="4" w:space="0" w:color="000000"/>
            </w:tcBorders>
          </w:tcPr>
          <w:p>
            <w:pP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08"/>
              <w:ind w:left="494" w:right="489"/>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08"/>
              <w:ind w:left="494" w:right="489"/>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1414"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91" w:right="0"/>
              <w:jc w:val="left"/>
              <w:rPr>
                <w:rFonts w:ascii="Times New Roman" w:hAnsi="Times New Roman" w:cs="Times New Roman" w:eastAsia="Times New Roman" w:hint="default"/>
                <w:sz w:val="21"/>
                <w:szCs w:val="21"/>
              </w:rPr>
            </w:pPr>
            <w:r>
              <w:rPr>
                <w:rFonts w:ascii="Times New Roman"/>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8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416"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8"/>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计提比例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16" w:type="dxa"/>
            <w:vMerge/>
            <w:tcBorders>
              <w:left w:val="single" w:sz="4" w:space="0" w:color="000000"/>
              <w:bottom w:val="single" w:sz="4" w:space="0" w:color="000000"/>
              <w:right w:val="single" w:sz="4" w:space="0" w:color="000000"/>
            </w:tcBorders>
          </w:tcPr>
          <w:p>
            <w:pPr/>
          </w:p>
        </w:tc>
      </w:tr>
      <w:tr>
        <w:trPr>
          <w:trHeight w:val="109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单项金额重大</w:t>
            </w:r>
          </w:p>
          <w:p>
            <w:pPr>
              <w:pStyle w:val="TableParagraph"/>
              <w:spacing w:line="237" w:lineRule="auto" w:before="2"/>
              <w:ind w:left="26" w:right="113"/>
              <w:jc w:val="both"/>
              <w:rPr>
                <w:rFonts w:ascii="宋体" w:hAnsi="宋体" w:cs="宋体" w:eastAsia="宋体" w:hint="default"/>
                <w:sz w:val="21"/>
                <w:szCs w:val="21"/>
              </w:rPr>
            </w:pPr>
            <w:r>
              <w:rPr>
                <w:rFonts w:ascii="宋体" w:hAnsi="宋体" w:cs="宋体" w:eastAsia="宋体" w:hint="default"/>
                <w:sz w:val="21"/>
                <w:szCs w:val="21"/>
              </w:rPr>
              <w:t>并单独计提坏</w:t>
            </w:r>
            <w:r>
              <w:rPr>
                <w:rFonts w:ascii="宋体" w:hAnsi="宋体" w:cs="宋体" w:eastAsia="宋体" w:hint="default"/>
                <w:w w:val="100"/>
                <w:sz w:val="21"/>
                <w:szCs w:val="21"/>
              </w:rPr>
              <w:t> </w:t>
            </w:r>
            <w:r>
              <w:rPr>
                <w:rFonts w:ascii="宋体" w:hAnsi="宋体" w:cs="宋体" w:eastAsia="宋体" w:hint="default"/>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37" w:lineRule="auto" w:before="2"/>
              <w:ind w:left="26" w:right="113"/>
              <w:jc w:val="both"/>
              <w:rPr>
                <w:rFonts w:ascii="宋体" w:hAnsi="宋体" w:cs="宋体" w:eastAsia="宋体" w:hint="default"/>
                <w:sz w:val="21"/>
                <w:szCs w:val="21"/>
              </w:rPr>
            </w:pPr>
            <w:r>
              <w:rPr>
                <w:rFonts w:ascii="宋体" w:hAnsi="宋体" w:cs="宋体" w:eastAsia="宋体" w:hint="default"/>
                <w:sz w:val="21"/>
                <w:szCs w:val="21"/>
              </w:rPr>
              <w:t>征组合计提坏</w:t>
            </w:r>
            <w:r>
              <w:rPr>
                <w:rFonts w:ascii="宋体" w:hAnsi="宋体" w:cs="宋体" w:eastAsia="宋体" w:hint="default"/>
                <w:w w:val="100"/>
                <w:sz w:val="21"/>
                <w:szCs w:val="21"/>
              </w:rPr>
              <w:t> </w:t>
            </w:r>
            <w:r>
              <w:rPr>
                <w:rFonts w:ascii="宋体" w:hAnsi="宋体" w:cs="宋体" w:eastAsia="宋体" w:hint="default"/>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76,730,645.89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6,495,499.70</w:t>
            </w:r>
            <w:r>
              <w:rPr>
                <w:rFonts w:ascii="Times New Roman"/>
                <w:sz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8.47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70,235,146.19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69,538,302.45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5,509,189.34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7.92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64,029,113.11</w:t>
            </w:r>
          </w:p>
        </w:tc>
      </w:tr>
      <w:tr>
        <w:trPr>
          <w:trHeight w:val="55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组合</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：账龄组</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42,598,481.67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55.52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6,495,499.70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15.25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36,102,981.97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49,879,542.54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71.73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5,509,189.34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11.04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44,370,353.20</w:t>
            </w:r>
          </w:p>
        </w:tc>
      </w:tr>
      <w:tr>
        <w:trPr>
          <w:trHeight w:val="109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组合</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：合并报</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表范围内组合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34,132,164.22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44.48</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34,132,164.22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19,658,759.91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28.27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19,658,759.91</w:t>
            </w:r>
          </w:p>
        </w:tc>
      </w:tr>
      <w:tr>
        <w:trPr>
          <w:trHeight w:val="110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37" w:lineRule="auto"/>
              <w:ind w:left="26" w:right="113"/>
              <w:jc w:val="both"/>
              <w:rPr>
                <w:rFonts w:ascii="宋体" w:hAnsi="宋体" w:cs="宋体" w:eastAsia="宋体" w:hint="default"/>
                <w:sz w:val="21"/>
                <w:szCs w:val="21"/>
              </w:rPr>
            </w:pPr>
            <w:r>
              <w:rPr>
                <w:rFonts w:ascii="宋体" w:hAnsi="宋体" w:cs="宋体" w:eastAsia="宋体" w:hint="default"/>
                <w:sz w:val="21"/>
                <w:szCs w:val="21"/>
              </w:rPr>
              <w:t>大但单独计提</w:t>
            </w:r>
            <w:r>
              <w:rPr>
                <w:rFonts w:ascii="宋体" w:hAnsi="宋体" w:cs="宋体" w:eastAsia="宋体" w:hint="default"/>
                <w:w w:val="100"/>
                <w:sz w:val="21"/>
                <w:szCs w:val="21"/>
              </w:rPr>
              <w:t> </w:t>
            </w:r>
            <w:r>
              <w:rPr>
                <w:rFonts w:ascii="宋体" w:hAnsi="宋体" w:cs="宋体" w:eastAsia="宋体" w:hint="default"/>
                <w:sz w:val="21"/>
                <w:szCs w:val="21"/>
              </w:rPr>
              <w:t>坏账准备的其</w:t>
            </w:r>
            <w:r>
              <w:rPr>
                <w:rFonts w:ascii="宋体" w:hAnsi="宋体" w:cs="宋体" w:eastAsia="宋体" w:hint="default"/>
                <w:w w:val="100"/>
                <w:sz w:val="21"/>
                <w:szCs w:val="21"/>
              </w:rPr>
              <w:t> </w:t>
            </w:r>
            <w:r>
              <w:rPr>
                <w:rFonts w:ascii="宋体" w:hAnsi="宋体" w:cs="宋体" w:eastAsia="宋体" w:hint="default"/>
                <w:sz w:val="21"/>
                <w:szCs w:val="21"/>
              </w:rPr>
              <w:t>他应收款</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76,730,645.89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6,495,499.70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70,235,146.19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69,538,302.45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21"/>
                <w:szCs w:val="21"/>
              </w:rPr>
            </w:pPr>
            <w:r>
              <w:rPr>
                <w:rFonts w:ascii="Times New Roman"/>
                <w:spacing w:val="-1"/>
                <w:sz w:val="21"/>
              </w:rPr>
              <w:t>5,509,189.34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64,029,113.11</w:t>
            </w:r>
          </w:p>
        </w:tc>
      </w:tr>
    </w:tbl>
    <w:p>
      <w:pPr>
        <w:spacing w:line="240" w:lineRule="auto" w:before="2"/>
        <w:rPr>
          <w:rFonts w:ascii="宋体" w:hAnsi="宋体" w:cs="宋体" w:eastAsia="宋体" w:hint="default"/>
          <w:sz w:val="20"/>
          <w:szCs w:val="20"/>
        </w:rPr>
      </w:pPr>
    </w:p>
    <w:p>
      <w:pPr>
        <w:pStyle w:val="BodyText"/>
        <w:spacing w:line="240" w:lineRule="auto" w:before="36"/>
        <w:ind w:left="560" w:right="0"/>
        <w:jc w:val="left"/>
      </w:pPr>
      <w:r>
        <w:rPr/>
        <w:t>期末单项金额重大并单项计提坏账准备的其他应收款：</w:t>
      </w:r>
    </w:p>
    <w:p>
      <w:pPr>
        <w:spacing w:after="0" w:line="240" w:lineRule="auto"/>
        <w:jc w:val="left"/>
        <w:sectPr>
          <w:type w:val="continuous"/>
          <w:pgSz w:w="16840" w:h="11910" w:orient="landscape"/>
          <w:pgMar w:top="1580" w:bottom="280" w:left="1300" w:right="14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6840" w:h="11910" w:orient="landscape"/>
          <w:pgMar w:header="857" w:footer="980" w:top="1120" w:bottom="1160" w:left="1300" w:right="1400"/>
        </w:sectPr>
      </w:pPr>
    </w:p>
    <w:p>
      <w:pPr>
        <w:pStyle w:val="BodyText"/>
        <w:spacing w:line="290" w:lineRule="auto" w:before="36"/>
        <w:ind w:left="435" w:right="0" w:firstLine="124"/>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14"/>
        <w:ind w:left="620"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86" w:val="left" w:leader="none"/>
        </w:tabs>
        <w:spacing w:line="240" w:lineRule="auto"/>
        <w:ind w:left="435" w:right="0"/>
        <w:jc w:val="left"/>
      </w:pPr>
      <w:r>
        <w:rPr>
          <w:spacing w:val="-1"/>
        </w:rPr>
        <w:t>单位：元</w:t>
        <w:tab/>
        <w:t>币种：人民币</w:t>
      </w:r>
    </w:p>
    <w:p>
      <w:pPr>
        <w:spacing w:after="0" w:line="240" w:lineRule="auto"/>
        <w:jc w:val="left"/>
        <w:sectPr>
          <w:type w:val="continuous"/>
          <w:pgSz w:w="16840" w:h="11910" w:orient="landscape"/>
          <w:pgMar w:top="1580" w:bottom="280" w:left="1300" w:right="1400"/>
          <w:cols w:num="2" w:equalWidth="0">
            <w:col w:w="5271" w:space="5997"/>
            <w:col w:w="2872"/>
          </w:cols>
        </w:sectPr>
      </w:pPr>
    </w:p>
    <w:p>
      <w:pPr>
        <w:spacing w:line="240" w:lineRule="auto" w:before="7"/>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3771"/>
        <w:gridCol w:w="4162"/>
        <w:gridCol w:w="3970"/>
        <w:gridCol w:w="1565"/>
      </w:tblGrid>
      <w:tr>
        <w:trPr>
          <w:trHeight w:val="283" w:hRule="exact"/>
        </w:trPr>
        <w:tc>
          <w:tcPr>
            <w:tcW w:w="377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96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3771" w:type="dxa"/>
            <w:vMerge/>
            <w:tcBorders>
              <w:left w:val="single" w:sz="4" w:space="0" w:color="000000"/>
              <w:bottom w:val="single" w:sz="4" w:space="0" w:color="000000"/>
              <w:right w:val="single" w:sz="4" w:space="0" w:color="000000"/>
            </w:tcBorders>
          </w:tcPr>
          <w:p>
            <w:pPr/>
          </w:p>
        </w:tc>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5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9"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66" w:right="0"/>
              <w:jc w:val="left"/>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89" w:lineRule="exact"/>
              <w:ind w:left="47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21,377,015.33</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641,310.46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4162"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21,377,015.33</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641,310.46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3</w:t>
            </w:r>
          </w:p>
        </w:tc>
      </w:tr>
      <w:tr>
        <w:trPr>
          <w:trHeight w:val="281"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8,289,948.99</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828,994.90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10</w:t>
            </w:r>
          </w:p>
        </w:tc>
      </w:tr>
      <w:tr>
        <w:trPr>
          <w:trHeight w:val="283"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7,383,227.65</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1,476,645.53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20</w:t>
            </w:r>
          </w:p>
        </w:tc>
      </w:tr>
      <w:tr>
        <w:trPr>
          <w:trHeight w:val="283"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3,401,646.50</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1,700,823.25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50</w:t>
            </w:r>
          </w:p>
        </w:tc>
      </w:tr>
      <w:tr>
        <w:trPr>
          <w:trHeight w:val="281"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1,494,588.21</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1,195,670.57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80</w:t>
            </w:r>
          </w:p>
        </w:tc>
      </w:tr>
      <w:tr>
        <w:trPr>
          <w:trHeight w:val="283"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652,054.99</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652,054.99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100</w:t>
            </w:r>
          </w:p>
        </w:tc>
      </w:tr>
      <w:tr>
        <w:trPr>
          <w:trHeight w:val="284"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42,598,481.67</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6,495,499.70</w:t>
            </w:r>
          </w:p>
        </w:tc>
        <w:tc>
          <w:tcPr>
            <w:tcW w:w="156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560" w:right="0"/>
        <w:jc w:val="left"/>
      </w:pPr>
      <w:r>
        <w:rPr/>
        <w:t>确定该组合依据的说明：</w:t>
      </w:r>
    </w:p>
    <w:p>
      <w:pPr>
        <w:pStyle w:val="BodyText"/>
        <w:spacing w:line="290" w:lineRule="auto"/>
        <w:ind w:left="560" w:right="8188"/>
        <w:jc w:val="left"/>
      </w:pPr>
      <w:r>
        <w:rPr/>
        <w:t>无</w:t>
      </w:r>
      <w:r>
        <w:rPr>
          <w:w w:val="100"/>
        </w:rPr>
        <w:t> </w:t>
      </w:r>
      <w:r>
        <w:rPr>
          <w:spacing w:val="-2"/>
        </w:rPr>
        <w:t>组合中，采用余额百分比法计提坏账准备的其他应收款：</w:t>
      </w:r>
    </w:p>
    <w:p>
      <w:pPr>
        <w:pStyle w:val="BodyText"/>
        <w:spacing w:line="290" w:lineRule="auto" w:before="12"/>
        <w:ind w:left="560" w:right="8188" w:firstLine="60"/>
        <w:jc w:val="left"/>
      </w:pPr>
      <w:r>
        <w:rPr/>
        <w:t>□适用</w:t>
      </w:r>
      <w:r>
        <w:rPr>
          <w:spacing w:val="-2"/>
        </w:rPr>
        <w:t> </w:t>
      </w:r>
      <w:r>
        <w:rPr/>
        <w:t>√不适用</w:t>
      </w:r>
      <w:r>
        <w:rPr>
          <w:w w:val="100"/>
        </w:rPr>
        <w:t> </w:t>
      </w:r>
      <w:r>
        <w:rPr>
          <w:spacing w:val="-2"/>
        </w:rPr>
        <w:t>组合中，采用其他方法计提坏账准备的其他应收款：</w:t>
      </w:r>
    </w:p>
    <w:p>
      <w:pPr>
        <w:pStyle w:val="BodyText"/>
        <w:tabs>
          <w:tab w:pos="1462" w:val="left" w:leader="none"/>
        </w:tabs>
        <w:spacing w:line="240" w:lineRule="auto" w:before="12"/>
        <w:ind w:left="620" w:right="0"/>
        <w:jc w:val="left"/>
      </w:pPr>
      <w:r>
        <w:rPr>
          <w:spacing w:val="-1"/>
        </w:rPr>
        <w:t>□适用</w:t>
        <w:tab/>
      </w:r>
      <w:r>
        <w:rPr>
          <w:spacing w:val="-2"/>
        </w:rPr>
        <w:t>√不适用</w:t>
      </w:r>
    </w:p>
    <w:p>
      <w:pPr>
        <w:spacing w:after="0" w:line="240" w:lineRule="auto"/>
        <w:jc w:val="left"/>
        <w:sectPr>
          <w:type w:val="continuous"/>
          <w:pgSz w:w="16840" w:h="11910" w:orient="landscape"/>
          <w:pgMar w:top="1580" w:bottom="28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6"/>
          <w:footerReference w:type="default" r:id="rId77"/>
          <w:pgSz w:w="11910" w:h="16840"/>
          <w:pgMar w:header="857" w:footer="979" w:top="1120" w:bottom="1160" w:left="1580" w:right="1140"/>
          <w:pgNumType w:start="231"/>
        </w:sectPr>
      </w:pPr>
    </w:p>
    <w:p>
      <w:pPr>
        <w:spacing w:line="240" w:lineRule="auto" w:before="2"/>
        <w:rPr>
          <w:rFonts w:ascii="宋体" w:hAnsi="宋体" w:cs="宋体" w:eastAsia="宋体" w:hint="default"/>
          <w:sz w:val="16"/>
          <w:szCs w:val="16"/>
        </w:rPr>
      </w:pPr>
    </w:p>
    <w:p>
      <w:pPr>
        <w:pStyle w:val="Heading4"/>
        <w:spacing w:line="240" w:lineRule="auto" w:before="0"/>
        <w:ind w:right="-19"/>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3"/>
        </w:rPr>
        <w:t> </w:t>
      </w:r>
      <w:r>
        <w:rPr/>
        <w:t>按款项性质分类情况</w:t>
      </w:r>
      <w:r>
        <w:rPr>
          <w:b w:val="0"/>
          <w:bCs w:val="0"/>
        </w:rPr>
      </w:r>
    </w:p>
    <w:p>
      <w:pPr>
        <w:pStyle w:val="BodyText"/>
        <w:spacing w:line="240" w:lineRule="auto" w:before="43"/>
        <w:ind w:left="69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140"/>
          <w:cols w:num="2" w:equalWidth="0">
            <w:col w:w="2523" w:space="3999"/>
            <w:col w:w="26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01"/>
        <w:gridCol w:w="2907"/>
        <w:gridCol w:w="2917"/>
      </w:tblGrid>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83"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7"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22,594,073.17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30,324,589.40</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往来款及日常业务暂付款</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1,677,790.05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2,354,411.16</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招投标保证金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14,905,109.45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16,914,642.30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421,509.00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285,899.68</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子公司往来</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34,132,164.22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19,658,759.91</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3,000,000.00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76,730,645.89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69,538,302.45</w:t>
            </w:r>
          </w:p>
        </w:tc>
      </w:tr>
    </w:tbl>
    <w:p>
      <w:pPr>
        <w:spacing w:line="240" w:lineRule="auto" w:before="12"/>
        <w:rPr>
          <w:rFonts w:ascii="宋体" w:hAnsi="宋体" w:cs="宋体" w:eastAsia="宋体" w:hint="default"/>
          <w:sz w:val="28"/>
          <w:szCs w:val="28"/>
        </w:rPr>
      </w:pPr>
    </w:p>
    <w:p>
      <w:pPr>
        <w:pStyle w:val="Heading4"/>
        <w:spacing w:line="240" w:lineRule="auto"/>
        <w:ind w:right="2631"/>
        <w:jc w:val="left"/>
        <w:rPr>
          <w:b w:val="0"/>
          <w:bCs w:val="0"/>
        </w:rPr>
      </w:pPr>
      <w:r>
        <w:rPr>
          <w:rFonts w:ascii="Times New Roman" w:hAnsi="Times New Roman" w:cs="Times New Roman" w:eastAsia="Times New Roman" w:hint="default"/>
        </w:rPr>
        <w:t>(3).  </w:t>
      </w:r>
      <w:r>
        <w:rPr/>
        <w:t>本期计提、收回或转回的坏账准备情况</w:t>
      </w:r>
      <w:r>
        <w:rPr>
          <w:b w:val="0"/>
          <w:bCs w:val="0"/>
        </w:rPr>
      </w:r>
    </w:p>
    <w:p>
      <w:pPr>
        <w:pStyle w:val="BodyText"/>
        <w:spacing w:line="297" w:lineRule="auto" w:before="129"/>
        <w:ind w:right="1606" w:firstLine="419"/>
        <w:jc w:val="left"/>
      </w:pPr>
      <w:r>
        <w:rPr/>
        <w:t>本期计提坏账准备金额</w:t>
      </w:r>
      <w:r>
        <w:rPr>
          <w:spacing w:val="-53"/>
        </w:rPr>
        <w:t> </w:t>
      </w:r>
      <w:r>
        <w:rPr>
          <w:rFonts w:ascii="Times New Roman" w:hAnsi="Times New Roman" w:cs="Times New Roman" w:eastAsia="Times New Roman" w:hint="default"/>
        </w:rPr>
        <w:t>986,310.36</w:t>
      </w:r>
      <w:r>
        <w:rPr>
          <w:rFonts w:ascii="Times New Roman" w:hAnsi="Times New Roman" w:cs="Times New Roman" w:eastAsia="Times New Roman" w:hint="default"/>
          <w:spacing w:val="-1"/>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r>
        <w:rPr>
          <w:w w:val="100"/>
        </w:rPr>
        <w:t> </w:t>
      </w:r>
      <w:r>
        <w:rPr/>
        <w:t>其中本期坏账准备转回或收回金额重要的：</w:t>
      </w:r>
    </w:p>
    <w:p>
      <w:pPr>
        <w:pStyle w:val="BodyText"/>
        <w:spacing w:line="240" w:lineRule="auto" w:before="34"/>
        <w:ind w:left="698" w:right="2631"/>
        <w:jc w:val="left"/>
      </w:pPr>
      <w:r>
        <w:rPr/>
        <w:t>□适用 √不适用</w:t>
      </w:r>
    </w:p>
    <w:p>
      <w:pPr>
        <w:pStyle w:val="Heading4"/>
        <w:spacing w:line="240" w:lineRule="auto" w:before="68"/>
        <w:ind w:right="2631"/>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本期实际核销的其他应收款情况</w:t>
      </w:r>
      <w:r>
        <w:rPr>
          <w:b w:val="0"/>
          <w:bCs w:val="0"/>
        </w:rPr>
      </w:r>
    </w:p>
    <w:p>
      <w:pPr>
        <w:pStyle w:val="BodyText"/>
        <w:spacing w:line="240" w:lineRule="auto" w:before="40"/>
        <w:ind w:left="698" w:right="2631"/>
        <w:jc w:val="left"/>
      </w:pPr>
      <w:r>
        <w:rPr/>
        <w:t>□适用 √不适用</w:t>
      </w:r>
    </w:p>
    <w:p>
      <w:pPr>
        <w:pStyle w:val="Heading4"/>
        <w:spacing w:line="240" w:lineRule="auto" w:before="56"/>
        <w:ind w:right="2631"/>
        <w:jc w:val="left"/>
        <w:rPr>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51"/>
        </w:rPr>
        <w:t> </w:t>
      </w:r>
      <w:r>
        <w:rPr/>
        <w:t>按欠款方归集的期末余额前五名的其他应收款情况</w:t>
      </w:r>
      <w:r>
        <w:rPr>
          <w:b w:val="0"/>
          <w:bCs w:val="0"/>
        </w:rPr>
      </w:r>
    </w:p>
    <w:p>
      <w:pPr>
        <w:pStyle w:val="BodyText"/>
        <w:spacing w:line="240" w:lineRule="auto" w:before="43"/>
        <w:ind w:left="698" w:right="2631"/>
        <w:jc w:val="left"/>
      </w:pPr>
      <w:r>
        <w:rPr/>
        <w:t>√适用 □不适用</w:t>
      </w:r>
    </w:p>
    <w:p>
      <w:pPr>
        <w:pStyle w:val="BodyText"/>
        <w:tabs>
          <w:tab w:pos="1051" w:val="left" w:leader="none"/>
        </w:tabs>
        <w:spacing w:line="271" w:lineRule="exact"/>
        <w:ind w:left="0" w:right="1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26"/>
        <w:gridCol w:w="1345"/>
        <w:gridCol w:w="1378"/>
        <w:gridCol w:w="1702"/>
        <w:gridCol w:w="1210"/>
        <w:gridCol w:w="1663"/>
      </w:tblGrid>
      <w:tr>
        <w:trPr>
          <w:trHeight w:val="1099"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账龄</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37" w:lineRule="auto" w:before="2"/>
              <w:ind w:left="74" w:right="70"/>
              <w:jc w:val="center"/>
              <w:rPr>
                <w:rFonts w:ascii="Times New Roman" w:hAnsi="Times New Roman" w:cs="Times New Roman" w:eastAsia="Times New Roman" w:hint="default"/>
                <w:sz w:val="21"/>
                <w:szCs w:val="21"/>
              </w:rPr>
            </w:pPr>
            <w:r>
              <w:rPr>
                <w:rFonts w:ascii="宋体" w:hAnsi="宋体" w:cs="宋体" w:eastAsia="宋体" w:hint="default"/>
                <w:sz w:val="21"/>
                <w:szCs w:val="21"/>
              </w:rPr>
              <w:t>款期末余额</w:t>
            </w:r>
            <w:r>
              <w:rPr>
                <w:rFonts w:ascii="宋体" w:hAnsi="宋体" w:cs="宋体" w:eastAsia="宋体" w:hint="default"/>
                <w:w w:val="100"/>
                <w:sz w:val="21"/>
                <w:szCs w:val="21"/>
              </w:rPr>
              <w:t> </w:t>
            </w:r>
            <w:r>
              <w:rPr>
                <w:rFonts w:ascii="宋体" w:hAnsi="宋体" w:cs="宋体" w:eastAsia="宋体" w:hint="default"/>
                <w:sz w:val="21"/>
                <w:szCs w:val="21"/>
              </w:rPr>
              <w:t>合计数的比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08" w:right="40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其他应收客户</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一</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子公司往来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8,127,627.07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2"/>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10.59</w:t>
            </w: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4"/>
                <w:sz w:val="21"/>
                <w:szCs w:val="21"/>
              </w:rPr>
              <w:t>其他应收客户</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4,703,654.00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2"/>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6.13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497,049.95</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4"/>
                <w:sz w:val="21"/>
                <w:szCs w:val="21"/>
              </w:rPr>
              <w:t>其他应收客户</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三</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子公司往来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4,443,240.91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2"/>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z w:val="21"/>
              </w:rPr>
              <w:t>5.79</w:t>
            </w: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14"/>
                <w:sz w:val="21"/>
                <w:szCs w:val="21"/>
              </w:rPr>
              <w:t>其他应收客户</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四</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子公司往来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4,049,818.30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年以内及 </w:t>
            </w: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4</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z w:val="21"/>
              </w:rPr>
              <w:t>5.28</w:t>
            </w: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4"/>
                <w:sz w:val="21"/>
                <w:szCs w:val="21"/>
              </w:rPr>
              <w:t>其他应收客户</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五</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子公司往来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3,202,572.33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年以内及 </w:t>
            </w: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z w:val="21"/>
              </w:rPr>
              <w:t>4.17</w:t>
            </w: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21"/>
                <w:szCs w:val="21"/>
              </w:rPr>
            </w:pPr>
            <w:r>
              <w:rPr>
                <w:rFonts w:ascii="Times New Roman"/>
                <w:w w:val="100"/>
                <w:sz w:val="21"/>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24,526,912.61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w w:val="100"/>
                <w:sz w:val="21"/>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31.96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497,049.95</w:t>
            </w:r>
          </w:p>
        </w:tc>
      </w:tr>
    </w:tbl>
    <w:p>
      <w:pPr>
        <w:spacing w:line="240" w:lineRule="auto" w:before="1"/>
        <w:rPr>
          <w:rFonts w:ascii="宋体" w:hAnsi="宋体" w:cs="宋体" w:eastAsia="宋体" w:hint="default"/>
          <w:sz w:val="23"/>
          <w:szCs w:val="23"/>
        </w:rPr>
      </w:pPr>
    </w:p>
    <w:p>
      <w:pPr>
        <w:pStyle w:val="Heading4"/>
        <w:spacing w:line="240" w:lineRule="auto"/>
        <w:ind w:right="2631"/>
        <w:jc w:val="left"/>
        <w:rPr>
          <w:b w:val="0"/>
          <w:bCs w:val="0"/>
        </w:rPr>
      </w:pPr>
      <w:r>
        <w:rPr>
          <w:rFonts w:ascii="Times New Roman" w:hAnsi="Times New Roman" w:cs="Times New Roman" w:eastAsia="Times New Roman" w:hint="default"/>
        </w:rPr>
        <w:t>(6).  </w:t>
      </w:r>
      <w:r>
        <w:rPr/>
        <w:t>涉及政府补助的应收款项</w:t>
      </w:r>
      <w:r>
        <w:rPr>
          <w:b w:val="0"/>
          <w:bCs w:val="0"/>
        </w:rPr>
      </w:r>
    </w:p>
    <w:p>
      <w:pPr>
        <w:pStyle w:val="BodyText"/>
        <w:spacing w:line="240" w:lineRule="auto" w:before="43"/>
        <w:ind w:left="698" w:right="2631"/>
        <w:jc w:val="left"/>
      </w:pPr>
      <w:r>
        <w:rPr/>
        <w:t>□适用 √不适用</w:t>
      </w:r>
    </w:p>
    <w:p>
      <w:pPr>
        <w:pStyle w:val="Heading4"/>
        <w:spacing w:line="240" w:lineRule="auto" w:before="56"/>
        <w:ind w:right="2631"/>
        <w:jc w:val="left"/>
        <w:rPr>
          <w:b w:val="0"/>
          <w:bCs w:val="0"/>
        </w:rPr>
      </w:pPr>
      <w:r>
        <w:rPr>
          <w:rFonts w:ascii="Times New Roman" w:hAnsi="Times New Roman" w:cs="Times New Roman" w:eastAsia="Times New Roman" w:hint="default"/>
        </w:rPr>
        <w:t>(7).  </w:t>
      </w:r>
      <w:r>
        <w:rPr/>
        <w:t>因金融资产转移而终止确认的其他应收款</w:t>
      </w:r>
      <w:r>
        <w:rPr>
          <w:b w:val="0"/>
          <w:bCs w:val="0"/>
        </w:rPr>
      </w:r>
    </w:p>
    <w:p>
      <w:pPr>
        <w:pStyle w:val="BodyText"/>
        <w:tabs>
          <w:tab w:pos="1540" w:val="left" w:leader="none"/>
        </w:tabs>
        <w:spacing w:line="240" w:lineRule="auto" w:before="43"/>
        <w:ind w:left="698" w:right="2631"/>
        <w:jc w:val="left"/>
      </w:pPr>
      <w:r>
        <w:rPr/>
        <w:t>□适用</w:t>
        <w:tab/>
        <w:t>√不适用</w:t>
      </w:r>
    </w:p>
    <w:p>
      <w:pPr>
        <w:pStyle w:val="Heading4"/>
        <w:spacing w:line="240" w:lineRule="auto" w:before="56"/>
        <w:ind w:right="2631"/>
        <w:jc w:val="left"/>
        <w:rPr>
          <w:b w:val="0"/>
          <w:bCs w:val="0"/>
        </w:rPr>
      </w:pPr>
      <w:r>
        <w:rPr>
          <w:rFonts w:ascii="Times New Roman" w:hAnsi="Times New Roman" w:cs="Times New Roman" w:eastAsia="Times New Roman" w:hint="default"/>
        </w:rPr>
        <w:t>(8).</w:t>
      </w:r>
      <w:r>
        <w:rPr>
          <w:rFonts w:ascii="Times New Roman" w:hAnsi="Times New Roman" w:cs="Times New Roman" w:eastAsia="Times New Roman" w:hint="default"/>
          <w:spacing w:val="51"/>
        </w:rPr>
        <w:t> </w:t>
      </w:r>
      <w:r>
        <w:rPr/>
        <w:t>转移其他应收款且继续涉入形成的资产、负债金额</w:t>
      </w:r>
      <w:r>
        <w:rPr>
          <w:b w:val="0"/>
          <w:bCs w:val="0"/>
        </w:rPr>
      </w:r>
    </w:p>
    <w:p>
      <w:pPr>
        <w:pStyle w:val="BodyText"/>
        <w:tabs>
          <w:tab w:pos="1540" w:val="left" w:leader="none"/>
        </w:tabs>
        <w:spacing w:line="302" w:lineRule="exact" w:before="44"/>
        <w:ind w:left="700" w:right="6803" w:hanging="3"/>
        <w:jc w:val="left"/>
        <w:rPr>
          <w:sz w:val="24"/>
          <w:szCs w:val="24"/>
        </w:rPr>
      </w:pPr>
      <w:r>
        <w:rPr/>
        <w:t>□适用</w:t>
        <w:tab/>
      </w:r>
      <w:r>
        <w:rPr>
          <w:spacing w:val="-2"/>
        </w:rPr>
        <w:t>√不适用</w:t>
      </w:r>
      <w:r>
        <w:rPr>
          <w:spacing w:val="-99"/>
        </w:rPr>
        <w:t> </w:t>
      </w:r>
      <w:r>
        <w:rPr>
          <w:spacing w:val="-99"/>
        </w:rPr>
      </w:r>
      <w:r>
        <w:rPr/>
        <w:t>其他说明</w:t>
      </w:r>
      <w:r>
        <w:rPr>
          <w:sz w:val="24"/>
          <w:szCs w:val="24"/>
        </w:rPr>
        <w:t>：</w:t>
      </w:r>
    </w:p>
    <w:p>
      <w:pPr>
        <w:spacing w:after="0" w:line="302" w:lineRule="exact"/>
        <w:jc w:val="left"/>
        <w:rPr>
          <w:sz w:val="24"/>
          <w:szCs w:val="24"/>
        </w:rPr>
        <w:sectPr>
          <w:type w:val="continuous"/>
          <w:pgSz w:w="11910" w:h="16840"/>
          <w:pgMar w:top="1580" w:bottom="280" w:left="1580" w:right="1140"/>
        </w:sect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57" w:footer="979" w:top="1120" w:bottom="1160" w:left="300" w:right="460"/>
        </w:sectPr>
      </w:pPr>
    </w:p>
    <w:p>
      <w:pPr>
        <w:pStyle w:val="BodyText"/>
        <w:tabs>
          <w:tab w:pos="2820" w:val="left" w:leader="none"/>
        </w:tabs>
        <w:spacing w:line="240" w:lineRule="auto" w:before="36"/>
        <w:ind w:left="1978" w:right="-12"/>
        <w:jc w:val="left"/>
      </w:pPr>
      <w:r>
        <w:rPr/>
        <w:t>□适用</w:t>
        <w:tab/>
      </w:r>
      <w:r>
        <w:rPr>
          <w:spacing w:val="-2"/>
        </w:rPr>
        <w:t>√不适用</w:t>
      </w:r>
    </w:p>
    <w:p>
      <w:pPr>
        <w:pStyle w:val="Heading4"/>
        <w:spacing w:line="240" w:lineRule="auto" w:before="58"/>
        <w:ind w:left="1498" w:right="-12"/>
        <w:jc w:val="left"/>
        <w:rPr>
          <w:b w:val="0"/>
          <w:bCs w:val="0"/>
        </w:rPr>
      </w:pPr>
      <w:r>
        <w:rPr>
          <w:rFonts w:ascii="Times New Roman" w:hAnsi="Times New Roman" w:cs="Times New Roman" w:eastAsia="Times New Roman" w:hint="default"/>
        </w:rPr>
        <w:t>3</w:t>
      </w:r>
      <w:r>
        <w:rPr/>
        <w:t>、</w:t>
      </w:r>
      <w:r>
        <w:rPr>
          <w:spacing w:val="5"/>
        </w:rPr>
        <w:t> </w:t>
      </w:r>
      <w:r>
        <w:rPr/>
        <w:t>长期股权投资</w:t>
      </w:r>
      <w:r>
        <w:rPr>
          <w:b w:val="0"/>
          <w:bCs w:val="0"/>
        </w:rPr>
      </w:r>
    </w:p>
    <w:p>
      <w:pPr>
        <w:pStyle w:val="BodyText"/>
        <w:spacing w:line="240" w:lineRule="auto" w:before="40"/>
        <w:ind w:left="1978" w:right="-1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549" w:val="left" w:leader="none"/>
        </w:tabs>
        <w:spacing w:line="240" w:lineRule="auto"/>
        <w:ind w:left="1498" w:right="0"/>
        <w:jc w:val="left"/>
      </w:pPr>
      <w:r>
        <w:rPr>
          <w:spacing w:val="-1"/>
        </w:rPr>
        <w:t>单位：元</w:t>
        <w:tab/>
      </w:r>
      <w:r>
        <w:rPr>
          <w:spacing w:val="-2"/>
        </w:rPr>
        <w:t>币种：人民币</w:t>
      </w:r>
    </w:p>
    <w:p>
      <w:pPr>
        <w:spacing w:after="0" w:line="240" w:lineRule="auto"/>
        <w:jc w:val="left"/>
        <w:sectPr>
          <w:type w:val="continuous"/>
          <w:pgSz w:w="11910" w:h="16840"/>
          <w:pgMar w:top="1580" w:bottom="280" w:left="300" w:right="460"/>
          <w:cols w:num="2" w:equalWidth="0">
            <w:col w:w="3661" w:space="2861"/>
            <w:col w:w="4628"/>
          </w:cols>
        </w:sectPr>
      </w:pPr>
    </w:p>
    <w:p>
      <w:pPr>
        <w:spacing w:line="240" w:lineRule="auto" w:before="4"/>
        <w:rPr>
          <w:rFonts w:ascii="宋体" w:hAnsi="宋体" w:cs="宋体" w:eastAsia="宋体" w:hint="default"/>
          <w:sz w:val="2"/>
          <w:szCs w:val="2"/>
        </w:rPr>
      </w:pPr>
    </w:p>
    <w:tbl>
      <w:tblPr>
        <w:tblW w:w="0" w:type="auto"/>
        <w:jc w:val="left"/>
        <w:tblInd w:w="1462" w:type="dxa"/>
        <w:tblLayout w:type="fixed"/>
        <w:tblCellMar>
          <w:top w:w="0" w:type="dxa"/>
          <w:left w:w="0" w:type="dxa"/>
          <w:bottom w:w="0" w:type="dxa"/>
          <w:right w:w="0" w:type="dxa"/>
        </w:tblCellMar>
        <w:tblLook w:val="01E0"/>
      </w:tblPr>
      <w:tblGrid>
        <w:gridCol w:w="1272"/>
        <w:gridCol w:w="1745"/>
        <w:gridCol w:w="665"/>
        <w:gridCol w:w="1558"/>
        <w:gridCol w:w="1702"/>
        <w:gridCol w:w="567"/>
        <w:gridCol w:w="1555"/>
      </w:tblGrid>
      <w:tr>
        <w:trPr>
          <w:trHeight w:val="370" w:hRule="exact"/>
        </w:trPr>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41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732" w:hRule="exact"/>
        </w:trPr>
        <w:tc>
          <w:tcPr>
            <w:tcW w:w="1272"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17" w:right="113"/>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67" w:right="65"/>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3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180"/>
              <w:jc w:val="left"/>
              <w:rPr>
                <w:rFonts w:ascii="宋体" w:hAnsi="宋体" w:cs="宋体" w:eastAsia="宋体" w:hint="default"/>
                <w:sz w:val="21"/>
                <w:szCs w:val="21"/>
              </w:rPr>
            </w:pPr>
            <w:r>
              <w:rPr>
                <w:rFonts w:ascii="宋体" w:hAnsi="宋体" w:cs="宋体" w:eastAsia="宋体" w:hint="default"/>
                <w:sz w:val="21"/>
                <w:szCs w:val="21"/>
              </w:rPr>
              <w:t>对子公司投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1,026,544,203.65</w:t>
            </w:r>
          </w:p>
        </w:tc>
        <w:tc>
          <w:tcPr>
            <w:tcW w:w="66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1,026,544,203.65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382,799,203.10</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382,799,203.10</w:t>
            </w:r>
          </w:p>
        </w:tc>
      </w:tr>
      <w:tr>
        <w:trPr>
          <w:trHeight w:val="73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21"/>
              <w:jc w:val="left"/>
              <w:rPr>
                <w:rFonts w:ascii="宋体" w:hAnsi="宋体" w:cs="宋体" w:eastAsia="宋体" w:hint="default"/>
                <w:sz w:val="21"/>
                <w:szCs w:val="21"/>
              </w:rPr>
            </w:pPr>
            <w:r>
              <w:rPr>
                <w:rFonts w:ascii="宋体" w:hAnsi="宋体" w:cs="宋体" w:eastAsia="宋体" w:hint="default"/>
                <w:spacing w:val="-10"/>
                <w:sz w:val="21"/>
                <w:szCs w:val="21"/>
              </w:rPr>
              <w:t>对联营、合营</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企业投资</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195,504,596.31</w:t>
            </w:r>
          </w:p>
        </w:tc>
        <w:tc>
          <w:tcPr>
            <w:tcW w:w="66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195,504,596.31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88,197,584.28</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88,197,584.28</w:t>
            </w:r>
          </w:p>
        </w:tc>
      </w:tr>
      <w:tr>
        <w:trPr>
          <w:trHeight w:val="37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21"/>
                <w:szCs w:val="21"/>
              </w:rPr>
            </w:pPr>
            <w:r>
              <w:rPr>
                <w:rFonts w:ascii="Times New Roman"/>
                <w:spacing w:val="-1"/>
                <w:sz w:val="21"/>
              </w:rPr>
              <w:t>1,222,048,799.96</w:t>
            </w:r>
          </w:p>
        </w:tc>
        <w:tc>
          <w:tcPr>
            <w:tcW w:w="66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1,222,048,799.96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470,996,787.38</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470,996,787.38</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580" w:bottom="280" w:left="300" w:right="460"/>
        </w:sectPr>
      </w:pPr>
    </w:p>
    <w:p>
      <w:pPr>
        <w:pStyle w:val="Heading4"/>
        <w:spacing w:line="240" w:lineRule="auto"/>
        <w:ind w:left="1498" w:right="-19"/>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对子公司投资</w:t>
      </w:r>
      <w:r>
        <w:rPr>
          <w:b w:val="0"/>
          <w:bCs w:val="0"/>
        </w:rPr>
      </w:r>
    </w:p>
    <w:p>
      <w:pPr>
        <w:pStyle w:val="BodyText"/>
        <w:spacing w:line="240" w:lineRule="auto" w:before="40"/>
        <w:ind w:left="197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549" w:val="left" w:leader="none"/>
        </w:tabs>
        <w:spacing w:line="240" w:lineRule="auto"/>
        <w:ind w:left="1498" w:right="0"/>
        <w:jc w:val="left"/>
      </w:pPr>
      <w:r>
        <w:rPr>
          <w:spacing w:val="-1"/>
        </w:rPr>
        <w:t>单位：元</w:t>
        <w:tab/>
      </w:r>
      <w:r>
        <w:rPr>
          <w:spacing w:val="-2"/>
        </w:rPr>
        <w:t>币种：人民币</w:t>
      </w:r>
    </w:p>
    <w:p>
      <w:pPr>
        <w:spacing w:after="0" w:line="240" w:lineRule="auto"/>
        <w:jc w:val="left"/>
        <w:sectPr>
          <w:type w:val="continuous"/>
          <w:pgSz w:w="11910" w:h="16840"/>
          <w:pgMar w:top="1580" w:bottom="280" w:left="300" w:right="460"/>
          <w:cols w:num="2" w:equalWidth="0">
            <w:col w:w="3555" w:space="2966"/>
            <w:col w:w="462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62"/>
        <w:gridCol w:w="1688"/>
        <w:gridCol w:w="1589"/>
        <w:gridCol w:w="1277"/>
        <w:gridCol w:w="1700"/>
        <w:gridCol w:w="852"/>
        <w:gridCol w:w="850"/>
      </w:tblGrid>
      <w:tr>
        <w:trPr>
          <w:trHeight w:val="1092"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950"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41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36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21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42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5" w:right="101"/>
              <w:jc w:val="both"/>
              <w:rPr>
                <w:rFonts w:ascii="宋体" w:hAnsi="宋体" w:cs="宋体" w:eastAsia="宋体" w:hint="default"/>
                <w:sz w:val="21"/>
                <w:szCs w:val="21"/>
              </w:rPr>
            </w:pPr>
            <w:r>
              <w:rPr>
                <w:rFonts w:ascii="宋体" w:hAnsi="宋体" w:cs="宋体" w:eastAsia="宋体" w:hint="default"/>
                <w:sz w:val="21"/>
                <w:szCs w:val="21"/>
              </w:rPr>
              <w:t>本期计</w:t>
            </w:r>
            <w:r>
              <w:rPr>
                <w:rFonts w:ascii="宋体" w:hAnsi="宋体" w:cs="宋体" w:eastAsia="宋体" w:hint="default"/>
                <w:spacing w:val="-102"/>
                <w:sz w:val="21"/>
                <w:szCs w:val="21"/>
              </w:rPr>
              <w:t> </w:t>
            </w: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03" w:right="101"/>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73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99"/>
              <w:jc w:val="left"/>
              <w:rPr>
                <w:rFonts w:ascii="宋体" w:hAnsi="宋体" w:cs="宋体" w:eastAsia="宋体" w:hint="default"/>
                <w:sz w:val="21"/>
                <w:szCs w:val="21"/>
              </w:rPr>
            </w:pPr>
            <w:r>
              <w:rPr>
                <w:rFonts w:ascii="宋体" w:hAnsi="宋体" w:cs="宋体" w:eastAsia="宋体" w:hint="default"/>
                <w:sz w:val="21"/>
                <w:szCs w:val="21"/>
              </w:rPr>
              <w:t>智慧城市（泉州丰泽）运营管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理有限公司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90,709,392.10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362,537,586.54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453,246,978.64</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z w:val="21"/>
                <w:szCs w:val="21"/>
              </w:rPr>
              <w:t>深圳太极云软技术股份有限公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213,488,450.00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213,488,450.00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福建南威软件有限公司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106,284,308.45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664,888.42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106,949,196.87</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z w:val="21"/>
                <w:szCs w:val="21"/>
              </w:rPr>
              <w:t>泉州威盾智能交通系统有限公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40,000,000.00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31,849.77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40,031,849.77</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网链科技集团有限公司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11,216,791.45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20,233,193.83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31,449,985.28</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33"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103" w:right="106"/>
              <w:jc w:val="left"/>
              <w:rPr>
                <w:rFonts w:ascii="宋体" w:hAnsi="宋体" w:cs="宋体" w:eastAsia="宋体" w:hint="default"/>
                <w:sz w:val="24"/>
                <w:szCs w:val="24"/>
              </w:rPr>
            </w:pPr>
            <w:r>
              <w:rPr>
                <w:rFonts w:ascii="宋体" w:hAnsi="宋体" w:cs="宋体" w:eastAsia="宋体" w:hint="default"/>
                <w:spacing w:val="8"/>
                <w:sz w:val="24"/>
                <w:szCs w:val="24"/>
              </w:rPr>
              <w:t>北京万创聚力科技有限公</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31,146,549.15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118,426.07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31,264,975.22</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z w:val="21"/>
                <w:szCs w:val="21"/>
              </w:rPr>
              <w:t>衡阳智慧城市科技发展有限公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福建威盾科技有限公司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4,034,786.17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6,790,342.07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10,825,128.24</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厦门市南威软件科技有限公司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10,461,492.72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123,186.77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10,584,679.49</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浙江易政信息技术有限公司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10,231,705.54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51,521.70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10,283,227.24</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北京南威科技有限公司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10,031,596.25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7,025.69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10,038,621.94</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重庆南威信息技术有限公司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10,023,397.48</w:t>
            </w:r>
          </w:p>
        </w:tc>
        <w:tc>
          <w:tcPr>
            <w:tcW w:w="15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21" w:right="0"/>
              <w:jc w:val="left"/>
              <w:rPr>
                <w:rFonts w:ascii="Times New Roman" w:hAnsi="Times New Roman" w:cs="Times New Roman" w:eastAsia="Times New Roman" w:hint="default"/>
                <w:sz w:val="21"/>
                <w:szCs w:val="21"/>
              </w:rPr>
            </w:pPr>
            <w:r>
              <w:rPr>
                <w:rFonts w:ascii="Times New Roman"/>
                <w:sz w:val="21"/>
              </w:rPr>
              <w:t>14,415.51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10,008,981.97</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福建南威资产管理有限公司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上海宜喆智能科技有限公司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7,000,000.00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7,000,000.00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福建南威通平台科技有限公司</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6,512,462.18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6,512,462.18</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300" w:right="4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962"/>
        <w:gridCol w:w="1688"/>
        <w:gridCol w:w="1589"/>
        <w:gridCol w:w="1277"/>
        <w:gridCol w:w="1700"/>
        <w:gridCol w:w="852"/>
        <w:gridCol w:w="850"/>
      </w:tblGrid>
      <w:tr>
        <w:trPr>
          <w:trHeight w:val="372"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北京南威水科技术有限公司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5,438,505.08</w:t>
            </w:r>
          </w:p>
        </w:tc>
        <w:tc>
          <w:tcPr>
            <w:tcW w:w="15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23,703.88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5,414,801.20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江西南威软件有限公司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5,122,172.00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1,839.86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5,124,011.86</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安徽国正信息科技有限公司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5,045,634.69</w:t>
            </w:r>
          </w:p>
        </w:tc>
        <w:tc>
          <w:tcPr>
            <w:tcW w:w="15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7,233.85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5,038,400.84</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新疆南威软件有限公司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福建腾匠科技有限公司</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福建南慧大数据科技有限公司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5,024,804.97</w:t>
            </w:r>
          </w:p>
        </w:tc>
        <w:tc>
          <w:tcPr>
            <w:tcW w:w="15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30,036.63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4,994,768.34</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9"/>
              <w:jc w:val="left"/>
              <w:rPr>
                <w:rFonts w:ascii="宋体" w:hAnsi="宋体" w:cs="宋体" w:eastAsia="宋体" w:hint="default"/>
                <w:sz w:val="21"/>
                <w:szCs w:val="21"/>
              </w:rPr>
            </w:pPr>
            <w:r>
              <w:rPr>
                <w:rFonts w:ascii="宋体" w:hAnsi="宋体" w:cs="宋体" w:eastAsia="宋体" w:hint="default"/>
                <w:sz w:val="21"/>
                <w:szCs w:val="21"/>
              </w:rPr>
              <w:t>西安南威信息科技有限责任公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3,530,884.76</w:t>
            </w:r>
          </w:p>
        </w:tc>
        <w:tc>
          <w:tcPr>
            <w:tcW w:w="15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25,514.73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3,505,370.03</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上海南信信息科技有限公司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2,247,448.79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9,246.29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2,256,695.08</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南威软件（海南）有限公司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1,530,000.00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26,236.18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1,556,236.18</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甘肃南威信息技术有限公司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1,530,000.00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1,530,000.00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北京南威文旅科技有限公司</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1,530,000.00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1,530,000.00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z w:val="21"/>
                <w:szCs w:val="21"/>
              </w:rPr>
              <w:t>江苏南威汇鼎信息技术有限公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1,111,342.17</w:t>
            </w:r>
          </w:p>
        </w:tc>
        <w:tc>
          <w:tcPr>
            <w:tcW w:w="15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1,111,342.17</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成都南威软件有限公司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1,078,391.33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19,649.78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1,098,041.11</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宁德南威软件有限公司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南平南威软件有限公司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平潭力信软件有限公司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南京迅奇信信息技术有限公司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安溪县南威信息科技有限公司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广西弘政软件有限公司</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湖北省南楚信息技术有限公司</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z w:val="21"/>
                <w:szCs w:val="21"/>
              </w:rPr>
              <w:t>南威智慧城市（将乐）科技有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限公司</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382,799,203.10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643,845,905.15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100,904.60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1,026,544,203.65</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7" w:footer="979" w:top="1120" w:bottom="1160" w:left="300" w:right="4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p>
      <w:pPr>
        <w:spacing w:after="0" w:line="240" w:lineRule="auto"/>
        <w:rPr>
          <w:rFonts w:ascii="Times New Roman" w:hAnsi="Times New Roman" w:cs="Times New Roman" w:eastAsia="Times New Roman" w:hint="default"/>
          <w:sz w:val="24"/>
          <w:szCs w:val="24"/>
        </w:rPr>
        <w:sectPr>
          <w:headerReference w:type="default" r:id="rId78"/>
          <w:footerReference w:type="default" r:id="rId79"/>
          <w:pgSz w:w="16840" w:h="11910" w:orient="landscape"/>
          <w:pgMar w:header="857" w:footer="980" w:top="1120" w:bottom="1160" w:left="1220" w:right="1400"/>
          <w:pgNumType w:start="234"/>
        </w:sectPr>
      </w:pPr>
    </w:p>
    <w:p>
      <w:pPr>
        <w:pStyle w:val="Heading4"/>
        <w:spacing w:line="240" w:lineRule="auto"/>
        <w:ind w:left="220" w:right="0"/>
        <w:jc w:val="center"/>
        <w:rPr>
          <w:b w:val="0"/>
          <w:bCs w:val="0"/>
        </w:rPr>
      </w:pPr>
      <w:r>
        <w:rPr>
          <w:rFonts w:ascii="Times New Roman" w:hAnsi="Times New Roman" w:cs="Times New Roman" w:eastAsia="Times New Roman" w:hint="default"/>
        </w:rPr>
        <w:t>(2).  </w:t>
      </w:r>
      <w:r>
        <w:rPr/>
        <w:t>对联营、合营企业投资</w:t>
      </w:r>
      <w:r>
        <w:rPr>
          <w:b w:val="0"/>
          <w:bCs w:val="0"/>
        </w:rPr>
      </w:r>
    </w:p>
    <w:p>
      <w:pPr>
        <w:pStyle w:val="BodyText"/>
        <w:spacing w:line="240" w:lineRule="auto" w:before="43"/>
        <w:ind w:left="244" w:right="0"/>
        <w:jc w:val="center"/>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580" w:bottom="280" w:left="1220" w:right="1400"/>
          <w:cols w:num="2" w:equalWidth="0">
            <w:col w:w="2734" w:space="8829"/>
            <w:col w:w="265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72"/>
        <w:gridCol w:w="1558"/>
        <w:gridCol w:w="1702"/>
        <w:gridCol w:w="566"/>
        <w:gridCol w:w="1418"/>
        <w:gridCol w:w="708"/>
        <w:gridCol w:w="1418"/>
        <w:gridCol w:w="708"/>
        <w:gridCol w:w="569"/>
        <w:gridCol w:w="1558"/>
        <w:gridCol w:w="1702"/>
        <w:gridCol w:w="708"/>
      </w:tblGrid>
      <w:tr>
        <w:trPr>
          <w:trHeight w:val="370" w:hRule="exact"/>
        </w:trPr>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63"/>
              <w:ind w:left="420" w:right="417"/>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63"/>
              <w:ind w:left="563" w:right="559"/>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64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63"/>
              <w:ind w:left="636" w:right="631"/>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4" w:lineRule="auto"/>
              <w:ind w:left="139" w:right="134"/>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2170" w:hRule="exact"/>
        </w:trPr>
        <w:tc>
          <w:tcPr>
            <w:tcW w:w="1272"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424"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1"/>
              <w:ind w:left="172" w:right="170"/>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14" w:lineRule="auto"/>
              <w:ind w:left="177" w:right="175"/>
              <w:jc w:val="center"/>
              <w:rPr>
                <w:rFonts w:ascii="宋体" w:hAnsi="宋体" w:cs="宋体" w:eastAsia="宋体" w:hint="default"/>
                <w:sz w:val="21"/>
                <w:szCs w:val="21"/>
              </w:rPr>
            </w:pPr>
            <w:r>
              <w:rPr>
                <w:rFonts w:ascii="宋体" w:hAnsi="宋体" w:cs="宋体" w:eastAsia="宋体" w:hint="default"/>
                <w:sz w:val="21"/>
                <w:szCs w:val="21"/>
              </w:rPr>
              <w:t>权益法下确</w:t>
            </w:r>
            <w:r>
              <w:rPr>
                <w:rFonts w:ascii="宋体" w:hAnsi="宋体" w:cs="宋体" w:eastAsia="宋体" w:hint="default"/>
                <w:w w:val="100"/>
                <w:sz w:val="21"/>
                <w:szCs w:val="21"/>
              </w:rPr>
              <w:t> </w:t>
            </w:r>
            <w:r>
              <w:rPr>
                <w:rFonts w:ascii="宋体" w:hAnsi="宋体" w:cs="宋体" w:eastAsia="宋体" w:hint="default"/>
                <w:sz w:val="21"/>
                <w:szCs w:val="21"/>
              </w:rPr>
              <w:t>认的投资损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1"/>
              <w:ind w:left="139" w:right="135"/>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4" w:lineRule="auto"/>
              <w:ind w:left="597" w:right="175" w:hanging="420"/>
              <w:jc w:val="left"/>
              <w:rPr>
                <w:rFonts w:ascii="宋体" w:hAnsi="宋体" w:cs="宋体" w:eastAsia="宋体" w:hint="default"/>
                <w:sz w:val="21"/>
                <w:szCs w:val="21"/>
              </w:rPr>
            </w:pPr>
            <w:r>
              <w:rPr>
                <w:rFonts w:ascii="宋体" w:hAnsi="宋体" w:cs="宋体" w:eastAsia="宋体" w:hint="default"/>
                <w:sz w:val="21"/>
                <w:szCs w:val="21"/>
              </w:rPr>
              <w:t>其他权益变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39" w:right="134"/>
              <w:jc w:val="both"/>
              <w:rPr>
                <w:rFonts w:ascii="宋体" w:hAnsi="宋体" w:cs="宋体" w:eastAsia="宋体" w:hint="default"/>
                <w:sz w:val="21"/>
                <w:szCs w:val="21"/>
              </w:rPr>
            </w:pPr>
            <w:r>
              <w:rPr>
                <w:rFonts w:ascii="宋体" w:hAnsi="宋体" w:cs="宋体" w:eastAsia="宋体" w:hint="default"/>
                <w:sz w:val="21"/>
                <w:szCs w:val="21"/>
              </w:rPr>
              <w:t>宣告</w:t>
            </w:r>
            <w:r>
              <w:rPr>
                <w:rFonts w:ascii="宋体" w:hAnsi="宋体" w:cs="宋体" w:eastAsia="宋体" w:hint="default"/>
                <w:spacing w:val="-103"/>
                <w:sz w:val="21"/>
                <w:szCs w:val="21"/>
              </w:rPr>
              <w:t> </w:t>
            </w: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72" w:right="173"/>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70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r>
      <w:tr>
        <w:trPr>
          <w:trHeight w:val="370" w:hRule="exact"/>
        </w:trPr>
        <w:tc>
          <w:tcPr>
            <w:tcW w:w="1388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72" w:hRule="exact"/>
        </w:trPr>
        <w:tc>
          <w:tcPr>
            <w:tcW w:w="12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2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388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09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both"/>
              <w:rPr>
                <w:rFonts w:ascii="宋体" w:hAnsi="宋体" w:cs="宋体" w:eastAsia="宋体" w:hint="default"/>
                <w:sz w:val="21"/>
                <w:szCs w:val="21"/>
              </w:rPr>
            </w:pPr>
            <w:r>
              <w:rPr>
                <w:rFonts w:ascii="宋体" w:hAnsi="宋体" w:cs="宋体" w:eastAsia="宋体" w:hint="default"/>
                <w:sz w:val="21"/>
                <w:szCs w:val="21"/>
              </w:rPr>
              <w:t>成都四方伟</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业软件股份</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有限公司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81" w:right="0"/>
              <w:jc w:val="left"/>
              <w:rPr>
                <w:rFonts w:ascii="Times New Roman" w:hAnsi="Times New Roman" w:cs="Times New Roman" w:eastAsia="Times New Roman" w:hint="default"/>
                <w:sz w:val="21"/>
                <w:szCs w:val="21"/>
              </w:rPr>
            </w:pPr>
            <w:r>
              <w:rPr>
                <w:rFonts w:ascii="Times New Roman"/>
                <w:sz w:val="21"/>
              </w:rPr>
              <w:t>80,000,000.00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980,312.87</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9" w:right="0"/>
              <w:jc w:val="left"/>
              <w:rPr>
                <w:rFonts w:ascii="Times New Roman" w:hAnsi="Times New Roman" w:cs="Times New Roman" w:eastAsia="Times New Roman" w:hint="default"/>
                <w:sz w:val="21"/>
                <w:szCs w:val="21"/>
              </w:rPr>
            </w:pPr>
            <w:r>
              <w:rPr>
                <w:rFonts w:ascii="Times New Roman"/>
                <w:sz w:val="21"/>
              </w:rPr>
              <w:t>-3,170,385.18</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77,809,927.69</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both"/>
              <w:rPr>
                <w:rFonts w:ascii="宋体" w:hAnsi="宋体" w:cs="宋体" w:eastAsia="宋体" w:hint="default"/>
                <w:sz w:val="21"/>
                <w:szCs w:val="21"/>
              </w:rPr>
            </w:pPr>
            <w:r>
              <w:rPr>
                <w:rFonts w:ascii="宋体" w:hAnsi="宋体" w:cs="宋体" w:eastAsia="宋体" w:hint="default"/>
                <w:sz w:val="21"/>
                <w:szCs w:val="21"/>
              </w:rPr>
              <w:t>福建省应急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通信运营有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9" w:right="0"/>
              <w:jc w:val="left"/>
              <w:rPr>
                <w:rFonts w:ascii="Times New Roman" w:hAnsi="Times New Roman" w:cs="Times New Roman" w:eastAsia="Times New Roman" w:hint="default"/>
                <w:sz w:val="21"/>
                <w:szCs w:val="21"/>
              </w:rPr>
            </w:pPr>
            <w:r>
              <w:rPr>
                <w:rFonts w:ascii="Times New Roman"/>
                <w:sz w:val="21"/>
              </w:rPr>
              <w:t>80,736,392.98</w:t>
            </w: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1,619,867.82</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82,356,260.80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9"/>
              <w:jc w:val="left"/>
              <w:rPr>
                <w:rFonts w:ascii="宋体" w:hAnsi="宋体" w:cs="宋体" w:eastAsia="宋体" w:hint="default"/>
                <w:sz w:val="21"/>
                <w:szCs w:val="21"/>
              </w:rPr>
            </w:pPr>
            <w:r>
              <w:rPr>
                <w:rFonts w:ascii="宋体" w:hAnsi="宋体" w:cs="宋体" w:eastAsia="宋体" w:hint="default"/>
                <w:sz w:val="21"/>
                <w:szCs w:val="21"/>
              </w:rPr>
              <w:t>泉州市数字</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云谷信息产</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81" w:right="0"/>
              <w:jc w:val="left"/>
              <w:rPr>
                <w:rFonts w:ascii="Times New Roman" w:hAnsi="Times New Roman" w:cs="Times New Roman" w:eastAsia="Times New Roman" w:hint="default"/>
                <w:sz w:val="21"/>
                <w:szCs w:val="21"/>
              </w:rPr>
            </w:pPr>
            <w:r>
              <w:rPr>
                <w:rFonts w:ascii="Times New Roman"/>
                <w:sz w:val="21"/>
              </w:rPr>
              <w:t>12,500,000.00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882,238.30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13,382,238.30</w:t>
            </w: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122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272"/>
        <w:gridCol w:w="1558"/>
        <w:gridCol w:w="1702"/>
        <w:gridCol w:w="566"/>
        <w:gridCol w:w="1418"/>
        <w:gridCol w:w="708"/>
        <w:gridCol w:w="1418"/>
        <w:gridCol w:w="708"/>
        <w:gridCol w:w="569"/>
        <w:gridCol w:w="1558"/>
        <w:gridCol w:w="1702"/>
        <w:gridCol w:w="708"/>
      </w:tblGrid>
      <w:tr>
        <w:trPr>
          <w:trHeight w:val="73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z w:val="21"/>
                <w:szCs w:val="21"/>
              </w:rPr>
              <w:t>业发展有限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both"/>
              <w:rPr>
                <w:rFonts w:ascii="宋体" w:hAnsi="宋体" w:cs="宋体" w:eastAsia="宋体" w:hint="default"/>
                <w:sz w:val="21"/>
                <w:szCs w:val="21"/>
              </w:rPr>
            </w:pPr>
            <w:r>
              <w:rPr>
                <w:rFonts w:ascii="宋体" w:hAnsi="宋体" w:cs="宋体" w:eastAsia="宋体" w:hint="default"/>
                <w:sz w:val="21"/>
                <w:szCs w:val="21"/>
              </w:rPr>
              <w:t>福建神威系</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统集成有限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责任公司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-1,793,924.55</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15,155,135.34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13,361,210.79</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81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99"/>
              <w:jc w:val="both"/>
              <w:rPr>
                <w:rFonts w:ascii="宋体" w:hAnsi="宋体" w:cs="宋体" w:eastAsia="宋体" w:hint="default"/>
                <w:sz w:val="21"/>
                <w:szCs w:val="21"/>
              </w:rPr>
            </w:pPr>
            <w:r>
              <w:rPr>
                <w:rFonts w:ascii="宋体" w:hAnsi="宋体" w:cs="宋体" w:eastAsia="宋体" w:hint="default"/>
                <w:sz w:val="21"/>
                <w:szCs w:val="21"/>
              </w:rPr>
              <w:t>厦门会同鼎</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盛股权投资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合</w:t>
            </w:r>
            <w:r>
              <w:rPr>
                <w:rFonts w:ascii="宋体" w:hAnsi="宋体" w:cs="宋体" w:eastAsia="宋体" w:hint="default"/>
                <w:spacing w:val="-33"/>
                <w:sz w:val="21"/>
                <w:szCs w:val="21"/>
              </w:rPr>
              <w:t> </w:t>
            </w:r>
            <w:r>
              <w:rPr>
                <w:rFonts w:ascii="宋体" w:hAnsi="宋体" w:cs="宋体" w:eastAsia="宋体" w:hint="default"/>
                <w:sz w:val="21"/>
                <w:szCs w:val="21"/>
              </w:rPr>
              <w:t>伙</w:t>
            </w:r>
            <w:r>
              <w:rPr>
                <w:rFonts w:ascii="宋体" w:hAnsi="宋体" w:cs="宋体" w:eastAsia="宋体" w:hint="default"/>
                <w:spacing w:val="-35"/>
                <w:sz w:val="21"/>
                <w:szCs w:val="21"/>
              </w:rPr>
              <w:t> </w:t>
            </w:r>
            <w:r>
              <w:rPr>
                <w:rFonts w:ascii="宋体" w:hAnsi="宋体" w:cs="宋体" w:eastAsia="宋体" w:hint="default"/>
                <w:sz w:val="21"/>
                <w:szCs w:val="21"/>
              </w:rPr>
              <w:t>企</w:t>
            </w:r>
            <w:r>
              <w:rPr>
                <w:rFonts w:ascii="宋体" w:hAnsi="宋体" w:cs="宋体" w:eastAsia="宋体" w:hint="default"/>
                <w:spacing w:val="-33"/>
                <w:sz w:val="21"/>
                <w:szCs w:val="21"/>
              </w:rPr>
              <w:t> </w:t>
            </w:r>
            <w:r>
              <w:rPr>
                <w:rFonts w:ascii="宋体" w:hAnsi="宋体" w:cs="宋体" w:eastAsia="宋体" w:hint="default"/>
                <w:sz w:val="21"/>
                <w:szCs w:val="21"/>
              </w:rPr>
              <w:t>业</w:t>
            </w:r>
          </w:p>
          <w:p>
            <w:pPr>
              <w:pStyle w:val="TableParagraph"/>
              <w:spacing w:line="314" w:lineRule="auto" w:before="20"/>
              <w:ind w:left="103" w:right="9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3"/>
                <w:sz w:val="21"/>
                <w:szCs w:val="21"/>
              </w:rPr>
              <w:t> </w:t>
            </w:r>
            <w:r>
              <w:rPr>
                <w:rFonts w:ascii="宋体" w:hAnsi="宋体" w:cs="宋体" w:eastAsia="宋体" w:hint="default"/>
                <w:sz w:val="21"/>
                <w:szCs w:val="21"/>
              </w:rPr>
              <w:t>有</w:t>
            </w:r>
            <w:r>
              <w:rPr>
                <w:rFonts w:ascii="宋体" w:hAnsi="宋体" w:cs="宋体" w:eastAsia="宋体" w:hint="default"/>
                <w:spacing w:val="-35"/>
                <w:sz w:val="21"/>
                <w:szCs w:val="21"/>
              </w:rPr>
              <w:t> </w:t>
            </w:r>
            <w:r>
              <w:rPr>
                <w:rFonts w:ascii="宋体" w:hAnsi="宋体" w:cs="宋体" w:eastAsia="宋体" w:hint="default"/>
                <w:sz w:val="21"/>
                <w:szCs w:val="21"/>
              </w:rPr>
              <w:t>限</w:t>
            </w:r>
            <w:r>
              <w:rPr>
                <w:rFonts w:ascii="宋体" w:hAnsi="宋体" w:cs="宋体" w:eastAsia="宋体" w:hint="default"/>
                <w:spacing w:val="-33"/>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7,306,559.74</w:t>
            </w: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-676,766.39</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6,629,793.35</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both"/>
              <w:rPr>
                <w:rFonts w:ascii="宋体" w:hAnsi="宋体" w:cs="宋体" w:eastAsia="宋体" w:hint="default"/>
                <w:sz w:val="21"/>
                <w:szCs w:val="21"/>
              </w:rPr>
            </w:pPr>
            <w:r>
              <w:rPr>
                <w:rFonts w:ascii="宋体" w:hAnsi="宋体" w:cs="宋体" w:eastAsia="宋体" w:hint="default"/>
                <w:sz w:val="21"/>
                <w:szCs w:val="21"/>
              </w:rPr>
              <w:t>泉州市搏浪</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信息科技有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1,609,600.00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198,827.75</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1,808,427.75</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92"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9"/>
              <w:jc w:val="both"/>
              <w:rPr>
                <w:rFonts w:ascii="宋体" w:hAnsi="宋体" w:cs="宋体" w:eastAsia="宋体" w:hint="default"/>
                <w:sz w:val="21"/>
                <w:szCs w:val="21"/>
              </w:rPr>
            </w:pPr>
            <w:r>
              <w:rPr>
                <w:rFonts w:ascii="宋体" w:hAnsi="宋体" w:cs="宋体" w:eastAsia="宋体" w:hint="default"/>
                <w:sz w:val="21"/>
                <w:szCs w:val="21"/>
              </w:rPr>
              <w:t>南京伍安信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息科技有限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154,631.56</w:t>
            </w: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2,106.07</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156,737.63</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2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88,197,584.28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94,109,600.00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1,212,661.87</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center"/>
              <w:rPr>
                <w:rFonts w:ascii="Times New Roman" w:hAnsi="Times New Roman" w:cs="Times New Roman" w:eastAsia="Times New Roman" w:hint="default"/>
                <w:sz w:val="21"/>
                <w:szCs w:val="21"/>
              </w:rPr>
            </w:pPr>
            <w:r>
              <w:rPr>
                <w:rFonts w:ascii="Times New Roman"/>
                <w:sz w:val="21"/>
              </w:rPr>
              <w:t>-3,170,385.18</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15,155,135.34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195,504,596.31</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88,197,584.28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94,109,600.00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1,212,661.87</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center"/>
              <w:rPr>
                <w:rFonts w:ascii="Times New Roman" w:hAnsi="Times New Roman" w:cs="Times New Roman" w:eastAsia="Times New Roman" w:hint="default"/>
                <w:sz w:val="21"/>
                <w:szCs w:val="21"/>
              </w:rPr>
            </w:pPr>
            <w:r>
              <w:rPr>
                <w:rFonts w:ascii="Times New Roman"/>
                <w:sz w:val="21"/>
              </w:rPr>
              <w:t>-3,170,385.18</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15,155,135.34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195,504,596.31</w:t>
            </w: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2" w:lineRule="exact" w:before="64"/>
        <w:ind w:left="700" w:right="12929" w:hanging="481"/>
        <w:jc w:val="left"/>
      </w:pPr>
      <w:r>
        <w:rPr/>
        <w:t>其他说明：</w:t>
      </w:r>
      <w:r>
        <w:rPr>
          <w:spacing w:val="-102"/>
        </w:rPr>
        <w:t> </w:t>
      </w:r>
      <w:r>
        <w:rPr>
          <w:spacing w:val="-102"/>
        </w:rPr>
      </w:r>
      <w:r>
        <w:rPr/>
        <w:t>无</w:t>
      </w:r>
    </w:p>
    <w:p>
      <w:pPr>
        <w:spacing w:after="0" w:line="272" w:lineRule="exact"/>
        <w:jc w:val="left"/>
        <w:sectPr>
          <w:pgSz w:w="16840" w:h="11910" w:orient="landscape"/>
          <w:pgMar w:header="857" w:footer="980" w:top="1120" w:bottom="1160" w:left="1220" w:right="140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80"/>
          <w:footerReference w:type="default" r:id="rId81"/>
          <w:pgSz w:w="11910" w:h="16840"/>
          <w:pgMar w:header="857" w:footer="979" w:top="1120" w:bottom="1160" w:left="1580" w:right="1140"/>
          <w:pgNumType w:start="236"/>
        </w:sectPr>
      </w:pPr>
    </w:p>
    <w:p>
      <w:pPr>
        <w:pStyle w:val="Heading4"/>
        <w:spacing w:line="276" w:lineRule="auto"/>
        <w:ind w:right="-7"/>
        <w:jc w:val="left"/>
        <w:rPr>
          <w:b w:val="0"/>
          <w:bCs w:val="0"/>
        </w:rPr>
      </w:pPr>
      <w:r>
        <w:rPr>
          <w:rFonts w:ascii="Times New Roman" w:hAnsi="Times New Roman" w:cs="Times New Roman" w:eastAsia="Times New Roman" w:hint="default"/>
        </w:rPr>
        <w:t>4</w:t>
      </w:r>
      <w:r>
        <w:rPr/>
        <w:t>、 营业收入和营业成本</w:t>
      </w:r>
      <w:r>
        <w:rPr>
          <w:spacing w:val="-100"/>
        </w:rPr>
        <w:t> </w:t>
      </w:r>
      <w:r>
        <w:rPr>
          <w:spacing w:val="-100"/>
        </w:rPr>
      </w:r>
      <w:r>
        <w:rPr>
          <w:rFonts w:ascii="宋体" w:hAnsi="宋体" w:cs="宋体" w:eastAsia="宋体" w:hint="default"/>
          <w:spacing w:val="-1"/>
        </w:rPr>
        <w:t>(</w:t>
      </w:r>
      <w:r>
        <w:rPr>
          <w:rFonts w:ascii="Times New Roman" w:hAnsi="Times New Roman" w:cs="Times New Roman" w:eastAsia="Times New Roman" w:hint="default"/>
          <w:spacing w:val="-1"/>
        </w:rPr>
        <w:t>1</w:t>
      </w:r>
      <w:r>
        <w:rPr>
          <w:rFonts w:ascii="宋体" w:hAnsi="宋体" w:cs="宋体" w:eastAsia="宋体" w:hint="default"/>
          <w:spacing w:val="-1"/>
        </w:rPr>
        <w:t>)</w:t>
      </w:r>
      <w:r>
        <w:rPr>
          <w:spacing w:val="-1"/>
        </w:rPr>
        <w:t>营业收入和营业成本情况</w:t>
      </w:r>
      <w:r>
        <w:rPr>
          <w:b w:val="0"/>
          <w:bCs w:val="0"/>
          <w:spacing w:val="-1"/>
        </w:rPr>
      </w:r>
    </w:p>
    <w:p>
      <w:pPr>
        <w:pStyle w:val="BodyText"/>
        <w:tabs>
          <w:tab w:pos="1060" w:val="left" w:leader="none"/>
        </w:tabs>
        <w:spacing w:line="240" w:lineRule="auto" w:before="5"/>
        <w:ind w:right="-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140"/>
          <w:cols w:num="2" w:equalWidth="0">
            <w:col w:w="2854" w:space="3668"/>
            <w:col w:w="26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14"/>
        <w:gridCol w:w="1844"/>
        <w:gridCol w:w="1983"/>
        <w:gridCol w:w="1898"/>
        <w:gridCol w:w="1685"/>
      </w:tblGrid>
      <w:tr>
        <w:trPr>
          <w:trHeight w:val="370" w:hRule="exact"/>
        </w:trPr>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2" w:hRule="exact"/>
        </w:trPr>
        <w:tc>
          <w:tcPr>
            <w:tcW w:w="1414"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56"/>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843,598,493.93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637,380,822.84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781,080,998.08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634,006,165.43</w:t>
            </w: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56"/>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3,164,023.66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608,264.40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1,261,634.26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750,262.26</w:t>
            </w:r>
          </w:p>
        </w:tc>
      </w:tr>
      <w:tr>
        <w:trPr>
          <w:trHeight w:val="3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87"/>
              <w:jc w:val="righ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846,762,517.59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637,989,087.24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782,342,632.34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634,756,427.69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140"/>
        </w:sectPr>
      </w:pPr>
    </w:p>
    <w:p>
      <w:pPr>
        <w:pStyle w:val="BodyText"/>
        <w:spacing w:line="290" w:lineRule="auto" w:before="36"/>
        <w:ind w:right="991"/>
        <w:jc w:val="left"/>
      </w:pPr>
      <w:r>
        <w:rPr>
          <w:spacing w:val="-1"/>
        </w:rPr>
        <w:t>其他说明：</w:t>
      </w:r>
      <w:r>
        <w:rPr>
          <w:spacing w:val="-97"/>
        </w:rPr>
        <w:t> </w:t>
      </w:r>
      <w:r>
        <w:rPr>
          <w:spacing w:val="-97"/>
        </w:rPr>
      </w:r>
      <w:r>
        <w:rPr/>
        <w:t>无</w:t>
      </w:r>
    </w:p>
    <w:p>
      <w:pPr>
        <w:pStyle w:val="Heading4"/>
        <w:spacing w:line="240" w:lineRule="auto" w:before="14"/>
        <w:ind w:right="-19"/>
        <w:jc w:val="left"/>
        <w:rPr>
          <w:b w:val="0"/>
          <w:bCs w:val="0"/>
        </w:rPr>
      </w:pPr>
      <w:r>
        <w:rPr>
          <w:rFonts w:ascii="Times New Roman" w:hAnsi="Times New Roman" w:cs="Times New Roman" w:eastAsia="Times New Roman" w:hint="default"/>
        </w:rPr>
        <w:t>5</w:t>
      </w:r>
      <w:r>
        <w:rPr/>
        <w:t>、</w:t>
      </w:r>
      <w:r>
        <w:rPr>
          <w:spacing w:val="4"/>
        </w:rPr>
        <w:t> </w:t>
      </w:r>
      <w:r>
        <w:rPr/>
        <w:t>投资收益</w:t>
      </w:r>
      <w:r>
        <w:rPr>
          <w:b w:val="0"/>
          <w:bCs w:val="0"/>
        </w:rPr>
      </w:r>
    </w:p>
    <w:p>
      <w:pPr>
        <w:pStyle w:val="BodyText"/>
        <w:spacing w:line="240" w:lineRule="auto" w:before="40"/>
        <w:ind w:left="69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580" w:bottom="280" w:left="1580" w:right="1140"/>
          <w:cols w:num="2" w:equalWidth="0">
            <w:col w:w="2275" w:space="4246"/>
            <w:col w:w="26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51"/>
        <w:gridCol w:w="2434"/>
        <w:gridCol w:w="2439"/>
      </w:tblGrid>
      <w:tr>
        <w:trPr>
          <w:trHeight w:val="370"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8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2"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1,212,661.87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-1,153,532.28</w:t>
            </w:r>
          </w:p>
        </w:tc>
      </w:tr>
      <w:tr>
        <w:trPr>
          <w:trHeight w:val="370"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交易性金融资产产生的投资收益</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951,828.04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2,985,136.68</w:t>
            </w:r>
          </w:p>
        </w:tc>
      </w:tr>
      <w:tr>
        <w:trPr>
          <w:trHeight w:val="370"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银行理财产品产生的投资收益</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7,417,953.43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8,076,892.79</w:t>
            </w:r>
          </w:p>
        </w:tc>
      </w:tr>
      <w:tr>
        <w:trPr>
          <w:trHeight w:val="370"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处置子公司产生的投资收益</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3,315,000.00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-10,105.43</w:t>
            </w:r>
          </w:p>
        </w:tc>
      </w:tr>
      <w:tr>
        <w:trPr>
          <w:trHeight w:val="370"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12,897,443.34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9,898,391.76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right="2631"/>
        <w:jc w:val="left"/>
        <w:rPr>
          <w:b w:val="0"/>
          <w:bCs w:val="0"/>
        </w:rPr>
      </w:pPr>
      <w:r>
        <w:rPr>
          <w:rFonts w:ascii="Times New Roman" w:hAnsi="Times New Roman" w:cs="Times New Roman" w:eastAsia="Times New Roman" w:hint="default"/>
        </w:rPr>
        <w:t>6</w:t>
      </w:r>
      <w:r>
        <w:rPr/>
        <w:t>、</w:t>
      </w:r>
      <w:r>
        <w:rPr>
          <w:spacing w:val="3"/>
        </w:rPr>
        <w:t> </w:t>
      </w:r>
      <w:r>
        <w:rPr/>
        <w:t>其他</w:t>
      </w:r>
      <w:r>
        <w:rPr>
          <w:b w:val="0"/>
          <w:bCs w:val="0"/>
        </w:rPr>
      </w:r>
    </w:p>
    <w:p>
      <w:pPr>
        <w:pStyle w:val="BodyText"/>
        <w:tabs>
          <w:tab w:pos="1540" w:val="left" w:leader="none"/>
        </w:tabs>
        <w:spacing w:line="240" w:lineRule="auto" w:before="40"/>
        <w:ind w:left="698" w:right="2631"/>
        <w:jc w:val="left"/>
      </w:pPr>
      <w:r>
        <w:rPr/>
        <w:t>□适用</w:t>
        <w:tab/>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580" w:bottom="280" w:left="1580" w:right="1140"/>
        </w:sectPr>
      </w:pPr>
    </w:p>
    <w:p>
      <w:pPr>
        <w:pStyle w:val="Heading4"/>
        <w:tabs>
          <w:tab w:pos="1057" w:val="left" w:leader="none"/>
        </w:tabs>
        <w:spacing w:line="240" w:lineRule="auto"/>
        <w:ind w:right="-19"/>
        <w:jc w:val="left"/>
        <w:rPr>
          <w:b w:val="0"/>
          <w:bCs w:val="0"/>
        </w:rPr>
      </w:pPr>
      <w:r>
        <w:rPr/>
        <w:t>十八、</w:t>
        <w:tab/>
        <w:t>补充资料</w:t>
      </w:r>
      <w:r>
        <w:rPr>
          <w:b w:val="0"/>
          <w:bCs w:val="0"/>
        </w:rPr>
      </w:r>
    </w:p>
    <w:p>
      <w:pPr>
        <w:pStyle w:val="Heading4"/>
        <w:spacing w:line="240" w:lineRule="auto" w:before="58"/>
        <w:ind w:right="-19"/>
        <w:jc w:val="left"/>
        <w:rPr>
          <w:b w:val="0"/>
          <w:bCs w:val="0"/>
        </w:rPr>
      </w:pPr>
      <w:r>
        <w:rPr>
          <w:rFonts w:ascii="Times New Roman" w:hAnsi="Times New Roman" w:cs="Times New Roman" w:eastAsia="Times New Roman" w:hint="default"/>
        </w:rPr>
        <w:t>1</w:t>
      </w:r>
      <w:r>
        <w:rPr/>
        <w:t>、</w:t>
      </w:r>
      <w:r>
        <w:rPr>
          <w:spacing w:val="1"/>
        </w:rPr>
        <w:t> </w:t>
      </w:r>
      <w:r>
        <w:rPr/>
        <w:t>当期非经常性损益明细表</w:t>
      </w:r>
      <w:r>
        <w:rPr>
          <w:b w:val="0"/>
          <w:bCs w:val="0"/>
        </w:rPr>
      </w:r>
    </w:p>
    <w:p>
      <w:pPr>
        <w:pStyle w:val="BodyText"/>
        <w:tabs>
          <w:tab w:pos="959" w:val="left" w:leader="none"/>
        </w:tabs>
        <w:spacing w:line="240" w:lineRule="auto" w:before="40"/>
        <w:ind w:left="117" w:right="0"/>
        <w:jc w:val="center"/>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140"/>
          <w:cols w:num="2" w:equalWidth="0">
            <w:col w:w="2962" w:space="3560"/>
            <w:col w:w="26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56"/>
        <w:gridCol w:w="2429"/>
        <w:gridCol w:w="2439"/>
      </w:tblGrid>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4"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8,380,529.44</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计入当期损益的政府补助（与企业业务密</w:t>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pacing w:val="-4"/>
                <w:sz w:val="21"/>
                <w:szCs w:val="21"/>
              </w:rPr>
              <w:t>切相关，按照国家统一标准定额或定量享</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受的政府补助除外）</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8,790,301.11</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4"/>
                <w:sz w:val="21"/>
                <w:szCs w:val="21"/>
              </w:rPr>
              <w:t>保值业务外，持有交易性金融资产、交易</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4"/>
                <w:sz w:val="21"/>
                <w:szCs w:val="21"/>
              </w:rPr>
              <w:t>性金融负债产生的公允价值变动损益，以</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及处置交易性金融资产、交易性金融负债</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和可供出售金融资产取得的投资收益</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7,017,396.92</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-1,449,150.40</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-3,257,090.45</w:t>
            </w:r>
          </w:p>
        </w:tc>
        <w:tc>
          <w:tcPr>
            <w:tcW w:w="243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56"/>
        <w:gridCol w:w="2429"/>
        <w:gridCol w:w="2439"/>
      </w:tblGrid>
      <w:tr>
        <w:trPr>
          <w:trHeight w:val="284"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-75,252.77</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19,406,733.85</w:t>
            </w:r>
          </w:p>
        </w:tc>
        <w:tc>
          <w:tcPr>
            <w:tcW w:w="24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4"/>
          <w:szCs w:val="24"/>
        </w:rPr>
      </w:pPr>
    </w:p>
    <w:p>
      <w:pPr>
        <w:pStyle w:val="BodyText"/>
        <w:spacing w:line="240" w:lineRule="auto" w:before="36"/>
        <w:ind w:left="700" w:right="47"/>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spacing w:val="-4"/>
        </w:rPr>
        <w:t>号——非经常性损益》定义界定</w:t>
      </w:r>
    </w:p>
    <w:p>
      <w:pPr>
        <w:pStyle w:val="BodyText"/>
        <w:spacing w:line="297" w:lineRule="auto" w:before="69"/>
        <w:ind w:right="134"/>
        <w:jc w:val="left"/>
      </w:pPr>
      <w:r>
        <w:rPr/>
        <w:t>的非经常性损益项目，以及把《公开发行证券的公司信息披露解释性公告第</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号——非经常性损</w:t>
      </w:r>
      <w:r>
        <w:rPr>
          <w:w w:val="100"/>
        </w:rPr>
        <w:t> </w:t>
      </w:r>
      <w:r>
        <w:rPr/>
        <w:t>益》中列举的非经常性损益项目界定为经常性损益的项目，应说明原因。</w:t>
      </w:r>
    </w:p>
    <w:p>
      <w:pPr>
        <w:pStyle w:val="BodyText"/>
        <w:spacing w:line="233" w:lineRule="exact"/>
        <w:ind w:left="638" w:right="2631"/>
        <w:jc w:val="left"/>
      </w:pPr>
      <w:r>
        <w:rPr/>
        <w:t>□适用 √不适用</w:t>
      </w:r>
    </w:p>
    <w:p>
      <w:pPr>
        <w:pStyle w:val="Heading4"/>
        <w:spacing w:line="240" w:lineRule="auto" w:before="56"/>
        <w:ind w:right="2631"/>
        <w:jc w:val="left"/>
        <w:rPr>
          <w:b w:val="0"/>
          <w:bCs w:val="0"/>
        </w:rPr>
      </w:pPr>
      <w:r>
        <w:rPr>
          <w:rFonts w:ascii="Times New Roman" w:hAnsi="Times New Roman" w:cs="Times New Roman" w:eastAsia="Times New Roman" w:hint="default"/>
        </w:rPr>
        <w:t>2</w:t>
      </w:r>
      <w:r>
        <w:rPr/>
        <w:t>、</w:t>
      </w:r>
      <w:r>
        <w:rPr>
          <w:spacing w:val="1"/>
        </w:rPr>
        <w:t> </w:t>
      </w:r>
      <w:r>
        <w:rPr/>
        <w:t>净资产收益率及每股收益</w:t>
      </w:r>
      <w:r>
        <w:rPr>
          <w:b w:val="0"/>
          <w:bCs w:val="0"/>
        </w:rPr>
      </w:r>
    </w:p>
    <w:p>
      <w:pPr>
        <w:pStyle w:val="BodyText"/>
        <w:spacing w:line="240" w:lineRule="auto" w:before="43"/>
        <w:ind w:left="638" w:right="2631"/>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0"/>
        <w:gridCol w:w="1795"/>
        <w:gridCol w:w="2093"/>
        <w:gridCol w:w="2096"/>
      </w:tblGrid>
      <w:tr>
        <w:trPr>
          <w:trHeight w:val="283" w:hRule="exact"/>
        </w:trPr>
        <w:tc>
          <w:tcPr>
            <w:tcW w:w="2840" w:type="dxa"/>
            <w:vMerge w:val="restart"/>
            <w:tcBorders>
              <w:top w:val="single" w:sz="4" w:space="0" w:color="000000"/>
              <w:left w:val="single" w:sz="4" w:space="0" w:color="000000"/>
              <w:right w:val="single" w:sz="4" w:space="0" w:color="000000"/>
            </w:tcBorders>
          </w:tcPr>
          <w:p>
            <w:pPr>
              <w:pStyle w:val="TableParagraph"/>
              <w:spacing w:line="240" w:lineRule="auto" w:before="150"/>
              <w:ind w:left="88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795" w:type="dxa"/>
            <w:vMerge w:val="restart"/>
            <w:tcBorders>
              <w:top w:val="single" w:sz="4" w:space="0" w:color="000000"/>
              <w:left w:val="single" w:sz="4" w:space="0" w:color="000000"/>
              <w:right w:val="single" w:sz="4" w:space="0" w:color="000000"/>
            </w:tcBorders>
          </w:tcPr>
          <w:p>
            <w:pPr>
              <w:pStyle w:val="TableParagraph"/>
              <w:spacing w:line="240" w:lineRule="auto" w:before="14"/>
              <w:ind w:left="280" w:right="153" w:hanging="125"/>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840" w:type="dxa"/>
            <w:vMerge/>
            <w:tcBorders>
              <w:left w:val="single" w:sz="4" w:space="0" w:color="000000"/>
              <w:bottom w:val="single" w:sz="4" w:space="0" w:color="000000"/>
              <w:right w:val="single" w:sz="4" w:space="0" w:color="000000"/>
            </w:tcBorders>
          </w:tcPr>
          <w:p>
            <w:pPr/>
          </w:p>
        </w:tc>
        <w:tc>
          <w:tcPr>
            <w:tcW w:w="1795" w:type="dxa"/>
            <w:vMerge/>
            <w:tcBorders>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10"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12"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11.36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0.35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0.35</w:t>
            </w:r>
          </w:p>
        </w:tc>
      </w:tr>
      <w:tr>
        <w:trPr>
          <w:trHeight w:val="554"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10.08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0.31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0.31</w:t>
            </w:r>
          </w:p>
        </w:tc>
      </w:tr>
    </w:tbl>
    <w:p>
      <w:pPr>
        <w:spacing w:line="240" w:lineRule="auto" w:before="2"/>
        <w:rPr>
          <w:rFonts w:ascii="宋体" w:hAnsi="宋体" w:cs="宋体" w:eastAsia="宋体" w:hint="default"/>
          <w:sz w:val="20"/>
          <w:szCs w:val="20"/>
        </w:rPr>
      </w:pPr>
    </w:p>
    <w:p>
      <w:pPr>
        <w:pStyle w:val="Heading4"/>
        <w:spacing w:line="240" w:lineRule="auto"/>
        <w:ind w:right="2631"/>
        <w:jc w:val="left"/>
        <w:rPr>
          <w:b w:val="0"/>
          <w:bCs w:val="0"/>
        </w:rPr>
      </w:pPr>
      <w:r>
        <w:rPr>
          <w:rFonts w:ascii="Times New Roman" w:hAnsi="Times New Roman" w:cs="Times New Roman" w:eastAsia="Times New Roman" w:hint="default"/>
        </w:rPr>
        <w:t>3</w:t>
      </w:r>
      <w:r>
        <w:rPr/>
        <w:t>、</w:t>
      </w:r>
      <w:r>
        <w:rPr>
          <w:spacing w:val="-1"/>
        </w:rPr>
        <w:t> </w:t>
      </w:r>
      <w:r>
        <w:rPr/>
        <w:t>境内外会计准则下会计数据差异</w:t>
      </w:r>
      <w:r>
        <w:rPr>
          <w:b w:val="0"/>
          <w:bCs w:val="0"/>
        </w:rPr>
      </w:r>
    </w:p>
    <w:p>
      <w:pPr>
        <w:pStyle w:val="BodyText"/>
        <w:spacing w:line="240" w:lineRule="auto" w:before="40"/>
        <w:ind w:left="698" w:right="2631"/>
        <w:jc w:val="left"/>
      </w:pPr>
      <w:r>
        <w:rPr/>
        <w:t>□适用 √不适用</w:t>
      </w:r>
    </w:p>
    <w:p>
      <w:pPr>
        <w:pStyle w:val="Heading4"/>
        <w:spacing w:line="240" w:lineRule="auto" w:before="58"/>
        <w:ind w:right="2631"/>
        <w:jc w:val="left"/>
        <w:rPr>
          <w:b w:val="0"/>
          <w:bCs w:val="0"/>
        </w:rPr>
      </w:pPr>
      <w:r>
        <w:rPr>
          <w:rFonts w:ascii="Times New Roman" w:hAnsi="Times New Roman" w:cs="Times New Roman" w:eastAsia="Times New Roman" w:hint="default"/>
        </w:rPr>
        <w:t>4</w:t>
      </w:r>
      <w:r>
        <w:rPr/>
        <w:t>、 其他</w:t>
      </w:r>
      <w:r>
        <w:rPr>
          <w:b w:val="0"/>
          <w:bCs w:val="0"/>
        </w:rPr>
      </w:r>
    </w:p>
    <w:p>
      <w:pPr>
        <w:pStyle w:val="BodyText"/>
        <w:tabs>
          <w:tab w:pos="1540" w:val="left" w:leader="none"/>
        </w:tabs>
        <w:spacing w:line="240" w:lineRule="auto" w:before="40"/>
        <w:ind w:left="698" w:right="2631"/>
        <w:jc w:val="left"/>
      </w:pPr>
      <w:r>
        <w:rPr/>
        <w:t>□适用</w:t>
        <w:tab/>
        <w:t>√不适用</w:t>
      </w:r>
    </w:p>
    <w:p>
      <w:pPr>
        <w:spacing w:after="0" w:line="240" w:lineRule="auto"/>
        <w:jc w:val="left"/>
        <w:sectPr>
          <w:pgSz w:w="11910" w:h="16840"/>
          <w:pgMar w:header="857" w:footer="979" w:top="1120" w:bottom="1160" w:left="15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1"/>
        <w:spacing w:line="240" w:lineRule="auto"/>
        <w:ind w:left="646" w:right="644"/>
        <w:jc w:val="center"/>
        <w:rPr>
          <w:b w:val="0"/>
          <w:bCs w:val="0"/>
        </w:rPr>
      </w:pPr>
      <w:bookmarkStart w:name="_TOC_250000" w:id="12"/>
      <w:r>
        <w:rPr/>
        <w:t>第十二节</w:t>
      </w:r>
      <w:r>
        <w:rPr>
          <w:spacing w:val="-6"/>
        </w:rPr>
        <w:t> </w:t>
      </w:r>
      <w:r>
        <w:rPr/>
        <w:t>备查文件目录</w:t>
      </w:r>
      <w:bookmarkEnd w:id="12"/>
      <w:r>
        <w:rPr>
          <w:b w:val="0"/>
          <w:bCs w:val="0"/>
        </w:rPr>
      </w: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4"/>
          <w:szCs w:val="24"/>
        </w:rPr>
      </w:pPr>
    </w:p>
    <w:tbl>
      <w:tblPr>
        <w:tblW w:w="0" w:type="auto"/>
        <w:jc w:val="left"/>
        <w:tblInd w:w="102" w:type="dxa"/>
        <w:tblLayout w:type="fixed"/>
        <w:tblCellMar>
          <w:top w:w="0" w:type="dxa"/>
          <w:left w:w="0" w:type="dxa"/>
          <w:bottom w:w="0" w:type="dxa"/>
          <w:right w:w="0" w:type="dxa"/>
        </w:tblCellMar>
        <w:tblLook w:val="01E0"/>
      </w:tblPr>
      <w:tblGrid>
        <w:gridCol w:w="2278"/>
        <w:gridCol w:w="6548"/>
      </w:tblGrid>
      <w:tr>
        <w:trPr>
          <w:trHeight w:val="55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3"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载有法定代表人、主管会计工作负责人和会计机构负责人签名并盖章的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载有会计师事务所、注册会计师签名并盖章的审计报告原件。</w:t>
            </w:r>
          </w:p>
        </w:tc>
      </w:tr>
      <w:tr>
        <w:trPr>
          <w:trHeight w:val="55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3"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5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及公告原稿。</w:t>
            </w:r>
          </w:p>
        </w:tc>
      </w:tr>
    </w:tbl>
    <w:p>
      <w:pPr>
        <w:pStyle w:val="BodyText"/>
        <w:spacing w:line="314" w:lineRule="auto" w:before="42"/>
        <w:ind w:left="5236" w:right="128" w:firstLine="2259"/>
        <w:jc w:val="left"/>
      </w:pPr>
      <w:r>
        <w:rPr>
          <w:spacing w:val="-1"/>
        </w:rPr>
        <w:t>董事长：吴志雄</w:t>
      </w:r>
      <w:r>
        <w:rPr>
          <w:w w:val="100"/>
        </w:rPr>
        <w:t> </w:t>
      </w:r>
      <w:r>
        <w:rPr/>
        <w:t>董事会批准报送日期：</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4"/>
        <w:spacing w:line="240" w:lineRule="auto" w:before="0"/>
        <w:ind w:left="618" w:right="0"/>
        <w:jc w:val="left"/>
        <w:rPr>
          <w:b w:val="0"/>
          <w:bCs w:val="0"/>
        </w:rPr>
      </w:pPr>
      <w:r>
        <w:rPr/>
        <w:t>修订信息</w:t>
      </w:r>
      <w:r>
        <w:rPr>
          <w:b w:val="0"/>
          <w:bCs w:val="0"/>
        </w:rPr>
      </w:r>
    </w:p>
    <w:p>
      <w:pPr>
        <w:pStyle w:val="BodyText"/>
        <w:spacing w:line="240" w:lineRule="auto" w:before="8"/>
        <w:ind w:left="618" w:right="0"/>
        <w:jc w:val="left"/>
      </w:pPr>
      <w:r>
        <w:rPr/>
        <w:t>□适用 √不适用</w:t>
      </w:r>
    </w:p>
    <w:sectPr>
      <w:pgSz w:w="11910" w:h="16840"/>
      <w:pgMar w:header="857" w:footer="979" w:top="1120" w:bottom="1160" w:left="166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57947pt;width:32.6pt;height:11pt;mso-position-horizontal-relative:page;mso-position-vertical-relative:page;z-index:-1145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238</w:t>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089996pt;margin-top:535.333923pt;width:32.6pt;height:11pt;mso-position-horizontal-relative:page;mso-position-vertical-relative:page;z-index:-1144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67</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238</w:t>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57947pt;width:32.6pt;height:11pt;mso-position-horizontal-relative:page;mso-position-vertical-relative:page;z-index:-1144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69</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238</w:t>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309998pt;margin-top:535.333923pt;width:32.6pt;height:11pt;mso-position-horizontal-relative:page;mso-position-vertical-relative:page;z-index:-1144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73</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238</w:t>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57947pt;width:32.6pt;height:11pt;mso-position-horizontal-relative:page;mso-position-vertical-relative:page;z-index:-1144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78</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238</w:t>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57947pt;width:32.6pt;height:11pt;mso-position-horizontal-relative:page;mso-position-vertical-relative:page;z-index:-1144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87</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238</w:t>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309998pt;margin-top:535.333923pt;width:32.6pt;height:11pt;mso-position-horizontal-relative:page;mso-position-vertical-relative:page;z-index:-1144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98</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238</w:t>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01001pt;margin-top:535.333923pt;width:36.050pt;height:11pt;mso-position-horizontal-relative:page;mso-position-vertical-relative:page;z-index:-11440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b/>
                    <w:sz w:val="18"/>
                  </w:rPr>
                  <w:t>100 </w:t>
                </w:r>
                <w:r>
                  <w:rPr>
                    <w:rFonts w:ascii="Times New Roman"/>
                    <w:sz w:val="18"/>
                  </w:rPr>
                  <w:t>/</w:t>
                </w:r>
                <w:r>
                  <w:rPr>
                    <w:rFonts w:ascii="Times New Roman"/>
                    <w:spacing w:val="-2"/>
                    <w:sz w:val="18"/>
                  </w:rPr>
                  <w:t> </w:t>
                </w:r>
                <w:r>
                  <w:rPr>
                    <w:rFonts w:ascii="Times New Roman"/>
                    <w:b/>
                    <w:sz w:val="18"/>
                  </w:rPr>
                  <w:t>238</w:t>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01001pt;margin-top:535.333923pt;width:37.050pt;height:11pt;mso-position-horizontal-relative:page;mso-position-vertical-relative:page;z-index:-1143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101</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238</w:t>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649994pt;margin-top:781.957947pt;width:37.050pt;height:11pt;mso-position-horizontal-relative:page;mso-position-vertical-relative:page;z-index:-1143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120</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238</w:t>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01001pt;margin-top:535.333923pt;width:37.050pt;height:11pt;mso-position-horizontal-relative:page;mso-position-vertical-relative:page;z-index:-1143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141</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238</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089996pt;margin-top:535.333923pt;width:32.6pt;height:11pt;mso-position-horizontal-relative:page;mso-position-vertical-relative:page;z-index:-1145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22</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238</w:t>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649994pt;margin-top:781.957947pt;width:37.050pt;height:11pt;mso-position-horizontal-relative:page;mso-position-vertical-relative:page;z-index:-1143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143</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238</w:t>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01001pt;margin-top:535.333923pt;width:37.050pt;height:11pt;mso-position-horizontal-relative:page;mso-position-vertical-relative:page;z-index:-1143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146</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238</w:t>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649994pt;margin-top:781.957947pt;width:37.050pt;height:11pt;mso-position-horizontal-relative:page;mso-position-vertical-relative:page;z-index:-1143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148</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238</w:t>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01001pt;margin-top:535.333923pt;width:37.050pt;height:11pt;mso-position-horizontal-relative:page;mso-position-vertical-relative:page;z-index:-1143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153</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238</w:t>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649994pt;margin-top:781.957947pt;width:37.050pt;height:11pt;mso-position-horizontal-relative:page;mso-position-vertical-relative:page;z-index:-1143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159</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238</w:t>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649994pt;margin-top:781.957947pt;width:37.050pt;height:11pt;mso-position-horizontal-relative:page;mso-position-vertical-relative:page;z-index:-1143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162</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238</w:t>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01001pt;margin-top:535.333923pt;width:37.050pt;height:11pt;mso-position-horizontal-relative:page;mso-position-vertical-relative:page;z-index:-1142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164</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238</w:t>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649994pt;margin-top:781.957947pt;width:37.050pt;height:11pt;mso-position-horizontal-relative:page;mso-position-vertical-relative:page;z-index:-1142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167</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238</w:t>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809998pt;margin-top:535.333923pt;width:37.050pt;height:11pt;mso-position-horizontal-relative:page;mso-position-vertical-relative:page;z-index:-1142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200</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238</w:t>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57947pt;width:32.6pt;height:11pt;mso-position-horizontal-relative:page;mso-position-vertical-relative:page;z-index:-1145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25</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238</w:t>
                </w:r>
                <w:r>
                  <w:rPr>
                    <w:rFonts w:ascii="Times New Roman"/>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690002pt;margin-top:781.957947pt;width:37.050pt;height:11pt;mso-position-horizontal-relative:page;mso-position-vertical-relative:page;z-index:-1142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202</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238</w:t>
                </w:r>
                <w:r>
                  <w:rPr>
                    <w:rFonts w:ascii="Times New Roman"/>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690002pt;margin-top:781.957947pt;width:37.050pt;height:11pt;mso-position-horizontal-relative:page;mso-position-vertical-relative:page;z-index:-1142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207</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238</w:t>
                </w:r>
                <w:r>
                  <w:rPr>
                    <w:rFonts w:ascii="Times New Roman"/>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809998pt;margin-top:535.333923pt;width:37.050pt;height:11pt;mso-position-horizontal-relative:page;mso-position-vertical-relative:page;z-index:-1142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225</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238</w:t>
                </w:r>
                <w:r>
                  <w:rPr>
                    <w:rFonts w:ascii="Times New Roman"/>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690002pt;margin-top:781.957947pt;width:37.050pt;height:11pt;mso-position-horizontal-relative:page;mso-position-vertical-relative:page;z-index:-1142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227</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238</w:t>
                </w:r>
                <w:r>
                  <w:rPr>
                    <w:rFonts w:ascii="Times New Roman"/>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809998pt;margin-top:535.333923pt;width:37.050pt;height:11pt;mso-position-horizontal-relative:page;mso-position-vertical-relative:page;z-index:-1142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229</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238</w:t>
                </w:r>
                <w:r>
                  <w:rPr>
                    <w:rFonts w:ascii="Times New Roman"/>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690002pt;margin-top:781.957947pt;width:37.050pt;height:11pt;mso-position-horizontal-relative:page;mso-position-vertical-relative:page;z-index:-1142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231</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238</w:t>
                </w:r>
                <w:r>
                  <w:rPr>
                    <w:rFonts w:ascii="Times New Roman"/>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809998pt;margin-top:535.333923pt;width:37.050pt;height:11pt;mso-position-horizontal-relative:page;mso-position-vertical-relative:page;z-index:-1142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234</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238</w:t>
                </w:r>
                <w:r>
                  <w:rPr>
                    <w:rFonts w:ascii="Times New Roman"/>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690002pt;margin-top:781.957947pt;width:37.050pt;height:11pt;mso-position-horizontal-relative:page;mso-position-vertical-relative:page;z-index:-1141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236</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238</w:t>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089996pt;margin-top:535.333923pt;width:32.6pt;height:11pt;mso-position-horizontal-relative:page;mso-position-vertical-relative:page;z-index:-1145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31</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238</w:t>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57947pt;width:32.6pt;height:11pt;mso-position-horizontal-relative:page;mso-position-vertical-relative:page;z-index:-1144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36</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238</w:t>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089996pt;margin-top:535.333923pt;width:32.6pt;height:11pt;mso-position-horizontal-relative:page;mso-position-vertical-relative:page;z-index:-1144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42</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238</w:t>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57947pt;width:32.6pt;height:11pt;mso-position-horizontal-relative:page;mso-position-vertical-relative:page;z-index:-1144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62</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238</w:t>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57947pt;width:32.6pt;height:11pt;mso-position-horizontal-relative:page;mso-position-vertical-relative:page;z-index:-1144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65</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238</w:t>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7.300003pt;margin-top:42.754883pt;width:51.594pt;height:9.235100pt;mso-position-horizontal-relative:page;mso-position-vertical-relative:page;z-index:-1145488" type="#_x0000_t75" stroked="false">
          <v:imagedata r:id="rId1" o:title=""/>
        </v:shape>
      </w:pict>
    </w:r>
    <w:r>
      <w:rPr/>
      <w:pict>
        <v:group style="position:absolute;margin-left:88.463997pt;margin-top:55.919983pt;width:443.6pt;height:.1pt;mso-position-horizontal-relative:page;mso-position-vertical-relative:page;z-index:-114546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52.259995pt;margin-top:43.225609pt;width:92pt;height:11pt;mso-position-horizontal-relative:page;mso-position-vertical-relative:page;z-index:-11454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440.429993pt;margin-top:43.225609pt;width:85.2pt;height:11.5pt;mso-position-horizontal-relative:page;mso-position-vertical-relative:page;z-index:-11454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7.300003pt;margin-top:42.754883pt;width:51.594pt;height:9.235100pt;mso-position-horizontal-relative:page;mso-position-vertical-relative:page;z-index:-1144504" type="#_x0000_t75" stroked="false">
          <v:imagedata r:id="rId1" o:title=""/>
        </v:shape>
      </w:pict>
    </w:r>
    <w:r>
      <w:rPr/>
      <w:pict>
        <v:group style="position:absolute;margin-left:88.463997pt;margin-top:55.919983pt;width:443.6pt;height:.1pt;mso-position-horizontal-relative:page;mso-position-vertical-relative:page;z-index:-114448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152.259995pt;margin-top:43.225609pt;width:92pt;height:11pt;mso-position-horizontal-relative:page;mso-position-vertical-relative:page;z-index:-11444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440.429993pt;margin-top:43.225609pt;width:85.2pt;height:11.5pt;mso-position-horizontal-relative:page;mso-position-vertical-relative:page;z-index:-11444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9.699997pt;margin-top:42.754906pt;width:51.594pt;height:9.235100pt;mso-position-horizontal-relative:page;mso-position-vertical-relative:page;z-index:-1144384" type="#_x0000_t75" stroked="false">
          <v:imagedata r:id="rId1" o:title=""/>
        </v:shape>
      </w:pict>
    </w:r>
    <w:r>
      <w:rPr/>
      <w:pict>
        <v:group style="position:absolute;margin-left:74.760002pt;margin-top:55.920006pt;width:695.65pt;height:.1pt;mso-position-horizontal-relative:page;mso-position-vertical-relative:page;z-index:-114436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264.609985pt;margin-top:43.225632pt;width:92pt;height:11pt;mso-position-horizontal-relative:page;mso-position-vertical-relative:page;z-index:-11443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552.75pt;margin-top:43.225632pt;width:85.2pt;height:11.5pt;mso-position-horizontal-relative:page;mso-position-vertical-relative:page;z-index:-11443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7.300003pt;margin-top:42.599983pt;width:51.594pt;height:9.19pt;mso-position-horizontal-relative:page;mso-position-vertical-relative:page;z-index:-1144264" type="#_x0000_t75" stroked="false">
          <v:imagedata r:id="rId1" o:title=""/>
        </v:shape>
      </w:pict>
    </w:r>
    <w:r>
      <w:rPr/>
      <w:pict>
        <v:group style="position:absolute;margin-left:88.463997pt;margin-top:55.799984pt;width:443.6pt;height:.1pt;mso-position-horizontal-relative:page;mso-position-vertical-relative:page;z-index:-114424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152.259995pt;margin-top:43.105606pt;width:92pt;height:11pt;mso-position-horizontal-relative:page;mso-position-vertical-relative:page;z-index:-11442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440.429993pt;margin-top:43.105606pt;width:85.2pt;height:11.5pt;mso-position-horizontal-relative:page;mso-position-vertical-relative:page;z-index:-11441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9.699997pt;margin-top:42.840008pt;width:51.594pt;height:9.2pt;mso-position-horizontal-relative:page;mso-position-vertical-relative:page;z-index:-1144120" type="#_x0000_t75" stroked="false">
          <v:imagedata r:id="rId1" o:title=""/>
        </v:shape>
      </w:pict>
    </w:r>
    <w:r>
      <w:rPr/>
      <w:pict>
        <v:group style="position:absolute;margin-left:74.760002pt;margin-top:56.040009pt;width:695.65pt;height:.1pt;mso-position-horizontal-relative:page;mso-position-vertical-relative:page;z-index:-1144096" coordorigin="1495,1121" coordsize="13913,2">
          <v:shape style="position:absolute;left:1495;top:1121;width:13913;height:2" coordorigin="1495,1121" coordsize="13913,0" path="m1495,1121l15408,1121e" filled="false" stroked="true" strokeweight=".72pt" strokecolor="#000000">
            <v:path arrowok="t"/>
          </v:shape>
          <w10:wrap type="none"/>
        </v:group>
      </w:pict>
    </w:r>
    <w:r>
      <w:rPr/>
      <w:pict>
        <v:shape style="position:absolute;margin-left:264.609985pt;margin-top:43.345631pt;width:92pt;height:11pt;mso-position-horizontal-relative:page;mso-position-vertical-relative:page;z-index:-11440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552.75pt;margin-top:43.345631pt;width:85.2pt;height:11.5pt;mso-position-horizontal-relative:page;mso-position-vertical-relative:page;z-index:-11440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25pt;margin-top:42.839981pt;width:51.594pt;height:9.2pt;mso-position-horizontal-relative:page;mso-position-vertical-relative:page;z-index:-1143952" type="#_x0000_t75" stroked="false">
          <v:imagedata r:id="rId1" o:title=""/>
        </v:shape>
      </w:pict>
    </w:r>
    <w:r>
      <w:rPr/>
      <w:pict>
        <v:group style="position:absolute;margin-left:62.400002pt;margin-top:56.039982pt;width:443.65pt;height:.1pt;mso-position-horizontal-relative:page;mso-position-vertical-relative:page;z-index:-1143928" coordorigin="1248,1121" coordsize="8873,2">
          <v:shape style="position:absolute;left:1248;top:1121;width:8873;height:2" coordorigin="1248,1121" coordsize="8873,0" path="m1248,1121l10120,1121e" filled="false" stroked="true" strokeweight=".72pt" strokecolor="#000000">
            <v:path arrowok="t"/>
          </v:shape>
          <w10:wrap type="none"/>
        </v:group>
      </w:pict>
    </w:r>
    <w:r>
      <w:rPr/>
      <w:pict>
        <v:shape style="position:absolute;margin-left:126.220001pt;margin-top:43.345608pt;width:92pt;height:11pt;mso-position-horizontal-relative:page;mso-position-vertical-relative:page;z-index:-11439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414.390015pt;margin-top:43.345608pt;width:85.2pt;height:11.5pt;mso-position-horizontal-relative:page;mso-position-vertical-relative:page;z-index:-11438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9.699997pt;margin-top:42.840008pt;width:51.594pt;height:9.2pt;mso-position-horizontal-relative:page;mso-position-vertical-relative:page;z-index:-1143832" type="#_x0000_t75" stroked="false">
          <v:imagedata r:id="rId1" o:title=""/>
        </v:shape>
      </w:pict>
    </w:r>
    <w:r>
      <w:rPr/>
      <w:pict>
        <v:group style="position:absolute;margin-left:74.760002pt;margin-top:56.040009pt;width:695.65pt;height:.1pt;mso-position-horizontal-relative:page;mso-position-vertical-relative:page;z-index:-1143808" coordorigin="1495,1121" coordsize="13913,2">
          <v:shape style="position:absolute;left:1495;top:1121;width:13913;height:2" coordorigin="1495,1121" coordsize="13913,0" path="m1495,1121l15408,1121e" filled="false" stroked="true" strokeweight=".72pt" strokecolor="#000000">
            <v:path arrowok="t"/>
          </v:shape>
          <w10:wrap type="none"/>
        </v:group>
      </w:pict>
    </w:r>
    <w:r>
      <w:rPr/>
      <w:pict>
        <v:shape style="position:absolute;margin-left:264.609985pt;margin-top:43.345631pt;width:92pt;height:11pt;mso-position-horizontal-relative:page;mso-position-vertical-relative:page;z-index:-11437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552.75pt;margin-top:43.345631pt;width:85.2pt;height:11.5pt;mso-position-horizontal-relative:page;mso-position-vertical-relative:page;z-index:-1143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25pt;margin-top:42.839981pt;width:51.594pt;height:9.2pt;mso-position-horizontal-relative:page;mso-position-vertical-relative:page;z-index:-1143712" type="#_x0000_t75" stroked="false">
          <v:imagedata r:id="rId1" o:title=""/>
        </v:shape>
      </w:pict>
    </w:r>
    <w:r>
      <w:rPr/>
      <w:pict>
        <v:group style="position:absolute;margin-left:62.400002pt;margin-top:56.039982pt;width:443.65pt;height:.1pt;mso-position-horizontal-relative:page;mso-position-vertical-relative:page;z-index:-1143688" coordorigin="1248,1121" coordsize="8873,2">
          <v:shape style="position:absolute;left:1248;top:1121;width:8873;height:2" coordorigin="1248,1121" coordsize="8873,0" path="m1248,1121l10120,1121e" filled="false" stroked="true" strokeweight=".72pt" strokecolor="#000000">
            <v:path arrowok="t"/>
          </v:shape>
          <w10:wrap type="none"/>
        </v:group>
      </w:pict>
    </w:r>
    <w:r>
      <w:rPr/>
      <w:pict>
        <v:shape style="position:absolute;margin-left:126.220001pt;margin-top:43.345608pt;width:92pt;height:11pt;mso-position-horizontal-relative:page;mso-position-vertical-relative:page;z-index:-11436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414.390015pt;margin-top:43.345608pt;width:85.2pt;height:11.5pt;mso-position-horizontal-relative:page;mso-position-vertical-relative:page;z-index:-11436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9.699997pt;margin-top:42.840008pt;width:51.594pt;height:9.2pt;mso-position-horizontal-relative:page;mso-position-vertical-relative:page;z-index:-1143592" type="#_x0000_t75" stroked="false">
          <v:imagedata r:id="rId1" o:title=""/>
        </v:shape>
      </w:pict>
    </w:r>
    <w:r>
      <w:rPr/>
      <w:pict>
        <v:group style="position:absolute;margin-left:74.760002pt;margin-top:56.040009pt;width:695.65pt;height:.1pt;mso-position-horizontal-relative:page;mso-position-vertical-relative:page;z-index:-1143568" coordorigin="1495,1121" coordsize="13913,2">
          <v:shape style="position:absolute;left:1495;top:1121;width:13913;height:2" coordorigin="1495,1121" coordsize="13913,0" path="m1495,1121l15408,1121e" filled="false" stroked="true" strokeweight=".72pt" strokecolor="#000000">
            <v:path arrowok="t"/>
          </v:shape>
          <w10:wrap type="none"/>
        </v:group>
      </w:pict>
    </w:r>
    <w:r>
      <w:rPr/>
      <w:pict>
        <v:shape style="position:absolute;margin-left:264.609985pt;margin-top:43.345631pt;width:92pt;height:11pt;mso-position-horizontal-relative:page;mso-position-vertical-relative:page;z-index:-11435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552.75pt;margin-top:43.345631pt;width:85.2pt;height:11.5pt;mso-position-horizontal-relative:page;mso-position-vertical-relative:page;z-index:-11435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25pt;margin-top:42.839981pt;width:51.594pt;height:9.2pt;mso-position-horizontal-relative:page;mso-position-vertical-relative:page;z-index:-1143472" type="#_x0000_t75" stroked="false">
          <v:imagedata r:id="rId1" o:title=""/>
        </v:shape>
      </w:pict>
    </w:r>
    <w:r>
      <w:rPr/>
      <w:pict>
        <v:group style="position:absolute;margin-left:62.400002pt;margin-top:56.039982pt;width:443.65pt;height:.1pt;mso-position-horizontal-relative:page;mso-position-vertical-relative:page;z-index:-1143448" coordorigin="1248,1121" coordsize="8873,2">
          <v:shape style="position:absolute;left:1248;top:1121;width:8873;height:2" coordorigin="1248,1121" coordsize="8873,0" path="m1248,1121l10120,1121e" filled="false" stroked="true" strokeweight=".72pt" strokecolor="#000000">
            <v:path arrowok="t"/>
          </v:shape>
          <w10:wrap type="none"/>
        </v:group>
      </w:pict>
    </w:r>
    <w:r>
      <w:rPr/>
      <w:pict>
        <v:shape style="position:absolute;margin-left:126.220001pt;margin-top:43.345608pt;width:92pt;height:11pt;mso-position-horizontal-relative:page;mso-position-vertical-relative:page;z-index:-11434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414.390015pt;margin-top:43.345608pt;width:85.2pt;height:11.5pt;mso-position-horizontal-relative:page;mso-position-vertical-relative:page;z-index:-1143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9.699997pt;margin-top:42.840008pt;width:51.594pt;height:9.2pt;mso-position-horizontal-relative:page;mso-position-vertical-relative:page;z-index:-1143352" type="#_x0000_t75" stroked="false">
          <v:imagedata r:id="rId1" o:title=""/>
        </v:shape>
      </w:pict>
    </w:r>
    <w:r>
      <w:rPr/>
      <w:pict>
        <v:group style="position:absolute;margin-left:74.760002pt;margin-top:56.040009pt;width:695.65pt;height:.1pt;mso-position-horizontal-relative:page;mso-position-vertical-relative:page;z-index:-1143328" coordorigin="1495,1121" coordsize="13913,2">
          <v:shape style="position:absolute;left:1495;top:1121;width:13913;height:2" coordorigin="1495,1121" coordsize="13913,0" path="m1495,1121l15408,1121e" filled="false" stroked="true" strokeweight=".72pt" strokecolor="#000000">
            <v:path arrowok="t"/>
          </v:shape>
          <w10:wrap type="none"/>
        </v:group>
      </w:pict>
    </w:r>
    <w:r>
      <w:rPr/>
      <w:pict>
        <v:shape style="position:absolute;margin-left:264.609985pt;margin-top:43.345631pt;width:92pt;height:11pt;mso-position-horizontal-relative:page;mso-position-vertical-relative:page;z-index:-11433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552.75pt;margin-top:43.345631pt;width:85.2pt;height:11.5pt;mso-position-horizontal-relative:page;mso-position-vertical-relative:page;z-index:-1143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5.449997pt;margin-top:42.754906pt;width:51.594pt;height:9.235100pt;mso-position-horizontal-relative:page;mso-position-vertical-relative:page;z-index:-1145368" type="#_x0000_t75" stroked="false">
          <v:imagedata r:id="rId1" o:title=""/>
        </v:shape>
      </w:pict>
    </w:r>
    <w:r>
      <w:rPr/>
      <w:pict>
        <v:group style="position:absolute;margin-left:70.559998pt;margin-top:55.920006pt;width:695.65pt;height:.1pt;mso-position-horizontal-relative:page;mso-position-vertical-relative:page;z-index:-114534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260.410004pt;margin-top:43.225632pt;width:92pt;height:11pt;mso-position-horizontal-relative:page;mso-position-vertical-relative:page;z-index:-1145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548.549988pt;margin-top:43.225632pt;width:85.2pt;height:11.5pt;mso-position-horizontal-relative:page;mso-position-vertical-relative:page;z-index:-11452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25pt;margin-top:42.839981pt;width:51.594pt;height:9.2pt;mso-position-horizontal-relative:page;mso-position-vertical-relative:page;z-index:-1143232" type="#_x0000_t75" stroked="false">
          <v:imagedata r:id="rId1" o:title=""/>
        </v:shape>
      </w:pict>
    </w:r>
    <w:r>
      <w:rPr/>
      <w:pict>
        <v:group style="position:absolute;margin-left:62.400002pt;margin-top:56.039982pt;width:443.65pt;height:.1pt;mso-position-horizontal-relative:page;mso-position-vertical-relative:page;z-index:-1143208" coordorigin="1248,1121" coordsize="8873,2">
          <v:shape style="position:absolute;left:1248;top:1121;width:8873;height:2" coordorigin="1248,1121" coordsize="8873,0" path="m1248,1121l10120,1121e" filled="false" stroked="true" strokeweight=".72pt" strokecolor="#000000">
            <v:path arrowok="t"/>
          </v:shape>
          <w10:wrap type="none"/>
        </v:group>
      </w:pict>
    </w:r>
    <w:r>
      <w:rPr/>
      <w:pict>
        <v:shape style="position:absolute;margin-left:126.220001pt;margin-top:43.345608pt;width:92pt;height:11pt;mso-position-horizontal-relative:page;mso-position-vertical-relative:page;z-index:-11431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414.390015pt;margin-top:43.345608pt;width:85.2pt;height:11.5pt;mso-position-horizontal-relative:page;mso-position-vertical-relative:page;z-index:-11431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9.699997pt;margin-top:42.840008pt;width:51.594pt;height:9.2pt;mso-position-horizontal-relative:page;mso-position-vertical-relative:page;z-index:-1143088" type="#_x0000_t75" stroked="false">
          <v:imagedata r:id="rId1" o:title=""/>
        </v:shape>
      </w:pict>
    </w:r>
    <w:r>
      <w:rPr/>
      <w:pict>
        <v:group style="position:absolute;margin-left:74.760002pt;margin-top:56.040009pt;width:695.65pt;height:.1pt;mso-position-horizontal-relative:page;mso-position-vertical-relative:page;z-index:-1143064" coordorigin="1495,1121" coordsize="13913,2">
          <v:shape style="position:absolute;left:1495;top:1121;width:13913;height:2" coordorigin="1495,1121" coordsize="13913,0" path="m1495,1121l15408,1121e" filled="false" stroked="true" strokeweight=".72pt" strokecolor="#000000">
            <v:path arrowok="t"/>
          </v:shape>
          <w10:wrap type="none"/>
        </v:group>
      </w:pict>
    </w:r>
    <w:r>
      <w:rPr/>
      <w:pict>
        <v:shape style="position:absolute;margin-left:264.609985pt;margin-top:43.345631pt;width:92pt;height:11pt;mso-position-horizontal-relative:page;mso-position-vertical-relative:page;z-index:-11430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552.75pt;margin-top:43.345631pt;width:85.2pt;height:11.5pt;mso-position-horizontal-relative:page;mso-position-vertical-relative:page;z-index:-1143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25pt;margin-top:42.839981pt;width:51.594pt;height:9.2pt;mso-position-horizontal-relative:page;mso-position-vertical-relative:page;z-index:-1142968" type="#_x0000_t75" stroked="false">
          <v:imagedata r:id="rId1" o:title=""/>
        </v:shape>
      </w:pict>
    </w:r>
    <w:r>
      <w:rPr/>
      <w:pict>
        <v:group style="position:absolute;margin-left:62.400002pt;margin-top:56.039982pt;width:443.65pt;height:.1pt;mso-position-horizontal-relative:page;mso-position-vertical-relative:page;z-index:-1142944" coordorigin="1248,1121" coordsize="8873,2">
          <v:shape style="position:absolute;left:1248;top:1121;width:8873;height:2" coordorigin="1248,1121" coordsize="8873,0" path="m1248,1121l10120,1121e" filled="false" stroked="true" strokeweight=".72pt" strokecolor="#000000">
            <v:path arrowok="t"/>
          </v:shape>
          <w10:wrap type="none"/>
        </v:group>
      </w:pict>
    </w:r>
    <w:r>
      <w:rPr/>
      <w:pict>
        <v:shape style="position:absolute;margin-left:126.220001pt;margin-top:43.345608pt;width:92pt;height:11pt;mso-position-horizontal-relative:page;mso-position-vertical-relative:page;z-index:-11429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414.390015pt;margin-top:43.345608pt;width:85.2pt;height:11.5pt;mso-position-horizontal-relative:page;mso-position-vertical-relative:page;z-index:-1142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5.449997pt;margin-top:42.840008pt;width:51.594pt;height:9.2pt;mso-position-horizontal-relative:page;mso-position-vertical-relative:page;z-index:-1142848" type="#_x0000_t75" stroked="false">
          <v:imagedata r:id="rId1" o:title=""/>
        </v:shape>
      </w:pict>
    </w:r>
    <w:r>
      <w:rPr/>
      <w:pict>
        <v:group style="position:absolute;margin-left:70.559998pt;margin-top:56.040009pt;width:695.65pt;height:.1pt;mso-position-horizontal-relative:page;mso-position-vertical-relative:page;z-index:-1142824" coordorigin="1411,1121" coordsize="13913,2">
          <v:shape style="position:absolute;left:1411;top:1121;width:13913;height:2" coordorigin="1411,1121" coordsize="13913,0" path="m1411,1121l15324,1121e" filled="false" stroked="true" strokeweight=".72pt" strokecolor="#000000">
            <v:path arrowok="t"/>
          </v:shape>
          <w10:wrap type="none"/>
        </v:group>
      </w:pict>
    </w:r>
    <w:r>
      <w:rPr/>
      <w:pict>
        <v:shape style="position:absolute;margin-left:260.410004pt;margin-top:43.345631pt;width:92pt;height:11pt;mso-position-horizontal-relative:page;mso-position-vertical-relative:page;z-index:-11428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548.549988pt;margin-top:43.345631pt;width:85.2pt;height:11.5pt;mso-position-horizontal-relative:page;mso-position-vertical-relative:page;z-index:-11427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7.300003pt;margin-top:42.839981pt;width:51.594pt;height:9.2pt;mso-position-horizontal-relative:page;mso-position-vertical-relative:page;z-index:-1142728" type="#_x0000_t75" stroked="false">
          <v:imagedata r:id="rId1" o:title=""/>
        </v:shape>
      </w:pict>
    </w:r>
    <w:r>
      <w:rPr/>
      <w:pict>
        <v:group style="position:absolute;margin-left:88.463997pt;margin-top:56.039982pt;width:443.6pt;height:.1pt;mso-position-horizontal-relative:page;mso-position-vertical-relative:page;z-index:-1142704" coordorigin="1769,1121" coordsize="8872,2">
          <v:shape style="position:absolute;left:1769;top:1121;width:8872;height:2" coordorigin="1769,1121" coordsize="8872,0" path="m1769,1121l10641,1121e" filled="false" stroked="true" strokeweight=".72pt" strokecolor="#000000">
            <v:path arrowok="t"/>
          </v:shape>
          <w10:wrap type="none"/>
        </v:group>
      </w:pict>
    </w:r>
    <w:r>
      <w:rPr/>
      <w:pict>
        <v:shape style="position:absolute;margin-left:152.259995pt;margin-top:43.345608pt;width:92pt;height:11pt;mso-position-horizontal-relative:page;mso-position-vertical-relative:page;z-index:-11426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440.429993pt;margin-top:43.345608pt;width:85.2pt;height:11.5pt;mso-position-horizontal-relative:page;mso-position-vertical-relative:page;z-index:-11426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5.449997pt;margin-top:42.840008pt;width:51.594pt;height:9.2pt;mso-position-horizontal-relative:page;mso-position-vertical-relative:page;z-index:-1142584" type="#_x0000_t75" stroked="false">
          <v:imagedata r:id="rId1" o:title=""/>
        </v:shape>
      </w:pict>
    </w:r>
    <w:r>
      <w:rPr/>
      <w:pict>
        <v:group style="position:absolute;margin-left:70.559998pt;margin-top:56.040009pt;width:695.65pt;height:.1pt;mso-position-horizontal-relative:page;mso-position-vertical-relative:page;z-index:-1142560" coordorigin="1411,1121" coordsize="13913,2">
          <v:shape style="position:absolute;left:1411;top:1121;width:13913;height:2" coordorigin="1411,1121" coordsize="13913,0" path="m1411,1121l15324,1121e" filled="false" stroked="true" strokeweight=".72pt" strokecolor="#000000">
            <v:path arrowok="t"/>
          </v:shape>
          <w10:wrap type="none"/>
        </v:group>
      </w:pict>
    </w:r>
    <w:r>
      <w:rPr/>
      <w:pict>
        <v:shape style="position:absolute;margin-left:260.410004pt;margin-top:43.345631pt;width:92pt;height:11pt;mso-position-horizontal-relative:page;mso-position-vertical-relative:page;z-index:-11425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548.549988pt;margin-top:43.345631pt;width:85.2pt;height:11.5pt;mso-position-horizontal-relative:page;mso-position-vertical-relative:page;z-index:-11425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7.300003pt;margin-top:42.839981pt;width:51.594pt;height:9.2pt;mso-position-horizontal-relative:page;mso-position-vertical-relative:page;z-index:-1142464" type="#_x0000_t75" stroked="false">
          <v:imagedata r:id="rId1" o:title=""/>
        </v:shape>
      </w:pict>
    </w:r>
    <w:r>
      <w:rPr/>
      <w:pict>
        <v:group style="position:absolute;margin-left:88.463997pt;margin-top:56.039982pt;width:443.6pt;height:.1pt;mso-position-horizontal-relative:page;mso-position-vertical-relative:page;z-index:-1142440" coordorigin="1769,1121" coordsize="8872,2">
          <v:shape style="position:absolute;left:1769;top:1121;width:8872;height:2" coordorigin="1769,1121" coordsize="8872,0" path="m1769,1121l10641,1121e" filled="false" stroked="true" strokeweight=".72pt" strokecolor="#000000">
            <v:path arrowok="t"/>
          </v:shape>
          <w10:wrap type="none"/>
        </v:group>
      </w:pict>
    </w:r>
    <w:r>
      <w:rPr/>
      <w:pict>
        <v:shape style="position:absolute;margin-left:152.259995pt;margin-top:43.345608pt;width:92pt;height:11pt;mso-position-horizontal-relative:page;mso-position-vertical-relative:page;z-index:-11424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440.429993pt;margin-top:43.345608pt;width:85.2pt;height:11.5pt;mso-position-horizontal-relative:page;mso-position-vertical-relative:page;z-index:-11423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5.449997pt;margin-top:42.840008pt;width:51.594pt;height:9.2pt;mso-position-horizontal-relative:page;mso-position-vertical-relative:page;z-index:-1142344" type="#_x0000_t75" stroked="false">
          <v:imagedata r:id="rId1" o:title=""/>
        </v:shape>
      </w:pict>
    </w:r>
    <w:r>
      <w:rPr/>
      <w:pict>
        <v:group style="position:absolute;margin-left:70.559998pt;margin-top:56.040009pt;width:695.65pt;height:.1pt;mso-position-horizontal-relative:page;mso-position-vertical-relative:page;z-index:-1142320" coordorigin="1411,1121" coordsize="13913,2">
          <v:shape style="position:absolute;left:1411;top:1121;width:13913;height:2" coordorigin="1411,1121" coordsize="13913,0" path="m1411,1121l15324,1121e" filled="false" stroked="true" strokeweight=".72pt" strokecolor="#000000">
            <v:path arrowok="t"/>
          </v:shape>
          <w10:wrap type="none"/>
        </v:group>
      </w:pict>
    </w:r>
    <w:r>
      <w:rPr/>
      <w:pict>
        <v:shape style="position:absolute;margin-left:260.410004pt;margin-top:43.345631pt;width:92pt;height:11pt;mso-position-horizontal-relative:page;mso-position-vertical-relative:page;z-index:-11422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548.549988pt;margin-top:43.345631pt;width:85.2pt;height:11.5pt;mso-position-horizontal-relative:page;mso-position-vertical-relative:page;z-index:-11422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7.300003pt;margin-top:42.754883pt;width:51.594pt;height:9.235100pt;mso-position-horizontal-relative:page;mso-position-vertical-relative:page;z-index:-1145248" type="#_x0000_t75" stroked="false">
          <v:imagedata r:id="rId1" o:title=""/>
        </v:shape>
      </w:pict>
    </w:r>
    <w:r>
      <w:rPr/>
      <w:pict>
        <v:group style="position:absolute;margin-left:88.463997pt;margin-top:55.919983pt;width:443.6pt;height:.1pt;mso-position-horizontal-relative:page;mso-position-vertical-relative:page;z-index:-114522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152.259995pt;margin-top:43.225609pt;width:92pt;height:11pt;mso-position-horizontal-relative:page;mso-position-vertical-relative:page;z-index:-11452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440.429993pt;margin-top:43.225609pt;width:85.2pt;height:11.5pt;mso-position-horizontal-relative:page;mso-position-vertical-relative:page;z-index:-11451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7.300003pt;margin-top:42.839981pt;width:51.594pt;height:9.2pt;mso-position-horizontal-relative:page;mso-position-vertical-relative:page;z-index:-1142224" type="#_x0000_t75" stroked="false">
          <v:imagedata r:id="rId1" o:title=""/>
        </v:shape>
      </w:pict>
    </w:r>
    <w:r>
      <w:rPr/>
      <w:pict>
        <v:group style="position:absolute;margin-left:88.463997pt;margin-top:56.039982pt;width:443.6pt;height:.1pt;mso-position-horizontal-relative:page;mso-position-vertical-relative:page;z-index:-1142200" coordorigin="1769,1121" coordsize="8872,2">
          <v:shape style="position:absolute;left:1769;top:1121;width:8872;height:2" coordorigin="1769,1121" coordsize="8872,0" path="m1769,1121l10641,1121e" filled="false" stroked="true" strokeweight=".72pt" strokecolor="#000000">
            <v:path arrowok="t"/>
          </v:shape>
          <w10:wrap type="none"/>
        </v:group>
      </w:pict>
    </w:r>
    <w:r>
      <w:rPr/>
      <w:pict>
        <v:shape style="position:absolute;margin-left:152.259995pt;margin-top:43.345608pt;width:92pt;height:11pt;mso-position-horizontal-relative:page;mso-position-vertical-relative:page;z-index:-11421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440.429993pt;margin-top:43.345608pt;width:85.2pt;height:11.5pt;mso-position-horizontal-relative:page;mso-position-vertical-relative:page;z-index:-11421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5.449997pt;margin-top:42.840008pt;width:51.594pt;height:9.2pt;mso-position-horizontal-relative:page;mso-position-vertical-relative:page;z-index:-1142104" type="#_x0000_t75" stroked="false">
          <v:imagedata r:id="rId1" o:title=""/>
        </v:shape>
      </w:pict>
    </w:r>
    <w:r>
      <w:rPr/>
      <w:pict>
        <v:group style="position:absolute;margin-left:70.559998pt;margin-top:56.040009pt;width:695.65pt;height:.1pt;mso-position-horizontal-relative:page;mso-position-vertical-relative:page;z-index:-1142080" coordorigin="1411,1121" coordsize="13913,2">
          <v:shape style="position:absolute;left:1411;top:1121;width:13913;height:2" coordorigin="1411,1121" coordsize="13913,0" path="m1411,1121l15324,1121e" filled="false" stroked="true" strokeweight=".72pt" strokecolor="#000000">
            <v:path arrowok="t"/>
          </v:shape>
          <w10:wrap type="none"/>
        </v:group>
      </w:pict>
    </w:r>
    <w:r>
      <w:rPr/>
      <w:pict>
        <v:shape style="position:absolute;margin-left:260.410004pt;margin-top:43.345631pt;width:92pt;height:11pt;mso-position-horizontal-relative:page;mso-position-vertical-relative:page;z-index:-11420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548.549988pt;margin-top:43.345631pt;width:85.2pt;height:11.5pt;mso-position-horizontal-relative:page;mso-position-vertical-relative:page;z-index:-11420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7.300003pt;margin-top:42.839981pt;width:51.594pt;height:9.2pt;mso-position-horizontal-relative:page;mso-position-vertical-relative:page;z-index:-1141984" type="#_x0000_t75" stroked="false">
          <v:imagedata r:id="rId1" o:title=""/>
        </v:shape>
      </w:pict>
    </w:r>
    <w:r>
      <w:rPr/>
      <w:pict>
        <v:group style="position:absolute;margin-left:88.463997pt;margin-top:56.039982pt;width:443.6pt;height:.1pt;mso-position-horizontal-relative:page;mso-position-vertical-relative:page;z-index:-1141960" coordorigin="1769,1121" coordsize="8872,2">
          <v:shape style="position:absolute;left:1769;top:1121;width:8872;height:2" coordorigin="1769,1121" coordsize="8872,0" path="m1769,1121l10641,1121e" filled="false" stroked="true" strokeweight=".72pt" strokecolor="#000000">
            <v:path arrowok="t"/>
          </v:shape>
          <w10:wrap type="none"/>
        </v:group>
      </w:pict>
    </w:r>
    <w:r>
      <w:rPr/>
      <w:pict>
        <v:shape style="position:absolute;margin-left:152.259995pt;margin-top:43.345608pt;width:92pt;height:11pt;mso-position-horizontal-relative:page;mso-position-vertical-relative:page;z-index:-11419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440.429993pt;margin-top:43.345608pt;width:85.2pt;height:11.5pt;mso-position-horizontal-relative:page;mso-position-vertical-relative:page;z-index:-11419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5.449997pt;margin-top:42.754906pt;width:51.594pt;height:9.235100pt;mso-position-horizontal-relative:page;mso-position-vertical-relative:page;z-index:-1145128" type="#_x0000_t75" stroked="false">
          <v:imagedata r:id="rId1" o:title=""/>
        </v:shape>
      </w:pict>
    </w:r>
    <w:r>
      <w:rPr/>
      <w:pict>
        <v:group style="position:absolute;margin-left:70.559998pt;margin-top:55.920006pt;width:695.65pt;height:.1pt;mso-position-horizontal-relative:page;mso-position-vertical-relative:page;z-index:-114510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260.410004pt;margin-top:43.225632pt;width:92pt;height:11pt;mso-position-horizontal-relative:page;mso-position-vertical-relative:page;z-index:-11450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548.549988pt;margin-top:43.225632pt;width:85.2pt;height:11.5pt;mso-position-horizontal-relative:page;mso-position-vertical-relative:page;z-index:-11450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7.300003pt;margin-top:42.754883pt;width:51.594pt;height:9.235100pt;mso-position-horizontal-relative:page;mso-position-vertical-relative:page;z-index:-1145008" type="#_x0000_t75" stroked="false">
          <v:imagedata r:id="rId1" o:title=""/>
        </v:shape>
      </w:pict>
    </w:r>
    <w:r>
      <w:rPr/>
      <w:pict>
        <v:group style="position:absolute;margin-left:88.463997pt;margin-top:55.919983pt;width:443.6pt;height:.1pt;mso-position-horizontal-relative:page;mso-position-vertical-relative:page;z-index:-114498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152.259995pt;margin-top:43.225609pt;width:92pt;height:11pt;mso-position-horizontal-relative:page;mso-position-vertical-relative:page;z-index:-11449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440.429993pt;margin-top:43.225609pt;width:85.2pt;height:11.5pt;mso-position-horizontal-relative:page;mso-position-vertical-relative:page;z-index:-11449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5.449997pt;margin-top:42.754906pt;width:51.594pt;height:9.235100pt;mso-position-horizontal-relative:page;mso-position-vertical-relative:page;z-index:-1144888" type="#_x0000_t75" stroked="false">
          <v:imagedata r:id="rId1" o:title=""/>
        </v:shape>
      </w:pict>
    </w:r>
    <w:r>
      <w:rPr/>
      <w:pict>
        <v:group style="position:absolute;margin-left:70.559998pt;margin-top:55.920006pt;width:695.65pt;height:.1pt;mso-position-horizontal-relative:page;mso-position-vertical-relative:page;z-index:-114486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260.410004pt;margin-top:43.225632pt;width:92pt;height:11pt;mso-position-horizontal-relative:page;mso-position-vertical-relative:page;z-index:-11448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548.549988pt;margin-top:43.225632pt;width:85.2pt;height:11.5pt;mso-position-horizontal-relative:page;mso-position-vertical-relative:page;z-index:-11448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7.300003pt;margin-top:42.754883pt;width:51.594pt;height:9.235100pt;mso-position-horizontal-relative:page;mso-position-vertical-relative:page;z-index:-1144768" type="#_x0000_t75" stroked="false">
          <v:imagedata r:id="rId1" o:title=""/>
        </v:shape>
      </w:pict>
    </w:r>
    <w:r>
      <w:rPr/>
      <w:pict>
        <v:group style="position:absolute;margin-left:88.463997pt;margin-top:55.919983pt;width:443.6pt;height:.1pt;mso-position-horizontal-relative:page;mso-position-vertical-relative:page;z-index:-114474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152.259995pt;margin-top:43.225609pt;width:92pt;height:11pt;mso-position-horizontal-relative:page;mso-position-vertical-relative:page;z-index:-11447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440.429993pt;margin-top:43.225609pt;width:85.2pt;height:11.5pt;mso-position-horizontal-relative:page;mso-position-vertical-relative:page;z-index:-11446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5.449997pt;margin-top:42.754906pt;width:51.594pt;height:9.235100pt;mso-position-horizontal-relative:page;mso-position-vertical-relative:page;z-index:-1144624" type="#_x0000_t75" stroked="false">
          <v:imagedata r:id="rId1" o:title=""/>
        </v:shape>
      </w:pict>
    </w:r>
    <w:r>
      <w:rPr/>
      <w:pict>
        <v:group style="position:absolute;margin-left:70.559998pt;margin-top:55.920006pt;width:695.65pt;height:.1pt;mso-position-horizontal-relative:page;mso-position-vertical-relative:page;z-index:-114460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260.410004pt;margin-top:43.225632pt;width:92pt;height:11pt;mso-position-horizontal-relative:page;mso-position-vertical-relative:page;z-index:-11445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548.549988pt;margin-top:43.225632pt;width:85.2pt;height:11.5pt;mso-position-horizontal-relative:page;mso-position-vertical-relative:page;z-index:-11445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3"/>
      <w:ind w:left="138"/>
    </w:pPr>
    <w:rPr>
      <w:rFonts w:ascii="宋体" w:hAnsi="宋体" w:eastAsia="宋体"/>
      <w:b/>
      <w:bCs/>
      <w:sz w:val="24"/>
      <w:szCs w:val="24"/>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26"/>
      <w:outlineLvl w:val="2"/>
    </w:pPr>
    <w:rPr>
      <w:rFonts w:ascii="宋体" w:hAnsi="宋体" w:eastAsia="宋体"/>
      <w:b/>
      <w:bCs/>
      <w:sz w:val="24"/>
      <w:szCs w:val="24"/>
    </w:rPr>
  </w:style>
  <w:style w:styleId="Heading3" w:type="paragraph">
    <w:name w:val="Heading 3"/>
    <w:basedOn w:val="Normal"/>
    <w:uiPriority w:val="1"/>
    <w:qFormat/>
    <w:pPr>
      <w:spacing w:before="50"/>
      <w:ind w:left="618"/>
      <w:outlineLvl w:val="3"/>
    </w:pPr>
    <w:rPr>
      <w:rFonts w:ascii="宋体" w:hAnsi="宋体" w:eastAsia="宋体"/>
      <w:sz w:val="24"/>
      <w:szCs w:val="24"/>
    </w:rPr>
  </w:style>
  <w:style w:styleId="Heading4" w:type="paragraph">
    <w:name w:val="Heading 4"/>
    <w:basedOn w:val="Normal"/>
    <w:uiPriority w:val="1"/>
    <w:qFormat/>
    <w:pPr>
      <w:spacing w:before="3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bona@linewell.com" TargetMode="External"/><Relationship Id="rId9" Type="http://schemas.openxmlformats.org/officeDocument/2006/relationships/hyperlink" Target="http://www.linewell.com/" TargetMode="External"/><Relationship Id="rId10" Type="http://schemas.openxmlformats.org/officeDocument/2006/relationships/hyperlink" Target="mailto:ir@linewell.com" TargetMode="External"/><Relationship Id="rId11" Type="http://schemas.openxmlformats.org/officeDocument/2006/relationships/hyperlink" Target="http://www.sse.com.cn/"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image" Target="media/image2.jpeg"/><Relationship Id="rId27" Type="http://schemas.openxmlformats.org/officeDocument/2006/relationships/footer" Target="footer9.xml"/><Relationship Id="rId28" Type="http://schemas.openxmlformats.org/officeDocument/2006/relationships/header" Target="header9.xml"/><Relationship Id="rId29" Type="http://schemas.openxmlformats.org/officeDocument/2006/relationships/footer" Target="footer10.xml"/><Relationship Id="rId30" Type="http://schemas.openxmlformats.org/officeDocument/2006/relationships/header" Target="header10.xml"/><Relationship Id="rId31" Type="http://schemas.openxmlformats.org/officeDocument/2006/relationships/footer" Target="footer11.xml"/><Relationship Id="rId32" Type="http://schemas.openxmlformats.org/officeDocument/2006/relationships/image" Target="media/image3.jpeg"/><Relationship Id="rId33" Type="http://schemas.openxmlformats.org/officeDocument/2006/relationships/header" Target="header11.xml"/><Relationship Id="rId34" Type="http://schemas.openxmlformats.org/officeDocument/2006/relationships/footer" Target="footer12.xml"/><Relationship Id="rId35" Type="http://schemas.openxmlformats.org/officeDocument/2006/relationships/header" Target="header12.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header" Target="header13.xml"/><Relationship Id="rId39" Type="http://schemas.openxmlformats.org/officeDocument/2006/relationships/footer" Target="footer15.xml"/><Relationship Id="rId40" Type="http://schemas.openxmlformats.org/officeDocument/2006/relationships/footer" Target="footer16.xml"/><Relationship Id="rId41" Type="http://schemas.openxmlformats.org/officeDocument/2006/relationships/footer" Target="footer17.xml"/><Relationship Id="rId42" Type="http://schemas.openxmlformats.org/officeDocument/2006/relationships/header" Target="header14.xml"/><Relationship Id="rId43" Type="http://schemas.openxmlformats.org/officeDocument/2006/relationships/footer" Target="footer18.xml"/><Relationship Id="rId44" Type="http://schemas.openxmlformats.org/officeDocument/2006/relationships/header" Target="header15.xml"/><Relationship Id="rId45" Type="http://schemas.openxmlformats.org/officeDocument/2006/relationships/footer" Target="footer19.xml"/><Relationship Id="rId46" Type="http://schemas.openxmlformats.org/officeDocument/2006/relationships/header" Target="header16.xml"/><Relationship Id="rId47" Type="http://schemas.openxmlformats.org/officeDocument/2006/relationships/footer" Target="footer20.xml"/><Relationship Id="rId48" Type="http://schemas.openxmlformats.org/officeDocument/2006/relationships/header" Target="header17.xml"/><Relationship Id="rId49" Type="http://schemas.openxmlformats.org/officeDocument/2006/relationships/footer" Target="footer21.xml"/><Relationship Id="rId50" Type="http://schemas.openxmlformats.org/officeDocument/2006/relationships/header" Target="header18.xml"/><Relationship Id="rId51" Type="http://schemas.openxmlformats.org/officeDocument/2006/relationships/footer" Target="footer22.xml"/><Relationship Id="rId52" Type="http://schemas.openxmlformats.org/officeDocument/2006/relationships/header" Target="header19.xml"/><Relationship Id="rId53" Type="http://schemas.openxmlformats.org/officeDocument/2006/relationships/footer" Target="footer23.xml"/><Relationship Id="rId54" Type="http://schemas.openxmlformats.org/officeDocument/2006/relationships/header" Target="header20.xml"/><Relationship Id="rId55" Type="http://schemas.openxmlformats.org/officeDocument/2006/relationships/footer" Target="footer24.xml"/><Relationship Id="rId56" Type="http://schemas.openxmlformats.org/officeDocument/2006/relationships/header" Target="header21.xml"/><Relationship Id="rId57" Type="http://schemas.openxmlformats.org/officeDocument/2006/relationships/footer" Target="footer25.xml"/><Relationship Id="rId58" Type="http://schemas.openxmlformats.org/officeDocument/2006/relationships/footer" Target="footer26.xml"/><Relationship Id="rId59" Type="http://schemas.openxmlformats.org/officeDocument/2006/relationships/header" Target="header22.xml"/><Relationship Id="rId60" Type="http://schemas.openxmlformats.org/officeDocument/2006/relationships/footer" Target="footer27.xml"/><Relationship Id="rId61" Type="http://schemas.openxmlformats.org/officeDocument/2006/relationships/header" Target="header23.xml"/><Relationship Id="rId62" Type="http://schemas.openxmlformats.org/officeDocument/2006/relationships/footer" Target="footer28.xml"/><Relationship Id="rId63" Type="http://schemas.openxmlformats.org/officeDocument/2006/relationships/header" Target="header24.xml"/><Relationship Id="rId64" Type="http://schemas.openxmlformats.org/officeDocument/2006/relationships/footer" Target="footer29.xml"/><Relationship Id="rId65" Type="http://schemas.openxmlformats.org/officeDocument/2006/relationships/header" Target="header25.xml"/><Relationship Id="rId66" Type="http://schemas.openxmlformats.org/officeDocument/2006/relationships/footer" Target="footer30.xml"/><Relationship Id="rId67" Type="http://schemas.openxmlformats.org/officeDocument/2006/relationships/header" Target="header26.xml"/><Relationship Id="rId68" Type="http://schemas.openxmlformats.org/officeDocument/2006/relationships/footer" Target="footer31.xml"/><Relationship Id="rId69" Type="http://schemas.openxmlformats.org/officeDocument/2006/relationships/footer" Target="footer32.xml"/><Relationship Id="rId70" Type="http://schemas.openxmlformats.org/officeDocument/2006/relationships/header" Target="header27.xml"/><Relationship Id="rId71" Type="http://schemas.openxmlformats.org/officeDocument/2006/relationships/footer" Target="footer33.xml"/><Relationship Id="rId72" Type="http://schemas.openxmlformats.org/officeDocument/2006/relationships/header" Target="header28.xml"/><Relationship Id="rId73" Type="http://schemas.openxmlformats.org/officeDocument/2006/relationships/footer" Target="footer34.xml"/><Relationship Id="rId74" Type="http://schemas.openxmlformats.org/officeDocument/2006/relationships/header" Target="header29.xml"/><Relationship Id="rId75" Type="http://schemas.openxmlformats.org/officeDocument/2006/relationships/footer" Target="footer35.xml"/><Relationship Id="rId76" Type="http://schemas.openxmlformats.org/officeDocument/2006/relationships/header" Target="header30.xml"/><Relationship Id="rId77" Type="http://schemas.openxmlformats.org/officeDocument/2006/relationships/footer" Target="footer36.xml"/><Relationship Id="rId78" Type="http://schemas.openxmlformats.org/officeDocument/2006/relationships/header" Target="header31.xml"/><Relationship Id="rId79" Type="http://schemas.openxmlformats.org/officeDocument/2006/relationships/footer" Target="footer37.xml"/><Relationship Id="rId80" Type="http://schemas.openxmlformats.org/officeDocument/2006/relationships/header" Target="header32.xml"/><Relationship Id="rId81" Type="http://schemas.openxmlformats.org/officeDocument/2006/relationships/footer" Target="footer38.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1" Type="http://schemas.openxmlformats.org/officeDocument/2006/relationships/image" Target="media/image2.jpeg"/></Relationships>

</file>

<file path=word/_rels/header14.xml.rels><?xml version="1.0" encoding="UTF-8" standalone="yes"?>
<Relationships xmlns="http://schemas.openxmlformats.org/package/2006/relationships"><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s>

</file>

<file path=word/_rels/header16.xml.rels><?xml version="1.0" encoding="UTF-8" standalone="yes"?>
<Relationships xmlns="http://schemas.openxmlformats.org/package/2006/relationships"><Relationship Id="rId1" Type="http://schemas.openxmlformats.org/officeDocument/2006/relationships/image" Target="media/image2.jpeg"/></Relationships>

</file>

<file path=word/_rels/header17.xml.rels><?xml version="1.0" encoding="UTF-8" standalone="yes"?>
<Relationships xmlns="http://schemas.openxmlformats.org/package/2006/relationships"><Relationship Id="rId1" Type="http://schemas.openxmlformats.org/officeDocument/2006/relationships/image" Target="media/image2.jpeg"/></Relationships>

</file>

<file path=word/_rels/header18.xml.rels><?xml version="1.0" encoding="UTF-8" standalone="yes"?>
<Relationships xmlns="http://schemas.openxmlformats.org/package/2006/relationships"><Relationship Id="rId1" Type="http://schemas.openxmlformats.org/officeDocument/2006/relationships/image" Target="media/image2.jpeg"/></Relationships>

</file>

<file path=word/_rels/header19.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20.xml.rels><?xml version="1.0" encoding="UTF-8" standalone="yes"?>
<Relationships xmlns="http://schemas.openxmlformats.org/package/2006/relationships"><Relationship Id="rId1" Type="http://schemas.openxmlformats.org/officeDocument/2006/relationships/image" Target="media/image2.jpeg"/></Relationships>

</file>

<file path=word/_rels/header22.xml.rels><?xml version="1.0" encoding="UTF-8" standalone="yes"?>
<Relationships xmlns="http://schemas.openxmlformats.org/package/2006/relationships"><Relationship Id="rId1" Type="http://schemas.openxmlformats.org/officeDocument/2006/relationships/image" Target="media/image2.jpeg"/></Relationships>

</file>

<file path=word/_rels/header23.xml.rels><?xml version="1.0" encoding="UTF-8" standalone="yes"?>
<Relationships xmlns="http://schemas.openxmlformats.org/package/2006/relationships"><Relationship Id="rId1" Type="http://schemas.openxmlformats.org/officeDocument/2006/relationships/image" Target="media/image2.jpeg"/></Relationships>

</file>

<file path=word/_rels/header24.xml.rels><?xml version="1.0" encoding="UTF-8" standalone="yes"?>
<Relationships xmlns="http://schemas.openxmlformats.org/package/2006/relationships"><Relationship Id="rId1" Type="http://schemas.openxmlformats.org/officeDocument/2006/relationships/image" Target="media/image2.jpeg"/></Relationships>

</file>

<file path=word/_rels/header25.xml.rels><?xml version="1.0" encoding="UTF-8" standalone="yes"?>
<Relationships xmlns="http://schemas.openxmlformats.org/package/2006/relationships"><Relationship Id="rId1" Type="http://schemas.openxmlformats.org/officeDocument/2006/relationships/image" Target="media/image2.jpeg"/></Relationships>

</file>

<file path=word/_rels/header27.xml.rels><?xml version="1.0" encoding="UTF-8" standalone="yes"?>
<Relationships xmlns="http://schemas.openxmlformats.org/package/2006/relationships"><Relationship Id="rId1" Type="http://schemas.openxmlformats.org/officeDocument/2006/relationships/image" Target="media/image2.jpeg"/></Relationships>

</file>

<file path=word/_rels/header28.xml.rels><?xml version="1.0" encoding="UTF-8" standalone="yes"?>
<Relationships xmlns="http://schemas.openxmlformats.org/package/2006/relationships"><Relationship Id="rId1" Type="http://schemas.openxmlformats.org/officeDocument/2006/relationships/image" Target="media/image2.jpeg"/></Relationships>

</file>

<file path=word/_rels/header29.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30.xml.rels><?xml version="1.0" encoding="UTF-8" standalone="yes"?>
<Relationships xmlns="http://schemas.openxmlformats.org/package/2006/relationships"><Relationship Id="rId1" Type="http://schemas.openxmlformats.org/officeDocument/2006/relationships/image" Target="media/image2.jpeg"/></Relationships>

</file>

<file path=word/_rels/header31.xml.rels><?xml version="1.0" encoding="UTF-8" standalone="yes"?>
<Relationships xmlns="http://schemas.openxmlformats.org/package/2006/relationships"><Relationship Id="rId1" Type="http://schemas.openxmlformats.org/officeDocument/2006/relationships/image" Target="media/image2.jpeg"/></Relationships>

</file>

<file path=word/_rels/header3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2020-05-04T23:23:47Z</dcterms:created>
  <dcterms:modified xsi:type="dcterms:W3CDTF">2020-05-04T23:23:47Z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2019-04-12T00:00:00Z</vt:filetime>
  </property>
  <property fmtid="{D5CDD505-2E9C-101B-9397-08002B2CF9AE}" pid="3" name="Creator">
    <vt:lpwstr>Microsoft® Office Word 2007</vt:lpwstr>
  </property>
  <property fmtid="{D5CDD505-2E9C-101B-9397-08002B2CF9AE}" pid="4" name="LastSaved">
    <vt:filetime>2020-05-04T00:00:00Z</vt:filetime>
  </property>
</Properties>
</file>