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8.xml" ContentType="application/vnd.openxmlformats-officedocument.wordprocessingml.header+xml"/>
  <Override PartName="/word/footer22.xml" ContentType="application/vnd.openxmlformats-officedocument.wordprocessingml.footer+xml"/>
  <Override PartName="/word/header19.xml" ContentType="application/vnd.openxmlformats-officedocument.wordprocessingml.header+xml"/>
  <Override PartName="/word/footer23.xml" ContentType="application/vnd.openxmlformats-officedocument.wordprocessingml.footer+xml"/>
  <Override PartName="/word/header20.xml" ContentType="application/vnd.openxmlformats-officedocument.wordprocessingml.header+xml"/>
  <Override PartName="/word/footer24.xml" ContentType="application/vnd.openxmlformats-officedocument.wordprocessingml.footer+xml"/>
  <Override PartName="/word/header21.xml" ContentType="application/vnd.openxmlformats-officedocument.wordprocessingml.header+xml"/>
  <Override PartName="/word/footer25.xml" ContentType="application/vnd.openxmlformats-officedocument.wordprocessingml.footer+xml"/>
  <Override PartName="/word/header22.xml" ContentType="application/vnd.openxmlformats-officedocument.wordprocessingml.header+xml"/>
  <Override PartName="/word/footer26.xml" ContentType="application/vnd.openxmlformats-officedocument.wordprocessingml.footer+xml"/>
  <Override PartName="/word/header23.xml" ContentType="application/vnd.openxmlformats-officedocument.wordprocessingml.header+xml"/>
  <Override PartName="/word/footer27.xml" ContentType="application/vnd.openxmlformats-officedocument.wordprocessingml.footer+xml"/>
  <Override PartName="/word/header24.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5.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6.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2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2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29.xml" ContentType="application/vnd.openxmlformats-officedocument.wordprocessingml.header+xml"/>
  <Override PartName="/word/footer39.xml" ContentType="application/vnd.openxmlformats-officedocument.wordprocessingml.footer+xml"/>
  <Override PartName="/word/header30.xml" ContentType="application/vnd.openxmlformats-officedocument.wordprocessingml.header+xml"/>
  <Override PartName="/word/footer4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spacing w:line="322" w:lineRule="exact" w:before="13"/>
        <w:ind w:left="118" w:right="0"/>
        <w:jc w:val="left"/>
      </w:pPr>
      <w:r>
        <w:rPr>
          <w:rFonts w:ascii="宋体" w:hAnsi="宋体" w:cs="宋体" w:eastAsia="宋体" w:hint="default"/>
        </w:rPr>
        <w:t>公司代码：</w:t>
      </w:r>
      <w:r>
        <w:rPr>
          <w:rFonts w:ascii="Times New Roman" w:hAnsi="Times New Roman" w:cs="Times New Roman" w:eastAsia="Times New Roman" w:hint="default"/>
        </w:rPr>
        <w:t>603636                                                                              </w:t>
      </w:r>
      <w:r>
        <w:rPr/>
      </w:r>
      <w:r>
        <w:rPr>
          <w:rFonts w:ascii="宋体" w:hAnsi="宋体" w:cs="宋体" w:eastAsia="宋体" w:hint="default"/>
        </w:rPr>
        <w:t>公司简称：南威软件</w:t>
      </w:r>
      <w:r>
        <w:rPr/>
        <w:t> </w:t>
      </w:r>
    </w:p>
    <w:p>
      <w:pPr>
        <w:pStyle w:val="Heading3"/>
        <w:spacing w:line="303" w:lineRule="exact"/>
        <w:ind w:left="118" w:right="0"/>
        <w:jc w:val="left"/>
      </w:pPr>
      <w:r>
        <w:rPr/>
        <w:t> </w:t>
      </w:r>
    </w:p>
    <w:p>
      <w:pPr>
        <w:pStyle w:val="Heading3"/>
        <w:spacing w:line="313" w:lineRule="exact"/>
        <w:ind w:left="118" w:right="0"/>
        <w:jc w:val="left"/>
      </w:pPr>
      <w:r>
        <w:rPr/>
        <w:t> </w:t>
      </w:r>
    </w:p>
    <w:p>
      <w:pPr>
        <w:pStyle w:val="BodyText"/>
        <w:spacing w:line="273" w:lineRule="exact" w:before="4"/>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Heading4"/>
        <w:spacing w:line="253" w:lineRule="exact" w:before="0"/>
        <w:ind w:left="118" w:right="0"/>
        <w:jc w:val="left"/>
        <w:rPr>
          <w:rFonts w:ascii="宋体" w:hAnsi="宋体" w:cs="宋体" w:eastAsia="宋体" w:hint="default"/>
          <w:b w:val="0"/>
          <w:bCs w:val="0"/>
        </w:rPr>
      </w:pPr>
      <w:r>
        <w:rPr>
          <w:rFonts w:ascii="宋体"/>
          <w:w w:val="99"/>
        </w:rPr>
        <w:t> </w:t>
      </w:r>
      <w:r>
        <w:rPr>
          <w:rFonts w:ascii="宋体"/>
          <w:b w:val="0"/>
        </w:rPr>
      </w:r>
    </w:p>
    <w:p>
      <w:pPr>
        <w:spacing w:line="555" w:lineRule="exact" w:before="0"/>
        <w:ind w:left="118" w:right="0" w:firstLine="0"/>
        <w:jc w:val="left"/>
        <w:rPr>
          <w:rFonts w:ascii="宋体" w:hAnsi="宋体" w:cs="宋体" w:eastAsia="宋体" w:hint="default"/>
          <w:sz w:val="44"/>
          <w:szCs w:val="44"/>
        </w:rPr>
      </w:pPr>
      <w:r>
        <w:rPr>
          <w:rFonts w:ascii="宋体"/>
          <w:b/>
          <w:w w:val="99"/>
          <w:sz w:val="44"/>
        </w:rPr>
        <w:t> </w:t>
      </w:r>
      <w:r>
        <w:rPr>
          <w:rFonts w:ascii="宋体"/>
          <w:sz w:val="44"/>
        </w:rPr>
      </w:r>
    </w:p>
    <w:p>
      <w:pPr>
        <w:spacing w:line="615" w:lineRule="exact" w:before="0"/>
        <w:ind w:left="2115" w:right="2151" w:firstLine="0"/>
        <w:jc w:val="center"/>
        <w:rPr>
          <w:rFonts w:ascii="黑体" w:hAnsi="黑体" w:cs="黑体" w:eastAsia="黑体" w:hint="default"/>
          <w:sz w:val="48"/>
          <w:szCs w:val="48"/>
        </w:rPr>
      </w:pPr>
      <w:r>
        <w:rPr>
          <w:rFonts w:ascii="黑体" w:hAnsi="黑体" w:cs="黑体" w:eastAsia="黑体" w:hint="default"/>
          <w:sz w:val="48"/>
          <w:szCs w:val="48"/>
        </w:rPr>
        <w:t>南威软件股份有限公司</w:t>
      </w:r>
    </w:p>
    <w:p>
      <w:pPr>
        <w:spacing w:line="661" w:lineRule="exact" w:before="0"/>
        <w:ind w:left="2115" w:right="2150" w:firstLine="0"/>
        <w:jc w:val="center"/>
        <w:rPr>
          <w:rFonts w:ascii="黑体" w:hAnsi="黑体" w:cs="黑体" w:eastAsia="黑体" w:hint="default"/>
          <w:sz w:val="48"/>
          <w:szCs w:val="48"/>
        </w:rPr>
      </w:pPr>
      <w:r>
        <w:rPr>
          <w:rFonts w:ascii="Times New Roman" w:hAnsi="Times New Roman" w:cs="Times New Roman" w:eastAsia="Times New Roman" w:hint="default"/>
          <w:sz w:val="48"/>
          <w:szCs w:val="48"/>
        </w:rPr>
        <w:t>2019 </w:t>
      </w:r>
      <w:r>
        <w:rPr>
          <w:rFonts w:ascii="黑体" w:hAnsi="黑体" w:cs="黑体" w:eastAsia="黑体" w:hint="default"/>
          <w:sz w:val="48"/>
          <w:szCs w:val="48"/>
        </w:rPr>
        <w:t>年年度报告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4"/>
          <w:szCs w:val="14"/>
        </w:rPr>
      </w:pPr>
    </w:p>
    <w:p>
      <w:pPr>
        <w:spacing w:line="770" w:lineRule="exact"/>
        <w:ind w:left="1983" w:right="0" w:firstLine="0"/>
        <w:rPr>
          <w:rFonts w:ascii="黑体" w:hAnsi="黑体" w:cs="黑体" w:eastAsia="黑体" w:hint="default"/>
          <w:sz w:val="20"/>
          <w:szCs w:val="20"/>
        </w:rPr>
      </w:pPr>
      <w:r>
        <w:rPr>
          <w:rFonts w:ascii="黑体" w:hAnsi="黑体" w:cs="黑体" w:eastAsia="黑体" w:hint="default"/>
          <w:position w:val="-14"/>
          <w:sz w:val="20"/>
          <w:szCs w:val="20"/>
        </w:rPr>
        <w:drawing>
          <wp:inline distT="0" distB="0" distL="0" distR="0">
            <wp:extent cx="3209455" cy="48920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09455" cy="489203"/>
                    </a:xfrm>
                    <a:prstGeom prst="rect">
                      <a:avLst/>
                    </a:prstGeom>
                  </pic:spPr>
                </pic:pic>
              </a:graphicData>
            </a:graphic>
          </wp:inline>
        </w:drawing>
      </w:r>
      <w:r>
        <w:rPr>
          <w:rFonts w:ascii="黑体" w:hAnsi="黑体" w:cs="黑体" w:eastAsia="黑体" w:hint="default"/>
          <w:position w:val="-14"/>
          <w:sz w:val="20"/>
          <w:szCs w:val="20"/>
        </w:rPr>
      </w:r>
    </w:p>
    <w:p>
      <w:pPr>
        <w:spacing w:line="240" w:lineRule="auto" w:before="0"/>
        <w:rPr>
          <w:rFonts w:ascii="黑体" w:hAnsi="黑体" w:cs="黑体" w:eastAsia="黑体" w:hint="default"/>
          <w:sz w:val="50"/>
          <w:szCs w:val="50"/>
        </w:rPr>
      </w:pPr>
    </w:p>
    <w:p>
      <w:pPr>
        <w:spacing w:line="240" w:lineRule="auto" w:before="0"/>
        <w:rPr>
          <w:rFonts w:ascii="黑体" w:hAnsi="黑体" w:cs="黑体" w:eastAsia="黑体" w:hint="default"/>
          <w:sz w:val="50"/>
          <w:szCs w:val="50"/>
        </w:rPr>
      </w:pPr>
    </w:p>
    <w:p>
      <w:pPr>
        <w:spacing w:line="240" w:lineRule="auto" w:before="0"/>
        <w:rPr>
          <w:rFonts w:ascii="黑体" w:hAnsi="黑体" w:cs="黑体" w:eastAsia="黑体" w:hint="default"/>
          <w:sz w:val="50"/>
          <w:szCs w:val="50"/>
        </w:rPr>
      </w:pPr>
    </w:p>
    <w:p>
      <w:pPr>
        <w:spacing w:line="240" w:lineRule="auto" w:before="0"/>
        <w:rPr>
          <w:rFonts w:ascii="黑体" w:hAnsi="黑体" w:cs="黑体" w:eastAsia="黑体" w:hint="default"/>
          <w:sz w:val="50"/>
          <w:szCs w:val="50"/>
        </w:rPr>
      </w:pPr>
    </w:p>
    <w:p>
      <w:pPr>
        <w:spacing w:line="240" w:lineRule="auto" w:before="0"/>
        <w:rPr>
          <w:rFonts w:ascii="黑体" w:hAnsi="黑体" w:cs="黑体" w:eastAsia="黑体" w:hint="default"/>
          <w:sz w:val="50"/>
          <w:szCs w:val="50"/>
        </w:rPr>
      </w:pPr>
    </w:p>
    <w:p>
      <w:pPr>
        <w:spacing w:line="240" w:lineRule="auto" w:before="0"/>
        <w:rPr>
          <w:rFonts w:ascii="黑体" w:hAnsi="黑体" w:cs="黑体" w:eastAsia="黑体" w:hint="default"/>
          <w:sz w:val="50"/>
          <w:szCs w:val="50"/>
        </w:rPr>
      </w:pPr>
    </w:p>
    <w:p>
      <w:pPr>
        <w:spacing w:line="240" w:lineRule="auto" w:before="0"/>
        <w:rPr>
          <w:rFonts w:ascii="黑体" w:hAnsi="黑体" w:cs="黑体" w:eastAsia="黑体" w:hint="default"/>
          <w:sz w:val="50"/>
          <w:szCs w:val="50"/>
        </w:rPr>
      </w:pPr>
    </w:p>
    <w:p>
      <w:pPr>
        <w:spacing w:line="240" w:lineRule="auto" w:before="0"/>
        <w:rPr>
          <w:rFonts w:ascii="黑体" w:hAnsi="黑体" w:cs="黑体" w:eastAsia="黑体" w:hint="default"/>
          <w:sz w:val="50"/>
          <w:szCs w:val="50"/>
        </w:rPr>
      </w:pPr>
    </w:p>
    <w:p>
      <w:pPr>
        <w:spacing w:line="240" w:lineRule="auto" w:before="1"/>
        <w:rPr>
          <w:rFonts w:ascii="黑体" w:hAnsi="黑体" w:cs="黑体" w:eastAsia="黑体" w:hint="default"/>
          <w:sz w:val="47"/>
          <w:szCs w:val="47"/>
        </w:rPr>
      </w:pPr>
    </w:p>
    <w:p>
      <w:pPr>
        <w:spacing w:before="0"/>
        <w:ind w:left="2115" w:right="2049" w:firstLine="0"/>
        <w:jc w:val="center"/>
        <w:rPr>
          <w:rFonts w:ascii="宋体" w:hAnsi="宋体" w:cs="宋体" w:eastAsia="宋体" w:hint="default"/>
          <w:sz w:val="21"/>
          <w:szCs w:val="21"/>
        </w:rPr>
      </w:pPr>
      <w:r>
        <w:rPr>
          <w:rFonts w:ascii="Times New Roman" w:hAnsi="Times New Roman" w:cs="Times New Roman" w:eastAsia="Times New Roman" w:hint="default"/>
          <w:sz w:val="40"/>
          <w:szCs w:val="40"/>
        </w:rPr>
        <w:t>2020</w:t>
      </w:r>
      <w:r>
        <w:rPr>
          <w:rFonts w:ascii="Times New Roman" w:hAnsi="Times New Roman" w:cs="Times New Roman" w:eastAsia="Times New Roman" w:hint="default"/>
          <w:spacing w:val="-1"/>
          <w:sz w:val="40"/>
          <w:szCs w:val="40"/>
        </w:rPr>
        <w:t> </w:t>
      </w:r>
      <w:r>
        <w:rPr>
          <w:rFonts w:ascii="黑体" w:hAnsi="黑体" w:cs="黑体" w:eastAsia="黑体" w:hint="default"/>
          <w:sz w:val="40"/>
          <w:szCs w:val="40"/>
        </w:rPr>
        <w:t>年</w:t>
      </w:r>
      <w:r>
        <w:rPr>
          <w:rFonts w:ascii="黑体" w:hAnsi="黑体" w:cs="黑体" w:eastAsia="黑体" w:hint="default"/>
          <w:spacing w:val="-100"/>
          <w:sz w:val="40"/>
          <w:szCs w:val="40"/>
        </w:rPr>
        <w:t> </w:t>
      </w:r>
      <w:r>
        <w:rPr>
          <w:rFonts w:ascii="Times New Roman" w:hAnsi="Times New Roman" w:cs="Times New Roman" w:eastAsia="Times New Roman" w:hint="default"/>
          <w:sz w:val="40"/>
          <w:szCs w:val="40"/>
        </w:rPr>
        <w:t>4 </w:t>
      </w:r>
      <w:r>
        <w:rPr>
          <w:rFonts w:ascii="黑体" w:hAnsi="黑体" w:cs="黑体" w:eastAsia="黑体" w:hint="default"/>
          <w:sz w:val="40"/>
          <w:szCs w:val="40"/>
        </w:rPr>
        <w:t>月</w:t>
      </w:r>
      <w:r>
        <w:rPr>
          <w:rFonts w:ascii="黑体" w:hAnsi="黑体" w:cs="黑体" w:eastAsia="黑体" w:hint="default"/>
          <w:spacing w:val="-102"/>
          <w:sz w:val="40"/>
          <w:szCs w:val="40"/>
        </w:rPr>
        <w:t> </w:t>
      </w:r>
      <w:r>
        <w:rPr>
          <w:rFonts w:ascii="Times New Roman" w:hAnsi="Times New Roman" w:cs="Times New Roman" w:eastAsia="Times New Roman" w:hint="default"/>
          <w:sz w:val="40"/>
          <w:szCs w:val="40"/>
        </w:rPr>
        <w:t>3</w:t>
      </w:r>
      <w:r>
        <w:rPr>
          <w:rFonts w:ascii="Times New Roman" w:hAnsi="Times New Roman" w:cs="Times New Roman" w:eastAsia="Times New Roman" w:hint="default"/>
          <w:spacing w:val="-1"/>
          <w:sz w:val="40"/>
          <w:szCs w:val="40"/>
        </w:rPr>
        <w:t> </w:t>
      </w:r>
      <w:r>
        <w:rPr>
          <w:rFonts w:ascii="黑体" w:hAnsi="黑体" w:cs="黑体" w:eastAsia="黑体" w:hint="default"/>
          <w:sz w:val="40"/>
          <w:szCs w:val="40"/>
        </w:rPr>
        <w:t>日</w:t>
      </w:r>
      <w:r>
        <w:rPr>
          <w:rFonts w:ascii="宋体" w:hAnsi="宋体" w:cs="宋体" w:eastAsia="宋体" w:hint="default"/>
          <w:w w:val="100"/>
          <w:sz w:val="21"/>
          <w:szCs w:val="21"/>
        </w:rPr>
        <w:t> </w:t>
      </w:r>
    </w:p>
    <w:p>
      <w:pPr>
        <w:spacing w:after="0"/>
        <w:jc w:val="center"/>
        <w:rPr>
          <w:rFonts w:ascii="宋体" w:hAnsi="宋体" w:cs="宋体" w:eastAsia="宋体" w:hint="default"/>
          <w:sz w:val="21"/>
          <w:szCs w:val="21"/>
        </w:rPr>
        <w:sectPr>
          <w:type w:val="continuous"/>
          <w:pgSz w:w="11910" w:h="16840"/>
          <w:pgMar w:top="1500" w:bottom="280" w:left="1680" w:right="1120"/>
        </w:sectPr>
      </w:pPr>
    </w:p>
    <w:p>
      <w:pPr>
        <w:spacing w:line="240" w:lineRule="auto" w:before="10"/>
        <w:rPr>
          <w:rFonts w:ascii="宋体" w:hAnsi="宋体" w:cs="宋体" w:eastAsia="宋体" w:hint="default"/>
          <w:sz w:val="27"/>
          <w:szCs w:val="27"/>
        </w:rPr>
      </w:pPr>
    </w:p>
    <w:p>
      <w:pPr>
        <w:spacing w:line="537" w:lineRule="exact" w:before="0"/>
        <w:ind w:left="2115" w:right="2113" w:firstLine="0"/>
        <w:jc w:val="center"/>
        <w:rPr>
          <w:rFonts w:ascii="黑体" w:hAnsi="黑体" w:cs="黑体" w:eastAsia="黑体" w:hint="default"/>
          <w:sz w:val="44"/>
          <w:szCs w:val="44"/>
        </w:rPr>
      </w:pPr>
      <w:r>
        <w:rPr>
          <w:rFonts w:ascii="黑体" w:hAnsi="黑体" w:cs="黑体" w:eastAsia="黑体" w:hint="default"/>
          <w:b/>
          <w:bCs/>
          <w:color w:val="FF0000"/>
          <w:sz w:val="44"/>
          <w:szCs w:val="44"/>
        </w:rPr>
        <w:t>南威软件股份有限公司</w:t>
      </w:r>
      <w:r>
        <w:rPr>
          <w:rFonts w:ascii="黑体" w:hAnsi="黑体" w:cs="黑体" w:eastAsia="黑体" w:hint="default"/>
          <w:sz w:val="44"/>
          <w:szCs w:val="44"/>
        </w:rPr>
      </w:r>
    </w:p>
    <w:p>
      <w:pPr>
        <w:spacing w:line="607" w:lineRule="exact" w:before="0"/>
        <w:ind w:left="2115" w:right="2115" w:firstLine="0"/>
        <w:jc w:val="center"/>
        <w:rPr>
          <w:rFonts w:ascii="黑体" w:hAnsi="黑体" w:cs="黑体" w:eastAsia="黑体" w:hint="default"/>
          <w:sz w:val="44"/>
          <w:szCs w:val="44"/>
        </w:rPr>
      </w:pPr>
      <w:r>
        <w:rPr>
          <w:rFonts w:ascii="Times New Roman" w:hAnsi="Times New Roman" w:cs="Times New Roman" w:eastAsia="Times New Roman" w:hint="default"/>
          <w:b/>
          <w:bCs/>
          <w:color w:val="FF0000"/>
          <w:sz w:val="44"/>
          <w:szCs w:val="44"/>
        </w:rPr>
        <w:t>2019</w:t>
      </w:r>
      <w:r>
        <w:rPr>
          <w:rFonts w:ascii="Times New Roman" w:hAnsi="Times New Roman" w:cs="Times New Roman" w:eastAsia="Times New Roman" w:hint="default"/>
          <w:b/>
          <w:bCs/>
          <w:color w:val="FF0000"/>
          <w:spacing w:val="-3"/>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4"/>
        <w:ind w:left="2115" w:right="2115"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before="0"/>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Heading4"/>
        <w:spacing w:line="240" w:lineRule="auto" w:before="32"/>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Heading4"/>
        <w:spacing w:line="240" w:lineRule="auto" w:before="136"/>
        <w:ind w:left="138" w:right="0"/>
        <w:jc w:val="left"/>
        <w:rPr>
          <w:rFonts w:ascii="宋体" w:hAnsi="宋体" w:cs="宋体" w:eastAsia="宋体" w:hint="default"/>
          <w:b w:val="0"/>
          <w:bCs w:val="0"/>
        </w:rPr>
      </w:pPr>
      <w:r>
        <w:rPr/>
        <w:t>三、</w:t>
      </w:r>
      <w:r>
        <w:rPr>
          <w:spacing w:val="-15"/>
        </w:rPr>
        <w:t> </w:t>
      </w:r>
      <w:r>
        <w:rPr>
          <w:rFonts w:ascii="宋体" w:hAnsi="宋体" w:cs="宋体" w:eastAsia="宋体" w:hint="default"/>
          <w:spacing w:val="-15"/>
        </w:rPr>
      </w:r>
      <w:r>
        <w:rPr/>
        <w:t>大华会计师事务所（特殊普通合伙）为本公司出具了标准无保留意见的审计报告。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Heading4"/>
        <w:spacing w:line="355" w:lineRule="auto" w:before="133"/>
        <w:ind w:left="505" w:right="0" w:hanging="368"/>
        <w:jc w:val="left"/>
        <w:rPr>
          <w:rFonts w:ascii="宋体" w:hAnsi="宋体" w:cs="宋体" w:eastAsia="宋体" w:hint="default"/>
          <w:b w:val="0"/>
          <w:bCs w:val="0"/>
        </w:rPr>
      </w:pPr>
      <w:r>
        <w:rPr/>
        <w:t>四、</w:t>
      </w:r>
      <w:r>
        <w:rPr>
          <w:spacing w:val="-78"/>
        </w:rPr>
        <w:t> </w:t>
      </w:r>
      <w:r>
        <w:rPr>
          <w:rFonts w:ascii="宋体" w:hAnsi="宋体" w:cs="宋体" w:eastAsia="宋体" w:hint="default"/>
          <w:spacing w:val="-78"/>
        </w:rPr>
      </w:r>
      <w:r>
        <w:rPr>
          <w:spacing w:val="-7"/>
        </w:rPr>
        <w:t>公司负责人吴志雄、主管会计工作负责人陈平及会计机构负责人（会计主管人员）陈平声明：</w:t>
      </w:r>
      <w:r>
        <w:rPr>
          <w:spacing w:val="-85"/>
        </w:rPr>
        <w:t> </w:t>
      </w:r>
      <w:r>
        <w:rPr>
          <w:spacing w:val="-85"/>
        </w:rPr>
      </w:r>
      <w:r>
        <w:rPr/>
        <w:t>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32"/>
        <w:ind w:left="138" w:right="0"/>
        <w:jc w:val="left"/>
        <w:rPr>
          <w:rFonts w:ascii="宋体" w:hAnsi="宋体" w:cs="宋体" w:eastAsia="宋体" w:hint="default"/>
          <w:b w:val="0"/>
          <w:bCs w:val="0"/>
        </w:rPr>
      </w:pPr>
      <w:r>
        <w:rPr/>
        <w:t>五、</w:t>
      </w:r>
      <w:r>
        <w:rPr>
          <w:spacing w:val="-44"/>
        </w:rPr>
        <w:t> </w:t>
      </w:r>
      <w:r>
        <w:rPr>
          <w:rFonts w:ascii="宋体" w:hAnsi="宋体" w:cs="宋体" w:eastAsia="宋体" w:hint="default"/>
          <w:spacing w:val="-44"/>
        </w:rPr>
      </w:r>
      <w:r>
        <w:rPr/>
        <w:t>经董事会审议的报告期利润分配预案或公积金转增股本预案</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6"/>
          <w:szCs w:val="16"/>
        </w:rPr>
      </w:pPr>
    </w:p>
    <w:p>
      <w:pPr>
        <w:pStyle w:val="BodyText"/>
        <w:spacing w:line="240" w:lineRule="auto"/>
        <w:ind w:left="558" w:right="0"/>
        <w:jc w:val="left"/>
      </w:pPr>
      <w:r>
        <w:rPr>
          <w:spacing w:val="-5"/>
        </w:rPr>
        <w:t>经大华会计师事务所（特殊普通合伙）审计，截至</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4"/>
        </w:rPr>
        <w:t>日，公司期末可供分配利</w:t>
      </w:r>
    </w:p>
    <w:p>
      <w:pPr>
        <w:pStyle w:val="BodyText"/>
        <w:spacing w:line="304" w:lineRule="auto" w:before="69"/>
        <w:ind w:left="138" w:right="127"/>
        <w:jc w:val="both"/>
      </w:pPr>
      <w:r>
        <w:rPr/>
        <w:t>润</w:t>
      </w:r>
      <w:r>
        <w:rPr>
          <w:spacing w:val="-47"/>
        </w:rPr>
        <w:t> </w:t>
      </w:r>
      <w:r>
        <w:rPr>
          <w:rFonts w:ascii="Times New Roman" w:hAnsi="Times New Roman" w:cs="Times New Roman" w:eastAsia="Times New Roman" w:hint="default"/>
        </w:rPr>
        <w:t>605,041,071.29</w:t>
      </w:r>
      <w:r>
        <w:rPr>
          <w:rFonts w:ascii="Times New Roman" w:hAnsi="Times New Roman" w:cs="Times New Roman" w:eastAsia="Times New Roman" w:hint="default"/>
          <w:spacing w:val="6"/>
        </w:rPr>
        <w:t> </w:t>
      </w:r>
      <w:r>
        <w:rPr>
          <w:spacing w:val="-3"/>
        </w:rPr>
        <w:t>元。经公司第三届董事会第四十六次会议审议通过，公司</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年年度拟以实施</w:t>
      </w:r>
      <w:r>
        <w:rPr>
          <w:spacing w:val="-103"/>
        </w:rPr>
        <w:t> </w:t>
      </w:r>
      <w:r>
        <w:rPr>
          <w:spacing w:val="-103"/>
        </w:rPr>
      </w:r>
      <w:r>
        <w:rPr>
          <w:spacing w:val="-1"/>
        </w:rPr>
        <w:t>权益分派股权登记日登记的总股本为基数（不包括公司回购专户的股份数量及拟回购注销的限制</w:t>
      </w:r>
      <w:r>
        <w:rPr>
          <w:spacing w:val="-55"/>
        </w:rPr>
        <w:t> </w:t>
      </w:r>
      <w:r>
        <w:rPr>
          <w:spacing w:val="-55"/>
        </w:rPr>
      </w:r>
      <w:r>
        <w:rPr/>
        <w:t>性股票）分配利润。本次利润分配方案如下：</w:t>
      </w:r>
    </w:p>
    <w:p>
      <w:pPr>
        <w:pStyle w:val="BodyText"/>
        <w:spacing w:line="240" w:lineRule="auto" w:before="28"/>
        <w:ind w:left="558" w:right="0"/>
        <w:jc w:val="left"/>
      </w:pPr>
      <w:r>
        <w:rPr/>
        <w:t>公司拟向全体股东每</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股派发现金红利</w:t>
      </w:r>
      <w:r>
        <w:rPr>
          <w:spacing w:val="-41"/>
        </w:rPr>
        <w:t> </w:t>
      </w:r>
      <w:r>
        <w:rPr>
          <w:rFonts w:ascii="Times New Roman" w:hAnsi="Times New Roman" w:cs="Times New Roman" w:eastAsia="Times New Roman" w:hint="default"/>
        </w:rPr>
        <w:t>1.60</w:t>
      </w:r>
      <w:r>
        <w:rPr>
          <w:rFonts w:ascii="Times New Roman" w:hAnsi="Times New Roman" w:cs="Times New Roman" w:eastAsia="Times New Roman" w:hint="default"/>
          <w:spacing w:val="12"/>
        </w:rPr>
        <w:t> </w:t>
      </w:r>
      <w:r>
        <w:rPr/>
        <w:t>元（含税），不送红股，也不进行转增股本。</w:t>
      </w:r>
    </w:p>
    <w:p>
      <w:pPr>
        <w:pStyle w:val="BodyText"/>
        <w:spacing w:line="240" w:lineRule="auto" w:before="69"/>
        <w:ind w:left="138" w:right="0"/>
        <w:jc w:val="left"/>
      </w:pPr>
      <w:r>
        <w:rPr/>
        <w:t>截至</w:t>
      </w:r>
      <w:r>
        <w:rPr>
          <w:spacing w:val="-50"/>
        </w:rPr>
        <w:t> </w:t>
      </w:r>
      <w:r>
        <w:rPr>
          <w:rFonts w:ascii="Times New Roman" w:hAnsi="Times New Roman" w:cs="Times New Roman" w:eastAsia="Times New Roman" w:hint="default"/>
        </w:rPr>
        <w:t>2020 </w:t>
      </w:r>
      <w:r>
        <w:rPr/>
        <w:t>年</w:t>
      </w:r>
      <w:r>
        <w:rPr>
          <w:spacing w:val="-50"/>
        </w:rPr>
        <w:t> </w:t>
      </w:r>
      <w:r>
        <w:rPr>
          <w:rFonts w:ascii="Times New Roman" w:hAnsi="Times New Roman" w:cs="Times New Roman" w:eastAsia="Times New Roman" w:hint="default"/>
        </w:rPr>
        <w:t>4 </w:t>
      </w:r>
      <w:r>
        <w:rPr/>
        <w:t>月</w:t>
      </w:r>
      <w:r>
        <w:rPr>
          <w:spacing w:val="-50"/>
        </w:rPr>
        <w:t> </w:t>
      </w:r>
      <w:r>
        <w:rPr>
          <w:rFonts w:ascii="Times New Roman" w:hAnsi="Times New Roman" w:cs="Times New Roman" w:eastAsia="Times New Roman" w:hint="default"/>
        </w:rPr>
        <w:t>2 </w:t>
      </w:r>
      <w:r>
        <w:rPr>
          <w:spacing w:val="-8"/>
        </w:rPr>
        <w:t>日，公司总股本</w:t>
      </w:r>
      <w:r>
        <w:rPr>
          <w:spacing w:val="-49"/>
        </w:rPr>
        <w:t> </w:t>
      </w:r>
      <w:r>
        <w:rPr>
          <w:rFonts w:ascii="Times New Roman" w:hAnsi="Times New Roman" w:cs="Times New Roman" w:eastAsia="Times New Roman" w:hint="default"/>
        </w:rPr>
        <w:t>590,808,578</w:t>
      </w:r>
      <w:r>
        <w:rPr>
          <w:rFonts w:ascii="Times New Roman" w:hAnsi="Times New Roman" w:cs="Times New Roman" w:eastAsia="Times New Roman" w:hint="default"/>
          <w:spacing w:val="3"/>
        </w:rPr>
        <w:t> </w:t>
      </w:r>
      <w:r>
        <w:rPr>
          <w:spacing w:val="-6"/>
        </w:rPr>
        <w:t>股，扣除公司回购专户中的</w:t>
      </w:r>
      <w:r>
        <w:rPr>
          <w:spacing w:val="-50"/>
        </w:rPr>
        <w:t> </w:t>
      </w:r>
      <w:r>
        <w:rPr>
          <w:rFonts w:ascii="Times New Roman" w:hAnsi="Times New Roman" w:cs="Times New Roman" w:eastAsia="Times New Roman" w:hint="default"/>
        </w:rPr>
        <w:t>5,070,208</w:t>
      </w:r>
      <w:r>
        <w:rPr>
          <w:rFonts w:ascii="Times New Roman" w:hAnsi="Times New Roman" w:cs="Times New Roman" w:eastAsia="Times New Roman" w:hint="default"/>
          <w:spacing w:val="1"/>
        </w:rPr>
        <w:t> </w:t>
      </w:r>
      <w:r>
        <w:rPr/>
        <w:t>股及拟回购</w:t>
      </w:r>
    </w:p>
    <w:p>
      <w:pPr>
        <w:pStyle w:val="BodyText"/>
        <w:spacing w:line="240" w:lineRule="auto" w:before="69"/>
        <w:ind w:left="138" w:right="0"/>
        <w:jc w:val="left"/>
      </w:pPr>
      <w:r>
        <w:rPr/>
        <w:t>注销的限制性股票</w:t>
      </w:r>
      <w:r>
        <w:rPr>
          <w:spacing w:val="-52"/>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1"/>
        </w:rPr>
        <w:t> </w:t>
      </w:r>
      <w:r>
        <w:rPr/>
        <w:t>股，以</w:t>
      </w:r>
      <w:r>
        <w:rPr>
          <w:spacing w:val="-51"/>
        </w:rPr>
        <w:t> </w:t>
      </w:r>
      <w:r>
        <w:rPr>
          <w:rFonts w:ascii="Times New Roman" w:hAnsi="Times New Roman" w:cs="Times New Roman" w:eastAsia="Times New Roman" w:hint="default"/>
        </w:rPr>
        <w:t>585,723,370</w:t>
      </w:r>
      <w:r>
        <w:rPr>
          <w:rFonts w:ascii="Times New Roman" w:hAnsi="Times New Roman" w:cs="Times New Roman" w:eastAsia="Times New Roman" w:hint="default"/>
          <w:spacing w:val="-1"/>
        </w:rPr>
        <w:t> </w:t>
      </w:r>
      <w:r>
        <w:rPr/>
        <w:t>股为基数计算合计拟派发现金红利</w:t>
      </w:r>
      <w:r>
        <w:rPr>
          <w:spacing w:val="-51"/>
        </w:rPr>
        <w:t> </w:t>
      </w:r>
      <w:r>
        <w:rPr>
          <w:rFonts w:ascii="Times New Roman" w:hAnsi="Times New Roman" w:cs="Times New Roman" w:eastAsia="Times New Roman" w:hint="default"/>
        </w:rPr>
        <w:t>93,715,739.20</w:t>
      </w:r>
      <w:r>
        <w:rPr>
          <w:rFonts w:ascii="Times New Roman" w:hAnsi="Times New Roman" w:cs="Times New Roman" w:eastAsia="Times New Roman" w:hint="default"/>
          <w:spacing w:val="1"/>
        </w:rPr>
        <w:t> </w:t>
      </w:r>
      <w:r>
        <w:rPr/>
        <w:t>元</w:t>
      </w:r>
    </w:p>
    <w:p>
      <w:pPr>
        <w:pStyle w:val="BodyText"/>
        <w:spacing w:line="240" w:lineRule="auto" w:before="69"/>
        <w:ind w:left="138" w:right="0"/>
        <w:jc w:val="left"/>
      </w:pPr>
      <w:r>
        <w:rPr/>
        <w:t>（含税）。</w:t>
      </w:r>
    </w:p>
    <w:p>
      <w:pPr>
        <w:pStyle w:val="Heading4"/>
        <w:spacing w:line="240" w:lineRule="auto" w:before="8"/>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304" w:lineRule="auto" w:before="133"/>
        <w:ind w:left="618" w:right="0" w:hanging="48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本报告中所涉及的未来计划、发展战略等前瞻性陈述，不构成公司对投资者的承诺，敬请投</w:t>
      </w:r>
    </w:p>
    <w:p>
      <w:pPr>
        <w:pStyle w:val="BodyText"/>
        <w:spacing w:line="240" w:lineRule="auto" w:before="28"/>
        <w:ind w:left="138" w:right="0"/>
        <w:jc w:val="left"/>
        <w:rPr>
          <w:rFonts w:ascii="宋体" w:hAnsi="宋体" w:cs="宋体" w:eastAsia="宋体" w:hint="default"/>
        </w:rPr>
      </w:pPr>
      <w:r>
        <w:rPr/>
        <w:t>资者注意投资风险。</w:t>
      </w:r>
      <w:r>
        <w:rPr>
          <w:rFonts w:ascii="宋体" w:hAnsi="宋体" w:cs="宋体" w:eastAsia="宋体" w:hint="default"/>
        </w:rPr>
        <w:t> </w:t>
      </w:r>
    </w:p>
    <w:p>
      <w:pPr>
        <w:pStyle w:val="Heading4"/>
        <w:spacing w:line="240" w:lineRule="auto" w:before="8"/>
        <w:ind w:left="138" w:right="0"/>
        <w:jc w:val="left"/>
        <w:rPr>
          <w:b w:val="0"/>
          <w:bCs w:val="0"/>
        </w:rPr>
      </w:pPr>
      <w:r>
        <w:rPr>
          <w:spacing w:val="-1"/>
        </w:rPr>
        <w:t>七、</w:t>
      </w:r>
      <w:r>
        <w:rPr>
          <w:spacing w:val="-72"/>
        </w:rPr>
        <w:t> </w:t>
      </w:r>
      <w:r>
        <w:rPr>
          <w:rFonts w:ascii="宋体" w:hAnsi="宋体" w:cs="宋体" w:eastAsia="宋体" w:hint="default"/>
          <w:spacing w:val="-72"/>
        </w:rPr>
      </w:r>
      <w:r>
        <w:rPr>
          <w:spacing w:val="-1"/>
        </w:rPr>
        <w:t>是否存在被控股股东及其关联方非经营性占用资金情况</w:t>
      </w:r>
      <w:r>
        <w:rPr>
          <w:b w:val="0"/>
          <w:bCs w:val="0"/>
          <w:spacing w:val="-1"/>
        </w:rPr>
      </w:r>
    </w:p>
    <w:p>
      <w:pPr>
        <w:spacing w:line="240" w:lineRule="auto" w:before="1"/>
        <w:rPr>
          <w:rFonts w:ascii="宋体" w:hAnsi="宋体" w:cs="宋体" w:eastAsia="宋体" w:hint="default"/>
          <w:b/>
          <w:bCs/>
          <w:sz w:val="16"/>
          <w:szCs w:val="16"/>
        </w:rPr>
      </w:pPr>
    </w:p>
    <w:p>
      <w:pPr>
        <w:pStyle w:val="BodyText"/>
        <w:spacing w:line="240" w:lineRule="auto"/>
        <w:ind w:left="558" w:right="0"/>
        <w:jc w:val="left"/>
      </w:pPr>
      <w:r>
        <w:rPr>
          <w:w w:val="100"/>
        </w:rPr>
        <w:t>否</w:t>
      </w:r>
    </w:p>
    <w:p>
      <w:pPr>
        <w:pStyle w:val="Heading4"/>
        <w:spacing w:line="240" w:lineRule="auto" w:before="8"/>
        <w:ind w:left="138" w:right="0"/>
        <w:jc w:val="left"/>
        <w:rPr>
          <w:b w:val="0"/>
          <w:bCs w:val="0"/>
        </w:rPr>
      </w:pPr>
      <w:r>
        <w:rPr/>
        <w:t>八、 </w:t>
      </w:r>
      <w:r>
        <w:rPr>
          <w:spacing w:val="7"/>
        </w:rPr>
        <w:t> </w:t>
      </w:r>
      <w:r>
        <w:rPr>
          <w:rFonts w:ascii="宋体" w:hAnsi="宋体" w:cs="宋体" w:eastAsia="宋体" w:hint="default"/>
          <w:spacing w:val="7"/>
        </w:rPr>
      </w:r>
      <w:r>
        <w:rPr/>
        <w:t>是否存在违反规定决策程序对外提供担保的情况？</w:t>
      </w:r>
      <w:r>
        <w:rPr>
          <w:b w:val="0"/>
          <w:bCs w:val="0"/>
        </w:rPr>
      </w:r>
    </w:p>
    <w:p>
      <w:pPr>
        <w:pStyle w:val="BodyText"/>
        <w:spacing w:line="273" w:lineRule="exact" w:before="136"/>
        <w:ind w:left="558" w:right="0"/>
        <w:jc w:val="left"/>
        <w:rPr>
          <w:rFonts w:ascii="宋体" w:hAnsi="宋体" w:cs="宋体" w:eastAsia="宋体" w:hint="default"/>
        </w:rPr>
      </w:pPr>
      <w:r>
        <w:rPr/>
        <w:t>否</w:t>
      </w:r>
      <w:r>
        <w:rPr>
          <w:rFonts w:ascii="宋体" w:hAnsi="宋体" w:cs="宋体" w:eastAsia="宋体" w:hint="default"/>
        </w:rPr>
        <w:t> </w:t>
      </w:r>
    </w:p>
    <w:p>
      <w:pPr>
        <w:pStyle w:val="Heading4"/>
        <w:spacing w:line="273" w:lineRule="exact" w:before="0"/>
        <w:ind w:left="138" w:right="0"/>
        <w:jc w:val="left"/>
        <w:rPr>
          <w:b w:val="0"/>
          <w:bCs w:val="0"/>
        </w:rPr>
      </w:pPr>
      <w:r>
        <w:rPr/>
        <w:t>九、 </w:t>
      </w:r>
      <w:r>
        <w:rPr>
          <w:spacing w:val="10"/>
        </w:rPr>
        <w:t> </w:t>
      </w:r>
      <w:r>
        <w:rPr>
          <w:rFonts w:ascii="宋体" w:hAnsi="宋体" w:cs="宋体" w:eastAsia="宋体" w:hint="default"/>
          <w:spacing w:val="10"/>
        </w:rPr>
      </w:r>
      <w:r>
        <w:rPr/>
        <w:t>重大风险提示</w:t>
      </w:r>
      <w:r>
        <w:rPr>
          <w:b w:val="0"/>
          <w:bCs w:val="0"/>
        </w:rPr>
      </w:r>
    </w:p>
    <w:p>
      <w:pPr>
        <w:pStyle w:val="BodyText"/>
        <w:spacing w:line="240" w:lineRule="auto" w:before="133"/>
        <w:ind w:left="138" w:right="0" w:firstLine="419"/>
        <w:jc w:val="left"/>
        <w:rPr>
          <w:rFonts w:ascii="宋体" w:hAnsi="宋体" w:cs="宋体" w:eastAsia="宋体" w:hint="default"/>
        </w:rPr>
      </w:pPr>
      <w:r>
        <w:rPr>
          <w:spacing w:val="-2"/>
        </w:rPr>
        <w:t>公司已在本报告中详细描述存在的风险，敬请查阅第四节“经营情况讨论与分析”中关于公</w:t>
      </w:r>
      <w:r>
        <w:rPr>
          <w:w w:val="100"/>
        </w:rPr>
        <w:t> </w:t>
      </w:r>
      <w:r>
        <w:rPr/>
        <w:t>司未来发展的讨论与分析之“可能面对的风险”。</w:t>
      </w:r>
      <w:r>
        <w:rPr>
          <w:rFonts w:ascii="宋体" w:hAnsi="宋体" w:cs="宋体" w:eastAsia="宋体" w:hint="default"/>
        </w:rPr>
        <w:t> </w:t>
      </w:r>
    </w:p>
    <w:p>
      <w:pPr>
        <w:pStyle w:val="Heading4"/>
        <w:spacing w:line="271" w:lineRule="exact" w:before="0"/>
        <w:ind w:left="138" w:right="0"/>
        <w:jc w:val="left"/>
        <w:rPr>
          <w:b w:val="0"/>
          <w:bCs w:val="0"/>
        </w:rPr>
      </w:pPr>
      <w:r>
        <w:rPr/>
        <w:t>十、</w:t>
      </w:r>
      <w:r>
        <w:rPr>
          <w:spacing w:val="60"/>
        </w:rPr>
        <w:t> </w:t>
      </w:r>
      <w:r>
        <w:rPr>
          <w:rFonts w:ascii="宋体" w:hAnsi="宋体" w:cs="宋体" w:eastAsia="宋体" w:hint="default"/>
          <w:spacing w:val="60"/>
        </w:rPr>
      </w:r>
      <w:r>
        <w:rPr/>
        <w:t>其他</w:t>
      </w:r>
      <w:r>
        <w:rPr>
          <w:b w:val="0"/>
          <w:bCs w:val="0"/>
        </w:rPr>
      </w:r>
    </w:p>
    <w:p>
      <w:pPr>
        <w:pStyle w:val="BodyText"/>
        <w:spacing w:line="273" w:lineRule="exact" w:before="135"/>
        <w:ind w:left="5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headerReference w:type="default" r:id="rId6"/>
          <w:footerReference w:type="default" r:id="rId7"/>
          <w:pgSz w:w="11910" w:h="16840"/>
          <w:pgMar w:header="855" w:footer="979" w:top="1120" w:bottom="1160" w:left="1660" w:right="1140"/>
          <w:pgNumType w:start="2"/>
        </w:sectPr>
      </w:pPr>
    </w:p>
    <w:p>
      <w:pPr>
        <w:spacing w:line="240" w:lineRule="auto" w:before="3"/>
        <w:rPr>
          <w:rFonts w:ascii="宋体" w:hAnsi="宋体" w:cs="宋体" w:eastAsia="宋体" w:hint="default"/>
          <w:sz w:val="26"/>
          <w:szCs w:val="26"/>
        </w:rPr>
      </w:pPr>
    </w:p>
    <w:p>
      <w:pPr>
        <w:spacing w:before="0"/>
        <w:ind w:left="2115" w:right="1953" w:firstLine="0"/>
        <w:jc w:val="center"/>
        <w:rPr>
          <w:rFonts w:ascii="宋体" w:hAnsi="宋体" w:cs="宋体" w:eastAsia="宋体" w:hint="default"/>
          <w:sz w:val="32"/>
          <w:szCs w:val="32"/>
        </w:rPr>
      </w:pPr>
      <w:r>
        <w:rPr>
          <w:rFonts w:ascii="宋体" w:hAnsi="宋体" w:cs="宋体" w:eastAsia="宋体" w:hint="default"/>
          <w:b/>
          <w:bCs/>
          <w:sz w:val="32"/>
          <w:szCs w:val="32"/>
        </w:rPr>
        <w:t>目</w:t>
      </w:r>
      <w:r>
        <w:rPr>
          <w:rFonts w:ascii="宋体" w:hAnsi="宋体" w:cs="宋体" w:eastAsia="宋体" w:hint="default"/>
          <w:b/>
          <w:bCs/>
          <w:spacing w:val="159"/>
          <w:sz w:val="32"/>
          <w:szCs w:val="32"/>
        </w:rPr>
        <w:t> </w:t>
      </w:r>
      <w:r>
        <w:rPr>
          <w:rFonts w:ascii="宋体" w:hAnsi="宋体" w:cs="宋体" w:eastAsia="宋体" w:hint="default"/>
          <w:b/>
          <w:bCs/>
          <w:spacing w:val="159"/>
          <w:sz w:val="32"/>
          <w:szCs w:val="32"/>
        </w:rPr>
      </w:r>
      <w:r>
        <w:rPr>
          <w:rFonts w:ascii="宋体" w:hAnsi="宋体" w:cs="宋体" w:eastAsia="宋体" w:hint="default"/>
          <w:b/>
          <w:bCs/>
          <w:sz w:val="32"/>
          <w:szCs w:val="32"/>
        </w:rPr>
        <w:t>录</w:t>
      </w:r>
      <w:r>
        <w:rPr>
          <w:rFonts w:ascii="宋体" w:hAnsi="宋体" w:cs="宋体" w:eastAsia="宋体" w:hint="default"/>
          <w:b/>
          <w:bCs/>
          <w:w w:val="98"/>
          <w:sz w:val="32"/>
          <w:szCs w:val="32"/>
        </w:rPr>
        <w:t> </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1" w:val="right" w:leader="dot"/>
            </w:tabs>
            <w:spacing w:line="240" w:lineRule="auto" w:before="426"/>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w w:val="95"/>
              </w:rPr>
              <w:t>第一节</w:t>
              <w:tab/>
            </w:r>
            <w:r>
              <w:rPr/>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w w:val="95"/>
              </w:rPr>
              <w:t>第二节</w:t>
              <w:tab/>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bookmark2">
            <w:r>
              <w:rPr>
                <w:w w:val="95"/>
              </w:rPr>
              <w:t>第三节</w:t>
              <w:tab/>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w w:val="95"/>
              </w:rPr>
              <w:t>第四节</w:t>
              <w:tab/>
            </w:r>
            <w:r>
              <w:rPr/>
              <w:t>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bookmark4">
            <w:r>
              <w:rPr>
                <w:w w:val="95"/>
              </w:rPr>
              <w:t>第五节</w:t>
              <w:tab/>
            </w:r>
            <w:r>
              <w:rPr/>
              <w:t>重要事项</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w w:val="95"/>
              </w:rPr>
              <w:t>第六节</w:t>
              <w:tab/>
            </w:r>
            <w:r>
              <w:rPr/>
              <w:t>普通股股份变动及股东情况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4"/>
            <w:ind w:right="0"/>
            <w:jc w:val="left"/>
            <w:rPr>
              <w:rFonts w:ascii="Times New Roman" w:hAnsi="Times New Roman" w:cs="Times New Roman" w:eastAsia="Times New Roman" w:hint="default"/>
              <w:b w:val="0"/>
              <w:bCs w:val="0"/>
            </w:rPr>
          </w:pPr>
          <w:hyperlink w:history="true" w:anchor="_bookmark6">
            <w:r>
              <w:rPr>
                <w:w w:val="95"/>
              </w:rPr>
              <w:t>第七节</w:t>
              <w:tab/>
            </w:r>
            <w:r>
              <w:rPr/>
              <w:t>优先股相关情况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w w:val="95"/>
              </w:rPr>
              <w:t>第八节</w:t>
              <w:tab/>
            </w:r>
            <w:r>
              <w:rPr/>
              <w:t>董事、监事、高级管理人员和员工情况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w w:val="95"/>
              </w:rPr>
              <w:t>第九节</w:t>
              <w:tab/>
            </w:r>
            <w:r>
              <w:rPr/>
              <w:t>公司治理</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bookmark9">
            <w:r>
              <w:rPr>
                <w:w w:val="95"/>
              </w:rPr>
              <w:t>第十节</w:t>
              <w:tab/>
            </w:r>
            <w:r>
              <w:rPr/>
              <w:t>公司债券相关情况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3"/>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237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55" w:footer="979" w:top="1120" w:bottom="1160" w:left="1660" w:right="1140"/>
        </w:sectPr>
      </w:pPr>
    </w:p>
    <w:p>
      <w:pPr>
        <w:pStyle w:val="Heading1"/>
        <w:spacing w:line="240" w:lineRule="auto" w:before="597"/>
        <w:ind w:left="3201" w:right="3118"/>
        <w:jc w:val="center"/>
        <w:rPr>
          <w:b w:val="0"/>
          <w:bCs w:val="0"/>
        </w:rPr>
      </w:pPr>
      <w:bookmarkStart w:name="_bookmark0" w:id="1"/>
      <w:bookmarkEnd w:id="1"/>
      <w:r>
        <w:rPr>
          <w:b w:val="0"/>
          <w:bCs w:val="0"/>
        </w:rPr>
      </w:r>
      <w:r>
        <w:rPr/>
        <w:t>第一节 释义</w:t>
      </w:r>
      <w:r>
        <w:rPr>
          <w:b w:val="0"/>
          <w:bCs w:val="0"/>
        </w:rPr>
      </w:r>
    </w:p>
    <w:p>
      <w:pPr>
        <w:pStyle w:val="BodyText"/>
        <w:spacing w:line="290" w:lineRule="auto" w:before="253"/>
        <w:ind w:left="216" w:right="2819"/>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tbl>
      <w:tblPr>
        <w:tblW w:w="0" w:type="auto"/>
        <w:jc w:val="left"/>
        <w:tblInd w:w="103" w:type="dxa"/>
        <w:tblLayout w:type="fixed"/>
        <w:tblCellMar>
          <w:top w:w="0" w:type="dxa"/>
          <w:left w:w="0" w:type="dxa"/>
          <w:bottom w:w="0" w:type="dxa"/>
          <w:right w:w="0" w:type="dxa"/>
        </w:tblCellMar>
        <w:tblLook w:val="01E0"/>
      </w:tblPr>
      <w:tblGrid>
        <w:gridCol w:w="2688"/>
        <w:gridCol w:w="428"/>
        <w:gridCol w:w="5708"/>
      </w:tblGrid>
      <w:tr>
        <w:trPr>
          <w:trHeight w:val="283"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公司、本公司或南威软件</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南威软件股份有限公司</w:t>
            </w:r>
            <w:r>
              <w:rPr>
                <w:rFonts w:ascii="宋体" w:hAnsi="宋体" w:cs="宋体" w:eastAsia="宋体" w:hint="default"/>
                <w:sz w:val="21"/>
                <w:szCs w:val="21"/>
              </w:rPr>
              <w:t> </w:t>
            </w:r>
          </w:p>
        </w:tc>
      </w:tr>
      <w:tr>
        <w:trPr>
          <w:trHeight w:val="281"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r>
              <w:rPr>
                <w:rFonts w:ascii="宋体" w:hAnsi="宋体" w:cs="宋体" w:eastAsia="宋体" w:hint="default"/>
                <w:sz w:val="21"/>
                <w:szCs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交易所</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r>
      <w:tr>
        <w:trPr>
          <w:trHeight w:val="281"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r>
              <w:rPr>
                <w:rFonts w:ascii="宋体" w:hAnsi="宋体" w:cs="宋体" w:eastAsia="宋体" w:hint="default"/>
                <w:sz w:val="21"/>
                <w:szCs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r>
              <w:rPr>
                <w:rFonts w:ascii="宋体" w:hAnsi="宋体" w:cs="宋体" w:eastAsia="宋体" w:hint="default"/>
                <w:sz w:val="21"/>
                <w:szCs w:val="21"/>
              </w:rPr>
              <w:t> </w:t>
            </w:r>
          </w:p>
        </w:tc>
      </w:tr>
      <w:tr>
        <w:trPr>
          <w:trHeight w:val="284"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《管理办法》</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《上市公司证券发行管理办法》</w:t>
            </w:r>
            <w:r>
              <w:rPr>
                <w:rFonts w:ascii="宋体" w:hAnsi="宋体" w:cs="宋体" w:eastAsia="宋体" w:hint="default"/>
                <w:sz w:val="21"/>
                <w:szCs w:val="21"/>
              </w:rPr>
              <w:t> </w:t>
            </w:r>
          </w:p>
        </w:tc>
      </w:tr>
      <w:tr>
        <w:trPr>
          <w:trHeight w:val="281"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《上市规则》</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《上海证券交易所股票上市规则》</w:t>
            </w:r>
            <w:r>
              <w:rPr>
                <w:rFonts w:ascii="宋体" w:hAnsi="宋体" w:cs="宋体" w:eastAsia="宋体" w:hint="default"/>
                <w:sz w:val="21"/>
                <w:szCs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《南威软件股份有限公司章程》</w:t>
            </w:r>
            <w:r>
              <w:rPr>
                <w:rFonts w:ascii="宋体" w:hAnsi="宋体" w:cs="宋体" w:eastAsia="宋体" w:hint="default"/>
                <w:sz w:val="21"/>
                <w:szCs w:val="21"/>
              </w:rPr>
              <w:t> </w:t>
            </w:r>
          </w:p>
        </w:tc>
      </w:tr>
      <w:tr>
        <w:trPr>
          <w:trHeight w:val="281"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四方伟业</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成都四方伟业软件股份有限公司</w:t>
            </w:r>
            <w:r>
              <w:rPr>
                <w:rFonts w:ascii="宋体" w:hAnsi="宋体" w:cs="宋体" w:eastAsia="宋体" w:hint="default"/>
                <w:sz w:val="21"/>
                <w:szCs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深圳太极云软</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深圳太极云软技术有限公司</w:t>
            </w:r>
            <w:r>
              <w:rPr>
                <w:rFonts w:ascii="宋体" w:hAnsi="宋体" w:cs="宋体" w:eastAsia="宋体" w:hint="default"/>
                <w:sz w:val="21"/>
                <w:szCs w:val="21"/>
              </w:rPr>
              <w:t> </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可转债</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公开发行可转换公司债券</w:t>
            </w:r>
            <w:r>
              <w:rPr>
                <w:rFonts w:ascii="宋体" w:hAnsi="宋体" w:cs="宋体" w:eastAsia="宋体" w:hint="default"/>
                <w:sz w:val="21"/>
                <w:szCs w:val="21"/>
              </w:rPr>
              <w:t> </w:t>
            </w:r>
          </w:p>
        </w:tc>
      </w:tr>
      <w:tr>
        <w:trPr>
          <w:trHeight w:val="281"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南威转债</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南威软件股份有限公司公开发行可转换公司债券</w:t>
            </w:r>
            <w:r>
              <w:rPr>
                <w:rFonts w:ascii="宋体" w:hAnsi="宋体" w:cs="宋体" w:eastAsia="宋体" w:hint="default"/>
                <w:sz w:val="21"/>
                <w:szCs w:val="21"/>
              </w:rPr>
              <w:t> </w:t>
            </w:r>
          </w:p>
        </w:tc>
      </w:tr>
      <w:tr>
        <w:trPr>
          <w:trHeight w:val="2189"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数字政府</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8"/>
              <w:jc w:val="left"/>
              <w:rPr>
                <w:rFonts w:ascii="宋体" w:hAnsi="宋体" w:cs="宋体" w:eastAsia="宋体" w:hint="default"/>
                <w:sz w:val="21"/>
                <w:szCs w:val="21"/>
              </w:rPr>
            </w:pPr>
            <w:r>
              <w:rPr>
                <w:rFonts w:ascii="宋体" w:hAnsi="宋体" w:cs="宋体" w:eastAsia="宋体" w:hint="default"/>
                <w:sz w:val="21"/>
                <w:szCs w:val="21"/>
              </w:rPr>
              <w:t>以互联网、大数据、人工智能等现代技术为支撑，以集约化</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pacing w:val="-4"/>
                <w:sz w:val="21"/>
                <w:szCs w:val="21"/>
              </w:rPr>
              <w:t>和一体化在线政务服务平台为载体，以实现政府决策科学化、</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社会治理精准化、公共服务高效化为目标，通过连接网络社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会与现实社会，重组政府组织架构，再造政府办事流程，优</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化行政服务和公共产品，推动政府全方位、系统性、联动式</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变革，促进经济社会全面数字化而建立的一种新型政府运行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模式；数字政府是数字中国的重要组成部分，是“互联网</w:t>
            </w:r>
            <w:r>
              <w:rPr>
                <w:rFonts w:ascii="宋体" w:hAnsi="宋体" w:cs="宋体" w:eastAsia="宋体" w:hint="default"/>
                <w:spacing w:val="2"/>
                <w:sz w:val="21"/>
                <w:szCs w:val="21"/>
              </w:rPr>
              <w:t>+</w:t>
            </w:r>
            <w:r>
              <w:rPr>
                <w:rFonts w:ascii="宋体" w:hAnsi="宋体" w:cs="宋体" w:eastAsia="宋体" w:hint="default"/>
                <w:spacing w:val="-29"/>
                <w:sz w:val="21"/>
                <w:szCs w:val="21"/>
              </w:rPr>
              <w:t> </w:t>
            </w:r>
            <w:r>
              <w:rPr>
                <w:rFonts w:ascii="宋体" w:hAnsi="宋体" w:cs="宋体" w:eastAsia="宋体" w:hint="default"/>
                <w:sz w:val="21"/>
                <w:szCs w:val="21"/>
              </w:rPr>
              <w:t>政务”转型升级的发展方向。</w:t>
            </w:r>
            <w:r>
              <w:rPr>
                <w:rFonts w:ascii="宋体" w:hAnsi="宋体" w:cs="宋体" w:eastAsia="宋体" w:hint="default"/>
                <w:sz w:val="21"/>
                <w:szCs w:val="21"/>
              </w:rPr>
              <w:t> </w:t>
            </w:r>
          </w:p>
        </w:tc>
      </w:tr>
      <w:tr>
        <w:trPr>
          <w:trHeight w:val="1644"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互联网</w:t>
            </w:r>
            <w:r>
              <w:rPr>
                <w:rFonts w:ascii="宋体" w:hAnsi="宋体" w:cs="宋体" w:eastAsia="宋体" w:hint="default"/>
                <w:sz w:val="21"/>
                <w:szCs w:val="21"/>
              </w:rPr>
              <w:t>+</w:t>
            </w:r>
            <w:r>
              <w:rPr>
                <w:rFonts w:ascii="宋体" w:hAnsi="宋体" w:cs="宋体" w:eastAsia="宋体" w:hint="default"/>
                <w:sz w:val="21"/>
                <w:szCs w:val="21"/>
              </w:rPr>
              <w:t>政务</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1"/>
                <w:szCs w:val="21"/>
              </w:rPr>
            </w:pPr>
            <w:r>
              <w:rPr>
                <w:rFonts w:ascii="宋体" w:hAnsi="宋体" w:cs="宋体" w:eastAsia="宋体" w:hint="default"/>
                <w:sz w:val="21"/>
                <w:szCs w:val="21"/>
              </w:rPr>
              <w:t>指以政务服务平台为基础，以公共服务普惠化为主要内容，</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以实现智慧政府为目标，运用互联网技术、互联网思维与互</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联网精神，连接网络社会与现实社会，实现政府组织结构和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办事流程的优化重组，构建集约化、高效化、透明化的政府</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治理与运行模式，向社会提供新模式、新境界、新治理结构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下的管理和政务服务产品。</w:t>
            </w:r>
            <w:r>
              <w:rPr>
                <w:rFonts w:ascii="宋体" w:hAnsi="宋体" w:cs="宋体" w:eastAsia="宋体" w:hint="default"/>
                <w:sz w:val="21"/>
                <w:szCs w:val="21"/>
              </w:rPr>
              <w:t> </w:t>
            </w:r>
          </w:p>
        </w:tc>
      </w:tr>
      <w:tr>
        <w:trPr>
          <w:trHeight w:val="1099"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解决方案</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1"/>
                <w:szCs w:val="21"/>
              </w:rPr>
            </w:pPr>
            <w:r>
              <w:rPr>
                <w:rFonts w:ascii="宋体" w:hAnsi="宋体" w:cs="宋体" w:eastAsia="宋体" w:hint="default"/>
                <w:sz w:val="21"/>
                <w:szCs w:val="21"/>
              </w:rPr>
              <w:t>以应用软件开发为核心，选择适合的外部软件和计算机硬件</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产品，经过设计、开发、集成、安装、调试和售后服务，使</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整套系统能够实现特定的业务功能，满足客户业务需求的服</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务。</w:t>
            </w:r>
            <w:r>
              <w:rPr>
                <w:rFonts w:ascii="宋体" w:hAnsi="宋体" w:cs="宋体" w:eastAsia="宋体" w:hint="default"/>
                <w:sz w:val="21"/>
                <w:szCs w:val="21"/>
              </w:rPr>
              <w:t> </w:t>
            </w:r>
          </w:p>
        </w:tc>
      </w:tr>
      <w:tr>
        <w:trPr>
          <w:trHeight w:val="1102"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智慧公安</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1"/>
                <w:szCs w:val="21"/>
              </w:rPr>
            </w:pPr>
            <w:r>
              <w:rPr>
                <w:rFonts w:ascii="宋体" w:hAnsi="宋体" w:cs="宋体" w:eastAsia="宋体" w:hint="default"/>
                <w:sz w:val="21"/>
                <w:szCs w:val="21"/>
              </w:rPr>
              <w:t>以可视化指挥为理念，运用高清视频、大数据、云计算、智</w:t>
            </w:r>
          </w:p>
          <w:p>
            <w:pPr>
              <w:pStyle w:val="TableParagraph"/>
              <w:spacing w:line="237" w:lineRule="auto" w:before="1"/>
              <w:ind w:left="103" w:right="24"/>
              <w:jc w:val="both"/>
              <w:rPr>
                <w:rFonts w:ascii="宋体" w:hAnsi="宋体" w:cs="宋体" w:eastAsia="宋体" w:hint="default"/>
                <w:sz w:val="21"/>
                <w:szCs w:val="21"/>
              </w:rPr>
            </w:pPr>
            <w:r>
              <w:rPr>
                <w:rFonts w:ascii="宋体" w:hAnsi="宋体" w:cs="宋体" w:eastAsia="宋体" w:hint="default"/>
                <w:sz w:val="21"/>
                <w:szCs w:val="21"/>
              </w:rPr>
              <w:t>能分析等技术对公安领域的海量信息进行采集、存储、加工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和智能化处理，搭建智能、高效的指挥显控平台，实现“多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级别、跨警种、跨区域”的公安系统应急联动与决策指挥。</w:t>
            </w:r>
            <w:r>
              <w:rPr>
                <w:rFonts w:ascii="宋体" w:hAnsi="宋体" w:cs="宋体" w:eastAsia="宋体" w:hint="default"/>
                <w:sz w:val="21"/>
                <w:szCs w:val="21"/>
              </w:rPr>
              <w:t> </w:t>
            </w:r>
          </w:p>
        </w:tc>
      </w:tr>
      <w:tr>
        <w:trPr>
          <w:trHeight w:val="826"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智慧城市</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z w:val="21"/>
                <w:szCs w:val="21"/>
              </w:rPr>
              <w:t>指运用信息和通信技术手段感测、分析、整合城市运行核心</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系统的各项关键信息，从而对包括民生、环保、公共安全、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城市服务、工商业活动在内的各种需求做出智能响应。</w:t>
            </w:r>
            <w:r>
              <w:rPr>
                <w:rFonts w:ascii="宋体" w:hAnsi="宋体" w:cs="宋体" w:eastAsia="宋体" w:hint="default"/>
                <w:sz w:val="21"/>
                <w:szCs w:val="21"/>
              </w:rPr>
              <w:t> </w:t>
            </w:r>
          </w:p>
        </w:tc>
      </w:tr>
    </w:tbl>
    <w:p>
      <w:pPr>
        <w:pStyle w:val="BodyText"/>
        <w:spacing w:line="226"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tabs>
          <w:tab w:pos="3097" w:val="left" w:leader="none"/>
        </w:tabs>
        <w:spacing w:line="273" w:lineRule="exact"/>
        <w:ind w:left="216"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headerReference w:type="default" r:id="rId8"/>
          <w:footerReference w:type="default" r:id="rId9"/>
          <w:pgSz w:w="11910" w:h="16840"/>
          <w:pgMar w:header="855" w:footer="979" w:top="1120" w:bottom="1160" w:left="1060" w:right="1660"/>
          <w:pgNumType w:start="4"/>
        </w:sectPr>
      </w:pPr>
    </w:p>
    <w:p>
      <w:pPr>
        <w:spacing w:line="240" w:lineRule="auto" w:before="3"/>
        <w:rPr>
          <w:rFonts w:ascii="宋体" w:hAnsi="宋体" w:cs="宋体" w:eastAsia="宋体" w:hint="default"/>
          <w:sz w:val="19"/>
          <w:szCs w:val="19"/>
        </w:rPr>
      </w:pPr>
    </w:p>
    <w:p>
      <w:pPr>
        <w:pStyle w:val="Heading1"/>
        <w:spacing w:line="240" w:lineRule="auto"/>
        <w:ind w:left="2595" w:right="0"/>
        <w:jc w:val="left"/>
        <w:rPr>
          <w:b w:val="0"/>
          <w:bCs w:val="0"/>
        </w:rPr>
      </w:pPr>
      <w:bookmarkStart w:name="_bookmark1" w:id="2"/>
      <w:bookmarkEnd w:id="2"/>
      <w:r>
        <w:rPr>
          <w:b w:val="0"/>
          <w:bCs w:val="0"/>
        </w:rPr>
      </w:r>
      <w:r>
        <w:rPr/>
        <w:t>第二节</w:t>
      </w:r>
      <w:r>
        <w:rPr>
          <w:spacing w:val="-3"/>
        </w:rPr>
        <w:t> </w:t>
      </w:r>
      <w:r>
        <w:rPr/>
        <w:t>公司简介和主要财务指标</w:t>
      </w:r>
      <w:r>
        <w:rPr>
          <w:b w:val="0"/>
          <w:bCs w:val="0"/>
        </w:rPr>
      </w:r>
    </w:p>
    <w:p>
      <w:pPr>
        <w:spacing w:line="240" w:lineRule="auto" w:before="8"/>
        <w:rPr>
          <w:rFonts w:ascii="黑体" w:hAnsi="黑体" w:cs="黑体" w:eastAsia="黑体" w:hint="default"/>
          <w:b/>
          <w:bCs/>
          <w:sz w:val="16"/>
          <w:szCs w:val="16"/>
        </w:rPr>
      </w:pPr>
    </w:p>
    <w:p>
      <w:pPr>
        <w:pStyle w:val="Heading4"/>
        <w:spacing w:line="240" w:lineRule="auto" w:before="36"/>
        <w:ind w:left="216" w:right="0"/>
        <w:jc w:val="left"/>
        <w:rPr>
          <w:b w:val="0"/>
          <w:bCs w:val="0"/>
        </w:rPr>
      </w:pPr>
      <w:r>
        <w:rPr/>
        <w:t>一、</w:t>
      </w:r>
      <w:r>
        <w:rPr>
          <w:spacing w:val="-30"/>
        </w:rPr>
        <w:t> </w:t>
      </w:r>
      <w:r>
        <w:rPr>
          <w:rFonts w:ascii="宋体" w:hAnsi="宋体" w:cs="宋体" w:eastAsia="宋体" w:hint="default"/>
          <w:spacing w:val="-30"/>
        </w:rPr>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南威软件股份有限公司</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南威软件</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Linewell Software</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Co.</w:t>
            </w:r>
            <w:r>
              <w:rPr>
                <w:rFonts w:ascii="宋体" w:hAnsi="宋体" w:cs="宋体" w:eastAsia="宋体" w:hint="default"/>
                <w:sz w:val="21"/>
                <w:szCs w:val="21"/>
              </w:rPr>
              <w:t>，</w:t>
            </w:r>
            <w:r>
              <w:rPr>
                <w:rFonts w:ascii="Times New Roman" w:hAnsi="Times New Roman" w:cs="Times New Roman" w:eastAsia="Times New Roman" w:hint="default"/>
                <w:sz w:val="21"/>
                <w:szCs w:val="21"/>
              </w:rPr>
              <w:t>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Linewell</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t>二、</w:t>
      </w:r>
      <w:r>
        <w:rPr>
          <w:spacing w:val="-29"/>
        </w:rPr>
        <w:t> </w:t>
      </w:r>
      <w:r>
        <w:rPr>
          <w:rFonts w:ascii="宋体" w:hAnsi="宋体" w:cs="宋体" w:eastAsia="宋体" w:hint="default"/>
          <w:spacing w:val="-29"/>
        </w:rPr>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3908"/>
        <w:gridCol w:w="4988"/>
      </w:tblGrid>
      <w:tr>
        <w:trPr>
          <w:trHeight w:val="281"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sz w:val="21"/>
                <w:szCs w:val="21"/>
              </w:rPr>
              <w:t> </w:t>
            </w:r>
          </w:p>
        </w:tc>
      </w:tr>
      <w:tr>
        <w:trPr>
          <w:trHeight w:val="283"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吴丽卿</w:t>
            </w:r>
          </w:p>
        </w:tc>
      </w:tr>
      <w:tr>
        <w:trPr>
          <w:trHeight w:val="284"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福建省泉州市丰泽区丰海路南威大厦</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r>
              <w:rPr>
                <w:rFonts w:ascii="Times New Roman" w:hAnsi="Times New Roman" w:cs="Times New Roman" w:eastAsia="Times New Roman" w:hint="default"/>
                <w:sz w:val="21"/>
                <w:szCs w:val="21"/>
              </w:rPr>
              <w:t>21</w:t>
            </w:r>
            <w:r>
              <w:rPr>
                <w:rFonts w:ascii="宋体" w:hAnsi="宋体" w:cs="宋体" w:eastAsia="宋体" w:hint="default"/>
                <w:sz w:val="21"/>
                <w:szCs w:val="21"/>
              </w:rPr>
              <w:t>层</w:t>
            </w:r>
          </w:p>
        </w:tc>
      </w:tr>
      <w:tr>
        <w:trPr>
          <w:trHeight w:val="281"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0595-68288889</w:t>
            </w:r>
          </w:p>
        </w:tc>
      </w:tr>
      <w:tr>
        <w:trPr>
          <w:trHeight w:val="283"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0595-68288887</w:t>
            </w:r>
          </w:p>
        </w:tc>
      </w:tr>
      <w:tr>
        <w:trPr>
          <w:trHeight w:val="283"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10">
              <w:r>
                <w:rPr>
                  <w:rFonts w:ascii="Times New Roman"/>
                  <w:sz w:val="21"/>
                </w:rPr>
                <w:t>bona@linewell.com</w:t>
              </w:r>
            </w:hyperlink>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rFonts w:ascii="宋体" w:hAnsi="宋体" w:cs="宋体" w:eastAsia="宋体" w:hint="default"/>
          <w:b w:val="0"/>
          <w:bCs w:val="0"/>
        </w:rPr>
      </w:pPr>
      <w:r>
        <w:rPr/>
        <w:t>三、</w:t>
      </w:r>
      <w:r>
        <w:rPr>
          <w:spacing w:val="-34"/>
        </w:rPr>
        <w:t> </w:t>
      </w:r>
      <w:r>
        <w:rPr>
          <w:rFonts w:ascii="宋体" w:hAnsi="宋体" w:cs="宋体" w:eastAsia="宋体" w:hint="default"/>
          <w:spacing w:val="-34"/>
        </w:rPr>
      </w:r>
      <w:r>
        <w:rPr/>
        <w:t>基本情况简介</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福建省泉州市丰泽区丰海路南威大厦</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362000</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福建省泉州市丰泽区丰海路南威大厦</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362000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11">
              <w:r>
                <w:rPr>
                  <w:rFonts w:ascii="Times New Roman"/>
                  <w:sz w:val="21"/>
                </w:rPr>
                <w:t>http://www.linewell.com</w:t>
              </w:r>
            </w:hyperlink>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12">
              <w:r>
                <w:rPr>
                  <w:rFonts w:ascii="Times New Roman"/>
                  <w:sz w:val="21"/>
                </w:rPr>
                <w:t>ir@linewell.com</w:t>
              </w:r>
            </w:hyperlink>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t>四、</w:t>
      </w:r>
      <w:r>
        <w:rPr>
          <w:spacing w:val="-32"/>
        </w:rPr>
        <w:t> </w:t>
      </w:r>
      <w:r>
        <w:rPr>
          <w:rFonts w:ascii="宋体" w:hAnsi="宋体" w:cs="宋体" w:eastAsia="宋体" w:hint="default"/>
          <w:spacing w:val="-32"/>
        </w:rPr>
      </w:r>
      <w:r>
        <w:rPr/>
        <w:t>信息披露及备置地点</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4143"/>
        <w:gridCol w:w="4753"/>
      </w:tblGrid>
      <w:tr>
        <w:trPr>
          <w:trHeight w:val="557"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《上海证券报》、《证券日报》、《证券时报》、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13">
              <w:r>
                <w:rPr>
                  <w:rFonts w:ascii="Times New Roman"/>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福建省泉州市丰泽区丰海路南威大厦</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t>五、</w:t>
      </w:r>
      <w:r>
        <w:rPr>
          <w:spacing w:val="-30"/>
        </w:rPr>
        <w:t> </w:t>
      </w:r>
      <w:r>
        <w:rPr>
          <w:rFonts w:ascii="宋体" w:hAnsi="宋体" w:cs="宋体" w:eastAsia="宋体" w:hint="default"/>
          <w:spacing w:val="-30"/>
        </w:rPr>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1779"/>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5"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hAnsi="宋体" w:cs="宋体" w:eastAsia="宋体" w:hint="default"/>
                <w:sz w:val="21"/>
                <w:szCs w:val="21"/>
              </w:rPr>
              <w:t>股票上市交易所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4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63" w:right="0"/>
              <w:jc w:val="left"/>
              <w:rPr>
                <w:rFonts w:ascii="宋体" w:hAnsi="宋体" w:cs="宋体" w:eastAsia="宋体" w:hint="default"/>
                <w:sz w:val="21"/>
                <w:szCs w:val="21"/>
              </w:rPr>
            </w:pPr>
            <w:r>
              <w:rPr>
                <w:rFonts w:ascii="宋体" w:hAnsi="宋体" w:cs="宋体" w:eastAsia="宋体" w:hint="default"/>
                <w:sz w:val="21"/>
                <w:szCs w:val="21"/>
              </w:rPr>
              <w:t>南威软件</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68" w:right="0"/>
              <w:jc w:val="left"/>
              <w:rPr>
                <w:rFonts w:ascii="Times New Roman" w:hAnsi="Times New Roman" w:cs="Times New Roman" w:eastAsia="Times New Roman" w:hint="default"/>
                <w:sz w:val="21"/>
                <w:szCs w:val="21"/>
              </w:rPr>
            </w:pPr>
            <w:r>
              <w:rPr>
                <w:rFonts w:ascii="Times New Roman"/>
                <w:sz w:val="21"/>
              </w:rPr>
              <w:t>603636</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2994"/>
        <w:gridCol w:w="1795"/>
        <w:gridCol w:w="4261"/>
      </w:tblGrid>
      <w:tr>
        <w:trPr>
          <w:trHeight w:val="283"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100"/>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281"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北京市海淀区西四环中路</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号院</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号楼</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1101</w:t>
            </w:r>
          </w:p>
        </w:tc>
      </w:tr>
      <w:tr>
        <w:trPr>
          <w:trHeight w:val="283"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王庆莲、李夏凡</w:t>
            </w:r>
          </w:p>
        </w:tc>
      </w:tr>
      <w:tr>
        <w:trPr>
          <w:trHeight w:val="283"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left="103" w:right="100"/>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华泰联合证券有限责任公司</w:t>
            </w:r>
          </w:p>
        </w:tc>
      </w:tr>
      <w:tr>
        <w:trPr>
          <w:trHeight w:val="281"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深圳市福田区中心广场香港中旅大厦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554"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宁小波、张冠峰</w:t>
            </w:r>
          </w:p>
        </w:tc>
      </w:tr>
      <w:tr>
        <w:trPr>
          <w:trHeight w:val="283"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pacing w:val="-3"/>
                <w:sz w:val="21"/>
                <w:szCs w:val="21"/>
              </w:rPr>
              <w:t>日。</w:t>
            </w:r>
            <w:r>
              <w:rPr>
                <w:rFonts w:ascii="宋体" w:hAnsi="宋体" w:cs="宋体" w:eastAsia="宋体" w:hint="default"/>
                <w:sz w:val="21"/>
                <w:szCs w:val="21"/>
              </w:rPr>
            </w:r>
          </w:p>
        </w:tc>
      </w:tr>
    </w:tbl>
    <w:p>
      <w:pPr>
        <w:spacing w:after="0" w:line="257" w:lineRule="exact"/>
        <w:jc w:val="left"/>
        <w:rPr>
          <w:rFonts w:ascii="宋体" w:hAnsi="宋体" w:cs="宋体" w:eastAsia="宋体" w:hint="default"/>
          <w:sz w:val="21"/>
          <w:szCs w:val="21"/>
        </w:rPr>
        <w:sectPr>
          <w:pgSz w:w="11910" w:h="16840"/>
          <w:pgMar w:header="855" w:footer="979" w:top="1120" w:bottom="1160" w:left="1060" w:right="1560"/>
        </w:sectPr>
      </w:pPr>
    </w:p>
    <w:p>
      <w:pPr>
        <w:spacing w:line="240" w:lineRule="auto" w:before="9"/>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55" w:footer="979" w:top="1120" w:bottom="1160" w:left="1060" w:right="1560"/>
        </w:sectPr>
      </w:pPr>
    </w:p>
    <w:p>
      <w:pPr>
        <w:pStyle w:val="BodyText"/>
        <w:spacing w:line="240" w:lineRule="auto" w:before="36"/>
        <w:ind w:left="216" w:right="0"/>
        <w:jc w:val="left"/>
        <w:rPr>
          <w:rFonts w:ascii="宋体" w:hAnsi="宋体" w:cs="宋体" w:eastAsia="宋体" w:hint="default"/>
        </w:rPr>
      </w:pPr>
      <w:r>
        <w:rPr>
          <w:rFonts w:ascii="宋体"/>
          <w:w w:val="100"/>
        </w:rPr>
        <w:t> </w:t>
      </w:r>
    </w:p>
    <w:p>
      <w:pPr>
        <w:pStyle w:val="Heading4"/>
        <w:spacing w:line="240" w:lineRule="auto" w:before="56"/>
        <w:ind w:left="216" w:right="-16"/>
        <w:jc w:val="left"/>
        <w:rPr>
          <w:b w:val="0"/>
          <w:bCs w:val="0"/>
        </w:rPr>
      </w:pPr>
      <w:r>
        <w:rPr/>
        <w:t>七、</w:t>
      </w:r>
      <w:r>
        <w:rPr>
          <w:spacing w:val="-33"/>
        </w:rPr>
        <w:t> </w:t>
      </w:r>
      <w:r>
        <w:rPr>
          <w:rFonts w:ascii="宋体" w:hAnsi="宋体" w:cs="宋体" w:eastAsia="宋体" w:hint="default"/>
          <w:spacing w:val="-33"/>
        </w:rPr>
      </w:r>
      <w:r>
        <w:rPr/>
        <w:t>近三年主要会计数据和财务指标</w:t>
      </w:r>
      <w:r>
        <w:rPr>
          <w:b w:val="0"/>
          <w:bCs w:val="0"/>
        </w:rPr>
      </w:r>
    </w:p>
    <w:p>
      <w:pPr>
        <w:pStyle w:val="Heading4"/>
        <w:spacing w:line="240" w:lineRule="auto" w:before="58"/>
        <w:ind w:left="21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3667" w:space="285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29"/>
        <w:gridCol w:w="2189"/>
        <w:gridCol w:w="1839"/>
        <w:gridCol w:w="1164"/>
        <w:gridCol w:w="1729"/>
      </w:tblGrid>
      <w:tr>
        <w:trPr>
          <w:trHeight w:val="82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0"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7"/>
              <w:ind w:left="311" w:right="153" w:hanging="156"/>
              <w:jc w:val="left"/>
              <w:rPr>
                <w:rFonts w:ascii="Times New Roman" w:hAnsi="Times New Roman" w:cs="Times New Roman" w:eastAsia="Times New Roman"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r>
      <w:tr>
        <w:trPr>
          <w:trHeight w:val="29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1,379,258,881.22</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979,043,905.27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40.88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807,313,135.82</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r>
              <w:rPr>
                <w:rFonts w:ascii="宋体" w:hAnsi="宋体" w:cs="宋体" w:eastAsia="宋体" w:hint="default"/>
                <w:sz w:val="21"/>
                <w:szCs w:val="21"/>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213,534,967.18</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172,523,315.83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23.77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103,025,506.96</w:t>
            </w:r>
          </w:p>
        </w:tc>
      </w:tr>
      <w:tr>
        <w:trPr>
          <w:trHeight w:val="826"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201,221,341.83</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153,116,581.98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31.42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85,953,174.95</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r>
              <w:rPr>
                <w:rFonts w:ascii="宋体" w:hAnsi="宋体" w:cs="宋体" w:eastAsia="宋体" w:hint="default"/>
                <w:sz w:val="21"/>
                <w:szCs w:val="21"/>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-121,994,386.47</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-269,780,968.06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54.78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138,408,077.65</w:t>
            </w:r>
          </w:p>
        </w:tc>
      </w:tr>
      <w:tr>
        <w:trPr>
          <w:trHeight w:val="1099"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年末</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年末</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2" w:lineRule="exact" w:before="27"/>
              <w:ind w:left="100" w:right="98" w:hanging="1"/>
              <w:jc w:val="center"/>
              <w:rPr>
                <w:rFonts w:ascii="Times New Roman" w:hAnsi="Times New Roman" w:cs="Times New Roman" w:eastAsia="Times New Roman"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pacing w:val="-14"/>
                <w:sz w:val="21"/>
                <w:szCs w:val="21"/>
              </w:rPr>
              <w:t>末增减（</w:t>
            </w:r>
            <w:r>
              <w:rPr>
                <w:rFonts w:ascii="Times New Roman" w:hAnsi="Times New Roman" w:cs="Times New Roman" w:eastAsia="Times New Roman" w:hint="default"/>
                <w:spacing w:val="-14"/>
                <w:sz w:val="21"/>
                <w:szCs w:val="21"/>
              </w:rPr>
              <w:t>%</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w:t>
            </w:r>
            <w:r>
              <w:rPr>
                <w:rFonts w:ascii="宋体" w:hAnsi="宋体" w:cs="宋体" w:eastAsia="宋体" w:hint="default"/>
                <w:sz w:val="21"/>
                <w:szCs w:val="21"/>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2,062,434,716.60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1,747,757,502.61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18.00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1,009,082,447.13</w:t>
            </w:r>
          </w:p>
        </w:tc>
      </w:tr>
      <w:tr>
        <w:trPr>
          <w:trHeight w:val="29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3,811,761,564.57</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2,997,253,170.52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27.18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1,964,497,552.64</w:t>
            </w:r>
          </w:p>
        </w:tc>
      </w:tr>
      <w:tr>
        <w:trPr>
          <w:trHeight w:val="29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4"/>
                <w:szCs w:val="24"/>
              </w:rPr>
            </w:pPr>
            <w:r>
              <w:rPr>
                <w:rFonts w:ascii="宋体" w:hAnsi="宋体" w:cs="宋体" w:eastAsia="宋体" w:hint="default"/>
                <w:sz w:val="21"/>
                <w:szCs w:val="21"/>
              </w:rPr>
              <w:t>期末总股本</w:t>
            </w:r>
            <w:r>
              <w:rPr>
                <w:rFonts w:ascii="宋体" w:hAnsi="宋体" w:cs="宋体" w:eastAsia="宋体" w:hint="default"/>
                <w:sz w:val="24"/>
                <w:szCs w:val="24"/>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526,487,912.00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526,684,472.00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-0.04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407,097,800.00</w:t>
            </w:r>
          </w:p>
        </w:tc>
      </w:tr>
    </w:tbl>
    <w:p>
      <w:pPr>
        <w:pStyle w:val="Heading4"/>
        <w:spacing w:line="240" w:lineRule="auto" w:before="26"/>
        <w:ind w:left="216" w:right="0"/>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3195"/>
        <w:gridCol w:w="1454"/>
        <w:gridCol w:w="1325"/>
        <w:gridCol w:w="1538"/>
        <w:gridCol w:w="1537"/>
      </w:tblGrid>
      <w:tr>
        <w:trPr>
          <w:trHeight w:val="55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62"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90"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z w:val="21"/>
              </w:rPr>
              <w:t>0.40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0.35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z w:val="21"/>
              </w:rPr>
              <w:t>14.29</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0.25</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z w:val="21"/>
              </w:rPr>
              <w:t>0.39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0.35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z w:val="21"/>
              </w:rPr>
              <w:t>11.43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0.25</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z w:val="21"/>
              </w:rPr>
              <w:t>0.38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0.31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22.58</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0.21</w:t>
            </w:r>
          </w:p>
        </w:tc>
      </w:tr>
      <w:tr>
        <w:trPr>
          <w:trHeight w:val="557"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11.66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11.36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个百</w:t>
            </w:r>
            <w:r>
              <w:rPr>
                <w:rFonts w:ascii="宋体" w:hAnsi="宋体" w:cs="宋体" w:eastAsia="宋体" w:hint="default"/>
                <w:sz w:val="21"/>
                <w:szCs w:val="21"/>
              </w:rPr>
            </w:r>
          </w:p>
          <w:p>
            <w:pPr>
              <w:pStyle w:val="TableParagraph"/>
              <w:spacing w:line="265" w:lineRule="exact"/>
              <w:ind w:left="1003"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11.01</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10.98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10.08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65" w:lineRule="exact"/>
              <w:ind w:left="686"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9.19</w:t>
            </w:r>
          </w:p>
        </w:tc>
      </w:tr>
    </w:tbl>
    <w:p>
      <w:pPr>
        <w:pStyle w:val="BodyText"/>
        <w:spacing w:line="239" w:lineRule="exact"/>
        <w:ind w:left="216" w:right="0"/>
        <w:jc w:val="both"/>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307" w:lineRule="auto"/>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随着国家加快推进数字政府领域建设，行业迎来了良好的发展窗口。报告期内，公司营业收</w:t>
      </w:r>
    </w:p>
    <w:p>
      <w:pPr>
        <w:pStyle w:val="BodyText"/>
        <w:spacing w:line="304" w:lineRule="auto" w:before="27"/>
        <w:ind w:left="216" w:right="228"/>
        <w:jc w:val="both"/>
      </w:pPr>
      <w:r>
        <w:rPr/>
        <w:t>入同比增长</w:t>
      </w:r>
      <w:r>
        <w:rPr>
          <w:spacing w:val="-12"/>
        </w:rPr>
        <w:t> </w:t>
      </w:r>
      <w:r>
        <w:rPr>
          <w:rFonts w:ascii="Times New Roman" w:hAnsi="Times New Roman" w:cs="Times New Roman" w:eastAsia="Times New Roman" w:hint="default"/>
          <w:spacing w:val="-3"/>
        </w:rPr>
        <w:t>40.88%</w:t>
      </w:r>
      <w:r>
        <w:rPr>
          <w:spacing w:val="-3"/>
        </w:rPr>
        <w:t>，归属于上市公司股东的净利润和归属于上市公司股东的扣除非经常性损益的</w:t>
      </w:r>
      <w:r>
        <w:rPr>
          <w:spacing w:val="-90"/>
        </w:rPr>
        <w:t> </w:t>
      </w:r>
      <w:r>
        <w:rPr>
          <w:spacing w:val="-90"/>
        </w:rPr>
      </w:r>
      <w:r>
        <w:rPr/>
        <w:t>净利润同比分别增长了 </w:t>
      </w:r>
      <w:r>
        <w:rPr>
          <w:rFonts w:ascii="Times New Roman" w:hAnsi="Times New Roman" w:cs="Times New Roman" w:eastAsia="Times New Roman" w:hint="default"/>
        </w:rPr>
        <w:t>23.77%</w:t>
      </w:r>
      <w:r>
        <w:rPr/>
        <w:t>和</w:t>
      </w:r>
      <w:r>
        <w:rPr>
          <w:spacing w:val="-30"/>
        </w:rPr>
        <w:t> </w:t>
      </w:r>
      <w:r>
        <w:rPr>
          <w:rFonts w:ascii="Times New Roman" w:hAnsi="Times New Roman" w:cs="Times New Roman" w:eastAsia="Times New Roman" w:hint="default"/>
        </w:rPr>
        <w:t>31.42%</w:t>
      </w:r>
      <w:r>
        <w:rPr/>
        <w:t>。主要系：公司加强营销体系建设积极开拓市场，主营</w:t>
      </w:r>
      <w:r>
        <w:rPr>
          <w:w w:val="100"/>
        </w:rPr>
        <w:t> </w:t>
      </w:r>
      <w:r>
        <w:rPr>
          <w:spacing w:val="-6"/>
        </w:rPr>
        <w:t>业务得到良好增长；此外，公司压强研发有效提升技术核心竞争力，软件产品收入占比有效提升，</w:t>
      </w:r>
      <w:r>
        <w:rPr>
          <w:spacing w:val="-54"/>
        </w:rPr>
        <w:t> </w:t>
      </w:r>
      <w:r>
        <w:rPr>
          <w:spacing w:val="-54"/>
        </w:rPr>
      </w:r>
      <w:r>
        <w:rPr>
          <w:spacing w:val="-1"/>
        </w:rPr>
        <w:t>销售毛利率维持较高水平，同时公司夯实管理基础，合理控制成本与费用，使净利润实现较大增</w:t>
      </w:r>
      <w:r>
        <w:rPr>
          <w:spacing w:val="-55"/>
        </w:rPr>
        <w:t> </w:t>
      </w:r>
      <w:r>
        <w:rPr>
          <w:spacing w:val="-55"/>
        </w:rPr>
      </w:r>
      <w:r>
        <w:rPr/>
        <w:t>长。</w:t>
      </w:r>
    </w:p>
    <w:p>
      <w:pPr>
        <w:pStyle w:val="BodyText"/>
        <w:spacing w:line="297" w:lineRule="auto" w:before="28"/>
        <w:ind w:left="216" w:right="224" w:firstLine="420"/>
        <w:jc w:val="left"/>
      </w:pPr>
      <w:r>
        <w:rPr>
          <w:rFonts w:ascii="Times New Roman" w:hAnsi="Times New Roman" w:cs="Times New Roman" w:eastAsia="Times New Roman" w:hint="default"/>
        </w:rPr>
        <w:t>2019 </w:t>
      </w:r>
      <w:r>
        <w:rPr/>
        <w:t>年，公司经营活动现金流净额较上年度明显改善，同比提升了 </w:t>
      </w:r>
      <w:r>
        <w:rPr>
          <w:rFonts w:ascii="Times New Roman" w:hAnsi="Times New Roman" w:cs="Times New Roman" w:eastAsia="Times New Roman" w:hint="default"/>
        </w:rPr>
        <w:t>54.78%</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年公司整</w:t>
      </w:r>
      <w:r>
        <w:rPr>
          <w:w w:val="100"/>
        </w:rPr>
        <w:t> </w:t>
      </w:r>
      <w:r>
        <w:rPr/>
        <w:t>体现金回款能力有所提升，同时通过加强供应商的信用账期管理，经营活动现金流明显改善。</w:t>
      </w:r>
    </w:p>
    <w:p>
      <w:pPr>
        <w:spacing w:after="0" w:line="297" w:lineRule="auto"/>
        <w:jc w:val="left"/>
        <w:sectPr>
          <w:type w:val="continuous"/>
          <w:pgSz w:w="11910" w:h="16840"/>
          <w:pgMar w:top="1500" w:bottom="280" w:left="1060" w:right="1560"/>
        </w:sectPr>
      </w:pPr>
    </w:p>
    <w:p>
      <w:pPr>
        <w:spacing w:line="240" w:lineRule="auto" w:before="7"/>
        <w:rPr>
          <w:rFonts w:ascii="宋体" w:hAnsi="宋体" w:cs="宋体" w:eastAsia="宋体" w:hint="default"/>
          <w:sz w:val="24"/>
          <w:szCs w:val="24"/>
        </w:rPr>
      </w:pPr>
    </w:p>
    <w:p>
      <w:pPr>
        <w:pStyle w:val="BodyText"/>
        <w:spacing w:line="314" w:lineRule="auto" w:before="36"/>
        <w:ind w:left="216" w:right="0" w:firstLine="420"/>
        <w:jc w:val="left"/>
        <w:rPr>
          <w:rFonts w:ascii="宋体" w:hAnsi="宋体" w:cs="宋体" w:eastAsia="宋体" w:hint="default"/>
        </w:rPr>
      </w:pPr>
      <w:r>
        <w:rPr>
          <w:spacing w:val="-2"/>
        </w:rPr>
        <w:t>财务指标方面，基本每股收益、扣除非经常性损益后的基本每股收益上升，主要是报告期内</w:t>
      </w:r>
      <w:r>
        <w:rPr>
          <w:w w:val="100"/>
        </w:rPr>
        <w:t> </w:t>
      </w:r>
      <w:r>
        <w:rPr/>
        <w:t>股东总额变化较小，而经营成果良好、净利润同比上升所致。</w:t>
      </w:r>
      <w:r>
        <w:rPr>
          <w:rFonts w:ascii="宋体" w:hAnsi="宋体" w:cs="宋体" w:eastAsia="宋体" w:hint="default"/>
        </w:rPr>
        <w:t> </w:t>
      </w:r>
    </w:p>
    <w:p>
      <w:pPr>
        <w:pStyle w:val="BodyText"/>
        <w:spacing w:line="218" w:lineRule="exact"/>
        <w:ind w:left="216" w:right="0"/>
        <w:jc w:val="left"/>
        <w:rPr>
          <w:rFonts w:ascii="宋体" w:hAnsi="宋体" w:cs="宋体" w:eastAsia="宋体" w:hint="default"/>
        </w:rPr>
      </w:pPr>
      <w:r>
        <w:rPr>
          <w:rFonts w:ascii="宋体"/>
          <w:w w:val="100"/>
        </w:rPr>
        <w:t> </w:t>
      </w:r>
    </w:p>
    <w:p>
      <w:pPr>
        <w:pStyle w:val="Heading4"/>
        <w:spacing w:line="357" w:lineRule="auto" w:before="56"/>
        <w:ind w:left="216" w:right="0"/>
        <w:jc w:val="left"/>
        <w:rPr>
          <w:b w:val="0"/>
          <w:bCs w:val="0"/>
        </w:rPr>
      </w:pPr>
      <w:r>
        <w:rPr/>
        <w:t>八、</w:t>
      </w:r>
      <w:r>
        <w:rPr>
          <w:spacing w:val="-33"/>
        </w:rPr>
        <w:t> </w:t>
      </w:r>
      <w:r>
        <w:rPr>
          <w:rFonts w:ascii="宋体" w:hAnsi="宋体" w:cs="宋体" w:eastAsia="宋体" w:hint="default"/>
          <w:spacing w:val="-33"/>
        </w:rPr>
      </w:r>
      <w:r>
        <w:rPr/>
        <w:t>境内外会计准则下会计数据差异</w:t>
      </w:r>
      <w:r>
        <w:rPr>
          <w:w w:val="100"/>
        </w:rPr>
        <w:t> </w:t>
      </w:r>
      <w:r>
        <w:rPr>
          <w:rFonts w:ascii="宋体" w:hAnsi="宋体" w:cs="宋体" w:eastAsia="宋体" w:hint="default"/>
          <w:spacing w:val="2"/>
        </w:rPr>
        <w:t>(</w:t>
      </w:r>
      <w:r>
        <w:rPr>
          <w:spacing w:val="2"/>
        </w:rPr>
        <w:t>一</w:t>
      </w:r>
      <w:r>
        <w:rPr>
          <w:rFonts w:ascii="宋体" w:hAnsi="宋体" w:cs="宋体" w:eastAsia="宋体" w:hint="default"/>
          <w:spacing w:val="2"/>
        </w:rPr>
        <w:t>)</w:t>
      </w:r>
      <w:r>
        <w:rPr>
          <w:spacing w:val="2"/>
        </w:rPr>
        <w:t>同时按照国际会计准则与按中国会计准则披露的财务报告中净利润和归属于上市公司股东</w:t>
      </w:r>
      <w:r>
        <w:rPr>
          <w:b w:val="0"/>
          <w:bCs w:val="0"/>
          <w:spacing w:val="2"/>
        </w:rPr>
      </w:r>
    </w:p>
    <w:p>
      <w:pPr>
        <w:pStyle w:val="Heading4"/>
        <w:spacing w:line="257" w:lineRule="exact" w:before="0"/>
        <w:ind w:left="637" w:right="0"/>
        <w:jc w:val="left"/>
        <w:rPr>
          <w:b w:val="0"/>
          <w:bCs w:val="0"/>
        </w:rPr>
      </w:pPr>
      <w:r>
        <w:rPr/>
        <w:t>的净资产差异情况</w:t>
      </w:r>
      <w:r>
        <w:rPr>
          <w:b w:val="0"/>
          <w:bCs w:val="0"/>
        </w:rPr>
      </w:r>
    </w:p>
    <w:p>
      <w:pPr>
        <w:pStyle w:val="BodyText"/>
        <w:spacing w:line="240" w:lineRule="auto" w:before="145"/>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Heading4"/>
        <w:spacing w:line="367" w:lineRule="auto" w:before="85"/>
        <w:ind w:left="216" w:right="138"/>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w w:val="100"/>
        </w:rPr>
        <w:t>二</w:t>
      </w:r>
      <w:r>
        <w:rPr>
          <w:rFonts w:ascii="宋体" w:hAnsi="宋体" w:cs="宋体" w:eastAsia="宋体" w:hint="default"/>
          <w:w w:val="99"/>
        </w:rPr>
        <w:t>)</w:t>
      </w:r>
      <w:r>
        <w:rPr>
          <w:spacing w:val="4"/>
          <w:w w:val="100"/>
        </w:rPr>
        <w:t>同时按照境外会计准则</w:t>
      </w:r>
      <w:r>
        <w:rPr>
          <w:spacing w:val="2"/>
          <w:w w:val="100"/>
        </w:rPr>
        <w:t>与</w:t>
      </w:r>
      <w:r>
        <w:rPr>
          <w:spacing w:val="4"/>
          <w:w w:val="100"/>
        </w:rPr>
        <w:t>按中国会计准则披露的</w:t>
      </w:r>
      <w:r>
        <w:rPr>
          <w:spacing w:val="2"/>
          <w:w w:val="100"/>
        </w:rPr>
        <w:t>财</w:t>
      </w:r>
      <w:r>
        <w:rPr>
          <w:spacing w:val="4"/>
          <w:w w:val="100"/>
        </w:rPr>
        <w:t>务报告中净利润</w:t>
      </w:r>
      <w:r>
        <w:rPr>
          <w:spacing w:val="5"/>
          <w:w w:val="100"/>
        </w:rPr>
        <w:t>和</w:t>
      </w:r>
      <w:r>
        <w:rPr>
          <w:spacing w:val="4"/>
          <w:w w:val="100"/>
        </w:rPr>
        <w:t>归属</w:t>
      </w:r>
      <w:r>
        <w:rPr>
          <w:spacing w:val="2"/>
          <w:w w:val="100"/>
        </w:rPr>
        <w:t>于</w:t>
      </w:r>
      <w:r>
        <w:rPr>
          <w:spacing w:val="4"/>
          <w:w w:val="100"/>
        </w:rPr>
        <w:t>上市公司股</w:t>
      </w:r>
      <w:r>
        <w:rPr>
          <w:w w:val="100"/>
        </w:rPr>
        <w:t>东</w:t>
      </w:r>
      <w:r>
        <w:rPr>
          <w:b w:val="0"/>
          <w:bCs w:val="0"/>
          <w:w w:val="100"/>
        </w:rPr>
      </w:r>
    </w:p>
    <w:p>
      <w:pPr>
        <w:pStyle w:val="Heading4"/>
        <w:spacing w:line="249" w:lineRule="exact" w:before="0"/>
        <w:ind w:left="637" w:right="0"/>
        <w:jc w:val="left"/>
        <w:rPr>
          <w:b w:val="0"/>
          <w:bCs w:val="0"/>
        </w:rPr>
      </w:pPr>
      <w:r>
        <w:rPr/>
        <w:t>的净资产差异情况</w:t>
      </w:r>
      <w:r>
        <w:rPr>
          <w:b w:val="0"/>
          <w:bCs w:val="0"/>
        </w:rPr>
      </w:r>
    </w:p>
    <w:p>
      <w:pPr>
        <w:pStyle w:val="BodyText"/>
        <w:spacing w:line="273" w:lineRule="exact" w:before="69"/>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16" w:right="5782"/>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w w:val="100"/>
        </w:rPr>
        <w:t>三</w:t>
      </w:r>
      <w:r>
        <w:rPr>
          <w:rFonts w:ascii="宋体" w:hAnsi="宋体" w:cs="宋体" w:eastAsia="宋体" w:hint="default"/>
          <w:w w:val="99"/>
        </w:rPr>
        <w:t>)</w:t>
      </w:r>
      <w:r>
        <w:rPr>
          <w:w w:val="100"/>
        </w:rPr>
        <w:t>境内外会计准则差</w:t>
      </w:r>
      <w:r>
        <w:rPr>
          <w:spacing w:val="-3"/>
          <w:w w:val="100"/>
        </w:rPr>
        <w:t>异</w:t>
      </w:r>
      <w:r>
        <w:rPr>
          <w:w w:val="100"/>
        </w:rPr>
        <w:t>的</w:t>
      </w:r>
      <w:r>
        <w:rPr>
          <w:spacing w:val="-3"/>
          <w:w w:val="100"/>
        </w:rPr>
        <w:t>说</w:t>
      </w:r>
      <w:r>
        <w:rPr>
          <w:w w:val="100"/>
        </w:rPr>
        <w:t>明：</w:t>
      </w:r>
      <w:r>
        <w:rPr>
          <w:b w:val="0"/>
          <w:bCs w:val="0"/>
          <w:w w:val="100"/>
        </w:rPr>
      </w:r>
    </w:p>
    <w:p>
      <w:pPr>
        <w:pStyle w:val="BodyText"/>
        <w:spacing w:line="274" w:lineRule="exact"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t>九、 </w:t>
      </w:r>
      <w:r>
        <w:rPr>
          <w:rFonts w:ascii="宋体" w:hAnsi="宋体" w:cs="宋体" w:eastAsia="宋体" w:hint="default"/>
        </w:rPr>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t>年分季度主要财务数据</w:t>
      </w:r>
      <w:r>
        <w:rPr>
          <w:b w:val="0"/>
          <w:bCs w:val="0"/>
        </w:rPr>
      </w:r>
    </w:p>
    <w:p>
      <w:pPr>
        <w:pStyle w:val="BodyText"/>
        <w:spacing w:line="240" w:lineRule="auto" w:before="43"/>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1844"/>
        <w:gridCol w:w="1558"/>
        <w:gridCol w:w="1560"/>
        <w:gridCol w:w="1702"/>
      </w:tblGrid>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8" w:right="0"/>
              <w:jc w:val="center"/>
              <w:rPr>
                <w:rFonts w:ascii="宋体" w:hAnsi="宋体" w:cs="宋体" w:eastAsia="宋体" w:hint="default"/>
                <w:sz w:val="24"/>
                <w:szCs w:val="24"/>
              </w:rPr>
            </w:pPr>
            <w:r>
              <w:rPr>
                <w:rFonts w:ascii="宋体"/>
                <w:sz w:val="24"/>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59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99"/>
              <w:jc w:val="right"/>
              <w:rPr>
                <w:rFonts w:ascii="Times New Roman" w:hAnsi="Times New Roman" w:cs="Times New Roman" w:eastAsia="Times New Roman" w:hint="default"/>
                <w:sz w:val="21"/>
                <w:szCs w:val="21"/>
              </w:rPr>
            </w:pPr>
            <w:r>
              <w:rPr>
                <w:rFonts w:ascii="Times New Roman"/>
                <w:spacing w:val="-1"/>
                <w:sz w:val="21"/>
              </w:rPr>
              <w:t>107,029,218.37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99"/>
              <w:jc w:val="right"/>
              <w:rPr>
                <w:rFonts w:ascii="Times New Roman" w:hAnsi="Times New Roman" w:cs="Times New Roman" w:eastAsia="Times New Roman" w:hint="default"/>
                <w:sz w:val="21"/>
                <w:szCs w:val="21"/>
              </w:rPr>
            </w:pPr>
            <w:r>
              <w:rPr>
                <w:rFonts w:ascii="Times New Roman"/>
                <w:spacing w:val="-1"/>
                <w:sz w:val="21"/>
              </w:rPr>
              <w:t>357,445,279.92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pacing w:val="-1"/>
                <w:sz w:val="21"/>
              </w:rPr>
              <w:t>293,919,998.05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99"/>
              <w:jc w:val="right"/>
              <w:rPr>
                <w:rFonts w:ascii="Times New Roman" w:hAnsi="Times New Roman" w:cs="Times New Roman" w:eastAsia="Times New Roman" w:hint="default"/>
                <w:sz w:val="21"/>
                <w:szCs w:val="21"/>
              </w:rPr>
            </w:pPr>
            <w:r>
              <w:rPr>
                <w:rFonts w:ascii="Times New Roman"/>
                <w:spacing w:val="-1"/>
                <w:sz w:val="21"/>
              </w:rPr>
              <w:t>620,864,384.88</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-6,005,694.37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30,488,088.04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57,874,301.81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131,178,271.70</w:t>
            </w:r>
          </w:p>
        </w:tc>
      </w:tr>
      <w:tr>
        <w:trPr>
          <w:trHeight w:val="82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归属于上市公司股东</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5"/>
                <w:sz w:val="21"/>
                <w:szCs w:val="21"/>
              </w:rPr>
              <w:t>的扣除非经常性损益</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后的净利润</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-9,184,249.24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27,610,611.25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51,481,985.31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131,312,994.51</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-253,096,784.19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-19,434,198.99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-48,783,972.56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199,320,569.27</w:t>
            </w:r>
          </w:p>
        </w:tc>
      </w:tr>
    </w:tbl>
    <w:p>
      <w:pPr>
        <w:spacing w:after="0" w:line="240" w:lineRule="auto"/>
        <w:jc w:val="right"/>
        <w:rPr>
          <w:rFonts w:ascii="Times New Roman" w:hAnsi="Times New Roman" w:cs="Times New Roman" w:eastAsia="Times New Roman" w:hint="default"/>
          <w:sz w:val="21"/>
          <w:szCs w:val="21"/>
        </w:rPr>
        <w:sectPr>
          <w:pgSz w:w="11910" w:h="16840"/>
          <w:pgMar w:header="855" w:footer="979" w:top="1120" w:bottom="116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pPr>
      <w:r>
        <w:rPr>
          <w:spacing w:val="-2"/>
        </w:rPr>
        <w:t>季度数据与已披露定期报告数据差异说明</w:t>
      </w:r>
    </w:p>
    <w:p>
      <w:pPr>
        <w:pStyle w:val="BodyText"/>
        <w:spacing w:line="272" w:lineRule="exact"/>
        <w:ind w:left="216"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t>十、</w:t>
      </w:r>
      <w:r>
        <w:rPr>
          <w:spacing w:val="39"/>
        </w:rPr>
        <w:t> </w:t>
      </w:r>
      <w:r>
        <w:rPr>
          <w:rFonts w:ascii="宋体" w:hAnsi="宋体" w:cs="宋体" w:eastAsia="宋体" w:hint="default"/>
          <w:spacing w:val="39"/>
        </w:rPr>
      </w:r>
      <w:r>
        <w:rPr/>
        <w:t>非经常性损益项目和金额</w:t>
      </w:r>
      <w:r>
        <w:rPr>
          <w:b w:val="0"/>
          <w:bCs w:val="0"/>
        </w:rPr>
      </w:r>
    </w:p>
    <w:p>
      <w:pPr>
        <w:pStyle w:val="BodyText"/>
        <w:spacing w:line="240" w:lineRule="auto" w:before="56"/>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1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4003" w:space="2731"/>
            <w:col w:w="255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59"/>
        <w:gridCol w:w="1822"/>
        <w:gridCol w:w="651"/>
        <w:gridCol w:w="1699"/>
        <w:gridCol w:w="1820"/>
      </w:tblGrid>
      <w:tr>
        <w:trPr>
          <w:trHeight w:val="129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84"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年金额</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80" w:lineRule="auto" w:before="44"/>
              <w:ind w:left="108" w:right="108"/>
              <w:jc w:val="center"/>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年金额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329"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-2,905,689.49</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8,380,529.44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-163,044.23</w:t>
            </w:r>
          </w:p>
        </w:tc>
      </w:tr>
      <w:tr>
        <w:trPr>
          <w:trHeight w:val="972"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99"/>
              <w:jc w:val="both"/>
              <w:rPr>
                <w:rFonts w:ascii="宋体" w:hAnsi="宋体" w:cs="宋体" w:eastAsia="宋体" w:hint="default"/>
                <w:sz w:val="21"/>
                <w:szCs w:val="21"/>
              </w:rPr>
            </w:pPr>
            <w:r>
              <w:rPr>
                <w:rFonts w:ascii="宋体" w:hAnsi="宋体" w:cs="宋体" w:eastAsia="宋体" w:hint="default"/>
                <w:w w:val="100"/>
                <w:sz w:val="21"/>
                <w:szCs w:val="21"/>
              </w:rPr>
              <w:t>计入</w:t>
            </w:r>
            <w:r>
              <w:rPr>
                <w:rFonts w:ascii="宋体" w:hAnsi="宋体" w:cs="宋体" w:eastAsia="宋体" w:hint="default"/>
                <w:spacing w:val="-3"/>
                <w:w w:val="100"/>
                <w:sz w:val="21"/>
                <w:szCs w:val="21"/>
              </w:rPr>
              <w:t>当</w:t>
            </w:r>
            <w:r>
              <w:rPr>
                <w:rFonts w:ascii="宋体" w:hAnsi="宋体" w:cs="宋体" w:eastAsia="宋体" w:hint="default"/>
                <w:w w:val="100"/>
                <w:sz w:val="21"/>
                <w:szCs w:val="21"/>
              </w:rPr>
              <w:t>期</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政</w:t>
            </w:r>
            <w:r>
              <w:rPr>
                <w:rFonts w:ascii="宋体" w:hAnsi="宋体" w:cs="宋体" w:eastAsia="宋体" w:hint="default"/>
                <w:spacing w:val="-3"/>
                <w:w w:val="100"/>
                <w:sz w:val="21"/>
                <w:szCs w:val="21"/>
              </w:rPr>
              <w:t>府</w:t>
            </w:r>
            <w:r>
              <w:rPr>
                <w:rFonts w:ascii="宋体" w:hAnsi="宋体" w:cs="宋体" w:eastAsia="宋体" w:hint="default"/>
                <w:w w:val="100"/>
                <w:sz w:val="21"/>
                <w:szCs w:val="21"/>
              </w:rPr>
              <w:t>补</w:t>
            </w:r>
            <w:r>
              <w:rPr>
                <w:rFonts w:ascii="宋体" w:hAnsi="宋体" w:cs="宋体" w:eastAsia="宋体" w:hint="default"/>
                <w:spacing w:val="-3"/>
                <w:w w:val="100"/>
                <w:sz w:val="21"/>
                <w:szCs w:val="21"/>
              </w:rPr>
              <w:t>助</w:t>
            </w:r>
            <w:r>
              <w:rPr>
                <w:rFonts w:ascii="宋体" w:hAnsi="宋体" w:cs="宋体" w:eastAsia="宋体" w:hint="default"/>
                <w:spacing w:val="-101"/>
                <w:w w:val="100"/>
                <w:sz w:val="21"/>
                <w:szCs w:val="21"/>
              </w:rPr>
              <w:t>，</w:t>
            </w:r>
            <w:r>
              <w:rPr>
                <w:rFonts w:ascii="宋体" w:hAnsi="宋体" w:cs="宋体" w:eastAsia="宋体" w:hint="default"/>
                <w:w w:val="100"/>
                <w:sz w:val="21"/>
                <w:szCs w:val="21"/>
              </w:rPr>
              <w:t>但与</w:t>
            </w:r>
            <w:r>
              <w:rPr>
                <w:rFonts w:ascii="宋体" w:hAnsi="宋体" w:cs="宋体" w:eastAsia="宋体" w:hint="default"/>
                <w:w w:val="100"/>
                <w:sz w:val="21"/>
                <w:szCs w:val="21"/>
              </w:rPr>
              <w:t> 公司</w:t>
            </w:r>
            <w:r>
              <w:rPr>
                <w:rFonts w:ascii="宋体" w:hAnsi="宋体" w:cs="宋体" w:eastAsia="宋体" w:hint="default"/>
                <w:spacing w:val="-3"/>
                <w:w w:val="100"/>
                <w:sz w:val="21"/>
                <w:szCs w:val="21"/>
              </w:rPr>
              <w:t>正</w:t>
            </w:r>
            <w:r>
              <w:rPr>
                <w:rFonts w:ascii="宋体" w:hAnsi="宋体" w:cs="宋体" w:eastAsia="宋体" w:hint="default"/>
                <w:w w:val="100"/>
                <w:sz w:val="21"/>
                <w:szCs w:val="21"/>
              </w:rPr>
              <w:t>常</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密</w:t>
            </w:r>
            <w:r>
              <w:rPr>
                <w:rFonts w:ascii="宋体" w:hAnsi="宋体" w:cs="宋体" w:eastAsia="宋体" w:hint="default"/>
                <w:w w:val="100"/>
                <w:sz w:val="21"/>
                <w:szCs w:val="21"/>
              </w:rPr>
              <w:t>切</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101"/>
                <w:w w:val="100"/>
                <w:sz w:val="21"/>
                <w:szCs w:val="21"/>
              </w:rPr>
              <w:t>，</w:t>
            </w:r>
            <w:r>
              <w:rPr>
                <w:rFonts w:ascii="宋体" w:hAnsi="宋体" w:cs="宋体" w:eastAsia="宋体" w:hint="default"/>
                <w:w w:val="100"/>
                <w:sz w:val="21"/>
                <w:szCs w:val="21"/>
              </w:rPr>
              <w:t>符</w:t>
            </w:r>
            <w:r>
              <w:rPr>
                <w:rFonts w:ascii="宋体" w:hAnsi="宋体" w:cs="宋体" w:eastAsia="宋体" w:hint="default"/>
                <w:w w:val="100"/>
                <w:sz w:val="21"/>
                <w:szCs w:val="21"/>
              </w:rPr>
              <w:t> 合国</w:t>
            </w:r>
            <w:r>
              <w:rPr>
                <w:rFonts w:ascii="宋体" w:hAnsi="宋体" w:cs="宋体" w:eastAsia="宋体" w:hint="default"/>
                <w:spacing w:val="-3"/>
                <w:w w:val="100"/>
                <w:sz w:val="21"/>
                <w:szCs w:val="21"/>
              </w:rPr>
              <w:t>家</w:t>
            </w:r>
            <w:r>
              <w:rPr>
                <w:rFonts w:ascii="宋体" w:hAnsi="宋体" w:cs="宋体" w:eastAsia="宋体" w:hint="default"/>
                <w:w w:val="100"/>
                <w:sz w:val="21"/>
                <w:szCs w:val="21"/>
              </w:rPr>
              <w:t>政</w:t>
            </w:r>
            <w:r>
              <w:rPr>
                <w:rFonts w:ascii="宋体" w:hAnsi="宋体" w:cs="宋体" w:eastAsia="宋体" w:hint="default"/>
                <w:spacing w:val="-3"/>
                <w:w w:val="100"/>
                <w:sz w:val="21"/>
                <w:szCs w:val="21"/>
              </w:rPr>
              <w:t>策</w:t>
            </w:r>
            <w:r>
              <w:rPr>
                <w:rFonts w:ascii="宋体" w:hAnsi="宋体" w:cs="宋体" w:eastAsia="宋体" w:hint="default"/>
                <w:w w:val="100"/>
                <w:sz w:val="21"/>
                <w:szCs w:val="21"/>
              </w:rPr>
              <w:t>规</w:t>
            </w:r>
            <w:r>
              <w:rPr>
                <w:rFonts w:ascii="宋体" w:hAnsi="宋体" w:cs="宋体" w:eastAsia="宋体" w:hint="default"/>
                <w:spacing w:val="-3"/>
                <w:w w:val="100"/>
                <w:sz w:val="21"/>
                <w:szCs w:val="21"/>
              </w:rPr>
              <w:t>定</w:t>
            </w:r>
            <w:r>
              <w:rPr>
                <w:rFonts w:ascii="宋体" w:hAnsi="宋体" w:cs="宋体" w:eastAsia="宋体" w:hint="default"/>
                <w:spacing w:val="-101"/>
                <w:w w:val="100"/>
                <w:sz w:val="21"/>
                <w:szCs w:val="21"/>
              </w:rPr>
              <w:t>、</w:t>
            </w:r>
            <w:r>
              <w:rPr>
                <w:rFonts w:ascii="宋体" w:hAnsi="宋体" w:cs="宋体" w:eastAsia="宋体" w:hint="default"/>
                <w:w w:val="100"/>
                <w:sz w:val="21"/>
                <w:szCs w:val="21"/>
              </w:rPr>
              <w:t>按</w:t>
            </w:r>
            <w:r>
              <w:rPr>
                <w:rFonts w:ascii="宋体" w:hAnsi="宋体" w:cs="宋体" w:eastAsia="宋体" w:hint="default"/>
                <w:spacing w:val="-3"/>
                <w:w w:val="100"/>
                <w:sz w:val="21"/>
                <w:szCs w:val="21"/>
              </w:rPr>
              <w:t>照</w:t>
            </w:r>
            <w:r>
              <w:rPr>
                <w:rFonts w:ascii="宋体" w:hAnsi="宋体" w:cs="宋体" w:eastAsia="宋体" w:hint="default"/>
                <w:w w:val="100"/>
                <w:sz w:val="21"/>
                <w:szCs w:val="21"/>
              </w:rPr>
              <w:t>一</w:t>
            </w:r>
            <w:r>
              <w:rPr>
                <w:rFonts w:ascii="宋体" w:hAnsi="宋体" w:cs="宋体" w:eastAsia="宋体" w:hint="default"/>
                <w:spacing w:val="-3"/>
                <w:w w:val="100"/>
                <w:sz w:val="21"/>
                <w:szCs w:val="21"/>
              </w:rPr>
              <w:t>定</w:t>
            </w:r>
            <w:r>
              <w:rPr>
                <w:rFonts w:ascii="宋体" w:hAnsi="宋体" w:cs="宋体" w:eastAsia="宋体" w:hint="default"/>
                <w:w w:val="100"/>
                <w:sz w:val="21"/>
                <w:szCs w:val="21"/>
              </w:rPr>
              <w:t>标准</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14,817,858.80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8,790,301.11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9,139,913.30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059"/>
        <w:gridCol w:w="1822"/>
        <w:gridCol w:w="651"/>
        <w:gridCol w:w="1699"/>
        <w:gridCol w:w="1820"/>
      </w:tblGrid>
      <w:tr>
        <w:trPr>
          <w:trHeight w:val="65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209"/>
              <w:jc w:val="left"/>
              <w:rPr>
                <w:rFonts w:ascii="宋体" w:hAnsi="宋体" w:cs="宋体" w:eastAsia="宋体" w:hint="default"/>
                <w:sz w:val="21"/>
                <w:szCs w:val="21"/>
              </w:rPr>
            </w:pPr>
            <w:r>
              <w:rPr>
                <w:rFonts w:ascii="宋体" w:hAnsi="宋体" w:cs="宋体" w:eastAsia="宋体" w:hint="default"/>
                <w:spacing w:val="-2"/>
                <w:sz w:val="21"/>
                <w:szCs w:val="21"/>
              </w:rPr>
              <w:t>定额或定量持续享受的政府补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助除外</w:t>
            </w:r>
          </w:p>
        </w:tc>
        <w:tc>
          <w:tcPr>
            <w:tcW w:w="1822"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90"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99"/>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r>
              <w:rPr>
                <w:rFonts w:ascii="宋体" w:hAnsi="宋体" w:cs="宋体" w:eastAsia="宋体" w:hint="default"/>
                <w:w w:val="100"/>
                <w:sz w:val="21"/>
                <w:szCs w:val="21"/>
              </w:rPr>
              <w:t> </w:t>
            </w:r>
            <w:r>
              <w:rPr>
                <w:rFonts w:ascii="宋体" w:hAnsi="宋体" w:cs="宋体" w:eastAsia="宋体" w:hint="default"/>
                <w:spacing w:val="-9"/>
                <w:w w:val="100"/>
                <w:sz w:val="21"/>
                <w:szCs w:val="21"/>
              </w:rPr>
              <w:t>有效套期保值业务外，持有交易</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9"/>
                <w:sz w:val="21"/>
                <w:szCs w:val="21"/>
              </w:rPr>
              <w:t>性金融资产、衍生金融资产、交</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9"/>
                <w:w w:val="100"/>
                <w:sz w:val="21"/>
                <w:szCs w:val="21"/>
              </w:rPr>
              <w:t>易性金融负债、衍生金融负债产</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9"/>
                <w:w w:val="100"/>
                <w:sz w:val="21"/>
                <w:szCs w:val="21"/>
              </w:rPr>
              <w:t>生的公允价值变动损益，以及处</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9"/>
                <w:w w:val="100"/>
                <w:sz w:val="21"/>
                <w:szCs w:val="21"/>
              </w:rPr>
              <w:t>置交易性金融资产、衍生金融资</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9"/>
                <w:sz w:val="21"/>
                <w:szCs w:val="21"/>
              </w:rPr>
              <w:t>产、交易性金融负债、衍生金融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负债和其他债权投资取得的投</w:t>
            </w:r>
            <w:r>
              <w:rPr>
                <w:rFonts w:ascii="宋体" w:hAnsi="宋体" w:cs="宋体" w:eastAsia="宋体" w:hint="default"/>
                <w:w w:val="100"/>
                <w:sz w:val="21"/>
                <w:szCs w:val="21"/>
              </w:rPr>
              <w:t> </w:t>
            </w:r>
            <w:r>
              <w:rPr>
                <w:rFonts w:ascii="宋体" w:hAnsi="宋体" w:cs="宋体" w:eastAsia="宋体" w:hint="default"/>
                <w:sz w:val="21"/>
                <w:szCs w:val="21"/>
              </w:rPr>
              <w:t>资收益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4,911,978.37</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7,017,396.92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13,141,230.10</w:t>
            </w:r>
          </w:p>
        </w:tc>
      </w:tr>
      <w:tr>
        <w:trPr>
          <w:trHeight w:val="65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209"/>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收入和支出</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-2,046,805.55</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-1,449,150.40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-2,211,102.51</w:t>
            </w:r>
          </w:p>
        </w:tc>
      </w:tr>
      <w:tr>
        <w:trPr>
          <w:trHeight w:val="329"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-844,771.77</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-75,252.77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92,918.23</w:t>
            </w:r>
          </w:p>
        </w:tc>
      </w:tr>
      <w:tr>
        <w:trPr>
          <w:trHeight w:val="33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1"/>
                <w:sz w:val="21"/>
              </w:rPr>
              <w:t>-1,618,945.01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-3,257,090.45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pacing w:val="-1"/>
                <w:sz w:val="21"/>
              </w:rPr>
              <w:t>-2,927,582.88</w:t>
            </w:r>
          </w:p>
        </w:tc>
      </w:tr>
      <w:tr>
        <w:trPr>
          <w:trHeight w:val="331"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12,313,625.35</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19,406,733.85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17,072,332.01</w:t>
            </w:r>
          </w:p>
        </w:tc>
      </w:tr>
    </w:tbl>
    <w:p>
      <w:pPr>
        <w:spacing w:after="0" w:line="240" w:lineRule="auto"/>
        <w:jc w:val="right"/>
        <w:rPr>
          <w:rFonts w:ascii="Times New Roman" w:hAnsi="Times New Roman" w:cs="Times New Roman" w:eastAsia="Times New Roman" w:hint="default"/>
          <w:sz w:val="21"/>
          <w:szCs w:val="21"/>
        </w:rPr>
        <w:sectPr>
          <w:pgSz w:w="11910" w:h="16840"/>
          <w:pgMar w:header="855" w:footer="979" w:top="1120" w:bottom="116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2"/>
        <w:jc w:val="left"/>
        <w:rPr>
          <w:b w:val="0"/>
          <w:bCs w:val="0"/>
        </w:rPr>
      </w:pPr>
      <w:r>
        <w:rPr>
          <w:spacing w:val="-1"/>
        </w:rPr>
        <w:t>十一、采用公允价值计量的项目</w:t>
      </w:r>
      <w:r>
        <w:rPr>
          <w:b w:val="0"/>
          <w:bCs w:val="0"/>
          <w:spacing w:val="-1"/>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0"/>
          <w:szCs w:val="20"/>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60" w:right="1560"/>
          <w:cols w:num="2" w:equalWidth="0">
            <w:col w:w="3172" w:space="335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40"/>
        <w:gridCol w:w="1582"/>
        <w:gridCol w:w="1687"/>
        <w:gridCol w:w="1875"/>
        <w:gridCol w:w="1741"/>
      </w:tblGrid>
      <w:tr>
        <w:trPr>
          <w:trHeight w:val="557"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5"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1" w:right="0"/>
              <w:jc w:val="left"/>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响金额</w:t>
            </w:r>
            <w:r>
              <w:rPr>
                <w:rFonts w:ascii="宋体" w:hAnsi="宋体" w:cs="宋体" w:eastAsia="宋体" w:hint="default"/>
                <w:sz w:val="21"/>
                <w:szCs w:val="21"/>
              </w:rPr>
              <w:t> </w:t>
            </w:r>
          </w:p>
        </w:tc>
      </w:tr>
      <w:tr>
        <w:trPr>
          <w:trHeight w:val="281"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954,170.15</w:t>
            </w:r>
          </w:p>
        </w:tc>
      </w:tr>
      <w:tr>
        <w:trPr>
          <w:trHeight w:val="28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1,920,405.10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1,920,405.10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-24,605.63</w:t>
            </w:r>
          </w:p>
        </w:tc>
      </w:tr>
      <w:tr>
        <w:trPr>
          <w:trHeight w:val="281"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2,000,000.00</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-3,000,000.00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586"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长期应付款（含一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年内到期）</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94,857,142.84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108,571,428.54</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13,714,285.70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-13,714,285.70</w:t>
            </w:r>
          </w:p>
        </w:tc>
      </w:tr>
      <w:tr>
        <w:trPr>
          <w:trHeight w:val="283"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99,857,142.84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112,491,833.64</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12,634,690.80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-9,784,721.18</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t>十二、其他</w:t>
      </w:r>
      <w:r>
        <w:rPr>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tabs>
          <w:tab w:pos="3097" w:val="left" w:leader="none"/>
        </w:tabs>
        <w:spacing w:line="274" w:lineRule="exact"/>
        <w:ind w:left="216"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type w:val="continuous"/>
          <w:pgSz w:w="11910" w:h="16840"/>
          <w:pgMar w:top="1500" w:bottom="280" w:left="1060" w:right="1560"/>
        </w:sectPr>
      </w:pPr>
    </w:p>
    <w:p>
      <w:pPr>
        <w:spacing w:line="240" w:lineRule="auto" w:before="3"/>
        <w:rPr>
          <w:rFonts w:ascii="宋体" w:hAnsi="宋体" w:cs="宋体" w:eastAsia="宋体" w:hint="default"/>
          <w:sz w:val="19"/>
          <w:szCs w:val="19"/>
        </w:rPr>
      </w:pPr>
    </w:p>
    <w:p>
      <w:pPr>
        <w:pStyle w:val="Heading1"/>
        <w:spacing w:line="240" w:lineRule="auto"/>
        <w:ind w:left="3201" w:right="3277"/>
        <w:jc w:val="center"/>
        <w:rPr>
          <w:b w:val="0"/>
          <w:bCs w:val="0"/>
        </w:rPr>
      </w:pPr>
      <w:bookmarkStart w:name="_bookmark2" w:id="3"/>
      <w:bookmarkEnd w:id="3"/>
      <w:r>
        <w:rPr>
          <w:b w:val="0"/>
          <w:bCs w:val="0"/>
        </w:rPr>
      </w:r>
      <w:r>
        <w:rPr/>
        <w:t>第三节</w:t>
      </w:r>
      <w:r>
        <w:rPr>
          <w:spacing w:val="-3"/>
        </w:rPr>
        <w:t> </w:t>
      </w:r>
      <w:r>
        <w:rPr/>
        <w:t>公司业务概要</w:t>
      </w:r>
      <w:r>
        <w:rPr>
          <w:b w:val="0"/>
          <w:bCs w:val="0"/>
        </w:rPr>
      </w:r>
    </w:p>
    <w:p>
      <w:pPr>
        <w:spacing w:line="240" w:lineRule="auto" w:before="5"/>
        <w:rPr>
          <w:rFonts w:ascii="黑体" w:hAnsi="黑体" w:cs="黑体" w:eastAsia="黑体" w:hint="default"/>
          <w:b/>
          <w:bCs/>
          <w:sz w:val="19"/>
          <w:szCs w:val="19"/>
        </w:rPr>
      </w:pPr>
    </w:p>
    <w:p>
      <w:pPr>
        <w:spacing w:line="355" w:lineRule="auto" w:before="0"/>
        <w:ind w:left="557" w:right="0" w:hanging="421"/>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公司是数字政府服务与运营商、公共安全大数据专家、信创软件产品提供商和综合集成服务</w:t>
      </w:r>
    </w:p>
    <w:p>
      <w:pPr>
        <w:pStyle w:val="BodyText"/>
        <w:spacing w:line="259" w:lineRule="exact"/>
        <w:ind w:left="136" w:right="0"/>
        <w:jc w:val="both"/>
      </w:pPr>
      <w:r>
        <w:rPr/>
        <w:t>商，是推进国家治理体系和治理能力现代化的知名科技公司。公司专注于政务服务、政务监管、</w:t>
      </w:r>
    </w:p>
    <w:p>
      <w:pPr>
        <w:pStyle w:val="BodyText"/>
        <w:spacing w:line="304" w:lineRule="auto" w:before="85"/>
        <w:ind w:left="136" w:right="208"/>
        <w:jc w:val="both"/>
      </w:pPr>
      <w:r>
        <w:rPr>
          <w:spacing w:val="-1"/>
        </w:rPr>
        <w:t>政务大数据、电子证照、政务办公、政务督查等数字政府领域的业务中台、应用产品、解决方案</w:t>
      </w:r>
      <w:r>
        <w:rPr>
          <w:spacing w:val="-55"/>
        </w:rPr>
        <w:t> </w:t>
      </w:r>
      <w:r>
        <w:rPr>
          <w:spacing w:val="-55"/>
        </w:rPr>
      </w:r>
      <w:r>
        <w:rPr>
          <w:spacing w:val="-5"/>
        </w:rPr>
        <w:t>和数据运营服务；专注于公共安全领域智能感知数据采集、传输与治理、视频图像 </w:t>
      </w:r>
      <w:r>
        <w:rPr>
          <w:rFonts w:ascii="Times New Roman" w:hAnsi="Times New Roman" w:cs="Times New Roman" w:eastAsia="Times New Roman" w:hint="default"/>
        </w:rPr>
        <w:t>AI </w:t>
      </w:r>
      <w:r>
        <w:rPr/>
        <w:t>中台与数据</w:t>
      </w:r>
      <w:r>
        <w:rPr>
          <w:spacing w:val="-84"/>
        </w:rPr>
        <w:t> </w:t>
      </w:r>
      <w:r>
        <w:rPr>
          <w:spacing w:val="-84"/>
        </w:rPr>
      </w:r>
      <w:r>
        <w:rPr/>
        <w:t>中台、警务实战应用产品的研究与开发；其他创新业务。</w:t>
      </w:r>
    </w:p>
    <w:p>
      <w:pPr>
        <w:spacing w:line="314" w:lineRule="auto" w:before="148"/>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（一）行业发展因素分析</w:t>
      </w:r>
      <w:r>
        <w:rPr>
          <w:rFonts w:ascii="宋体" w:hAnsi="宋体" w:cs="宋体" w:eastAsia="宋体" w:hint="default"/>
          <w:b/>
          <w:bCs/>
          <w:w w:val="100"/>
          <w:sz w:val="21"/>
          <w:szCs w:val="21"/>
        </w:rPr>
        <w:t> </w:t>
      </w:r>
      <w:r>
        <w:rPr>
          <w:rFonts w:ascii="宋体" w:hAnsi="宋体" w:cs="宋体" w:eastAsia="宋体" w:hint="default"/>
          <w:spacing w:val="-2"/>
          <w:sz w:val="21"/>
          <w:szCs w:val="21"/>
        </w:rPr>
        <w:t>在国家治理体系和治理能力现代化战略的牵引下，各级政府加快数字化转型，数字政府建设</w:t>
      </w:r>
    </w:p>
    <w:p>
      <w:pPr>
        <w:pStyle w:val="BodyText"/>
        <w:spacing w:line="309" w:lineRule="auto" w:before="20"/>
        <w:ind w:left="136" w:right="208"/>
        <w:jc w:val="both"/>
      </w:pPr>
      <w:r>
        <w:rPr>
          <w:spacing w:val="-7"/>
        </w:rPr>
        <w:t>进入加速期，国家和各省（市、自治区）纷纷出台加快“数字政府”建设相关政策。在习主席“网</w:t>
      </w:r>
      <w:r>
        <w:rPr>
          <w:spacing w:val="-16"/>
        </w:rPr>
        <w:t> </w:t>
      </w:r>
      <w:r>
        <w:rPr>
          <w:spacing w:val="-16"/>
        </w:rPr>
      </w:r>
      <w:r>
        <w:rPr/>
        <w:t>络强国”战略指引下，数字政府建设呈现全面纵深发展的趋势，互联网</w:t>
      </w:r>
      <w:r>
        <w:rPr>
          <w:rFonts w:ascii="Times New Roman" w:hAnsi="Times New Roman" w:cs="Times New Roman" w:eastAsia="Times New Roman" w:hint="default"/>
        </w:rPr>
        <w:t>+</w:t>
      </w:r>
      <w:r>
        <w:rPr/>
        <w:t>政务服务从政府供给导</w:t>
      </w:r>
      <w:r>
        <w:rPr>
          <w:spacing w:val="-5"/>
        </w:rPr>
        <w:t> </w:t>
      </w:r>
      <w:r>
        <w:rPr>
          <w:spacing w:val="-5"/>
        </w:rPr>
      </w:r>
      <w:r>
        <w:rPr>
          <w:spacing w:val="-3"/>
        </w:rPr>
        <w:t>向逐步向群众需求导向转变，</w:t>
      </w:r>
      <w:r>
        <w:rPr>
          <w:rFonts w:ascii="Times New Roman" w:hAnsi="Times New Roman" w:cs="Times New Roman" w:eastAsia="Times New Roman" w:hint="default"/>
          <w:spacing w:val="-3"/>
        </w:rPr>
        <w:t>C </w:t>
      </w:r>
      <w:r>
        <w:rPr>
          <w:spacing w:val="-4"/>
        </w:rPr>
        <w:t>端需求空前活跃；互联网</w:t>
      </w:r>
      <w:r>
        <w:rPr>
          <w:rFonts w:ascii="Times New Roman" w:hAnsi="Times New Roman" w:cs="Times New Roman" w:eastAsia="Times New Roman" w:hint="default"/>
          <w:spacing w:val="-4"/>
        </w:rPr>
        <w:t>+</w:t>
      </w:r>
      <w:r>
        <w:rPr>
          <w:spacing w:val="-4"/>
        </w:rPr>
        <w:t>监管系统建设全面启动，推动实现“精</w:t>
      </w:r>
      <w:r>
        <w:rPr>
          <w:spacing w:val="-91"/>
        </w:rPr>
        <w:t> </w:t>
      </w:r>
      <w:r>
        <w:rPr>
          <w:spacing w:val="-91"/>
        </w:rPr>
      </w:r>
      <w:r>
        <w:rPr>
          <w:spacing w:val="-1"/>
        </w:rPr>
        <w:t>准监管”和“智慧监管”；信息技术应用创新试点告一段落，应用范围即将进一步扩大。此外，</w:t>
      </w:r>
      <w:r>
        <w:rPr>
          <w:spacing w:val="-56"/>
        </w:rPr>
        <w:t> </w:t>
      </w:r>
      <w:r>
        <w:rPr>
          <w:spacing w:val="-56"/>
        </w:rPr>
      </w:r>
      <w:r>
        <w:rPr>
          <w:spacing w:val="-1"/>
        </w:rPr>
        <w:t>疫情进一步凸显了跨部门、跨城市间数据融合的需求与紧迫性。在这个过程中，大量数字化应用</w:t>
      </w:r>
      <w:r>
        <w:rPr>
          <w:spacing w:val="-55"/>
        </w:rPr>
        <w:t> </w:t>
      </w:r>
      <w:r>
        <w:rPr>
          <w:spacing w:val="-55"/>
        </w:rPr>
      </w:r>
      <w:r>
        <w:rPr>
          <w:spacing w:val="-1"/>
        </w:rPr>
        <w:t>快速落地并发挥价值，从应急管理、公共安全、政务服务到智慧社区，数字政府建设将迎来又一</w:t>
      </w:r>
      <w:r>
        <w:rPr>
          <w:spacing w:val="-55"/>
        </w:rPr>
        <w:t> </w:t>
      </w:r>
      <w:r>
        <w:rPr>
          <w:spacing w:val="-55"/>
        </w:rPr>
      </w:r>
      <w:r>
        <w:rPr/>
        <w:t>波加速投入。</w:t>
      </w:r>
    </w:p>
    <w:p>
      <w:pPr>
        <w:pStyle w:val="BodyText"/>
        <w:spacing w:line="307" w:lineRule="auto" w:before="24"/>
        <w:ind w:left="136" w:right="208" w:firstLine="420"/>
        <w:jc w:val="both"/>
      </w:pPr>
      <w:r>
        <w:rPr>
          <w:spacing w:val="-2"/>
        </w:rPr>
        <w:t>在公共安全领域，大数据成为推动公安工作创新发展的大引擎，为公安工作培育战斗力生成</w:t>
      </w:r>
      <w:r>
        <w:rPr>
          <w:w w:val="100"/>
        </w:rPr>
        <w:t> </w:t>
      </w:r>
      <w:r>
        <w:rPr>
          <w:spacing w:val="-1"/>
        </w:rPr>
        <w:t>新的增长点，全面助推公安工作质量变革、效率变革、动力变革。“平安城市”、“雪亮工程”</w:t>
      </w:r>
      <w:r>
        <w:rPr>
          <w:spacing w:val="-56"/>
        </w:rPr>
        <w:t> </w:t>
      </w:r>
      <w:r>
        <w:rPr>
          <w:spacing w:val="-56"/>
        </w:rPr>
      </w:r>
      <w:r>
        <w:rPr/>
        <w:t>等项目建设，促使公安各部门间数据进一步打通。此外进入 </w:t>
      </w:r>
      <w:r>
        <w:rPr>
          <w:rFonts w:ascii="Times New Roman" w:hAnsi="Times New Roman" w:cs="Times New Roman" w:eastAsia="Times New Roman" w:hint="default"/>
        </w:rPr>
        <w:t>5G</w:t>
      </w:r>
      <w:r>
        <w:rPr>
          <w:rFonts w:ascii="Times New Roman" w:hAnsi="Times New Roman" w:cs="Times New Roman" w:eastAsia="Times New Roman" w:hint="default"/>
          <w:spacing w:val="11"/>
        </w:rPr>
        <w:t> </w:t>
      </w:r>
      <w:r>
        <w:rPr/>
        <w:t>时代后，车辆、人员数据大幅增</w:t>
      </w:r>
      <w:r>
        <w:rPr>
          <w:w w:val="100"/>
        </w:rPr>
        <w:t> </w:t>
      </w:r>
      <w:r>
        <w:rPr/>
        <w:t>长，预计未来</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年公安部门掌握数据量将呈现爆发式增长。产业发展推动公安大数据技术快速升</w:t>
      </w:r>
      <w:r>
        <w:rPr>
          <w:w w:val="100"/>
        </w:rPr>
        <w:t> </w:t>
      </w:r>
      <w:r>
        <w:rPr>
          <w:spacing w:val="-1"/>
        </w:rPr>
        <w:t>级，公安大数据标准、数据处理能力、平台和软件使用能力面临更高的要求，带动公安软件应用</w:t>
      </w:r>
      <w:r>
        <w:rPr>
          <w:spacing w:val="-55"/>
        </w:rPr>
        <w:t> </w:t>
      </w:r>
      <w:r>
        <w:rPr>
          <w:spacing w:val="-55"/>
        </w:rPr>
      </w:r>
      <w:r>
        <w:rPr/>
        <w:t>范围的不断拓展。</w:t>
      </w:r>
    </w:p>
    <w:p>
      <w:pPr>
        <w:pStyle w:val="BodyText"/>
        <w:spacing w:line="309" w:lineRule="auto" w:before="26"/>
        <w:ind w:left="136" w:right="103" w:firstLine="420"/>
        <w:jc w:val="left"/>
      </w:pPr>
      <w:r>
        <w:rPr/>
        <w:t>经过初期的爆发式增长，中国的智慧城市建设进入认识深化和理性实践阶段。</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月，</w:t>
      </w:r>
      <w:r>
        <w:rPr>
          <w:spacing w:val="-3"/>
          <w:w w:val="100"/>
        </w:rPr>
        <w:t> </w:t>
      </w:r>
      <w:r>
        <w:rPr/>
        <w:t>我国正式实施《智慧城市顶层设计指南》。在此指引下，顶层设计或总体规划成为智慧城市建设</w:t>
      </w:r>
      <w:r>
        <w:rPr>
          <w:spacing w:val="-97"/>
        </w:rPr>
        <w:t> </w:t>
      </w:r>
      <w:r>
        <w:rPr>
          <w:spacing w:val="-97"/>
        </w:rPr>
      </w:r>
      <w:r>
        <w:rPr>
          <w:spacing w:val="-7"/>
        </w:rPr>
        <w:t>实施的前提，城市运营管理、政府政务、城市大数据、交通出行、应急管理的需求持续快速增长。</w:t>
      </w:r>
      <w:r>
        <w:rPr>
          <w:spacing w:val="-14"/>
        </w:rPr>
        <w:t> </w:t>
      </w:r>
      <w:r>
        <w:rPr>
          <w:spacing w:val="-14"/>
        </w:rPr>
      </w:r>
      <w:r>
        <w:rPr/>
        <w:t>随着 </w:t>
      </w:r>
      <w:r>
        <w:rPr>
          <w:rFonts w:ascii="Times New Roman" w:hAnsi="Times New Roman" w:cs="Times New Roman" w:eastAsia="Times New Roman" w:hint="default"/>
        </w:rPr>
        <w:t>5G</w:t>
      </w:r>
      <w:r>
        <w:rPr>
          <w:rFonts w:ascii="Times New Roman" w:hAnsi="Times New Roman" w:cs="Times New Roman" w:eastAsia="Times New Roman" w:hint="default"/>
          <w:spacing w:val="13"/>
        </w:rPr>
        <w:t> </w:t>
      </w:r>
      <w:r>
        <w:rPr/>
        <w:t>时代的来临，物联网和移动互联网将成为信息产业的主要驱动因素。同时，在“数字城</w:t>
      </w:r>
      <w:r>
        <w:rPr>
          <w:spacing w:val="-3"/>
          <w:w w:val="100"/>
        </w:rPr>
        <w:t> </w:t>
      </w:r>
      <w:r>
        <w:rPr/>
        <w:t>市”建设理念引领下，城市物联网应用正向更大规模、更多领域、更高集成的方向加快升级。政</w:t>
      </w:r>
      <w:r>
        <w:rPr>
          <w:spacing w:val="-97"/>
        </w:rPr>
        <w:t> </w:t>
      </w:r>
      <w:r>
        <w:rPr>
          <w:spacing w:val="-97"/>
        </w:rPr>
      </w:r>
      <w:r>
        <w:rPr/>
        <w:t>策驱动型物联网应用将在智慧城市建设运营中起到更重要的作用，特别是在城市精细化管理、智</w:t>
      </w:r>
      <w:r>
        <w:rPr>
          <w:spacing w:val="-97"/>
        </w:rPr>
        <w:t> </w:t>
      </w:r>
      <w:r>
        <w:rPr>
          <w:spacing w:val="-97"/>
        </w:rPr>
      </w:r>
      <w:r>
        <w:rPr/>
        <w:t>慧社区、智慧小镇方面，物联网产业链各类技术成果将优先得到推广与应用。</w:t>
      </w:r>
    </w:p>
    <w:p>
      <w:pPr>
        <w:pStyle w:val="Heading4"/>
        <w:spacing w:line="240" w:lineRule="auto" w:before="25"/>
        <w:ind w:left="559" w:right="2819"/>
        <w:jc w:val="left"/>
        <w:rPr>
          <w:b w:val="0"/>
          <w:bCs w:val="0"/>
        </w:rPr>
      </w:pPr>
      <w:r>
        <w:rPr/>
        <w:t>（二）公司主要业务简介</w:t>
      </w:r>
      <w:r>
        <w:rPr>
          <w:b w:val="0"/>
          <w:bCs w:val="0"/>
        </w:rPr>
      </w:r>
    </w:p>
    <w:p>
      <w:pPr>
        <w:pStyle w:val="Heading4"/>
        <w:spacing w:line="240" w:lineRule="auto" w:before="85"/>
        <w:ind w:left="559" w:right="2819"/>
        <w:jc w:val="left"/>
        <w:rPr>
          <w:b w:val="0"/>
          <w:bCs w:val="0"/>
        </w:rPr>
      </w:pPr>
      <w:r>
        <w:rPr>
          <w:rFonts w:ascii="Times New Roman" w:hAnsi="Times New Roman" w:cs="Times New Roman" w:eastAsia="Times New Roman" w:hint="default"/>
        </w:rPr>
        <w:t>1</w:t>
      </w:r>
      <w:r>
        <w:rPr/>
        <w:t>、数字政府业务概要</w:t>
      </w:r>
      <w:r>
        <w:rPr>
          <w:b w:val="0"/>
          <w:bCs w:val="0"/>
        </w:rPr>
      </w:r>
    </w:p>
    <w:p>
      <w:pPr>
        <w:pStyle w:val="BodyText"/>
        <w:spacing w:line="309" w:lineRule="auto" w:before="69"/>
        <w:ind w:left="136" w:right="209" w:firstLine="420"/>
        <w:jc w:val="both"/>
        <w:rPr>
          <w:rFonts w:ascii="宋体" w:hAnsi="宋体" w:cs="宋体" w:eastAsia="宋体" w:hint="default"/>
        </w:rPr>
      </w:pPr>
      <w:r>
        <w:rPr/>
        <w:t>公司专注于电子政务、互联网</w:t>
      </w:r>
      <w:r>
        <w:rPr>
          <w:rFonts w:ascii="宋体" w:hAnsi="宋体" w:cs="宋体" w:eastAsia="宋体" w:hint="default"/>
        </w:rPr>
        <w:t>+</w:t>
      </w:r>
      <w:r>
        <w:rPr/>
        <w:t>政务领域超</w:t>
      </w:r>
      <w:r>
        <w:rPr>
          <w:spacing w:val="-49"/>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年，基于国家政策和政府信息化的实践经验，</w:t>
      </w:r>
      <w:r>
        <w:rPr>
          <w:w w:val="100"/>
        </w:rPr>
        <w:t> </w:t>
      </w:r>
      <w:r>
        <w:rPr>
          <w:spacing w:val="-1"/>
        </w:rPr>
        <w:t>公司围绕云计算、公共服务整合、信息惠民、数据共享、网络安全、服务模式融合创新等方面，</w:t>
      </w:r>
      <w:r>
        <w:rPr>
          <w:spacing w:val="-55"/>
        </w:rPr>
        <w:t> </w:t>
      </w:r>
      <w:r>
        <w:rPr>
          <w:spacing w:val="-55"/>
        </w:rPr>
      </w:r>
      <w:r>
        <w:rPr>
          <w:spacing w:val="-1"/>
        </w:rPr>
        <w:t>以“放、管、服”为方向、以“厘权、晒权、行权、质权”为主线，构建立体式、一体化政务服</w:t>
      </w:r>
      <w:r>
        <w:rPr>
          <w:spacing w:val="-55"/>
        </w:rPr>
        <w:t> </w:t>
      </w:r>
      <w:r>
        <w:rPr>
          <w:spacing w:val="-55"/>
        </w:rPr>
      </w:r>
      <w:r>
        <w:rPr/>
        <w:t>务平台，为政府管理决策和社会公共服务提供强有力的支持。</w:t>
      </w:r>
      <w:r>
        <w:rPr>
          <w:rFonts w:ascii="宋体" w:hAnsi="宋体" w:cs="宋体" w:eastAsia="宋体" w:hint="default"/>
        </w:rPr>
        <w:t> </w:t>
      </w:r>
    </w:p>
    <w:p>
      <w:pPr>
        <w:pStyle w:val="BodyText"/>
        <w:spacing w:line="314" w:lineRule="auto" w:before="24"/>
        <w:ind w:left="136" w:right="209" w:firstLine="420"/>
        <w:jc w:val="both"/>
      </w:pPr>
      <w:r>
        <w:rPr>
          <w:spacing w:val="-2"/>
        </w:rPr>
        <w:t>报告期内，公司根据产业发展重新调整定位，旨在赋能政府数字化转型，助力国家治理体系</w:t>
      </w:r>
      <w:r>
        <w:rPr>
          <w:w w:val="100"/>
        </w:rPr>
        <w:t> </w:t>
      </w:r>
      <w:r>
        <w:rPr>
          <w:spacing w:val="-1"/>
        </w:rPr>
        <w:t>与治理能力现代化，沉淀中台能力，导入区块链和人工智能技术，引领行业发展，巩固公司在政</w:t>
      </w:r>
    </w:p>
    <w:p>
      <w:pPr>
        <w:spacing w:after="0" w:line="314" w:lineRule="auto"/>
        <w:jc w:val="both"/>
        <w:sectPr>
          <w:pgSz w:w="11910" w:h="16840"/>
          <w:pgMar w:header="855" w:footer="979" w:top="1120" w:bottom="1160" w:left="1140" w:right="1580"/>
        </w:sectPr>
      </w:pPr>
    </w:p>
    <w:p>
      <w:pPr>
        <w:spacing w:line="240" w:lineRule="auto" w:before="7"/>
        <w:rPr>
          <w:rFonts w:ascii="宋体" w:hAnsi="宋体" w:cs="宋体" w:eastAsia="宋体" w:hint="default"/>
          <w:sz w:val="24"/>
          <w:szCs w:val="24"/>
        </w:rPr>
      </w:pPr>
    </w:p>
    <w:p>
      <w:pPr>
        <w:pStyle w:val="BodyText"/>
        <w:spacing w:line="307" w:lineRule="auto" w:before="36"/>
        <w:ind w:left="136" w:right="0"/>
        <w:jc w:val="left"/>
      </w:pPr>
      <w:r>
        <w:rPr/>
        <w:t>务服务领域的龙头地位。同时，公司响应国家创新监管方式、增强政府公信力和执行力的要求，</w:t>
      </w:r>
      <w:r>
        <w:rPr>
          <w:spacing w:val="-97"/>
        </w:rPr>
        <w:t> </w:t>
      </w:r>
      <w:r>
        <w:rPr>
          <w:spacing w:val="-97"/>
        </w:rPr>
      </w:r>
      <w:r>
        <w:rPr/>
        <w:t>在经济调节、市场监管、社会管理、公共服务等方面开辟“互联网</w:t>
      </w:r>
      <w:r>
        <w:rPr>
          <w:rFonts w:ascii="Times New Roman" w:hAnsi="Times New Roman" w:cs="Times New Roman" w:eastAsia="Times New Roman" w:hint="default"/>
        </w:rPr>
        <w:t>+</w:t>
      </w:r>
      <w:r>
        <w:rPr/>
        <w:t>监管”、“互联网</w:t>
      </w:r>
      <w:r>
        <w:rPr>
          <w:rFonts w:ascii="Times New Roman" w:hAnsi="Times New Roman" w:cs="Times New Roman" w:eastAsia="Times New Roman" w:hint="default"/>
        </w:rPr>
        <w:t>+</w:t>
      </w:r>
      <w:r>
        <w:rPr/>
        <w:t>监督”、</w:t>
      </w:r>
      <w:r>
        <w:rPr>
          <w:spacing w:val="-14"/>
        </w:rPr>
        <w:t> </w:t>
      </w:r>
      <w:r>
        <w:rPr>
          <w:spacing w:val="-14"/>
        </w:rPr>
      </w:r>
      <w:r>
        <w:rPr/>
        <w:t>“互联网</w:t>
      </w:r>
      <w:r>
        <w:rPr>
          <w:rFonts w:ascii="Times New Roman" w:hAnsi="Times New Roman" w:cs="Times New Roman" w:eastAsia="Times New Roman" w:hint="default"/>
        </w:rPr>
        <w:t>+</w:t>
      </w:r>
      <w:r>
        <w:rPr/>
        <w:t>督查”等新监管业务领域；在政务大数据方面，继续完善数据治理产品、沉淀行业数</w:t>
      </w:r>
      <w:r>
        <w:rPr>
          <w:spacing w:val="-10"/>
        </w:rPr>
        <w:t> </w:t>
      </w:r>
      <w:r>
        <w:rPr>
          <w:spacing w:val="-10"/>
        </w:rPr>
      </w:r>
      <w:r>
        <w:rPr/>
        <w:t>据标准，打造领域治理服务；在自主创新方面，公司重点打造自主创新实验室，加强自主信创软</w:t>
      </w:r>
      <w:r>
        <w:rPr>
          <w:spacing w:val="-97"/>
        </w:rPr>
        <w:t> </w:t>
      </w:r>
      <w:r>
        <w:rPr>
          <w:spacing w:val="-97"/>
        </w:rPr>
      </w:r>
      <w:r>
        <w:rPr/>
        <w:t>件产品研发，提升系统集成、适配服务核心能力，承担信创国家试点建设任务为公司信创产品在</w:t>
      </w:r>
      <w:r>
        <w:rPr>
          <w:spacing w:val="-97"/>
        </w:rPr>
        <w:t> </w:t>
      </w:r>
      <w:r>
        <w:rPr>
          <w:spacing w:val="-97"/>
        </w:rPr>
      </w:r>
      <w:r>
        <w:rPr/>
        <w:t>全国推广打下良好的基础。</w:t>
      </w:r>
    </w:p>
    <w:p>
      <w:pPr>
        <w:spacing w:line="297" w:lineRule="auto" w:before="26"/>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、公共安全业务概要</w:t>
      </w:r>
      <w:r>
        <w:rPr>
          <w:rFonts w:ascii="宋体" w:hAnsi="宋体" w:cs="宋体" w:eastAsia="宋体" w:hint="default"/>
          <w:b/>
          <w:bCs/>
          <w:w w:val="100"/>
          <w:sz w:val="21"/>
          <w:szCs w:val="21"/>
        </w:rPr>
        <w:t> </w:t>
      </w:r>
      <w:r>
        <w:rPr>
          <w:rFonts w:ascii="宋体" w:hAnsi="宋体" w:cs="宋体" w:eastAsia="宋体" w:hint="default"/>
          <w:spacing w:val="-2"/>
          <w:sz w:val="21"/>
          <w:szCs w:val="21"/>
        </w:rPr>
        <w:t>公司是国内行业领先的公共安全大数据解决方案提供商，报告期内，公司深入贯彻公安部大</w:t>
      </w:r>
    </w:p>
    <w:p>
      <w:pPr>
        <w:pStyle w:val="BodyText"/>
        <w:spacing w:line="314" w:lineRule="auto" w:before="34"/>
        <w:ind w:left="136" w:right="209"/>
        <w:jc w:val="both"/>
      </w:pPr>
      <w:r>
        <w:rPr>
          <w:spacing w:val="-1"/>
        </w:rPr>
        <w:t>数据智能化建设的工作要求，紧扣数据警务、智慧公安的实战需求，助力警务工作质量变革、效</w:t>
      </w:r>
      <w:r>
        <w:rPr>
          <w:spacing w:val="-55"/>
        </w:rPr>
        <w:t> </w:t>
      </w:r>
      <w:r>
        <w:rPr>
          <w:spacing w:val="-55"/>
        </w:rPr>
      </w:r>
      <w:r>
        <w:rPr>
          <w:spacing w:val="-1"/>
        </w:rPr>
        <w:t>率变革、动力变革。公司通过多年大量的公共安全视频监控项目建设、视频数据应用积累，形成</w:t>
      </w:r>
      <w:r>
        <w:rPr>
          <w:spacing w:val="-55"/>
        </w:rPr>
        <w:t> </w:t>
      </w:r>
      <w:r>
        <w:rPr>
          <w:spacing w:val="-55"/>
        </w:rPr>
      </w:r>
      <w:r>
        <w:rPr>
          <w:spacing w:val="-1"/>
        </w:rPr>
        <w:t>了以公安大数据与视频视觉智能化建设应用为核心的能力，形成了涵盖雪亮工程、公安大数据、</w:t>
      </w:r>
      <w:r>
        <w:rPr>
          <w:spacing w:val="-54"/>
        </w:rPr>
        <w:t> </w:t>
      </w:r>
      <w:r>
        <w:rPr>
          <w:spacing w:val="-54"/>
        </w:rPr>
      </w:r>
      <w:r>
        <w:rPr>
          <w:spacing w:val="-1"/>
        </w:rPr>
        <w:t>城市公共安全云平台、智能交通大数据平台、基层警务实战平台、社区安全管控平台等在内的特</w:t>
      </w:r>
      <w:r>
        <w:rPr>
          <w:spacing w:val="-55"/>
        </w:rPr>
        <w:t> </w:t>
      </w:r>
      <w:r>
        <w:rPr>
          <w:spacing w:val="-55"/>
        </w:rPr>
      </w:r>
      <w:r>
        <w:rPr>
          <w:spacing w:val="-1"/>
        </w:rPr>
        <w:t>色产品线，并以智能感知大数据平台为核心，以公安实战业务为导向，设计公安大脑算法引擎，</w:t>
      </w:r>
      <w:r>
        <w:rPr>
          <w:spacing w:val="-55"/>
        </w:rPr>
        <w:t> </w:t>
      </w:r>
      <w:r>
        <w:rPr>
          <w:spacing w:val="-55"/>
        </w:rPr>
      </w:r>
      <w:r>
        <w:rPr>
          <w:spacing w:val="-1"/>
        </w:rPr>
        <w:t>深度融合业务模型体系，实现对各类风险隐患的敏锐感知、精确预警。报告期内，公司压强产品</w:t>
      </w:r>
      <w:r>
        <w:rPr>
          <w:spacing w:val="-55"/>
        </w:rPr>
        <w:t> </w:t>
      </w:r>
      <w:r>
        <w:rPr>
          <w:spacing w:val="-55"/>
        </w:rPr>
      </w:r>
      <w:r>
        <w:rPr>
          <w:spacing w:val="-1"/>
        </w:rPr>
        <w:t>研发，持续迭代资产管理、大数据传输、跨网数据交换、涉车大数据、执法办案场所管理和智能</w:t>
      </w:r>
      <w:r>
        <w:rPr>
          <w:spacing w:val="-55"/>
        </w:rPr>
        <w:t> </w:t>
      </w:r>
      <w:r>
        <w:rPr>
          <w:spacing w:val="-55"/>
        </w:rPr>
      </w:r>
      <w:r>
        <w:rPr>
          <w:spacing w:val="-1"/>
        </w:rPr>
        <w:t>感知大数据等产品研发，不断优化升级产品结构；同时，公司积极运用战略合作机制，携手阿里</w:t>
      </w:r>
      <w:r>
        <w:rPr>
          <w:spacing w:val="-55"/>
        </w:rPr>
        <w:t> </w:t>
      </w:r>
      <w:r>
        <w:rPr>
          <w:spacing w:val="-55"/>
        </w:rPr>
      </w:r>
      <w:r>
        <w:rPr>
          <w:spacing w:val="-1"/>
        </w:rPr>
        <w:t>巴巴联合研发视频中台及数据中台两大核心平台，运用新技术新模式推进社会治理和公共服务创</w:t>
      </w:r>
      <w:r>
        <w:rPr>
          <w:spacing w:val="-55"/>
        </w:rPr>
        <w:t> </w:t>
      </w:r>
      <w:r>
        <w:rPr>
          <w:spacing w:val="-55"/>
        </w:rPr>
      </w:r>
      <w:r>
        <w:rPr/>
        <w:t>新体系建设，进一步完善产业链，提升行业竞争力，驱动业务纵深发展。</w:t>
      </w:r>
    </w:p>
    <w:p>
      <w:pPr>
        <w:pStyle w:val="BodyText"/>
        <w:spacing w:line="309" w:lineRule="auto" w:before="20"/>
        <w:ind w:left="136" w:right="208" w:firstLine="420"/>
        <w:jc w:val="both"/>
      </w:pPr>
      <w:r>
        <w:rPr>
          <w:spacing w:val="-2"/>
        </w:rPr>
        <w:t>公司依托数字福建先发优势，全面参与福建省智慧公安建设规划与公安大数据智能化建设顶</w:t>
      </w:r>
      <w:r>
        <w:rPr>
          <w:w w:val="100"/>
        </w:rPr>
        <w:t> </w:t>
      </w:r>
      <w:r>
        <w:rPr>
          <w:spacing w:val="-1"/>
        </w:rPr>
        <w:t>层设计，打造福建省“平安城市”行业标杆，并向全国复制辐射。公司城市公共安全产品现已应</w:t>
      </w:r>
      <w:r>
        <w:rPr>
          <w:spacing w:val="-56"/>
        </w:rPr>
        <w:t> </w:t>
      </w:r>
      <w:r>
        <w:rPr>
          <w:spacing w:val="-56"/>
        </w:rPr>
      </w:r>
      <w:r>
        <w:rPr>
          <w:spacing w:val="-6"/>
        </w:rPr>
        <w:t>用于福建、海南、河南、广西、西藏等全国</w:t>
      </w:r>
      <w:r>
        <w:rPr>
          <w:spacing w:val="-37"/>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个省份超</w:t>
      </w:r>
      <w:r>
        <w:rPr>
          <w:spacing w:val="-38"/>
        </w:rPr>
        <w:t> </w:t>
      </w:r>
      <w:r>
        <w:rPr>
          <w:rFonts w:ascii="Times New Roman" w:hAnsi="Times New Roman" w:cs="Times New Roman" w:eastAsia="Times New Roman" w:hint="default"/>
        </w:rPr>
        <w:t>30</w:t>
      </w:r>
      <w:r>
        <w:rPr>
          <w:rFonts w:ascii="Times New Roman" w:hAnsi="Times New Roman" w:cs="Times New Roman" w:eastAsia="Times New Roman" w:hint="default"/>
          <w:spacing w:val="15"/>
        </w:rPr>
        <w:t> </w:t>
      </w:r>
      <w:r>
        <w:rPr>
          <w:spacing w:val="-3"/>
        </w:rPr>
        <w:t>个地级市，支撑当地公共安全信息化建</w:t>
      </w:r>
      <w:r>
        <w:rPr>
          <w:spacing w:val="-99"/>
        </w:rPr>
        <w:t> </w:t>
      </w:r>
      <w:r>
        <w:rPr>
          <w:spacing w:val="-99"/>
        </w:rPr>
      </w:r>
      <w:r>
        <w:rPr/>
        <w:t>设，助力公共安全科技发展。</w:t>
      </w:r>
    </w:p>
    <w:p>
      <w:pPr>
        <w:pStyle w:val="Heading4"/>
        <w:spacing w:line="240" w:lineRule="auto" w:before="24"/>
        <w:ind w:left="559" w:right="2819"/>
        <w:jc w:val="left"/>
        <w:rPr>
          <w:b w:val="0"/>
          <w:bCs w:val="0"/>
        </w:rPr>
      </w:pPr>
      <w:r>
        <w:rPr>
          <w:rFonts w:ascii="Times New Roman" w:hAnsi="Times New Roman" w:cs="Times New Roman" w:eastAsia="Times New Roman" w:hint="default"/>
        </w:rPr>
        <w:t>3</w:t>
      </w:r>
      <w:r>
        <w:rPr/>
        <w:t>、其他创新业务概要</w:t>
      </w:r>
      <w:r>
        <w:rPr>
          <w:b w:val="0"/>
          <w:bCs w:val="0"/>
        </w:rPr>
      </w:r>
    </w:p>
    <w:p>
      <w:pPr>
        <w:pStyle w:val="BodyText"/>
        <w:spacing w:line="309" w:lineRule="auto" w:before="69"/>
        <w:ind w:left="136" w:right="209" w:firstLine="420"/>
        <w:jc w:val="both"/>
      </w:pPr>
      <w:r>
        <w:rPr>
          <w:rFonts w:ascii="Times New Roman" w:hAnsi="Times New Roman" w:cs="Times New Roman" w:eastAsia="Times New Roman" w:hint="default"/>
        </w:rPr>
        <w:t>2019 </w:t>
      </w:r>
      <w:r>
        <w:rPr/>
        <w:t>年度公司在数字政府与公共安全管理业务合计营业收入占比超过</w:t>
      </w:r>
      <w:r>
        <w:rPr>
          <w:spacing w:val="-43"/>
        </w:rPr>
        <w:t> </w:t>
      </w:r>
      <w:r>
        <w:rPr>
          <w:rFonts w:ascii="Times New Roman" w:hAnsi="Times New Roman" w:cs="Times New Roman" w:eastAsia="Times New Roman" w:hint="default"/>
          <w:spacing w:val="-7"/>
        </w:rPr>
        <w:t>90%</w:t>
      </w:r>
      <w:r>
        <w:rPr>
          <w:spacing w:val="-7"/>
        </w:rPr>
        <w:t>。除了上述主营业</w:t>
      </w:r>
      <w:r>
        <w:rPr>
          <w:w w:val="100"/>
        </w:rPr>
        <w:t> </w:t>
      </w:r>
      <w:r>
        <w:rPr>
          <w:spacing w:val="-1"/>
        </w:rPr>
        <w:t>务外，公司在智慧城市综合运营、智慧政法、城市物联网运营、移动互联网运营等创新业务方面</w:t>
      </w:r>
      <w:r>
        <w:rPr>
          <w:spacing w:val="-55"/>
        </w:rPr>
        <w:t> </w:t>
      </w:r>
      <w:r>
        <w:rPr>
          <w:spacing w:val="-55"/>
        </w:rPr>
      </w:r>
      <w:r>
        <w:rPr>
          <w:spacing w:val="-1"/>
        </w:rPr>
        <w:t>也保持了理性投入，这些创新业务本身与公司主营业务紧密相关，是公司主营业务的完善补充和</w:t>
      </w:r>
      <w:r>
        <w:rPr>
          <w:spacing w:val="-55"/>
        </w:rPr>
        <w:t> </w:t>
      </w:r>
      <w:r>
        <w:rPr>
          <w:spacing w:val="-55"/>
        </w:rPr>
      </w:r>
      <w:r>
        <w:rPr/>
        <w:t>延续性创新，是数字政府、智慧城市建设的重要组成部分，预计可成为公司新的收入增长点。</w:t>
      </w:r>
    </w:p>
    <w:p>
      <w:pPr>
        <w:pStyle w:val="BodyText"/>
        <w:spacing w:line="297" w:lineRule="auto" w:before="24"/>
        <w:ind w:left="557" w:right="0"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）智慧城市</w:t>
      </w:r>
      <w:r>
        <w:rPr>
          <w:rFonts w:ascii="宋体" w:hAnsi="宋体" w:cs="宋体" w:eastAsia="宋体" w:hint="default"/>
          <w:b/>
          <w:bCs/>
          <w:w w:val="100"/>
        </w:rPr>
        <w:t> </w:t>
      </w:r>
      <w:r>
        <w:rPr>
          <w:spacing w:val="-2"/>
        </w:rPr>
        <w:t>公司通过自身在物联网、移动互联网、大数据等多个行业的探索沉淀，针对智慧城市建设顶</w:t>
      </w:r>
    </w:p>
    <w:p>
      <w:pPr>
        <w:pStyle w:val="BodyText"/>
        <w:spacing w:line="314" w:lineRule="auto" w:before="34"/>
        <w:ind w:left="136" w:right="209"/>
        <w:jc w:val="both"/>
      </w:pPr>
      <w:r>
        <w:rPr>
          <w:spacing w:val="-1"/>
        </w:rPr>
        <w:t>层设计，为各地智慧城市建设提供解决思路和科技支持；同时，探索智慧城市综合运营模式，开</w:t>
      </w:r>
      <w:r>
        <w:rPr>
          <w:spacing w:val="-55"/>
        </w:rPr>
        <w:t> </w:t>
      </w:r>
      <w:r>
        <w:rPr>
          <w:spacing w:val="-55"/>
        </w:rPr>
      </w:r>
      <w:r>
        <w:rPr>
          <w:spacing w:val="-1"/>
        </w:rPr>
        <w:t>启公司从项目型公司向运营型公司的转变。公司结合中国电科集团、阿里经济体、华为等优质生</w:t>
      </w:r>
      <w:r>
        <w:rPr>
          <w:spacing w:val="-55"/>
        </w:rPr>
        <w:t> </w:t>
      </w:r>
      <w:r>
        <w:rPr>
          <w:spacing w:val="-55"/>
        </w:rPr>
      </w:r>
      <w:r>
        <w:rPr>
          <w:spacing w:val="-1"/>
        </w:rPr>
        <w:t>态合作伙伴所形成的智慧城市生态体系，将优势资源进行产品开发及技术成果转化，形成智慧城</w:t>
      </w:r>
      <w:r>
        <w:rPr>
          <w:spacing w:val="-56"/>
        </w:rPr>
        <w:t> </w:t>
      </w:r>
      <w:r>
        <w:rPr>
          <w:spacing w:val="-56"/>
        </w:rPr>
      </w:r>
      <w:r>
        <w:rPr>
          <w:spacing w:val="-1"/>
        </w:rPr>
        <w:t>市产业链协同效应，持续强化公司在智慧城市领域的竞争优势。报告期内，根据中国电子技术标</w:t>
      </w:r>
      <w:r>
        <w:rPr>
          <w:spacing w:val="-55"/>
        </w:rPr>
        <w:t> </w:t>
      </w:r>
      <w:r>
        <w:rPr>
          <w:spacing w:val="-55"/>
        </w:rPr>
      </w:r>
      <w:r>
        <w:rPr>
          <w:spacing w:val="-1"/>
        </w:rPr>
        <w:t>准化研究院的调研结果，公司承建的“智慧丰泽”项目在智慧城市统筹机制、管理机制、运营机</w:t>
      </w:r>
      <w:r>
        <w:rPr>
          <w:spacing w:val="-56"/>
        </w:rPr>
        <w:t> </w:t>
      </w:r>
      <w:r>
        <w:rPr>
          <w:spacing w:val="-56"/>
        </w:rPr>
      </w:r>
      <w:r>
        <w:rPr/>
        <w:t>制等创新发展指数方面均达到全国领先水平。</w:t>
      </w:r>
    </w:p>
    <w:p>
      <w:pPr>
        <w:pStyle w:val="BodyText"/>
        <w:spacing w:line="297" w:lineRule="auto" w:before="20"/>
        <w:ind w:left="557" w:right="0"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）智慧政法</w:t>
      </w:r>
      <w:r>
        <w:rPr>
          <w:rFonts w:ascii="宋体" w:hAnsi="宋体" w:cs="宋体" w:eastAsia="宋体" w:hint="default"/>
          <w:b/>
          <w:bCs/>
          <w:w w:val="100"/>
        </w:rPr>
        <w:t> </w:t>
      </w:r>
      <w:r>
        <w:rPr>
          <w:spacing w:val="-2"/>
        </w:rPr>
        <w:t>公司围绕“深化社会治理，助力司法改革”的业务目标，专注于政法委、检察院、法院、司</w:t>
      </w:r>
    </w:p>
    <w:p>
      <w:pPr>
        <w:pStyle w:val="BodyText"/>
        <w:spacing w:line="240" w:lineRule="auto" w:before="34"/>
        <w:ind w:left="136" w:right="0"/>
        <w:jc w:val="both"/>
      </w:pPr>
      <w:r>
        <w:rPr/>
        <w:t>法信息化建设领域，重点开发创新型智慧政法解决方案。公司通过构建内、外、纵、横多个维度</w:t>
      </w:r>
    </w:p>
    <w:p>
      <w:pPr>
        <w:spacing w:after="0" w:line="240" w:lineRule="auto"/>
        <w:jc w:val="both"/>
        <w:sectPr>
          <w:pgSz w:w="11910" w:h="16840"/>
          <w:pgMar w:header="855" w:footer="979" w:top="1120" w:bottom="1160" w:left="1140" w:right="1580"/>
        </w:sectPr>
      </w:pPr>
    </w:p>
    <w:p>
      <w:pPr>
        <w:spacing w:line="240" w:lineRule="auto" w:before="7"/>
        <w:rPr>
          <w:rFonts w:ascii="宋体" w:hAnsi="宋体" w:cs="宋体" w:eastAsia="宋体" w:hint="default"/>
          <w:sz w:val="24"/>
          <w:szCs w:val="24"/>
        </w:rPr>
      </w:pPr>
    </w:p>
    <w:p>
      <w:pPr>
        <w:pStyle w:val="BodyText"/>
        <w:spacing w:line="309" w:lineRule="auto" w:before="36"/>
        <w:ind w:left="216" w:right="128"/>
        <w:jc w:val="both"/>
      </w:pPr>
      <w:r>
        <w:rPr>
          <w:spacing w:val="-1"/>
        </w:rPr>
        <w:t>的信息共享平台，打造政法工作“全数据流转、全流程覆盖、全业务协同、全过程监督、全方位</w:t>
      </w:r>
      <w:r>
        <w:rPr>
          <w:spacing w:val="-55"/>
        </w:rPr>
        <w:t> </w:t>
      </w:r>
      <w:r>
        <w:rPr>
          <w:spacing w:val="-55"/>
        </w:rPr>
      </w:r>
      <w:r>
        <w:rPr>
          <w:spacing w:val="-6"/>
        </w:rPr>
        <w:t>预警”的新模式，助力政法系统实现科技创新与体制变革的融合，提高政法工作智能化建设水平。</w:t>
      </w:r>
      <w:r>
        <w:rPr>
          <w:spacing w:val="-54"/>
        </w:rPr>
        <w:t> </w:t>
      </w:r>
      <w:r>
        <w:rPr>
          <w:spacing w:val="-54"/>
        </w:rPr>
      </w:r>
      <w:r>
        <w:rPr/>
        <w:t>报告期内，公司承建全国</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省多地市政法部门项目，业务覆盖福建、山东、河南、湖北、海南、</w:t>
      </w:r>
      <w:r>
        <w:rPr>
          <w:w w:val="100"/>
        </w:rPr>
        <w:t> </w:t>
      </w:r>
      <w:r>
        <w:rPr/>
        <w:t>浙江等省市、地区。</w:t>
      </w:r>
    </w:p>
    <w:p>
      <w:pPr>
        <w:pStyle w:val="BodyText"/>
        <w:spacing w:line="297" w:lineRule="auto" w:before="24"/>
        <w:ind w:left="637" w:right="0"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）物联网运营</w:t>
      </w:r>
      <w:r>
        <w:rPr>
          <w:rFonts w:ascii="宋体" w:hAnsi="宋体" w:cs="宋体" w:eastAsia="宋体" w:hint="default"/>
          <w:b/>
          <w:bCs/>
          <w:w w:val="100"/>
        </w:rPr>
        <w:t> </w:t>
      </w:r>
      <w:r>
        <w:rPr>
          <w:spacing w:val="-2"/>
        </w:rPr>
        <w:t>在物联网领域，公司立足城市智能物联网服务运营，聚焦人工智能与物联网技术融合，通过</w:t>
      </w:r>
    </w:p>
    <w:p>
      <w:pPr>
        <w:pStyle w:val="BodyText"/>
        <w:spacing w:line="309" w:lineRule="auto" w:before="34"/>
        <w:ind w:left="216" w:right="129"/>
        <w:jc w:val="both"/>
      </w:pPr>
      <w:r>
        <w:rPr>
          <w:spacing w:val="-6"/>
          <w:w w:val="100"/>
        </w:rPr>
        <w:t>创新商业模式为城市治理提供环境、交通、社区等领域的解决方案以及民生领域智能服务与运营。</w:t>
      </w:r>
      <w:r>
        <w:rPr>
          <w:w w:val="100"/>
        </w:rPr>
        <w:t> </w:t>
      </w:r>
      <w:r>
        <w:rPr>
          <w:spacing w:val="-1"/>
        </w:rPr>
        <w:t>公司融合系列城市级平台核心业务，打造集城市管理网格化、住建物业监管、社区综合治理、停</w:t>
      </w:r>
      <w:r>
        <w:rPr>
          <w:spacing w:val="-55"/>
        </w:rPr>
        <w:t> </w:t>
      </w:r>
      <w:r>
        <w:rPr>
          <w:spacing w:val="-55"/>
        </w:rPr>
      </w:r>
      <w:r>
        <w:rPr>
          <w:spacing w:val="-1"/>
        </w:rPr>
        <w:t>车综合治理、城市非机动车治理为典型应用场景的城市精细化管理综合解决方案，面向政府单位</w:t>
      </w:r>
      <w:r>
        <w:rPr>
          <w:spacing w:val="-55"/>
        </w:rPr>
        <w:t> </w:t>
      </w:r>
      <w:r>
        <w:rPr>
          <w:spacing w:val="-55"/>
        </w:rPr>
      </w:r>
      <w:r>
        <w:rPr/>
        <w:t>及国资企业客户提供基于“云</w:t>
      </w:r>
      <w:r>
        <w:rPr>
          <w:rFonts w:ascii="Times New Roman" w:hAnsi="Times New Roman" w:cs="Times New Roman" w:eastAsia="Times New Roman" w:hint="default"/>
        </w:rPr>
        <w:t>+</w:t>
      </w:r>
      <w:r>
        <w:rPr/>
        <w:t>端”的城市治理平台服务与运营。同时，强化基于 </w:t>
      </w:r>
      <w:r>
        <w:rPr>
          <w:rFonts w:ascii="Times New Roman" w:hAnsi="Times New Roman" w:cs="Times New Roman" w:eastAsia="Times New Roman" w:hint="default"/>
        </w:rPr>
        <w:t>Nlinks</w:t>
      </w:r>
      <w:r>
        <w:rPr>
          <w:rFonts w:ascii="Times New Roman" w:hAnsi="Times New Roman" w:cs="Times New Roman" w:eastAsia="Times New Roman" w:hint="default"/>
          <w:spacing w:val="13"/>
        </w:rPr>
        <w:t> </w:t>
      </w:r>
      <w:r>
        <w:rPr>
          <w:spacing w:val="-3"/>
        </w:rPr>
        <w:t>智慧营</w:t>
      </w:r>
      <w:r>
        <w:rPr>
          <w:spacing w:val="-3"/>
          <w:w w:val="100"/>
        </w:rPr>
        <w:t> </w:t>
      </w:r>
      <w:r>
        <w:rPr>
          <w:spacing w:val="-1"/>
        </w:rPr>
        <w:t>盘为依托的系列智能服务终端产品的创新研发与服务运营，快速驱动增长型业务的发展与价值变</w:t>
      </w:r>
      <w:r>
        <w:rPr>
          <w:spacing w:val="-55"/>
        </w:rPr>
        <w:t> </w:t>
      </w:r>
      <w:r>
        <w:rPr>
          <w:spacing w:val="-55"/>
        </w:rPr>
      </w:r>
      <w:r>
        <w:rPr/>
        <w:t>现，带动旗下蜻蜓停车、小电卫士、红点社区</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大用户品牌的增值业务延伸与服务提升，加速以</w:t>
      </w:r>
      <w:r>
        <w:rPr>
          <w:w w:val="100"/>
        </w:rPr>
        <w:t> </w:t>
      </w:r>
      <w:r>
        <w:rPr>
          <w:rFonts w:ascii="Times New Roman" w:hAnsi="Times New Roman" w:cs="Times New Roman" w:eastAsia="Times New Roman" w:hint="default"/>
        </w:rPr>
        <w:t>C</w:t>
      </w:r>
      <w:r>
        <w:rPr>
          <w:rFonts w:ascii="Times New Roman" w:hAnsi="Times New Roman" w:cs="Times New Roman" w:eastAsia="Times New Roman" w:hint="default"/>
          <w:spacing w:val="50"/>
        </w:rPr>
        <w:t> </w:t>
      </w:r>
      <w:r>
        <w:rPr/>
        <w:t>端用户为基础的种子业务成长。</w:t>
      </w:r>
    </w:p>
    <w:p>
      <w:pPr>
        <w:spacing w:line="297" w:lineRule="auto" w:before="2"/>
        <w:ind w:left="63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）移动互联网应用</w:t>
      </w:r>
      <w:r>
        <w:rPr>
          <w:rFonts w:ascii="宋体" w:hAnsi="宋体" w:cs="宋体" w:eastAsia="宋体" w:hint="default"/>
          <w:b/>
          <w:bCs/>
          <w:w w:val="100"/>
          <w:sz w:val="21"/>
          <w:szCs w:val="21"/>
        </w:rPr>
        <w:t> </w:t>
      </w:r>
      <w:r>
        <w:rPr>
          <w:rFonts w:ascii="宋体" w:hAnsi="宋体" w:cs="宋体" w:eastAsia="宋体" w:hint="default"/>
          <w:spacing w:val="-7"/>
          <w:sz w:val="21"/>
          <w:szCs w:val="21"/>
        </w:rPr>
        <w:t>公司致力于移动应用中台、城市通、政务通、公务通及各行业移动数字化应用的开发与运营。</w:t>
      </w:r>
    </w:p>
    <w:p>
      <w:pPr>
        <w:pStyle w:val="BodyText"/>
        <w:spacing w:line="302" w:lineRule="auto" w:before="34"/>
        <w:ind w:left="216" w:right="129"/>
        <w:jc w:val="both"/>
      </w:pPr>
      <w:r>
        <w:rPr>
          <w:spacing w:val="-3"/>
        </w:rPr>
        <w:t>报告期内，公司成功运营“</w:t>
      </w:r>
      <w:r>
        <w:rPr>
          <w:rFonts w:ascii="Times New Roman" w:hAnsi="Times New Roman" w:cs="Times New Roman" w:eastAsia="Times New Roman" w:hint="default"/>
          <w:spacing w:val="-3"/>
        </w:rPr>
        <w:t>i </w:t>
      </w:r>
      <w:r>
        <w:rPr>
          <w:spacing w:val="-5"/>
        </w:rPr>
        <w:t>厦门”、“泉州通”、“掌上南平”等智慧城市服务入口项目，向市</w:t>
      </w:r>
      <w:r>
        <w:rPr>
          <w:spacing w:val="-76"/>
        </w:rPr>
        <w:t> </w:t>
      </w:r>
      <w:r>
        <w:rPr>
          <w:spacing w:val="-76"/>
        </w:rPr>
      </w:r>
      <w:r>
        <w:rPr>
          <w:spacing w:val="-1"/>
        </w:rPr>
        <w:t>民公众提供掌上的智慧城市综合服务；此外，公司与福建省知识产权局联合打造了全国领先的互</w:t>
      </w:r>
      <w:r>
        <w:rPr>
          <w:spacing w:val="-55"/>
        </w:rPr>
        <w:t> </w:t>
      </w:r>
      <w:r>
        <w:rPr>
          <w:spacing w:val="-55"/>
        </w:rPr>
      </w:r>
      <w:r>
        <w:rPr/>
        <w:t>联网</w:t>
      </w:r>
      <w:r>
        <w:rPr>
          <w:rFonts w:ascii="Times New Roman" w:hAnsi="Times New Roman" w:cs="Times New Roman" w:eastAsia="Times New Roman" w:hint="default"/>
        </w:rPr>
        <w:t>+</w:t>
      </w:r>
      <w:r>
        <w:rPr/>
        <w:t>知识产权公共服务平台，立足福州，服务全省，辐射全国，为企业和民众提供知识产权全</w:t>
      </w:r>
      <w:r>
        <w:rPr>
          <w:spacing w:val="-10"/>
        </w:rPr>
        <w:t> </w:t>
      </w:r>
      <w:r>
        <w:rPr>
          <w:spacing w:val="-10"/>
        </w:rPr>
      </w:r>
      <w:r>
        <w:rPr/>
        <w:t>生命周期的服务，并通过对资源、数据、业务的整合助力产业应用发展。</w:t>
      </w:r>
    </w:p>
    <w:p>
      <w:pPr>
        <w:spacing w:line="480" w:lineRule="exact" w:before="12"/>
        <w:ind w:left="637" w:right="0" w:firstLine="2"/>
        <w:jc w:val="left"/>
        <w:rPr>
          <w:rFonts w:ascii="宋体" w:hAnsi="宋体" w:cs="宋体" w:eastAsia="宋体" w:hint="default"/>
          <w:sz w:val="21"/>
          <w:szCs w:val="21"/>
        </w:rPr>
      </w:pPr>
      <w:r>
        <w:rPr>
          <w:rFonts w:ascii="宋体" w:hAnsi="宋体" w:cs="宋体" w:eastAsia="宋体" w:hint="default"/>
          <w:b/>
          <w:bCs/>
          <w:sz w:val="21"/>
          <w:szCs w:val="21"/>
        </w:rPr>
        <w:t>（三）主要经营模式介绍</w:t>
      </w:r>
      <w:r>
        <w:rPr>
          <w:rFonts w:ascii="宋体" w:hAnsi="宋体" w:cs="宋体" w:eastAsia="宋体" w:hint="default"/>
          <w:b/>
          <w:bCs/>
          <w:w w:val="100"/>
          <w:sz w:val="21"/>
          <w:szCs w:val="21"/>
        </w:rPr>
        <w:t> </w:t>
      </w:r>
      <w:r>
        <w:rPr>
          <w:rFonts w:ascii="宋体" w:hAnsi="宋体" w:cs="宋体" w:eastAsia="宋体" w:hint="default"/>
          <w:spacing w:val="-2"/>
          <w:sz w:val="21"/>
          <w:szCs w:val="21"/>
        </w:rPr>
        <w:t>公司作为数字政府服务与运营商、公共安全大数据专家、信创软件产品提供商和综合集成服</w:t>
      </w:r>
    </w:p>
    <w:p>
      <w:pPr>
        <w:pStyle w:val="BodyText"/>
        <w:spacing w:line="307" w:lineRule="auto" w:before="18"/>
        <w:ind w:left="216" w:right="128"/>
        <w:jc w:val="both"/>
      </w:pPr>
      <w:r>
        <w:rPr>
          <w:spacing w:val="-1"/>
        </w:rPr>
        <w:t>务商，主要面向党政军机关、企事业单位等领域的客户提供软件开发、系统集成、技术服务和数</w:t>
      </w:r>
      <w:r>
        <w:rPr>
          <w:spacing w:val="-55"/>
        </w:rPr>
        <w:t> </w:t>
      </w:r>
      <w:r>
        <w:rPr>
          <w:spacing w:val="-55"/>
        </w:rPr>
      </w:r>
      <w:r>
        <w:rPr/>
        <w:t>据运营等综合服务，打造数字政府智能政府，通过移动端运营延伸服务</w:t>
      </w:r>
      <w:r>
        <w:rPr>
          <w:spacing w:val="-57"/>
        </w:rPr>
        <w:t> </w:t>
      </w:r>
      <w:r>
        <w:rPr>
          <w:rFonts w:ascii="Times New Roman" w:hAnsi="Times New Roman" w:cs="Times New Roman" w:eastAsia="Times New Roman" w:hint="default"/>
        </w:rPr>
        <w:t>C</w:t>
      </w:r>
      <w:r>
        <w:rPr/>
        <w:t>、</w:t>
      </w:r>
      <w:r>
        <w:rPr>
          <w:rFonts w:ascii="Times New Roman" w:hAnsi="Times New Roman" w:cs="Times New Roman" w:eastAsia="Times New Roman" w:hint="default"/>
        </w:rPr>
        <w:t>B</w:t>
      </w:r>
      <w:r>
        <w:rPr>
          <w:rFonts w:ascii="Times New Roman" w:hAnsi="Times New Roman" w:cs="Times New Roman" w:eastAsia="Times New Roman" w:hint="default"/>
          <w:spacing w:val="-3"/>
        </w:rPr>
        <w:t> </w:t>
      </w:r>
      <w:r>
        <w:rPr/>
        <w:t>端客户。</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年度</w:t>
      </w:r>
      <w:r>
        <w:rPr>
          <w:w w:val="100"/>
        </w:rPr>
        <w:t> </w:t>
      </w:r>
      <w:r>
        <w:rPr>
          <w:spacing w:val="-1"/>
        </w:rPr>
        <w:t>以前公司的主要经营模式以项目建设为主，随着政府的数字化转型，政务部门对公共服务供给的</w:t>
      </w:r>
      <w:r>
        <w:rPr>
          <w:spacing w:val="-55"/>
        </w:rPr>
        <w:t> </w:t>
      </w:r>
      <w:r>
        <w:rPr>
          <w:spacing w:val="-55"/>
        </w:rPr>
      </w:r>
      <w:r>
        <w:rPr>
          <w:spacing w:val="-1"/>
        </w:rPr>
        <w:t>质量、财政资金的使用效率以及改善社会治理结构的需求不断提高，政府采购服务化的比重不断</w:t>
      </w:r>
      <w:r>
        <w:rPr>
          <w:spacing w:val="-54"/>
        </w:rPr>
        <w:t> </w:t>
      </w:r>
      <w:r>
        <w:rPr>
          <w:spacing w:val="-54"/>
        </w:rPr>
      </w:r>
      <w:r>
        <w:rPr>
          <w:spacing w:val="-3"/>
        </w:rPr>
        <w:t>加大，公司积极以</w:t>
      </w:r>
      <w:r>
        <w:rPr>
          <w:spacing w:val="-34"/>
        </w:rPr>
        <w:t> </w:t>
      </w:r>
      <w:r>
        <w:rPr>
          <w:rFonts w:ascii="Times New Roman" w:hAnsi="Times New Roman" w:cs="Times New Roman" w:eastAsia="Times New Roman" w:hint="default"/>
          <w:spacing w:val="-3"/>
        </w:rPr>
        <w:t>EPC</w:t>
      </w:r>
      <w:r>
        <w:rPr>
          <w:spacing w:val="-3"/>
        </w:rPr>
        <w:t>、分期购买服务及</w:t>
      </w:r>
      <w:r>
        <w:rPr>
          <w:spacing w:val="-34"/>
        </w:rPr>
        <w:t> </w:t>
      </w:r>
      <w:r>
        <w:rPr>
          <w:rFonts w:ascii="Times New Roman" w:hAnsi="Times New Roman" w:cs="Times New Roman" w:eastAsia="Times New Roman" w:hint="default"/>
        </w:rPr>
        <w:t>PPP</w:t>
      </w:r>
      <w:r>
        <w:rPr>
          <w:rFonts w:ascii="Times New Roman" w:hAnsi="Times New Roman" w:cs="Times New Roman" w:eastAsia="Times New Roman" w:hint="default"/>
          <w:spacing w:val="22"/>
        </w:rPr>
        <w:t> </w:t>
      </w:r>
      <w:r>
        <w:rPr>
          <w:spacing w:val="-3"/>
        </w:rPr>
        <w:t>的方式参与市场竞争。报告期内，公司中标泉州市</w:t>
      </w:r>
      <w:r>
        <w:rPr>
          <w:spacing w:val="-95"/>
        </w:rPr>
        <w:t> </w:t>
      </w:r>
      <w:r>
        <w:rPr>
          <w:spacing w:val="-95"/>
        </w:rPr>
      </w:r>
      <w:r>
        <w:rPr>
          <w:spacing w:val="-4"/>
        </w:rPr>
        <w:t>“完善提升城市安全信息系统”项目、智慧邹城</w:t>
      </w:r>
      <w:r>
        <w:rPr>
          <w:rFonts w:ascii="Times New Roman" w:hAnsi="Times New Roman" w:cs="Times New Roman" w:eastAsia="Times New Roman" w:hint="default"/>
          <w:spacing w:val="-4"/>
        </w:rPr>
        <w:t>(</w:t>
      </w:r>
      <w:r>
        <w:rPr>
          <w:spacing w:val="-4"/>
        </w:rPr>
        <w:t>一期</w:t>
      </w:r>
      <w:r>
        <w:rPr>
          <w:rFonts w:ascii="Times New Roman" w:hAnsi="Times New Roman" w:cs="Times New Roman" w:eastAsia="Times New Roman" w:hint="default"/>
          <w:spacing w:val="-4"/>
        </w:rPr>
        <w:t>)PPP </w:t>
      </w:r>
      <w:r>
        <w:rPr>
          <w:spacing w:val="-5"/>
        </w:rPr>
        <w:t>项目等分期项目。通过“智慧丰泽”、</w:t>
      </w:r>
      <w:r>
        <w:rPr>
          <w:spacing w:val="-72"/>
        </w:rPr>
        <w:t> </w:t>
      </w:r>
      <w:r>
        <w:rPr>
          <w:spacing w:val="-72"/>
        </w:rPr>
      </w:r>
      <w:r>
        <w:rPr>
          <w:spacing w:val="-1"/>
        </w:rPr>
        <w:t>“智慧将乐”等运营项目的实践，公司已积累丰富的项目运营经验和技术实力，形成项目服务化</w:t>
      </w:r>
      <w:r>
        <w:rPr>
          <w:spacing w:val="-56"/>
        </w:rPr>
        <w:t> </w:t>
      </w:r>
      <w:r>
        <w:rPr>
          <w:spacing w:val="-56"/>
        </w:rPr>
      </w:r>
      <w:r>
        <w:rPr/>
        <w:t>的核心竞争力，能快速适应政府采购向运营模式的转变。</w:t>
      </w:r>
    </w:p>
    <w:p>
      <w:pPr>
        <w:pStyle w:val="BodyText"/>
        <w:spacing w:line="314" w:lineRule="auto" w:before="27"/>
        <w:ind w:left="216" w:right="0" w:firstLine="420"/>
        <w:jc w:val="left"/>
        <w:rPr>
          <w:rFonts w:ascii="宋体" w:hAnsi="宋体" w:cs="宋体" w:eastAsia="宋体" w:hint="default"/>
        </w:rPr>
      </w:pPr>
      <w:r>
        <w:rPr>
          <w:spacing w:val="-2"/>
        </w:rPr>
        <w:t>上述各业务在报告期内的进展情况详见本报告第四节“经营情况讨论与分析”之“（二）报</w:t>
      </w:r>
      <w:r>
        <w:rPr>
          <w:w w:val="100"/>
        </w:rPr>
        <w:t> </w:t>
      </w:r>
      <w:r>
        <w:rPr/>
        <w:t>告期内公司主营业务发展情况”。</w:t>
      </w:r>
      <w:r>
        <w:rPr>
          <w:rFonts w:ascii="宋体" w:hAnsi="宋体" w:cs="宋体" w:eastAsia="宋体" w:hint="default"/>
        </w:rPr>
        <w:t> </w:t>
      </w:r>
    </w:p>
    <w:p>
      <w:pPr>
        <w:pStyle w:val="BodyText"/>
        <w:spacing w:line="218" w:lineRule="exact"/>
        <w:ind w:left="216" w:right="0"/>
        <w:jc w:val="both"/>
        <w:rPr>
          <w:rFonts w:ascii="宋体" w:hAnsi="宋体" w:cs="宋体" w:eastAsia="宋体" w:hint="default"/>
        </w:rPr>
      </w:pPr>
      <w:r>
        <w:rPr>
          <w:rFonts w:ascii="宋体"/>
          <w:w w:val="100"/>
        </w:rPr>
        <w:t> </w:t>
      </w:r>
    </w:p>
    <w:p>
      <w:pPr>
        <w:pStyle w:val="Heading4"/>
        <w:spacing w:line="240" w:lineRule="auto" w:before="56"/>
        <w:ind w:left="216" w:right="0"/>
        <w:jc w:val="both"/>
        <w:rPr>
          <w:rFonts w:ascii="宋体" w:hAnsi="宋体" w:cs="宋体" w:eastAsia="宋体" w:hint="default"/>
          <w:b w:val="0"/>
          <w:bCs w:val="0"/>
        </w:rPr>
      </w:pPr>
      <w:r>
        <w:rPr/>
        <w:t>二、报告期内公司主要资产发生重大变化情况的说明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both"/>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80"/>
        <w:gridCol w:w="1981"/>
        <w:gridCol w:w="4967"/>
      </w:tblGrid>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主要资产</w:t>
            </w:r>
            <w:r>
              <w:rPr>
                <w:rFonts w:ascii="宋体" w:hAnsi="宋体" w:cs="宋体" w:eastAsia="宋体" w:hint="default"/>
                <w:sz w:val="21"/>
                <w:szCs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重大变化说明</w:t>
            </w:r>
            <w:r>
              <w:rPr>
                <w:rFonts w:ascii="宋体" w:hAnsi="宋体" w:cs="宋体" w:eastAsia="宋体" w:hint="default"/>
                <w:sz w:val="21"/>
                <w:szCs w:val="21"/>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98.95%</w:t>
            </w:r>
          </w:p>
        </w:tc>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主要系报告期内主营业务收入增长使项目应收款增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加所致。</w:t>
            </w:r>
            <w:r>
              <w:rPr>
                <w:rFonts w:ascii="宋体" w:hAnsi="宋体" w:cs="宋体" w:eastAsia="宋体" w:hint="default"/>
                <w:sz w:val="21"/>
                <w:szCs w:val="21"/>
              </w:rPr>
              <w:t> </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29.53%</w:t>
            </w:r>
          </w:p>
        </w:tc>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13"/>
                <w:sz w:val="21"/>
                <w:szCs w:val="21"/>
              </w:rPr>
              <w:t>主要系报告期内分期收款的政府购买服务项目及</w:t>
            </w:r>
          </w:p>
        </w:tc>
      </w:tr>
    </w:tbl>
    <w:p>
      <w:pPr>
        <w:spacing w:after="0" w:line="241" w:lineRule="exact"/>
        <w:jc w:val="center"/>
        <w:rPr>
          <w:rFonts w:ascii="宋体" w:hAnsi="宋体" w:cs="宋体" w:eastAsia="宋体" w:hint="default"/>
          <w:sz w:val="21"/>
          <w:szCs w:val="21"/>
        </w:rPr>
        <w:sectPr>
          <w:pgSz w:w="11910" w:h="16840"/>
          <w:pgMar w:header="855" w:footer="979" w:top="1120" w:bottom="1160" w:left="1060" w:right="16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980"/>
        <w:gridCol w:w="1981"/>
        <w:gridCol w:w="4967"/>
      </w:tblGrid>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PPP</w:t>
            </w:r>
            <w:r>
              <w:rPr>
                <w:rFonts w:ascii="Times New Roman" w:hAnsi="Times New Roman" w:cs="Times New Roman" w:eastAsia="Times New Roman" w:hint="default"/>
                <w:spacing w:val="16"/>
                <w:sz w:val="21"/>
                <w:szCs w:val="21"/>
              </w:rPr>
              <w:t> </w:t>
            </w:r>
            <w:r>
              <w:rPr>
                <w:rFonts w:ascii="宋体" w:hAnsi="宋体" w:cs="宋体" w:eastAsia="宋体" w:hint="default"/>
                <w:spacing w:val="-3"/>
                <w:sz w:val="21"/>
                <w:szCs w:val="21"/>
              </w:rPr>
              <w:t>项目验收所致。</w:t>
            </w:r>
            <w:r>
              <w:rPr>
                <w:rFonts w:ascii="宋体" w:hAnsi="宋体" w:cs="宋体" w:eastAsia="宋体" w:hint="default"/>
                <w:sz w:val="21"/>
                <w:szCs w:val="21"/>
              </w:rPr>
              <w:t> </w:t>
            </w:r>
          </w:p>
        </w:tc>
      </w:tr>
      <w:tr>
        <w:trPr>
          <w:trHeight w:val="39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17.27%</w:t>
            </w:r>
          </w:p>
        </w:tc>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主要系报告期内在建工程转入所致。</w:t>
            </w:r>
            <w:r>
              <w:rPr>
                <w:rFonts w:ascii="宋体" w:hAnsi="宋体" w:cs="宋体" w:eastAsia="宋体" w:hint="default"/>
                <w:sz w:val="21"/>
                <w:szCs w:val="21"/>
              </w:rPr>
              <w:t> </w:t>
            </w:r>
          </w:p>
        </w:tc>
      </w:tr>
      <w:tr>
        <w:trPr>
          <w:trHeight w:val="39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z w:val="21"/>
              </w:rPr>
              <w:t>48.04%</w:t>
            </w:r>
          </w:p>
        </w:tc>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主要系报告期内新增对外投资所致。</w:t>
            </w:r>
            <w:r>
              <w:rPr>
                <w:rFonts w:ascii="宋体" w:hAnsi="宋体" w:cs="宋体" w:eastAsia="宋体" w:hint="default"/>
                <w:sz w:val="21"/>
                <w:szCs w:val="21"/>
              </w:rPr>
              <w:t> </w:t>
            </w:r>
          </w:p>
        </w:tc>
      </w:tr>
      <w:tr>
        <w:trPr>
          <w:trHeight w:val="6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42.56%</w:t>
            </w:r>
          </w:p>
        </w:tc>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pacing w:val="3"/>
                <w:sz w:val="21"/>
                <w:szCs w:val="21"/>
              </w:rPr>
              <w:t>主要系报告期内公司自行研发的项目结项转为无形</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资产所致。</w:t>
            </w:r>
            <w:r>
              <w:rPr>
                <w:rFonts w:ascii="宋体" w:hAnsi="宋体" w:cs="宋体" w:eastAsia="宋体" w:hint="default"/>
                <w:sz w:val="21"/>
                <w:szCs w:val="21"/>
              </w:rPr>
              <w:t> </w:t>
            </w:r>
          </w:p>
        </w:tc>
      </w:tr>
      <w:tr>
        <w:trPr>
          <w:trHeight w:val="39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21"/>
                <w:szCs w:val="21"/>
              </w:rPr>
            </w:pPr>
            <w:r>
              <w:rPr>
                <w:rFonts w:ascii="Times New Roman"/>
                <w:spacing w:val="-1"/>
                <w:sz w:val="21"/>
              </w:rPr>
              <w:t>-55.70%</w:t>
            </w:r>
          </w:p>
        </w:tc>
        <w:tc>
          <w:tcPr>
            <w:tcW w:w="4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主要系报告期内在建工程转入固定资产所致。</w:t>
            </w:r>
            <w:r>
              <w:rPr>
                <w:rFonts w:ascii="宋体" w:hAnsi="宋体" w:cs="宋体" w:eastAsia="宋体" w:hint="default"/>
                <w:sz w:val="21"/>
                <w:szCs w:val="21"/>
              </w:rPr>
              <w:t> </w:t>
            </w:r>
          </w:p>
        </w:tc>
      </w:tr>
    </w:tbl>
    <w:p>
      <w:pPr>
        <w:pStyle w:val="BodyText"/>
        <w:spacing w:line="239" w:lineRule="exact"/>
        <w:ind w:left="216" w:right="0"/>
        <w:jc w:val="both"/>
        <w:rPr>
          <w:rFonts w:ascii="宋体" w:hAnsi="宋体" w:cs="宋体" w:eastAsia="宋体" w:hint="default"/>
        </w:rPr>
      </w:pPr>
      <w:r>
        <w:rPr>
          <w:rFonts w:ascii="宋体"/>
          <w:w w:val="100"/>
        </w:rPr>
        <w:t> </w:t>
      </w:r>
    </w:p>
    <w:p>
      <w:pPr>
        <w:pStyle w:val="BodyText"/>
        <w:spacing w:line="277" w:lineRule="exact"/>
        <w:ind w:left="216" w:right="0"/>
        <w:jc w:val="both"/>
      </w:pPr>
      <w:r>
        <w:rPr/>
        <w:t>其中：境外资产 </w:t>
      </w:r>
      <w:r>
        <w:rPr>
          <w:rFonts w:ascii="Times New Roman" w:hAnsi="Times New Roman" w:cs="Times New Roman" w:eastAsia="Times New Roman" w:hint="default"/>
        </w:rPr>
        <w:t>0</w:t>
      </w:r>
      <w:r>
        <w:rPr/>
        <w:t>（单位：元 币种：人民币），占总资产的比例为</w:t>
      </w:r>
      <w:r>
        <w:rPr>
          <w:spacing w:val="-7"/>
        </w:rPr>
        <w:t> </w:t>
      </w:r>
      <w:r>
        <w:rPr>
          <w:rFonts w:ascii="Times New Roman" w:hAnsi="Times New Roman" w:cs="Times New Roman" w:eastAsia="Times New Roman" w:hint="default"/>
        </w:rPr>
        <w:t>0%</w:t>
      </w:r>
      <w:r>
        <w:rPr/>
        <w:t>。</w:t>
      </w:r>
    </w:p>
    <w:p>
      <w:pPr>
        <w:pStyle w:val="Heading3"/>
        <w:spacing w:line="302" w:lineRule="exact"/>
        <w:ind w:left="216" w:right="0"/>
        <w:jc w:val="both"/>
      </w:pPr>
      <w:r>
        <w:rPr/>
        <w:t> </w:t>
      </w:r>
    </w:p>
    <w:p>
      <w:pPr>
        <w:pStyle w:val="Heading4"/>
        <w:spacing w:line="240" w:lineRule="auto" w:before="61"/>
        <w:ind w:left="216" w:right="0"/>
        <w:jc w:val="both"/>
        <w:rPr>
          <w:rFonts w:ascii="宋体" w:hAnsi="宋体" w:cs="宋体" w:eastAsia="宋体" w:hint="default"/>
          <w:b w:val="0"/>
          <w:bCs w:val="0"/>
        </w:rPr>
      </w:pPr>
      <w:r>
        <w:rPr/>
        <w:t>三、报告期内核心竞争力分析</w:t>
      </w:r>
      <w:r>
        <w:rPr>
          <w:rFonts w:ascii="宋体" w:hAnsi="宋体" w:cs="宋体" w:eastAsia="宋体" w:hint="default"/>
          <w:w w:val="99"/>
        </w:rPr>
        <w:t> </w:t>
      </w:r>
      <w:r>
        <w:rPr>
          <w:rFonts w:ascii="宋体" w:hAnsi="宋体" w:cs="宋体" w:eastAsia="宋体" w:hint="default"/>
          <w:b w:val="0"/>
          <w:bCs w:val="0"/>
        </w:rPr>
      </w:r>
    </w:p>
    <w:p>
      <w:pPr>
        <w:spacing w:line="304" w:lineRule="auto" w:before="58"/>
        <w:ind w:left="637" w:right="4343" w:hanging="421"/>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、持续加大研发创新投入，产品竞争力强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4" w:lineRule="auto" w:before="28"/>
        <w:ind w:left="216" w:right="128" w:firstLine="420"/>
        <w:jc w:val="both"/>
      </w:pPr>
      <w:r>
        <w:rPr>
          <w:spacing w:val="-7"/>
          <w:w w:val="100"/>
        </w:rPr>
        <w:t>公司始终坚持技术创新，持续加大研发创新投入。报告期内公司获批成为国家企业技术中心，</w:t>
      </w:r>
      <w:r>
        <w:rPr>
          <w:w w:val="100"/>
        </w:rPr>
        <w:t> </w:t>
      </w:r>
      <w:r>
        <w:rPr>
          <w:spacing w:val="-7"/>
        </w:rPr>
        <w:t>并完成研发上云，形成技术财富库，产品研发实行标准化管理，业务中台、数据中台、移动中台、</w:t>
      </w:r>
      <w:r>
        <w:rPr>
          <w:spacing w:val="-13"/>
        </w:rPr>
        <w:t> </w:t>
      </w:r>
      <w:r>
        <w:rPr>
          <w:spacing w:val="-13"/>
        </w:rPr>
      </w:r>
      <w:r>
        <w:rPr>
          <w:w w:val="100"/>
        </w:rPr>
        <w:t>视频</w:t>
      </w:r>
      <w:r>
        <w:rPr>
          <w:spacing w:val="-53"/>
          <w:w w:val="100"/>
        </w:rPr>
        <w:t> </w:t>
      </w:r>
      <w:r>
        <w:rPr>
          <w:rFonts w:ascii="宋体" w:hAnsi="宋体" w:cs="宋体" w:eastAsia="宋体" w:hint="default"/>
          <w:spacing w:val="-2"/>
          <w:w w:val="100"/>
        </w:rPr>
        <w:t>AI</w:t>
      </w:r>
      <w:r>
        <w:rPr>
          <w:rFonts w:ascii="宋体" w:hAnsi="宋体" w:cs="宋体" w:eastAsia="宋体" w:hint="default"/>
          <w:spacing w:val="-54"/>
          <w:w w:val="100"/>
        </w:rPr>
        <w:t> </w:t>
      </w:r>
      <w:r>
        <w:rPr>
          <w:spacing w:val="-9"/>
          <w:w w:val="100"/>
        </w:rPr>
        <w:t>中台、信创云办公平台等一批重大项目立项研发，公司技术能力、技术管理能力得以跃升，</w:t>
      </w:r>
      <w:r>
        <w:rPr>
          <w:w w:val="100"/>
        </w:rPr>
        <w:t> </w:t>
      </w:r>
      <w:r>
        <w:rPr>
          <w:spacing w:val="-1"/>
        </w:rPr>
        <w:t>全面提高了公司的产品竞争力优势。公司获批的国家级博士后科研工作站、福建省院士专家工作</w:t>
      </w:r>
      <w:r>
        <w:rPr>
          <w:spacing w:val="-55"/>
        </w:rPr>
        <w:t> </w:t>
      </w:r>
      <w:r>
        <w:rPr>
          <w:spacing w:val="-55"/>
        </w:rPr>
      </w:r>
      <w:r>
        <w:rPr>
          <w:spacing w:val="-1"/>
        </w:rPr>
        <w:t>站、福建省自主可控软件重点实验室、福建省工程研究中心、福建省工程技术研究中心、福建省</w:t>
      </w:r>
      <w:r>
        <w:rPr>
          <w:spacing w:val="-55"/>
        </w:rPr>
        <w:t> </w:t>
      </w:r>
      <w:r>
        <w:rPr>
          <w:spacing w:val="-55"/>
        </w:rPr>
      </w:r>
      <w:r>
        <w:rPr>
          <w:spacing w:val="-1"/>
        </w:rPr>
        <w:t>软件技术研发中心等创新平台，先后承担了国家科技支撑计划、国家电子信息产业发展基金、国</w:t>
      </w:r>
      <w:r>
        <w:rPr>
          <w:spacing w:val="-55"/>
        </w:rPr>
        <w:t> </w:t>
      </w:r>
      <w:r>
        <w:rPr>
          <w:spacing w:val="-55"/>
        </w:rPr>
      </w:r>
      <w:r>
        <w:rPr/>
        <w:t>家信息安全专项等超</w:t>
      </w:r>
      <w:r>
        <w:rPr>
          <w:spacing w:val="-50"/>
        </w:rPr>
        <w:t> </w:t>
      </w:r>
      <w:r>
        <w:rPr>
          <w:rFonts w:ascii="Times New Roman" w:hAnsi="Times New Roman" w:cs="Times New Roman" w:eastAsia="Times New Roman" w:hint="default"/>
        </w:rPr>
        <w:t>50 </w:t>
      </w:r>
      <w:r>
        <w:rPr/>
        <w:t>项国家级科研课题，获得国家级和省市科技进步奖超</w:t>
      </w:r>
      <w:r>
        <w:rPr>
          <w:spacing w:val="-52"/>
        </w:rPr>
        <w:t> </w:t>
      </w:r>
      <w:r>
        <w:rPr>
          <w:rFonts w:ascii="Times New Roman" w:hAnsi="Times New Roman" w:cs="Times New Roman" w:eastAsia="Times New Roman" w:hint="default"/>
        </w:rPr>
        <w:t>50</w:t>
      </w:r>
      <w:r>
        <w:rPr>
          <w:rFonts w:ascii="Times New Roman" w:hAnsi="Times New Roman" w:cs="Times New Roman" w:eastAsia="Times New Roman" w:hint="default"/>
          <w:spacing w:val="2"/>
        </w:rPr>
        <w:t> </w:t>
      </w:r>
      <w:r>
        <w:rPr/>
        <w:t>项、发明专利超</w:t>
      </w:r>
    </w:p>
    <w:p>
      <w:pPr>
        <w:pStyle w:val="BodyText"/>
        <w:spacing w:line="297" w:lineRule="auto"/>
        <w:ind w:left="216" w:right="0"/>
        <w:jc w:val="left"/>
        <w:rPr>
          <w:rFonts w:ascii="宋体" w:hAnsi="宋体" w:cs="宋体" w:eastAsia="宋体" w:hint="default"/>
        </w:rPr>
      </w:pPr>
      <w:r>
        <w:rPr>
          <w:rFonts w:ascii="Times New Roman" w:hAnsi="Times New Roman" w:cs="Times New Roman" w:eastAsia="Times New Roman" w:hint="default"/>
        </w:rPr>
        <w:t>40 </w:t>
      </w:r>
      <w:r>
        <w:rPr>
          <w:spacing w:val="-3"/>
        </w:rPr>
        <w:t>项、自主知识产权软件产品超千项、国际大奖 </w:t>
      </w:r>
      <w:r>
        <w:rPr>
          <w:rFonts w:ascii="Times New Roman" w:hAnsi="Times New Roman" w:cs="Times New Roman" w:eastAsia="Times New Roman" w:hint="default"/>
        </w:rPr>
        <w:t>7 </w:t>
      </w:r>
      <w:r>
        <w:rPr>
          <w:spacing w:val="-3"/>
        </w:rPr>
        <w:t>项、国内大奖数十项，在重要核心刊物发表科</w:t>
      </w:r>
      <w:r>
        <w:rPr>
          <w:spacing w:val="-87"/>
        </w:rPr>
        <w:t> </w:t>
      </w:r>
      <w:r>
        <w:rPr>
          <w:spacing w:val="-87"/>
        </w:rPr>
      </w:r>
      <w:r>
        <w:rPr/>
        <w:t>技创新论文超百篇。</w:t>
      </w:r>
      <w:r>
        <w:rPr>
          <w:rFonts w:ascii="宋体" w:hAnsi="宋体" w:cs="宋体" w:eastAsia="宋体" w:hint="default"/>
        </w:rPr>
        <w:t> </w:t>
      </w:r>
    </w:p>
    <w:p>
      <w:pPr>
        <w:pStyle w:val="Heading4"/>
        <w:spacing w:line="240" w:lineRule="auto" w:before="35"/>
        <w:ind w:left="639" w:right="2819"/>
        <w:jc w:val="left"/>
        <w:rPr>
          <w:rFonts w:ascii="宋体" w:hAnsi="宋体" w:cs="宋体" w:eastAsia="宋体" w:hint="default"/>
          <w:b w:val="0"/>
          <w:bCs w:val="0"/>
        </w:rPr>
      </w:pPr>
      <w:r>
        <w:rPr>
          <w:rFonts w:ascii="宋体" w:hAnsi="宋体" w:cs="宋体" w:eastAsia="宋体" w:hint="default"/>
        </w:rPr>
        <w:t>2</w:t>
      </w:r>
      <w:r>
        <w:rPr/>
        <w:t>、持续引领数字政府服务，行业标杆案例多，市场覆盖广</w:t>
      </w:r>
      <w:r>
        <w:rPr>
          <w:rFonts w:ascii="宋体" w:hAnsi="宋体" w:cs="宋体" w:eastAsia="宋体" w:hint="default"/>
          <w:w w:val="99"/>
        </w:rPr>
        <w:t> </w:t>
      </w:r>
      <w:r>
        <w:rPr>
          <w:rFonts w:ascii="宋体" w:hAnsi="宋体" w:cs="宋体" w:eastAsia="宋体" w:hint="default"/>
          <w:b w:val="0"/>
          <w:bCs w:val="0"/>
        </w:rPr>
      </w:r>
    </w:p>
    <w:p>
      <w:pPr>
        <w:pStyle w:val="BodyText"/>
        <w:spacing w:line="309" w:lineRule="auto" w:before="85"/>
        <w:ind w:left="216" w:right="128" w:firstLine="420"/>
        <w:jc w:val="both"/>
        <w:rPr>
          <w:rFonts w:ascii="宋体" w:hAnsi="宋体" w:cs="宋体" w:eastAsia="宋体" w:hint="default"/>
        </w:rPr>
      </w:pPr>
      <w:r>
        <w:rPr/>
        <w:t>公司深耕数字政府领域 </w:t>
      </w:r>
      <w:r>
        <w:rPr>
          <w:rFonts w:ascii="Times New Roman" w:hAnsi="Times New Roman" w:cs="Times New Roman" w:eastAsia="Times New Roman" w:hint="default"/>
        </w:rPr>
        <w:t>17</w:t>
      </w:r>
      <w:r>
        <w:rPr>
          <w:rFonts w:ascii="Times New Roman" w:hAnsi="Times New Roman" w:cs="Times New Roman" w:eastAsia="Times New Roman" w:hint="default"/>
          <w:spacing w:val="-19"/>
        </w:rPr>
        <w:t> </w:t>
      </w:r>
      <w:r>
        <w:rPr>
          <w:spacing w:val="-5"/>
        </w:rPr>
        <w:t>年，是国内“数字政府”行业的核心骨干企业，在“数字政府”领</w:t>
      </w:r>
      <w:r>
        <w:rPr>
          <w:w w:val="100"/>
        </w:rPr>
        <w:t> </w:t>
      </w:r>
      <w:r>
        <w:rPr>
          <w:spacing w:val="-1"/>
        </w:rPr>
        <w:t>域产品科研能力、服务运营能力和综合竞争力处于全国前列水平，形成了包括政务服务一体化平</w:t>
      </w:r>
      <w:r>
        <w:rPr>
          <w:spacing w:val="-55"/>
        </w:rPr>
        <w:t> </w:t>
      </w:r>
      <w:r>
        <w:rPr>
          <w:spacing w:val="-55"/>
        </w:rPr>
      </w:r>
      <w:r>
        <w:rPr>
          <w:spacing w:val="-4"/>
        </w:rPr>
        <w:t>台、互联网</w:t>
      </w:r>
      <w:r>
        <w:rPr>
          <w:rFonts w:ascii="宋体" w:hAnsi="宋体" w:cs="宋体" w:eastAsia="宋体" w:hint="default"/>
          <w:spacing w:val="-4"/>
        </w:rPr>
        <w:t>+</w:t>
      </w:r>
      <w:r>
        <w:rPr>
          <w:spacing w:val="-4"/>
        </w:rPr>
        <w:t>监管、新一代政务中台、政务大数据治理平台、区块链电子证照、信息技术应用创新</w:t>
      </w:r>
      <w:r>
        <w:rPr>
          <w:spacing w:val="-35"/>
        </w:rPr>
        <w:t> </w:t>
      </w:r>
      <w:r>
        <w:rPr>
          <w:spacing w:val="-35"/>
        </w:rPr>
      </w:r>
      <w:r>
        <w:rPr>
          <w:spacing w:val="-1"/>
        </w:rPr>
        <w:t>平台等在内的，覆盖“数字政府”的前端、应用、中台、数据到信创业务的全面产品体系和行业</w:t>
      </w:r>
      <w:r>
        <w:rPr>
          <w:spacing w:val="-55"/>
        </w:rPr>
        <w:t> </w:t>
      </w:r>
      <w:r>
        <w:rPr>
          <w:spacing w:val="-55"/>
        </w:rPr>
      </w:r>
      <w:r>
        <w:rPr>
          <w:spacing w:val="-1"/>
        </w:rPr>
        <w:t>解决方案；公司是国内“数字政府”行业的核心骨干企业，拥有全国最领先的实践经验和覆盖中</w:t>
      </w:r>
      <w:r>
        <w:rPr>
          <w:spacing w:val="-55"/>
        </w:rPr>
        <w:t> </w:t>
      </w:r>
      <w:r>
        <w:rPr>
          <w:spacing w:val="-55"/>
        </w:rPr>
      </w:r>
      <w:r>
        <w:rPr/>
        <w:t>央到社区</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级政府部门的超万客户案例，其中：“浙江‘最多跑一次’改革实践”、“江苏‘不</w:t>
      </w:r>
      <w:r>
        <w:rPr>
          <w:w w:val="100"/>
        </w:rPr>
        <w:t> </w:t>
      </w:r>
      <w:r>
        <w:rPr>
          <w:spacing w:val="-1"/>
        </w:rPr>
        <w:t>见面审批’”、福建“区块链证照通”、深圳数据开放平台、贵州投资项目监管平台、河南工程</w:t>
      </w:r>
      <w:r>
        <w:rPr>
          <w:spacing w:val="-55"/>
        </w:rPr>
        <w:t> </w:t>
      </w:r>
      <w:r>
        <w:rPr>
          <w:spacing w:val="-55"/>
        </w:rPr>
      </w:r>
      <w:r>
        <w:rPr>
          <w:spacing w:val="-1"/>
        </w:rPr>
        <w:t>建设项目审批平台、湖南民生资金互联网</w:t>
      </w:r>
      <w:r>
        <w:rPr>
          <w:rFonts w:ascii="宋体" w:hAnsi="宋体" w:cs="宋体" w:eastAsia="宋体" w:hint="default"/>
          <w:spacing w:val="-1"/>
        </w:rPr>
        <w:t>+</w:t>
      </w:r>
      <w:r>
        <w:rPr>
          <w:spacing w:val="-1"/>
        </w:rPr>
        <w:t>监督平台、广西互联网</w:t>
      </w:r>
      <w:r>
        <w:rPr>
          <w:rFonts w:ascii="宋体" w:hAnsi="宋体" w:cs="宋体" w:eastAsia="宋体" w:hint="default"/>
          <w:spacing w:val="-1"/>
        </w:rPr>
        <w:t>+</w:t>
      </w:r>
      <w:r>
        <w:rPr>
          <w:spacing w:val="-1"/>
        </w:rPr>
        <w:t>监管平台等项目案例成为行业</w:t>
      </w:r>
      <w:r>
        <w:rPr>
          <w:spacing w:val="-55"/>
        </w:rPr>
        <w:t> </w:t>
      </w:r>
      <w:r>
        <w:rPr>
          <w:spacing w:val="-55"/>
        </w:rPr>
      </w:r>
      <w:r>
        <w:rPr/>
        <w:t>标杆。</w:t>
      </w:r>
      <w:r>
        <w:rPr>
          <w:rFonts w:ascii="宋体" w:hAnsi="宋体" w:cs="宋体" w:eastAsia="宋体" w:hint="default"/>
        </w:rPr>
        <w:t> </w:t>
      </w:r>
    </w:p>
    <w:p>
      <w:pPr>
        <w:spacing w:line="314" w:lineRule="auto" w:before="25"/>
        <w:ind w:left="637"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、公安领域立足实战应用，客户认可度高</w:t>
      </w:r>
      <w:r>
        <w:rPr>
          <w:rFonts w:ascii="宋体" w:hAnsi="宋体" w:cs="宋体" w:eastAsia="宋体" w:hint="default"/>
          <w:b/>
          <w:bCs/>
          <w:w w:val="99"/>
          <w:sz w:val="21"/>
          <w:szCs w:val="21"/>
        </w:rPr>
        <w:t> </w:t>
      </w:r>
      <w:r>
        <w:rPr>
          <w:rFonts w:ascii="宋体" w:hAnsi="宋体" w:cs="宋体" w:eastAsia="宋体" w:hint="default"/>
          <w:spacing w:val="-2"/>
          <w:sz w:val="21"/>
          <w:szCs w:val="21"/>
        </w:rPr>
        <w:t>公司是国内领先的平安城市和智慧警务解决方案提供商，凭借自身丰富的项目实施经验和过</w:t>
      </w:r>
    </w:p>
    <w:p>
      <w:pPr>
        <w:pStyle w:val="BodyText"/>
        <w:spacing w:line="304" w:lineRule="auto" w:before="20"/>
        <w:ind w:left="216" w:right="128"/>
        <w:jc w:val="both"/>
      </w:pPr>
      <w:r>
        <w:rPr>
          <w:spacing w:val="-4"/>
        </w:rPr>
        <w:t>硬的公安业务理解优势，主动拥抱技术革命，公司与阿里团队共同研发“视频图像 </w:t>
      </w:r>
      <w:r>
        <w:rPr>
          <w:rFonts w:ascii="Times New Roman" w:hAnsi="Times New Roman" w:cs="Times New Roman" w:eastAsia="Times New Roman" w:hint="default"/>
        </w:rPr>
        <w:t>AI </w:t>
      </w:r>
      <w:r>
        <w:rPr>
          <w:spacing w:val="-13"/>
        </w:rPr>
        <w:t>中台”，持</w:t>
      </w:r>
      <w:r>
        <w:rPr>
          <w:spacing w:val="-84"/>
        </w:rPr>
        <w:t> </w:t>
      </w:r>
      <w:r>
        <w:rPr>
          <w:spacing w:val="-84"/>
        </w:rPr>
      </w:r>
      <w:r>
        <w:rPr>
          <w:spacing w:val="-1"/>
        </w:rPr>
        <w:t>续在公安领域加大技术研发和业务创新投入，打造公司公共安全领域的核心竞争力。公司自主研</w:t>
      </w:r>
      <w:r>
        <w:rPr>
          <w:spacing w:val="-55"/>
        </w:rPr>
        <w:t> </w:t>
      </w:r>
      <w:r>
        <w:rPr>
          <w:spacing w:val="-55"/>
        </w:rPr>
      </w:r>
      <w:r>
        <w:rPr/>
        <w:t>发的智慧警务智能感知大数据平台自</w:t>
      </w:r>
      <w:r>
        <w:rPr>
          <w:spacing w:val="-3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spacing w:val="-6"/>
        </w:rPr>
        <w:t>年正式发布上线运行后，现已在泉州、南平等多个地区</w:t>
      </w:r>
      <w:r>
        <w:rPr>
          <w:spacing w:val="-98"/>
        </w:rPr>
        <w:t> </w:t>
      </w:r>
      <w:r>
        <w:rPr>
          <w:spacing w:val="-98"/>
        </w:rPr>
      </w:r>
      <w:r>
        <w:rPr>
          <w:spacing w:val="-1"/>
        </w:rPr>
        <w:t>得到实战应用，取得良好的成效，得到客户的高度认可。报告期内公司中标了泉州市“完善提升</w:t>
      </w:r>
      <w:r>
        <w:rPr>
          <w:spacing w:val="-54"/>
        </w:rPr>
        <w:t> </w:t>
      </w:r>
      <w:r>
        <w:rPr>
          <w:spacing w:val="-54"/>
        </w:rPr>
      </w:r>
      <w:r>
        <w:rPr>
          <w:spacing w:val="-4"/>
        </w:rPr>
        <w:t>城市安全信息系统”项目，将使用“视频中台”解决方案并创新采用星形</w:t>
      </w:r>
      <w:r>
        <w:rPr>
          <w:rFonts w:ascii="宋体" w:hAnsi="宋体" w:cs="宋体" w:eastAsia="宋体" w:hint="default"/>
          <w:spacing w:val="-4"/>
        </w:rPr>
        <w:t>+</w:t>
      </w:r>
      <w:r>
        <w:rPr>
          <w:spacing w:val="-4"/>
        </w:rPr>
        <w:t>环形组网方案，构建分</w:t>
      </w:r>
    </w:p>
    <w:p>
      <w:pPr>
        <w:spacing w:after="0" w:line="304" w:lineRule="auto"/>
        <w:jc w:val="both"/>
        <w:sectPr>
          <w:pgSz w:w="11910" w:h="16840"/>
          <w:pgMar w:header="855" w:footer="979" w:top="1120" w:bottom="1160" w:left="1060" w:right="1660"/>
        </w:sectPr>
      </w:pPr>
    </w:p>
    <w:p>
      <w:pPr>
        <w:spacing w:line="240" w:lineRule="auto" w:before="7"/>
        <w:rPr>
          <w:rFonts w:ascii="宋体" w:hAnsi="宋体" w:cs="宋体" w:eastAsia="宋体" w:hint="default"/>
          <w:sz w:val="24"/>
          <w:szCs w:val="24"/>
        </w:rPr>
      </w:pPr>
    </w:p>
    <w:p>
      <w:pPr>
        <w:pStyle w:val="BodyText"/>
        <w:spacing w:line="314" w:lineRule="auto" w:before="36"/>
        <w:ind w:left="136" w:right="129"/>
        <w:jc w:val="both"/>
        <w:rPr>
          <w:rFonts w:ascii="宋体" w:hAnsi="宋体" w:cs="宋体" w:eastAsia="宋体" w:hint="default"/>
        </w:rPr>
      </w:pPr>
      <w:r>
        <w:rPr>
          <w:spacing w:val="-1"/>
        </w:rPr>
        <w:t>布式解析中心，为警务实战提供最全面“多网”服务能力，完善智能感知大数据应用体系，深入</w:t>
      </w:r>
      <w:r>
        <w:rPr>
          <w:spacing w:val="-55"/>
        </w:rPr>
        <w:t> </w:t>
      </w:r>
      <w:r>
        <w:rPr>
          <w:spacing w:val="-55"/>
        </w:rPr>
      </w:r>
      <w:r>
        <w:rPr/>
        <w:t>推进城市安全信息系统实战效益的可持续发展。</w:t>
      </w:r>
      <w:r>
        <w:rPr>
          <w:rFonts w:ascii="宋体" w:hAnsi="宋体" w:cs="宋体" w:eastAsia="宋体" w:hint="default"/>
        </w:rPr>
        <w:t> </w:t>
      </w:r>
    </w:p>
    <w:p>
      <w:pPr>
        <w:spacing w:line="314" w:lineRule="auto" w:before="20"/>
        <w:ind w:left="557" w:right="129"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、持续完善营销体系建设，百城百亿计划成效初显</w:t>
      </w:r>
      <w:r>
        <w:rPr>
          <w:rFonts w:ascii="宋体" w:hAnsi="宋体" w:cs="宋体" w:eastAsia="宋体" w:hint="default"/>
          <w:b/>
          <w:bCs/>
          <w:w w:val="99"/>
          <w:sz w:val="21"/>
          <w:szCs w:val="21"/>
        </w:rPr>
        <w:t> </w:t>
      </w:r>
      <w:r>
        <w:rPr>
          <w:rFonts w:ascii="宋体" w:hAnsi="宋体" w:cs="宋体" w:eastAsia="宋体" w:hint="default"/>
          <w:b/>
          <w:bCs/>
          <w:w w:val="99"/>
          <w:sz w:val="21"/>
          <w:szCs w:val="21"/>
        </w:rPr>
        <w:t> </w:t>
      </w:r>
      <w:r>
        <w:rPr>
          <w:rFonts w:ascii="宋体" w:hAnsi="宋体" w:cs="宋体" w:eastAsia="宋体" w:hint="default"/>
          <w:spacing w:val="-4"/>
          <w:sz w:val="21"/>
          <w:szCs w:val="21"/>
        </w:rPr>
        <w:t>公司持续完善营销体系建设，已在全国 </w:t>
      </w:r>
      <w:r>
        <w:rPr>
          <w:rFonts w:ascii="宋体" w:hAnsi="宋体" w:cs="宋体" w:eastAsia="宋体" w:hint="default"/>
          <w:sz w:val="21"/>
          <w:szCs w:val="21"/>
        </w:rPr>
        <w:t>28</w:t>
      </w:r>
      <w:r>
        <w:rPr>
          <w:rFonts w:ascii="宋体" w:hAnsi="宋体" w:cs="宋体" w:eastAsia="宋体" w:hint="default"/>
          <w:spacing w:val="-46"/>
          <w:sz w:val="21"/>
          <w:szCs w:val="21"/>
        </w:rPr>
        <w:t> </w:t>
      </w:r>
      <w:r>
        <w:rPr>
          <w:rFonts w:ascii="宋体" w:hAnsi="宋体" w:cs="宋体" w:eastAsia="宋体" w:hint="default"/>
          <w:spacing w:val="-4"/>
          <w:sz w:val="21"/>
          <w:szCs w:val="21"/>
        </w:rPr>
        <w:t>个省设立业务机构拓展区域市场。公司与地方政府</w:t>
      </w:r>
    </w:p>
    <w:p>
      <w:pPr>
        <w:pStyle w:val="BodyText"/>
        <w:spacing w:line="314" w:lineRule="auto" w:before="20"/>
        <w:ind w:left="136" w:right="129"/>
        <w:jc w:val="both"/>
        <w:rPr>
          <w:rFonts w:ascii="Times New Roman" w:hAnsi="Times New Roman" w:cs="Times New Roman" w:eastAsia="Times New Roman" w:hint="default"/>
        </w:rPr>
      </w:pPr>
      <w:r>
        <w:rPr>
          <w:spacing w:val="-1"/>
        </w:rPr>
        <w:t>平台、产业优质资源合作伙伴强强联合与优势互补，持续推进百城百亿计划，落实行业区域布局</w:t>
      </w:r>
      <w:r>
        <w:rPr>
          <w:spacing w:val="-55"/>
        </w:rPr>
        <w:t> </w:t>
      </w:r>
      <w:r>
        <w:rPr>
          <w:spacing w:val="-55"/>
        </w:rPr>
      </w:r>
      <w:r>
        <w:rPr>
          <w:spacing w:val="-3"/>
        </w:rPr>
        <w:t>战略，打造区域产业龙头企业，公司的营销能力持续提升，本地化服务能力持续增强。截至</w:t>
      </w:r>
      <w:r>
        <w:rPr>
          <w:spacing w:val="12"/>
        </w:rPr>
        <w:t> </w:t>
      </w:r>
      <w:r>
        <w:rPr>
          <w:rFonts w:ascii="Times New Roman" w:hAnsi="Times New Roman" w:cs="Times New Roman" w:eastAsia="Times New Roman" w:hint="default"/>
        </w:rPr>
        <w:t>2019</w:t>
      </w:r>
    </w:p>
    <w:p>
      <w:pPr>
        <w:pStyle w:val="BodyText"/>
        <w:spacing w:line="297" w:lineRule="auto"/>
        <w:ind w:left="136" w:right="129"/>
        <w:jc w:val="both"/>
        <w:rPr>
          <w:rFonts w:ascii="宋体" w:hAnsi="宋体" w:cs="宋体" w:eastAsia="宋体" w:hint="default"/>
        </w:rPr>
      </w:pPr>
      <w:r>
        <w:rPr>
          <w:spacing w:val="-5"/>
        </w:rPr>
        <w:t>年年底，已在山东济宁、湖南衡阳、河南郑州、福建漳州、福建上杭等地设立 </w:t>
      </w:r>
      <w:r>
        <w:rPr>
          <w:rFonts w:ascii="Times New Roman" w:hAnsi="Times New Roman" w:cs="Times New Roman" w:eastAsia="Times New Roman" w:hint="default"/>
        </w:rPr>
        <w:t>12 </w:t>
      </w:r>
      <w:r>
        <w:rPr/>
        <w:t>家基于百城百亿</w:t>
      </w:r>
      <w:r>
        <w:rPr>
          <w:spacing w:val="-87"/>
        </w:rPr>
        <w:t> </w:t>
      </w:r>
      <w:r>
        <w:rPr>
          <w:spacing w:val="-87"/>
        </w:rPr>
      </w:r>
      <w:r>
        <w:rPr>
          <w:spacing w:val="-3"/>
        </w:rPr>
        <w:t>计划的合资公司，</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
        </w:rPr>
        <w:t> </w:t>
      </w:r>
      <w:r>
        <w:rPr/>
        <w:t>年度由合资公司牵头负责或协助参与的项目金额累计超过</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5"/>
        </w:rPr>
        <w:t>亿元，新组建</w:t>
      </w:r>
      <w:r>
        <w:rPr>
          <w:spacing w:val="-103"/>
        </w:rPr>
        <w:t> </w:t>
      </w:r>
      <w:r>
        <w:rPr>
          <w:spacing w:val="-103"/>
        </w:rPr>
      </w:r>
      <w:r>
        <w:rPr/>
        <w:t>的合资公司对于推进项目落地的作用开始初步显现。</w:t>
      </w:r>
      <w:r>
        <w:rPr>
          <w:rFonts w:ascii="宋体" w:hAnsi="宋体" w:cs="宋体" w:eastAsia="宋体" w:hint="default"/>
          <w:spacing w:val="-3"/>
        </w:rPr>
        <w:t> </w:t>
      </w:r>
      <w:r>
        <w:rPr>
          <w:rFonts w:ascii="宋体" w:hAnsi="宋体" w:cs="宋体" w:eastAsia="宋体" w:hint="default"/>
        </w:rPr>
        <w:t> </w:t>
      </w:r>
    </w:p>
    <w:p>
      <w:pPr>
        <w:spacing w:line="314" w:lineRule="auto" w:before="34"/>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、引入行业巨头战略投资，生态资源丰富</w:t>
      </w:r>
      <w:r>
        <w:rPr>
          <w:rFonts w:ascii="宋体" w:hAnsi="宋体" w:cs="宋体" w:eastAsia="宋体" w:hint="default"/>
          <w:b/>
          <w:bCs/>
          <w:w w:val="99"/>
          <w:sz w:val="21"/>
          <w:szCs w:val="21"/>
        </w:rPr>
        <w:t> </w:t>
      </w:r>
      <w:r>
        <w:rPr>
          <w:rFonts w:ascii="宋体" w:hAnsi="宋体" w:cs="宋体" w:eastAsia="宋体" w:hint="default"/>
          <w:spacing w:val="-2"/>
          <w:sz w:val="21"/>
          <w:szCs w:val="21"/>
        </w:rPr>
        <w:t>报告期内，中国电科与蚂蚁金服分别战略投资入股南威软件，中国电科和蚂蚁金服成为公司</w:t>
      </w:r>
    </w:p>
    <w:p>
      <w:pPr>
        <w:pStyle w:val="BodyText"/>
        <w:spacing w:line="314" w:lineRule="auto" w:before="20"/>
        <w:ind w:left="136" w:right="128"/>
        <w:jc w:val="both"/>
      </w:pPr>
      <w:r>
        <w:rPr>
          <w:spacing w:val="-1"/>
        </w:rPr>
        <w:t>的第二、第三大股东，公司成为既有央企背景又有互联网巨头背景的混合所有制企业，在行业横</w:t>
      </w:r>
      <w:r>
        <w:rPr>
          <w:spacing w:val="-54"/>
        </w:rPr>
        <w:t> </w:t>
      </w:r>
      <w:r>
        <w:rPr>
          <w:spacing w:val="-54"/>
        </w:rPr>
      </w:r>
      <w:r>
        <w:rPr>
          <w:spacing w:val="-1"/>
        </w:rPr>
        <w:t>向及纵向上形成优势互补，促进业务深入融合，生态资源更加丰富，平台能力得到增强，公司影</w:t>
      </w:r>
      <w:r>
        <w:rPr>
          <w:spacing w:val="-55"/>
        </w:rPr>
        <w:t> </w:t>
      </w:r>
      <w:r>
        <w:rPr>
          <w:spacing w:val="-55"/>
        </w:rPr>
      </w:r>
      <w:r>
        <w:rPr/>
        <w:t>响力进一步扩大。</w:t>
      </w:r>
    </w:p>
    <w:p>
      <w:pPr>
        <w:pStyle w:val="BodyText"/>
        <w:spacing w:line="218" w:lineRule="exact"/>
        <w:ind w:left="136" w:right="0"/>
        <w:jc w:val="both"/>
        <w:rPr>
          <w:rFonts w:ascii="宋体" w:hAnsi="宋体" w:cs="宋体" w:eastAsia="宋体" w:hint="default"/>
        </w:rPr>
      </w:pPr>
      <w:r>
        <w:rPr>
          <w:rFonts w:ascii="宋体"/>
          <w:w w:val="100"/>
        </w:rPr>
        <w:t> </w:t>
      </w:r>
    </w:p>
    <w:p>
      <w:pPr>
        <w:spacing w:after="0" w:line="218" w:lineRule="exact"/>
        <w:jc w:val="both"/>
        <w:rPr>
          <w:rFonts w:ascii="宋体" w:hAnsi="宋体" w:cs="宋体" w:eastAsia="宋体" w:hint="default"/>
        </w:rPr>
        <w:sectPr>
          <w:pgSz w:w="11910" w:h="16840"/>
          <w:pgMar w:header="855" w:footer="979" w:top="1120" w:bottom="1160" w:left="1140" w:right="1660"/>
        </w:sectPr>
      </w:pPr>
    </w:p>
    <w:p>
      <w:pPr>
        <w:spacing w:line="240" w:lineRule="auto" w:before="11"/>
        <w:rPr>
          <w:rFonts w:ascii="宋体" w:hAnsi="宋体" w:cs="宋体" w:eastAsia="宋体" w:hint="default"/>
          <w:sz w:val="23"/>
          <w:szCs w:val="23"/>
        </w:rPr>
      </w:pPr>
    </w:p>
    <w:p>
      <w:pPr>
        <w:pStyle w:val="Heading1"/>
        <w:spacing w:line="240" w:lineRule="auto"/>
        <w:ind w:left="2794" w:right="2819"/>
        <w:jc w:val="left"/>
        <w:rPr>
          <w:b w:val="0"/>
          <w:bCs w:val="0"/>
        </w:rPr>
      </w:pPr>
      <w:bookmarkStart w:name="_bookmark3" w:id="4"/>
      <w:bookmarkEnd w:id="4"/>
      <w:r>
        <w:rPr>
          <w:b w:val="0"/>
          <w:bCs w:val="0"/>
        </w:rPr>
      </w:r>
      <w:r>
        <w:rPr/>
        <w:t>第四节</w:t>
      </w:r>
      <w:r>
        <w:rPr>
          <w:spacing w:val="-2"/>
        </w:rPr>
        <w:t> </w:t>
      </w:r>
      <w:r>
        <w:rPr/>
        <w:t>经营情况讨论与分析</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136" w:right="0"/>
        <w:jc w:val="both"/>
        <w:rPr>
          <w:b w:val="0"/>
          <w:bCs w:val="0"/>
        </w:rPr>
      </w:pPr>
      <w:r>
        <w:rPr/>
        <w:t>一、经营情况讨论与分析</w:t>
      </w:r>
      <w:r>
        <w:rPr>
          <w:b w:val="0"/>
          <w:bCs w:val="0"/>
        </w:rPr>
      </w:r>
    </w:p>
    <w:p>
      <w:pPr>
        <w:spacing w:line="314" w:lineRule="auto" w:before="133"/>
        <w:ind w:left="557" w:right="0" w:firstLine="0"/>
        <w:jc w:val="left"/>
        <w:rPr>
          <w:rFonts w:ascii="宋体" w:hAnsi="宋体" w:cs="宋体" w:eastAsia="宋体" w:hint="default"/>
          <w:sz w:val="21"/>
          <w:szCs w:val="21"/>
        </w:rPr>
      </w:pPr>
      <w:r>
        <w:rPr>
          <w:rFonts w:ascii="宋体" w:hAnsi="宋体" w:cs="宋体" w:eastAsia="宋体" w:hint="default"/>
          <w:b/>
          <w:bCs/>
          <w:sz w:val="21"/>
          <w:szCs w:val="21"/>
        </w:rPr>
        <w:t>（一）报告期内公司经营概述</w:t>
      </w:r>
      <w:r>
        <w:rPr>
          <w:rFonts w:ascii="宋体" w:hAnsi="宋体" w:cs="宋体" w:eastAsia="宋体" w:hint="default"/>
          <w:b/>
          <w:bCs/>
          <w:w w:val="100"/>
          <w:sz w:val="21"/>
          <w:szCs w:val="21"/>
        </w:rPr>
        <w:t> </w:t>
      </w:r>
      <w:r>
        <w:rPr>
          <w:rFonts w:ascii="宋体" w:hAnsi="宋体" w:cs="宋体" w:eastAsia="宋体" w:hint="default"/>
          <w:spacing w:val="-2"/>
          <w:sz w:val="21"/>
          <w:szCs w:val="21"/>
        </w:rPr>
        <w:t>公司根据数字政府的演变，顺应国家治理体系和治理能力现代化发展战略，将公司定位为数</w:t>
      </w:r>
    </w:p>
    <w:p>
      <w:pPr>
        <w:pStyle w:val="BodyText"/>
        <w:spacing w:line="314" w:lineRule="auto" w:before="20"/>
        <w:ind w:left="136" w:right="208"/>
        <w:jc w:val="both"/>
      </w:pPr>
      <w:r>
        <w:rPr>
          <w:spacing w:val="-1"/>
        </w:rPr>
        <w:t>字政府服务与运营商、公共安全大数据专家、信创软件产品提供商和综合集成服务商，成为推进</w:t>
      </w:r>
      <w:r>
        <w:rPr>
          <w:spacing w:val="-55"/>
        </w:rPr>
        <w:t> </w:t>
      </w:r>
      <w:r>
        <w:rPr>
          <w:spacing w:val="-55"/>
        </w:rPr>
      </w:r>
      <w:r>
        <w:rPr>
          <w:spacing w:val="-1"/>
        </w:rPr>
        <w:t>国家治理体系和治理能力现代化的知名科技企业。报告期内，在董事会的正确领导、管理层和全</w:t>
      </w:r>
      <w:r>
        <w:rPr>
          <w:spacing w:val="-56"/>
        </w:rPr>
        <w:t> </w:t>
      </w:r>
      <w:r>
        <w:rPr>
          <w:spacing w:val="-56"/>
        </w:rPr>
      </w:r>
      <w:r>
        <w:rPr>
          <w:spacing w:val="-1"/>
        </w:rPr>
        <w:t>体员工的共同努力下，公司继续深化改革，精准战略定位，加大研发投入，提高全国市场营销覆</w:t>
      </w:r>
      <w:r>
        <w:rPr>
          <w:spacing w:val="-55"/>
        </w:rPr>
        <w:t> </w:t>
      </w:r>
      <w:r>
        <w:rPr>
          <w:spacing w:val="-55"/>
        </w:rPr>
      </w:r>
      <w:r>
        <w:rPr>
          <w:spacing w:val="-1"/>
        </w:rPr>
        <w:t>盖，坚持以数字政府和城市公共安全领域为主线，深耕行业技术、应用与运营，取得了可喜的阶</w:t>
      </w:r>
      <w:r>
        <w:rPr>
          <w:spacing w:val="-56"/>
        </w:rPr>
        <w:t> </w:t>
      </w:r>
      <w:r>
        <w:rPr>
          <w:spacing w:val="-56"/>
        </w:rPr>
      </w:r>
      <w:r>
        <w:rPr/>
        <w:t>段性成果。</w:t>
      </w:r>
    </w:p>
    <w:p>
      <w:pPr>
        <w:pStyle w:val="BodyText"/>
        <w:spacing w:line="297" w:lineRule="auto" w:before="20"/>
        <w:ind w:left="136" w:right="208" w:firstLine="420"/>
        <w:jc w:val="both"/>
      </w:pPr>
      <w:r>
        <w:rPr>
          <w:rFonts w:ascii="Times New Roman" w:hAnsi="Times New Roman" w:cs="Times New Roman" w:eastAsia="Times New Roman" w:hint="default"/>
        </w:rPr>
        <w:t>2019 </w:t>
      </w:r>
      <w:r>
        <w:rPr/>
        <w:t>年度公司实现营业收入 </w:t>
      </w:r>
      <w:r>
        <w:rPr>
          <w:rFonts w:ascii="Times New Roman" w:hAnsi="Times New Roman" w:cs="Times New Roman" w:eastAsia="Times New Roman" w:hint="default"/>
        </w:rPr>
        <w:t>137,925.89 </w:t>
      </w:r>
      <w:r>
        <w:rPr/>
        <w:t>万元，同比增长</w:t>
      </w:r>
      <w:r>
        <w:rPr>
          <w:spacing w:val="-12"/>
        </w:rPr>
        <w:t> </w:t>
      </w:r>
      <w:r>
        <w:rPr>
          <w:rFonts w:ascii="Times New Roman" w:hAnsi="Times New Roman" w:cs="Times New Roman" w:eastAsia="Times New Roman" w:hint="default"/>
        </w:rPr>
        <w:t>40.88%</w:t>
      </w:r>
      <w:r>
        <w:rPr/>
        <w:t>；实现归属于上市股东的净</w:t>
      </w:r>
      <w:r>
        <w:rPr>
          <w:w w:val="100"/>
        </w:rPr>
        <w:t> </w:t>
      </w:r>
      <w:r>
        <w:rPr/>
        <w:t>利润为 </w:t>
      </w:r>
      <w:r>
        <w:rPr>
          <w:rFonts w:ascii="Times New Roman" w:hAnsi="Times New Roman" w:cs="Times New Roman" w:eastAsia="Times New Roman" w:hint="default"/>
        </w:rPr>
        <w:t>21,353.50 </w:t>
      </w:r>
      <w:r>
        <w:rPr/>
        <w:t>万元，较上年同期增长</w:t>
      </w:r>
      <w:r>
        <w:rPr>
          <w:spacing w:val="-64"/>
        </w:rPr>
        <w:t> </w:t>
      </w:r>
      <w:r>
        <w:rPr>
          <w:rFonts w:ascii="Times New Roman" w:hAnsi="Times New Roman" w:cs="Times New Roman" w:eastAsia="Times New Roman" w:hint="default"/>
        </w:rPr>
        <w:t>23.77%</w:t>
      </w:r>
      <w:r>
        <w:rPr/>
        <w:t>，实现归属于上市公司股东的扣除非经常性损益</w:t>
      </w:r>
      <w:r>
        <w:rPr>
          <w:w w:val="100"/>
        </w:rPr>
        <w:t> </w:t>
      </w:r>
      <w:r>
        <w:rPr/>
        <w:t>的净利润为 </w:t>
      </w:r>
      <w:r>
        <w:rPr>
          <w:rFonts w:ascii="Times New Roman" w:hAnsi="Times New Roman" w:cs="Times New Roman" w:eastAsia="Times New Roman" w:hint="default"/>
        </w:rPr>
        <w:t>20,122.13 </w:t>
      </w:r>
      <w:r>
        <w:rPr/>
        <w:t>万元，较上年同期增长 </w:t>
      </w:r>
      <w:r>
        <w:rPr>
          <w:rFonts w:ascii="Times New Roman" w:hAnsi="Times New Roman" w:cs="Times New Roman" w:eastAsia="Times New Roman" w:hint="default"/>
        </w:rPr>
        <w:t>31.42%</w:t>
      </w:r>
      <w:r>
        <w:rPr/>
        <w:t>。截止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34"/>
        </w:rPr>
        <w:t> </w:t>
      </w:r>
      <w:r>
        <w:rPr/>
        <w:t>日，公司总资产</w:t>
      </w:r>
    </w:p>
    <w:p>
      <w:pPr>
        <w:pStyle w:val="BodyText"/>
        <w:spacing w:line="297" w:lineRule="auto" w:before="13"/>
        <w:ind w:left="136" w:right="211"/>
        <w:jc w:val="both"/>
      </w:pPr>
      <w:r>
        <w:rPr>
          <w:rFonts w:ascii="Times New Roman" w:hAnsi="Times New Roman" w:cs="Times New Roman" w:eastAsia="Times New Roman" w:hint="default"/>
        </w:rPr>
        <w:t>381,176.16</w:t>
      </w:r>
      <w:r>
        <w:rPr>
          <w:rFonts w:ascii="Times New Roman" w:hAnsi="Times New Roman" w:cs="Times New Roman" w:eastAsia="Times New Roman" w:hint="default"/>
          <w:spacing w:val="-4"/>
        </w:rPr>
        <w:t> </w:t>
      </w:r>
      <w:r>
        <w:rPr/>
        <w:t>万元，较上年同期增长</w:t>
      </w:r>
      <w:r>
        <w:rPr>
          <w:spacing w:val="-54"/>
        </w:rPr>
        <w:t> </w:t>
      </w:r>
      <w:r>
        <w:rPr>
          <w:rFonts w:ascii="Times New Roman" w:hAnsi="Times New Roman" w:cs="Times New Roman" w:eastAsia="Times New Roman" w:hint="default"/>
        </w:rPr>
        <w:t>27.18%</w:t>
      </w:r>
      <w:r>
        <w:rPr/>
        <w:t>；归属于上市股东的所有者权益为</w:t>
      </w:r>
      <w:r>
        <w:rPr>
          <w:spacing w:val="-57"/>
        </w:rPr>
        <w:t> </w:t>
      </w:r>
      <w:r>
        <w:rPr>
          <w:rFonts w:ascii="Times New Roman" w:hAnsi="Times New Roman" w:cs="Times New Roman" w:eastAsia="Times New Roman" w:hint="default"/>
        </w:rPr>
        <w:t>206,243.47</w:t>
      </w:r>
      <w:r>
        <w:rPr>
          <w:rFonts w:ascii="Times New Roman" w:hAnsi="Times New Roman" w:cs="Times New Roman" w:eastAsia="Times New Roman" w:hint="default"/>
          <w:spacing w:val="-4"/>
        </w:rPr>
        <w:t> </w:t>
      </w:r>
      <w:r>
        <w:rPr/>
        <w:t>万元，较</w:t>
      </w:r>
      <w:r>
        <w:rPr>
          <w:w w:val="100"/>
        </w:rPr>
        <w:t> </w:t>
      </w:r>
      <w:r>
        <w:rPr/>
        <w:t>年初增长</w:t>
      </w:r>
      <w:r>
        <w:rPr>
          <w:spacing w:val="-54"/>
        </w:rPr>
        <w:t> </w:t>
      </w:r>
      <w:r>
        <w:rPr>
          <w:rFonts w:ascii="Times New Roman" w:hAnsi="Times New Roman" w:cs="Times New Roman" w:eastAsia="Times New Roman" w:hint="default"/>
        </w:rPr>
        <w:t>18.00%</w:t>
      </w:r>
      <w:r>
        <w:rPr/>
        <w:t>。</w:t>
      </w:r>
    </w:p>
    <w:p>
      <w:pPr>
        <w:pStyle w:val="BodyText"/>
        <w:spacing w:line="240" w:lineRule="auto" w:before="13"/>
        <w:ind w:left="557" w:right="2819"/>
        <w:jc w:val="left"/>
      </w:pPr>
      <w:r>
        <w:rPr/>
        <w:t>报告期内，公司重点完成以下工作：</w:t>
      </w:r>
    </w:p>
    <w:p>
      <w:pPr>
        <w:pStyle w:val="Heading4"/>
        <w:spacing w:line="240" w:lineRule="auto" w:before="85"/>
        <w:ind w:left="559" w:right="2819"/>
        <w:jc w:val="left"/>
        <w:rPr>
          <w:b w:val="0"/>
          <w:bCs w:val="0"/>
        </w:rPr>
      </w:pPr>
      <w:r>
        <w:rPr>
          <w:rFonts w:ascii="Times New Roman" w:hAnsi="Times New Roman" w:cs="Times New Roman" w:eastAsia="Times New Roman" w:hint="default"/>
        </w:rPr>
        <w:t>1</w:t>
      </w:r>
      <w:r>
        <w:rPr/>
        <w:t>、明确经营定位，深化主营布局</w:t>
      </w:r>
      <w:r>
        <w:rPr>
          <w:b w:val="0"/>
          <w:bCs w:val="0"/>
        </w:rPr>
      </w:r>
    </w:p>
    <w:p>
      <w:pPr>
        <w:pStyle w:val="BodyText"/>
        <w:spacing w:line="304" w:lineRule="auto" w:before="69"/>
        <w:ind w:left="136" w:right="106" w:firstLine="420"/>
        <w:jc w:val="both"/>
      </w:pPr>
      <w:r>
        <w:rPr>
          <w:rFonts w:ascii="Times New Roman" w:hAnsi="Times New Roman" w:cs="Times New Roman" w:eastAsia="Times New Roman" w:hint="default"/>
        </w:rPr>
        <w:t>2019 </w:t>
      </w:r>
      <w:r>
        <w:rPr/>
        <w:t>年是公司实施 </w:t>
      </w:r>
      <w:r>
        <w:rPr>
          <w:rFonts w:ascii="Times New Roman" w:hAnsi="Times New Roman" w:cs="Times New Roman" w:eastAsia="Times New Roman" w:hint="default"/>
        </w:rPr>
        <w:t>2025</w:t>
      </w:r>
      <w:r>
        <w:rPr>
          <w:rFonts w:ascii="Times New Roman" w:hAnsi="Times New Roman" w:cs="Times New Roman" w:eastAsia="Times New Roman" w:hint="default"/>
          <w:spacing w:val="7"/>
        </w:rPr>
        <w:t> </w:t>
      </w:r>
      <w:r>
        <w:rPr/>
        <w:t>战略落地计划的第二年，报告期内，公司持续深化企业变革，进一</w:t>
      </w:r>
      <w:r>
        <w:rPr>
          <w:w w:val="100"/>
        </w:rPr>
        <w:t> </w:t>
      </w:r>
      <w:r>
        <w:rPr/>
        <w:t>步聚焦主业，明确公司定位为：数字政府服务与运营商、公共安全大数据专家、信创软件产品提</w:t>
      </w:r>
      <w:r>
        <w:rPr>
          <w:spacing w:val="-97"/>
        </w:rPr>
        <w:t> </w:t>
      </w:r>
      <w:r>
        <w:rPr>
          <w:spacing w:val="-97"/>
        </w:rPr>
      </w:r>
      <w:r>
        <w:rPr/>
        <w:t>供商和综合集成服务商，是推进国家治理体系和治理能力现代化的知名科技公司。公司再次强调</w:t>
      </w:r>
      <w:r>
        <w:rPr>
          <w:spacing w:val="-97"/>
        </w:rPr>
        <w:t> </w:t>
      </w:r>
      <w:r>
        <w:rPr>
          <w:spacing w:val="-97"/>
        </w:rPr>
      </w:r>
      <w:r>
        <w:rPr>
          <w:spacing w:val="-5"/>
        </w:rPr>
        <w:t>经营定位，指明公司在 </w:t>
      </w:r>
      <w:r>
        <w:rPr>
          <w:rFonts w:ascii="Times New Roman" w:hAnsi="Times New Roman" w:cs="Times New Roman" w:eastAsia="Times New Roman" w:hint="default"/>
        </w:rPr>
        <w:t>2025 </w:t>
      </w:r>
      <w:r>
        <w:rPr>
          <w:spacing w:val="-4"/>
        </w:rPr>
        <w:t>战略规划期内主营业务的发展方向，体现了公司不忘初心、一如既往</w:t>
      </w:r>
      <w:r>
        <w:rPr>
          <w:spacing w:val="-84"/>
        </w:rPr>
        <w:t> </w:t>
      </w:r>
      <w:r>
        <w:rPr>
          <w:spacing w:val="-84"/>
        </w:rPr>
      </w:r>
      <w:r>
        <w:rPr>
          <w:spacing w:val="-4"/>
          <w:w w:val="100"/>
        </w:rPr>
        <w:t>的战略定力和专注专业，坚定了公司创新引领中国数字政府领域和城市公共安全领域发展的决心。</w:t>
      </w:r>
    </w:p>
    <w:p>
      <w:pPr>
        <w:pStyle w:val="BodyText"/>
        <w:spacing w:line="309" w:lineRule="auto" w:before="28"/>
        <w:ind w:left="136" w:right="208" w:firstLine="420"/>
        <w:jc w:val="both"/>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月，公司管理层向董事会提出在北京设立全球业务总部和全球运营总部的议案，</w:t>
      </w:r>
      <w:r>
        <w:rPr>
          <w:w w:val="100"/>
        </w:rPr>
        <w:t> </w:t>
      </w:r>
      <w:r>
        <w:rPr>
          <w:spacing w:val="-1"/>
        </w:rPr>
        <w:t>以打造更大的平台吸引高端人才，提升创新能力，整合产业资源，拔高企业站位，顶层设计全国</w:t>
      </w:r>
      <w:r>
        <w:rPr>
          <w:spacing w:val="-55"/>
        </w:rPr>
        <w:t> </w:t>
      </w:r>
      <w:r>
        <w:rPr>
          <w:spacing w:val="-55"/>
        </w:rPr>
      </w:r>
      <w:r>
        <w:rPr>
          <w:spacing w:val="-1"/>
        </w:rPr>
        <w:t>乃至全球布局。目前北京总部已经完成选址和基础装修，因受疫情影响装修进度有所延后，预计</w:t>
      </w:r>
      <w:r>
        <w:rPr>
          <w:spacing w:val="-55"/>
        </w:rPr>
        <w:t> </w:t>
      </w:r>
      <w:r>
        <w:rPr>
          <w:spacing w:val="-55"/>
        </w:rPr>
      </w:r>
      <w:r>
        <w:rPr/>
        <w:t>北京总部将于 </w:t>
      </w:r>
      <w:r>
        <w:rPr>
          <w:rFonts w:ascii="Times New Roman" w:hAnsi="Times New Roman" w:cs="Times New Roman" w:eastAsia="Times New Roman" w:hint="default"/>
        </w:rPr>
        <w:t>2020 </w:t>
      </w:r>
      <w:r>
        <w:rPr>
          <w:spacing w:val="-5"/>
        </w:rPr>
        <w:t>年第二季度正式启用。同时，公司依托深圳太极云软技术有限公司成立深圳创</w:t>
      </w:r>
      <w:r>
        <w:rPr>
          <w:spacing w:val="-88"/>
        </w:rPr>
        <w:t> </w:t>
      </w:r>
      <w:r>
        <w:rPr>
          <w:spacing w:val="-88"/>
        </w:rPr>
      </w:r>
      <w:r>
        <w:rPr>
          <w:spacing w:val="-1"/>
        </w:rPr>
        <w:t>新中心，负责对接前沿资源、连接产业链条、导入创新基因，为公司以及下属行业子公司提供创</w:t>
      </w:r>
      <w:r>
        <w:rPr>
          <w:spacing w:val="-55"/>
        </w:rPr>
        <w:t> </w:t>
      </w:r>
      <w:r>
        <w:rPr>
          <w:spacing w:val="-55"/>
        </w:rPr>
      </w:r>
      <w:r>
        <w:rPr>
          <w:spacing w:val="-1"/>
        </w:rPr>
        <w:t>新平台、创新动力和创新人才，进行行业核心技术创新、重大应用创新、商业模式创新、产业生</w:t>
      </w:r>
      <w:r>
        <w:rPr>
          <w:spacing w:val="-55"/>
        </w:rPr>
        <w:t> </w:t>
      </w:r>
      <w:r>
        <w:rPr>
          <w:spacing w:val="-55"/>
        </w:rPr>
      </w:r>
      <w:r>
        <w:rPr/>
        <w:t>态合作模式创新，打造公司发展新引擎。</w:t>
      </w:r>
    </w:p>
    <w:p>
      <w:pPr>
        <w:spacing w:line="297" w:lineRule="auto" w:before="24"/>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、技术立企，引领行业创新，打造核心竞争力</w:t>
      </w:r>
      <w:r>
        <w:rPr>
          <w:rFonts w:ascii="宋体" w:hAnsi="宋体" w:cs="宋体" w:eastAsia="宋体" w:hint="default"/>
          <w:b/>
          <w:bCs/>
          <w:w w:val="100"/>
          <w:sz w:val="21"/>
          <w:szCs w:val="21"/>
        </w:rPr>
        <w:t> </w:t>
      </w:r>
      <w:r>
        <w:rPr>
          <w:rFonts w:ascii="宋体" w:hAnsi="宋体" w:cs="宋体" w:eastAsia="宋体" w:hint="default"/>
          <w:spacing w:val="-2"/>
          <w:sz w:val="21"/>
          <w:szCs w:val="21"/>
        </w:rPr>
        <w:t>公司坚持技术立企，通过持续压强研发，努力扩大行业领先优势，提升核心竞争力。报告期</w:t>
      </w:r>
    </w:p>
    <w:p>
      <w:pPr>
        <w:pStyle w:val="BodyText"/>
        <w:spacing w:line="304" w:lineRule="auto" w:before="34"/>
        <w:ind w:left="136" w:right="208"/>
        <w:jc w:val="both"/>
      </w:pPr>
      <w:r>
        <w:rPr>
          <w:spacing w:val="-1"/>
        </w:rPr>
        <w:t>内，公司实施中台战略、重大行业应用战略、国产化战略和移动化战略等四大研发战略，深入研</w:t>
      </w:r>
      <w:r>
        <w:rPr>
          <w:spacing w:val="-55"/>
        </w:rPr>
        <w:t> </w:t>
      </w:r>
      <w:r>
        <w:rPr>
          <w:spacing w:val="-55"/>
        </w:rPr>
      </w:r>
      <w:r>
        <w:rPr>
          <w:spacing w:val="-6"/>
        </w:rPr>
        <w:t>究区块链技术、人工智能、大数据、自主创新技术与行业应用的结合，形成一系列重要技术成果。</w:t>
      </w:r>
      <w:r>
        <w:rPr>
          <w:spacing w:val="-51"/>
        </w:rPr>
        <w:t> </w:t>
      </w:r>
      <w:r>
        <w:rPr>
          <w:spacing w:val="-51"/>
        </w:rPr>
      </w:r>
      <w:r>
        <w:rPr>
          <w:spacing w:val="-3"/>
        </w:rPr>
        <w:t>公司引领行业创新，打造多项“全国首创”，为数字中国建设赋能，</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5"/>
        </w:rPr>
        <w:t> </w:t>
      </w:r>
      <w:r>
        <w:rPr/>
        <w:t>年公司所承建的浙江省</w:t>
      </w:r>
      <w:r>
        <w:rPr>
          <w:spacing w:val="-89"/>
        </w:rPr>
        <w:t> </w:t>
      </w:r>
      <w:r>
        <w:rPr>
          <w:spacing w:val="-89"/>
        </w:rPr>
      </w:r>
      <w:r>
        <w:rPr/>
        <w:t>“互联网</w:t>
      </w:r>
      <w:r>
        <w:rPr>
          <w:rFonts w:ascii="Times New Roman" w:hAnsi="Times New Roman" w:cs="Times New Roman" w:eastAsia="Times New Roman" w:hint="default"/>
        </w:rPr>
        <w:t>+</w:t>
      </w:r>
      <w:r>
        <w:rPr/>
        <w:t>督查”平台</w:t>
      </w:r>
      <w:r>
        <w:rPr>
          <w:rFonts w:ascii="Times New Roman" w:hAnsi="Times New Roman" w:cs="Times New Roman" w:eastAsia="Times New Roman" w:hint="default"/>
        </w:rPr>
        <w:t>——</w:t>
      </w:r>
      <w:r>
        <w:rPr/>
        <w:t>“浙里督”、深圳数据开放平台、贵州投资项目监管平台、河南工程</w:t>
      </w:r>
      <w:r>
        <w:rPr>
          <w:spacing w:val="-9"/>
        </w:rPr>
        <w:t> </w:t>
      </w:r>
      <w:r>
        <w:rPr>
          <w:spacing w:val="-9"/>
        </w:rPr>
      </w:r>
      <w:r>
        <w:rPr>
          <w:spacing w:val="-2"/>
        </w:rPr>
        <w:t>建设项目审批平台、湖南民生资金互联网</w:t>
      </w:r>
      <w:r>
        <w:rPr>
          <w:rFonts w:ascii="Times New Roman" w:hAnsi="Times New Roman" w:cs="Times New Roman" w:eastAsia="Times New Roman" w:hint="default"/>
          <w:spacing w:val="-2"/>
        </w:rPr>
        <w:t>+</w:t>
      </w:r>
      <w:r>
        <w:rPr>
          <w:spacing w:val="-2"/>
        </w:rPr>
        <w:t>监督平台、广西互联网</w:t>
      </w:r>
      <w:r>
        <w:rPr>
          <w:rFonts w:ascii="Times New Roman" w:hAnsi="Times New Roman" w:cs="Times New Roman" w:eastAsia="Times New Roman" w:hint="default"/>
          <w:spacing w:val="-2"/>
        </w:rPr>
        <w:t>+</w:t>
      </w:r>
      <w:r>
        <w:rPr>
          <w:spacing w:val="-2"/>
        </w:rPr>
        <w:t>监管平台等系列项目案例成为</w:t>
      </w:r>
      <w:r>
        <w:rPr>
          <w:spacing w:val="-42"/>
        </w:rPr>
        <w:t> </w:t>
      </w:r>
      <w:r>
        <w:rPr>
          <w:spacing w:val="-42"/>
        </w:rPr>
      </w:r>
      <w:r>
        <w:rPr>
          <w:spacing w:val="-3"/>
        </w:rPr>
        <w:t>行业建设标杆并获得客户广泛好评；公司承建泉州政务服务 </w:t>
      </w:r>
      <w:r>
        <w:rPr>
          <w:rFonts w:ascii="Times New Roman" w:hAnsi="Times New Roman" w:cs="Times New Roman" w:eastAsia="Times New Roman" w:hint="default"/>
        </w:rPr>
        <w:t>APP</w:t>
      </w:r>
      <w:r>
        <w:rPr>
          <w:rFonts w:ascii="Times New Roman" w:hAnsi="Times New Roman" w:cs="Times New Roman" w:eastAsia="Times New Roman" w:hint="default"/>
          <w:spacing w:val="17"/>
        </w:rPr>
        <w:t> </w:t>
      </w:r>
      <w:r>
        <w:rPr>
          <w:spacing w:val="-4"/>
        </w:rPr>
        <w:t>并进行全新升级，引入“区块链</w:t>
      </w:r>
      <w:r>
        <w:rPr/>
      </w:r>
    </w:p>
    <w:p>
      <w:pPr>
        <w:spacing w:after="0" w:line="304" w:lineRule="auto"/>
        <w:jc w:val="both"/>
        <w:sectPr>
          <w:pgSz w:w="11910" w:h="16840"/>
          <w:pgMar w:header="855" w:footer="979" w:top="1120" w:bottom="1160" w:left="1140" w:right="1580"/>
        </w:sectPr>
      </w:pPr>
    </w:p>
    <w:p>
      <w:pPr>
        <w:spacing w:line="240" w:lineRule="auto" w:before="7"/>
        <w:rPr>
          <w:rFonts w:ascii="宋体" w:hAnsi="宋体" w:cs="宋体" w:eastAsia="宋体" w:hint="default"/>
          <w:sz w:val="24"/>
          <w:szCs w:val="24"/>
        </w:rPr>
      </w:pPr>
    </w:p>
    <w:p>
      <w:pPr>
        <w:pStyle w:val="BodyText"/>
        <w:spacing w:line="297" w:lineRule="auto" w:before="36"/>
        <w:ind w:left="136" w:right="129"/>
        <w:jc w:val="both"/>
      </w:pPr>
      <w:r>
        <w:rPr>
          <w:rFonts w:ascii="Times New Roman" w:hAnsi="Times New Roman" w:cs="Times New Roman" w:eastAsia="Times New Roman" w:hint="default"/>
          <w:spacing w:val="-2"/>
        </w:rPr>
        <w:t>+</w:t>
      </w:r>
      <w:r>
        <w:rPr>
          <w:spacing w:val="-2"/>
        </w:rPr>
        <w:t>电子证照”技术，在全国率先实现区块链电子证照</w:t>
      </w:r>
      <w:r>
        <w:rPr>
          <w:rFonts w:ascii="Times New Roman" w:hAnsi="Times New Roman" w:cs="Times New Roman" w:eastAsia="Times New Roman" w:hint="default"/>
          <w:spacing w:val="-2"/>
        </w:rPr>
        <w:t>+</w:t>
      </w:r>
      <w:r>
        <w:rPr>
          <w:spacing w:val="-2"/>
        </w:rPr>
        <w:t>实体证照同步颁发；公司参与承建的智慧安</w:t>
      </w:r>
      <w:r>
        <w:rPr>
          <w:spacing w:val="-42"/>
        </w:rPr>
        <w:t> </w:t>
      </w:r>
      <w:r>
        <w:rPr>
          <w:spacing w:val="-42"/>
        </w:rPr>
      </w:r>
      <w:r>
        <w:rPr/>
        <w:t>溪县域医疗卫生信息一体化项目将“总医院”与“云医院”融合，创建全国首家“云总院”。</w:t>
      </w:r>
    </w:p>
    <w:p>
      <w:pPr>
        <w:pStyle w:val="BodyText"/>
        <w:spacing w:line="302" w:lineRule="auto" w:before="34"/>
        <w:ind w:left="136" w:right="128" w:firstLine="420"/>
        <w:jc w:val="both"/>
      </w:pPr>
      <w:r>
        <w:rPr>
          <w:spacing w:val="-2"/>
        </w:rPr>
        <w:t>报告期内，公司主导起草的国家档案行业标准</w:t>
      </w:r>
      <w:r>
        <w:rPr>
          <w:rFonts w:ascii="Times New Roman" w:hAnsi="Times New Roman" w:cs="Times New Roman" w:eastAsia="Times New Roman" w:hint="default"/>
          <w:spacing w:val="-2"/>
        </w:rPr>
        <w:t>——</w:t>
      </w:r>
      <w:r>
        <w:rPr>
          <w:spacing w:val="-2"/>
        </w:rPr>
        <w:t>《政务服务事项，电子文件归档规范》和</w:t>
      </w:r>
      <w:r>
        <w:rPr>
          <w:w w:val="100"/>
        </w:rPr>
        <w:t> </w:t>
      </w:r>
      <w:r>
        <w:rPr/>
        <w:t>国家智慧城市标准化总体组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年十大课题</w:t>
      </w:r>
      <w:r>
        <w:rPr>
          <w:rFonts w:ascii="Times New Roman" w:hAnsi="Times New Roman" w:cs="Times New Roman" w:eastAsia="Times New Roman" w:hint="default"/>
        </w:rPr>
        <w:t>———</w:t>
      </w:r>
      <w:r>
        <w:rPr/>
        <w:t>共享</w:t>
      </w:r>
      <w:r>
        <w:rPr>
          <w:rFonts w:ascii="Times New Roman" w:hAnsi="Times New Roman" w:cs="Times New Roman" w:eastAsia="Times New Roman" w:hint="default"/>
        </w:rPr>
        <w:t>/</w:t>
      </w:r>
      <w:r>
        <w:rPr/>
        <w:t>数字经济研究课题成果《城市级分享经</w:t>
      </w:r>
      <w:r>
        <w:rPr>
          <w:w w:val="100"/>
        </w:rPr>
        <w:t> </w:t>
      </w:r>
      <w:r>
        <w:rPr>
          <w:spacing w:val="-1"/>
        </w:rPr>
        <w:t>济运行指标汇聚与监管标准研究报告》正式发布，充分彰显公司掌握核心技术、具备制定行业标</w:t>
      </w:r>
      <w:r>
        <w:rPr>
          <w:spacing w:val="-54"/>
        </w:rPr>
        <w:t> </w:t>
      </w:r>
      <w:r>
        <w:rPr>
          <w:spacing w:val="-54"/>
        </w:rPr>
      </w:r>
      <w:r>
        <w:rPr/>
        <w:t>准的能力。</w:t>
      </w:r>
    </w:p>
    <w:p>
      <w:pPr>
        <w:spacing w:line="297" w:lineRule="auto" w:before="30"/>
        <w:ind w:left="557" w:right="128" w:firstLine="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、加强对外业务合作，落地开展百城百亿计划，完善营销体系</w:t>
      </w:r>
      <w:r>
        <w:rPr>
          <w:rFonts w:ascii="宋体" w:hAnsi="宋体" w:cs="宋体" w:eastAsia="宋体" w:hint="default"/>
          <w:b/>
          <w:bCs/>
          <w:w w:val="100"/>
          <w:sz w:val="21"/>
          <w:szCs w:val="21"/>
        </w:rPr>
        <w:t> </w:t>
      </w:r>
      <w:r>
        <w:rPr>
          <w:rFonts w:ascii="宋体" w:hAnsi="宋体" w:cs="宋体" w:eastAsia="宋体" w:hint="default"/>
          <w:spacing w:val="-6"/>
          <w:sz w:val="21"/>
          <w:szCs w:val="21"/>
        </w:rPr>
        <w:t>公司倡导开放合作共赢，布局建设全国合作体系，制定“百城百亿”计划，拟在全国设立</w:t>
      </w:r>
      <w:r>
        <w:rPr>
          <w:rFonts w:ascii="宋体" w:hAnsi="宋体" w:cs="宋体" w:eastAsia="宋体" w:hint="default"/>
          <w:spacing w:val="34"/>
          <w:sz w:val="21"/>
          <w:szCs w:val="21"/>
        </w:rPr>
        <w:t> </w:t>
      </w:r>
      <w:r>
        <w:rPr>
          <w:rFonts w:ascii="Times New Roman" w:hAnsi="Times New Roman" w:cs="Times New Roman" w:eastAsia="Times New Roman" w:hint="default"/>
          <w:spacing w:val="-3"/>
          <w:sz w:val="21"/>
          <w:szCs w:val="21"/>
        </w:rPr>
        <w:t>100</w:t>
      </w:r>
      <w:r>
        <w:rPr>
          <w:rFonts w:ascii="Times New Roman" w:hAnsi="Times New Roman" w:cs="Times New Roman" w:eastAsia="Times New Roman" w:hint="default"/>
          <w:sz w:val="21"/>
          <w:szCs w:val="21"/>
        </w:rPr>
      </w:r>
    </w:p>
    <w:p>
      <w:pPr>
        <w:pStyle w:val="BodyText"/>
        <w:spacing w:line="314" w:lineRule="auto" w:before="13"/>
        <w:ind w:left="136" w:right="129"/>
        <w:jc w:val="both"/>
      </w:pPr>
      <w:r>
        <w:rPr>
          <w:spacing w:val="-1"/>
        </w:rPr>
        <w:t>家区域合资公司，通过与国有企业、产业优质资源合作伙伴强强联手，优势互补，打造区域信息</w:t>
      </w:r>
      <w:r>
        <w:rPr>
          <w:spacing w:val="-55"/>
        </w:rPr>
        <w:t> </w:t>
      </w:r>
      <w:r>
        <w:rPr>
          <w:spacing w:val="-55"/>
        </w:rPr>
      </w:r>
      <w:r>
        <w:rPr>
          <w:spacing w:val="-1"/>
        </w:rPr>
        <w:t>龙头企业，实现平台区域化。报告期内，公司持续推进百城百亿计划，落实行业区域布局战略，</w:t>
      </w:r>
      <w:r>
        <w:rPr>
          <w:spacing w:val="-55"/>
        </w:rPr>
        <w:t> </w:t>
      </w:r>
      <w:r>
        <w:rPr>
          <w:spacing w:val="-55"/>
        </w:rPr>
      </w:r>
      <w:r>
        <w:rPr/>
        <w:t>截至</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年底，已在山东济宁、湖南衡阳、福建漳州、福建上杭等地设立</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家基于百城百亿计</w:t>
      </w:r>
    </w:p>
    <w:p>
      <w:pPr>
        <w:pStyle w:val="BodyText"/>
        <w:spacing w:line="309" w:lineRule="auto"/>
        <w:ind w:left="136" w:right="129"/>
        <w:jc w:val="both"/>
      </w:pPr>
      <w:r>
        <w:rPr/>
        <w:t>划的合资公司，由合资公司牵头负责或协助参与的项目金额累计超过</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亿元，新组建的合资公司</w:t>
      </w:r>
      <w:r>
        <w:rPr>
          <w:w w:val="100"/>
        </w:rPr>
        <w:t> </w:t>
      </w:r>
      <w:r>
        <w:rPr>
          <w:spacing w:val="-1"/>
        </w:rPr>
        <w:t>对于推进项目落地的作用开始显现。此外，公司开始推进全球化战略，积极参与全球数字经济建</w:t>
      </w:r>
      <w:r>
        <w:rPr>
          <w:spacing w:val="-55"/>
        </w:rPr>
        <w:t> </w:t>
      </w:r>
      <w:r>
        <w:rPr>
          <w:spacing w:val="-55"/>
        </w:rPr>
      </w:r>
      <w:r>
        <w:rPr>
          <w:spacing w:val="-1"/>
        </w:rPr>
        <w:t>设，在菲律宾、柬埔寨等地设立合资公司，形成海外业务拓展平台，开辟一带一路国家信息化市</w:t>
      </w:r>
      <w:r>
        <w:rPr>
          <w:spacing w:val="-55"/>
        </w:rPr>
        <w:t> </w:t>
      </w:r>
      <w:r>
        <w:rPr>
          <w:spacing w:val="-55"/>
        </w:rPr>
      </w:r>
      <w:r>
        <w:rPr/>
        <w:t>场。</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年公司已中标</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个海外项目，国际业务实现“零”的突破。</w:t>
      </w:r>
    </w:p>
    <w:p>
      <w:pPr>
        <w:pStyle w:val="BodyText"/>
        <w:spacing w:line="314" w:lineRule="auto" w:before="2"/>
        <w:ind w:left="136" w:right="129" w:firstLine="420"/>
        <w:jc w:val="both"/>
      </w:pPr>
      <w:r>
        <w:rPr>
          <w:spacing w:val="-2"/>
        </w:rPr>
        <w:t>同时，公司进一步规范、优化市场营销体系，打造公司行业机构与区域机构在市场拓展的矩</w:t>
      </w:r>
      <w:r>
        <w:rPr>
          <w:w w:val="100"/>
        </w:rPr>
        <w:t> </w:t>
      </w:r>
      <w:r>
        <w:rPr>
          <w:spacing w:val="-1"/>
        </w:rPr>
        <w:t>阵协同机制，完善、升级对各机构的分级管控、授权、服务机制，推行预算机制、淘汰机制、预</w:t>
      </w:r>
      <w:r>
        <w:rPr>
          <w:spacing w:val="-55"/>
        </w:rPr>
        <w:t> </w:t>
      </w:r>
      <w:r>
        <w:rPr>
          <w:spacing w:val="-55"/>
        </w:rPr>
      </w:r>
      <w:r>
        <w:rPr/>
        <w:t>警机制，优化绩效考核制度，实现对各个市场主体更加科学化、精细化管理。</w:t>
      </w:r>
    </w:p>
    <w:p>
      <w:pPr>
        <w:pStyle w:val="Heading4"/>
        <w:spacing w:line="240" w:lineRule="auto" w:before="20"/>
        <w:ind w:left="559" w:right="0"/>
        <w:jc w:val="left"/>
        <w:rPr>
          <w:b w:val="0"/>
          <w:bCs w:val="0"/>
        </w:rPr>
      </w:pPr>
      <w:r>
        <w:rPr>
          <w:rFonts w:ascii="Times New Roman" w:hAnsi="Times New Roman" w:cs="Times New Roman" w:eastAsia="Times New Roman" w:hint="default"/>
        </w:rPr>
        <w:t>4</w:t>
      </w:r>
      <w:r>
        <w:rPr/>
        <w:t>、引入战略投资者，加大融资投资，助推公司跨越发展</w:t>
      </w:r>
      <w:r>
        <w:rPr>
          <w:b w:val="0"/>
          <w:bCs w:val="0"/>
        </w:rPr>
      </w:r>
    </w:p>
    <w:p>
      <w:pPr>
        <w:pStyle w:val="BodyText"/>
        <w:spacing w:line="307" w:lineRule="auto" w:before="69"/>
        <w:ind w:left="136" w:right="128"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45"/>
        </w:rPr>
        <w:t> </w:t>
      </w:r>
      <w:r>
        <w:rPr>
          <w:spacing w:val="-3"/>
        </w:rPr>
        <w:t>年，公司分别获得中国电科集团和蚂蚁金服的战略投资，成为既有央企背景又有互联网</w:t>
      </w:r>
      <w:r>
        <w:rPr>
          <w:w w:val="100"/>
        </w:rPr>
        <w:t> </w:t>
      </w:r>
      <w:r>
        <w:rPr>
          <w:spacing w:val="-1"/>
        </w:rPr>
        <w:t>巨头背景的混合所有制企业，在行业横向及纵向上形成优势互补，促进业务深入融合，生态资源</w:t>
      </w:r>
      <w:r>
        <w:rPr>
          <w:spacing w:val="-55"/>
        </w:rPr>
        <w:t> </w:t>
      </w:r>
      <w:r>
        <w:rPr>
          <w:spacing w:val="-55"/>
        </w:rPr>
      </w:r>
      <w:r>
        <w:rPr>
          <w:spacing w:val="-1"/>
        </w:rPr>
        <w:t>更加丰富，平台能力得到增强，公司影响力进一步扩大。报告期内，公司与阿里经济体在数字政</w:t>
      </w:r>
      <w:r>
        <w:rPr>
          <w:spacing w:val="-55"/>
        </w:rPr>
        <w:t> </w:t>
      </w:r>
      <w:r>
        <w:rPr>
          <w:spacing w:val="-55"/>
        </w:rPr>
      </w:r>
      <w:r>
        <w:rPr>
          <w:spacing w:val="-5"/>
        </w:rPr>
        <w:t>府、公共安全领域深度合作，联合研发并发布新一代政务中台、区块链证照通、视频 </w:t>
      </w:r>
      <w:r>
        <w:rPr>
          <w:rFonts w:ascii="Times New Roman" w:hAnsi="Times New Roman" w:cs="Times New Roman" w:eastAsia="Times New Roman" w:hint="default"/>
        </w:rPr>
        <w:t>AI </w:t>
      </w:r>
      <w:r>
        <w:rPr/>
        <w:t>中台等系</w:t>
      </w:r>
      <w:r>
        <w:rPr>
          <w:spacing w:val="-81"/>
        </w:rPr>
        <w:t> </w:t>
      </w:r>
      <w:r>
        <w:rPr>
          <w:spacing w:val="-81"/>
        </w:rPr>
      </w:r>
      <w:r>
        <w:rPr>
          <w:spacing w:val="-1"/>
        </w:rPr>
        <w:t>列核心产品，通过阿里经济体的强大技术底座支撑公司重组再造业务的新技术模式，助推公司实</w:t>
      </w:r>
      <w:r>
        <w:rPr>
          <w:spacing w:val="-55"/>
        </w:rPr>
        <w:t> </w:t>
      </w:r>
      <w:r>
        <w:rPr>
          <w:spacing w:val="-55"/>
        </w:rPr>
      </w:r>
      <w:r>
        <w:rPr>
          <w:spacing w:val="-1"/>
        </w:rPr>
        <w:t>现技术竞争力的跨越式成长。中国电科集团作为自主创新领域的“国家队”拥有大量的核心技术</w:t>
      </w:r>
      <w:r>
        <w:rPr>
          <w:spacing w:val="-54"/>
        </w:rPr>
        <w:t> </w:t>
      </w:r>
      <w:r>
        <w:rPr>
          <w:spacing w:val="-54"/>
        </w:rPr>
      </w:r>
      <w:r>
        <w:rPr/>
        <w:t>和建设经验，公司与中国电科集团在信创领域、互联网</w:t>
      </w:r>
      <w:r>
        <w:rPr>
          <w:rFonts w:ascii="Times New Roman" w:hAnsi="Times New Roman" w:cs="Times New Roman" w:eastAsia="Times New Roman" w:hint="default"/>
        </w:rPr>
        <w:t>+</w:t>
      </w:r>
      <w:r>
        <w:rPr/>
        <w:t>监管、公共安全、智慧城市等领域进行</w:t>
      </w:r>
      <w:r>
        <w:rPr>
          <w:spacing w:val="-5"/>
        </w:rPr>
        <w:t> </w:t>
      </w:r>
      <w:r>
        <w:rPr>
          <w:spacing w:val="-5"/>
        </w:rPr>
      </w:r>
      <w:r>
        <w:rPr/>
        <w:t>深度合作，通过资源整合提升核心竞争力。</w:t>
      </w:r>
    </w:p>
    <w:p>
      <w:pPr>
        <w:pStyle w:val="BodyText"/>
        <w:spacing w:line="304" w:lineRule="auto" w:before="26"/>
        <w:ind w:left="136" w:right="129"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月公司完成可转债发行工作，共计募集资金</w:t>
      </w:r>
      <w:r>
        <w:rPr>
          <w:spacing w:val="-51"/>
        </w:rPr>
        <w:t> </w:t>
      </w:r>
      <w:r>
        <w:rPr>
          <w:rFonts w:ascii="Times New Roman" w:hAnsi="Times New Roman" w:cs="Times New Roman" w:eastAsia="Times New Roman" w:hint="default"/>
        </w:rPr>
        <w:t>6.6</w:t>
      </w:r>
      <w:r>
        <w:rPr>
          <w:rFonts w:ascii="Times New Roman" w:hAnsi="Times New Roman" w:cs="Times New Roman" w:eastAsia="Times New Roman" w:hint="default"/>
          <w:spacing w:val="-1"/>
        </w:rPr>
        <w:t> </w:t>
      </w:r>
      <w:r>
        <w:rPr/>
        <w:t>亿元，用于智能型“放管服”一体</w:t>
      </w:r>
      <w:r>
        <w:rPr>
          <w:spacing w:val="-3"/>
          <w:w w:val="100"/>
        </w:rPr>
        <w:t> </w:t>
      </w:r>
      <w:r>
        <w:rPr>
          <w:spacing w:val="-1"/>
        </w:rPr>
        <w:t>化平台、公共安全管理平台、城市通平台等重大、关键、核心技术产品的研发，以增强公司在重</w:t>
      </w:r>
      <w:r>
        <w:rPr>
          <w:spacing w:val="-55"/>
        </w:rPr>
        <w:t> </w:t>
      </w:r>
      <w:r>
        <w:rPr>
          <w:spacing w:val="-55"/>
        </w:rPr>
      </w:r>
      <w:r>
        <w:rPr>
          <w:spacing w:val="-4"/>
        </w:rPr>
        <w:t>点行业领域的核心竞争力。公司可转债已于</w:t>
      </w:r>
      <w:r>
        <w:rPr>
          <w:spacing w:val="-3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4"/>
        </w:rPr>
        <w:t>月触发强制赎回条件，公司决定行使可转债</w:t>
      </w:r>
    </w:p>
    <w:p>
      <w:pPr>
        <w:pStyle w:val="BodyText"/>
        <w:spacing w:line="297" w:lineRule="auto" w:before="7"/>
        <w:ind w:left="136" w:right="131"/>
        <w:jc w:val="both"/>
      </w:pPr>
      <w:r>
        <w:rPr/>
        <w:t>的提前赎回权，</w:t>
      </w:r>
      <w:r>
        <w:rPr>
          <w:rFonts w:ascii="Times New Roman" w:hAnsi="Times New Roman" w:cs="Times New Roman" w:eastAsia="Times New Roman" w:hint="default"/>
        </w:rPr>
        <w:t>2020</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25</w:t>
      </w:r>
      <w:r>
        <w:rPr>
          <w:rFonts w:ascii="Times New Roman" w:hAnsi="Times New Roman" w:cs="Times New Roman" w:eastAsia="Times New Roman" w:hint="default"/>
          <w:spacing w:val="11"/>
        </w:rPr>
        <w:t> </w:t>
      </w:r>
      <w:r>
        <w:rPr/>
        <w:t>日公司发行的“南威转债”（债券代码：</w:t>
      </w:r>
      <w:r>
        <w:rPr>
          <w:rFonts w:ascii="Times New Roman" w:hAnsi="Times New Roman" w:cs="Times New Roman" w:eastAsia="Times New Roman" w:hint="default"/>
        </w:rPr>
        <w:t>113540</w:t>
      </w:r>
      <w:r>
        <w:rPr/>
        <w:t>）在上海证券交</w:t>
      </w:r>
      <w:r>
        <w:rPr>
          <w:w w:val="100"/>
        </w:rPr>
        <w:t> </w:t>
      </w:r>
      <w:r>
        <w:rPr>
          <w:spacing w:val="-3"/>
        </w:rPr>
        <w:t>易所完成摘牌。“南威转债”的赎回总金额为</w:t>
      </w:r>
      <w:r>
        <w:rPr>
          <w:spacing w:val="-34"/>
        </w:rPr>
        <w:t> </w:t>
      </w:r>
      <w:r>
        <w:rPr>
          <w:rFonts w:ascii="Times New Roman" w:hAnsi="Times New Roman" w:cs="Times New Roman" w:eastAsia="Times New Roman" w:hint="default"/>
        </w:rPr>
        <w:t>8,413,000</w:t>
      </w:r>
      <w:r>
        <w:rPr>
          <w:rFonts w:ascii="Times New Roman" w:hAnsi="Times New Roman" w:cs="Times New Roman" w:eastAsia="Times New Roman" w:hint="default"/>
          <w:spacing w:val="20"/>
        </w:rPr>
        <w:t> </w:t>
      </w:r>
      <w:r>
        <w:rPr>
          <w:spacing w:val="-4"/>
        </w:rPr>
        <w:t>元，占发行总额的</w:t>
      </w:r>
      <w:r>
        <w:rPr>
          <w:spacing w:val="-34"/>
        </w:rPr>
        <w:t> </w:t>
      </w:r>
      <w:r>
        <w:rPr>
          <w:rFonts w:ascii="Times New Roman" w:hAnsi="Times New Roman" w:cs="Times New Roman" w:eastAsia="Times New Roman" w:hint="default"/>
          <w:spacing w:val="-4"/>
        </w:rPr>
        <w:t>1.27%</w:t>
      </w:r>
      <w:r>
        <w:rPr>
          <w:spacing w:val="-4"/>
        </w:rPr>
        <w:t>，最终，累计转</w:t>
      </w:r>
      <w:r>
        <w:rPr>
          <w:spacing w:val="-96"/>
        </w:rPr>
        <w:t> </w:t>
      </w:r>
      <w:r>
        <w:rPr>
          <w:spacing w:val="-96"/>
        </w:rPr>
      </w:r>
      <w:r>
        <w:rPr/>
        <w:t>股比例达到</w:t>
      </w:r>
      <w:r>
        <w:rPr>
          <w:spacing w:val="-53"/>
        </w:rPr>
        <w:t> </w:t>
      </w:r>
      <w:r>
        <w:rPr>
          <w:rFonts w:ascii="Times New Roman" w:hAnsi="Times New Roman" w:cs="Times New Roman" w:eastAsia="Times New Roman" w:hint="default"/>
        </w:rPr>
        <w:t>98.73%</w:t>
      </w:r>
      <w:r>
        <w:rPr/>
        <w:t>。本次可转债转股完成后，公司总股本增至</w:t>
      </w:r>
      <w:r>
        <w:rPr>
          <w:spacing w:val="-53"/>
        </w:rPr>
        <w:t> </w:t>
      </w:r>
      <w:r>
        <w:rPr>
          <w:rFonts w:ascii="Times New Roman" w:hAnsi="Times New Roman" w:cs="Times New Roman" w:eastAsia="Times New Roman" w:hint="default"/>
        </w:rPr>
        <w:t>590,808,578</w:t>
      </w:r>
      <w:r>
        <w:rPr>
          <w:rFonts w:ascii="Times New Roman" w:hAnsi="Times New Roman" w:cs="Times New Roman" w:eastAsia="Times New Roman" w:hint="default"/>
          <w:spacing w:val="49"/>
        </w:rPr>
        <w:t> </w:t>
      </w:r>
      <w:r>
        <w:rPr/>
        <w:t>股。</w:t>
      </w:r>
    </w:p>
    <w:p>
      <w:pPr>
        <w:pStyle w:val="BodyText"/>
        <w:spacing w:line="302" w:lineRule="auto" w:before="13"/>
        <w:ind w:left="136" w:right="128" w:firstLine="420"/>
        <w:jc w:val="both"/>
      </w:pPr>
      <w:r>
        <w:rPr/>
        <w:t>报告期内，公司完成对四方伟业追加投资 </w:t>
      </w:r>
      <w:r>
        <w:rPr>
          <w:rFonts w:ascii="Times New Roman" w:hAnsi="Times New Roman" w:cs="Times New Roman" w:eastAsia="Times New Roman" w:hint="default"/>
        </w:rPr>
        <w:t>5,000</w:t>
      </w:r>
      <w:r>
        <w:rPr>
          <w:rFonts w:ascii="Times New Roman" w:hAnsi="Times New Roman" w:cs="Times New Roman" w:eastAsia="Times New Roman" w:hint="default"/>
          <w:spacing w:val="5"/>
        </w:rPr>
        <w:t> </w:t>
      </w:r>
      <w:r>
        <w:rPr/>
        <w:t>万元，并持续跟进四方伟业投后管理工作，</w:t>
      </w:r>
      <w:r>
        <w:rPr>
          <w:w w:val="100"/>
        </w:rPr>
        <w:t> </w:t>
      </w:r>
      <w:r>
        <w:rPr>
          <w:spacing w:val="-1"/>
        </w:rPr>
        <w:t>助力四方伟业做强大数据产品研发与市场推广；投资福建金证智城科技有限公司，公司百城百亿</w:t>
      </w:r>
      <w:r>
        <w:rPr>
          <w:spacing w:val="-55"/>
        </w:rPr>
        <w:t> </w:t>
      </w:r>
      <w:r>
        <w:rPr>
          <w:spacing w:val="-55"/>
        </w:rPr>
      </w:r>
      <w:r>
        <w:rPr/>
        <w:t>计划再落一城，促进公司产业整合和市场扩张；投资深圳安巽科技有限公司 </w:t>
      </w:r>
      <w:r>
        <w:rPr>
          <w:rFonts w:ascii="Times New Roman" w:hAnsi="Times New Roman" w:cs="Times New Roman" w:eastAsia="Times New Roman" w:hint="default"/>
        </w:rPr>
        <w:t>2,200</w:t>
      </w:r>
      <w:r>
        <w:rPr>
          <w:rFonts w:ascii="Times New Roman" w:hAnsi="Times New Roman" w:cs="Times New Roman" w:eastAsia="Times New Roman" w:hint="default"/>
          <w:spacing w:val="6"/>
        </w:rPr>
        <w:t> </w:t>
      </w:r>
      <w:r>
        <w:rPr/>
        <w:t>万元，助力公</w:t>
      </w:r>
      <w:r>
        <w:rPr>
          <w:w w:val="100"/>
        </w:rPr>
        <w:t> </w:t>
      </w:r>
      <w:r>
        <w:rPr/>
        <w:t>司旗下威盾科技集团进入网络反诈骗行业细分新兴市场，丰富公司公安业务的产品线。</w:t>
      </w:r>
    </w:p>
    <w:p>
      <w:pPr>
        <w:pStyle w:val="Heading4"/>
        <w:spacing w:line="240" w:lineRule="auto" w:before="30"/>
        <w:ind w:left="559" w:right="0"/>
        <w:jc w:val="left"/>
        <w:rPr>
          <w:b w:val="0"/>
          <w:bCs w:val="0"/>
        </w:rPr>
      </w:pPr>
      <w:r>
        <w:rPr>
          <w:rFonts w:ascii="Times New Roman" w:hAnsi="Times New Roman" w:cs="Times New Roman" w:eastAsia="Times New Roman" w:hint="default"/>
        </w:rPr>
        <w:t>5</w:t>
      </w:r>
      <w:r>
        <w:rPr/>
        <w:t>、强化企业文化建设，党建持续引领企业发展</w:t>
      </w:r>
      <w:r>
        <w:rPr>
          <w:b w:val="0"/>
          <w:bCs w:val="0"/>
        </w:rPr>
      </w:r>
    </w:p>
    <w:p>
      <w:pPr>
        <w:spacing w:after="0" w:line="240" w:lineRule="auto"/>
        <w:jc w:val="left"/>
        <w:sectPr>
          <w:pgSz w:w="11910" w:h="16840"/>
          <w:pgMar w:header="855" w:footer="979" w:top="1120" w:bottom="1160" w:left="1140" w:right="1660"/>
        </w:sectPr>
      </w:pPr>
    </w:p>
    <w:p>
      <w:pPr>
        <w:spacing w:line="240" w:lineRule="auto" w:before="7"/>
        <w:rPr>
          <w:rFonts w:ascii="宋体" w:hAnsi="宋体" w:cs="宋体" w:eastAsia="宋体" w:hint="default"/>
          <w:b/>
          <w:bCs/>
          <w:sz w:val="24"/>
          <w:szCs w:val="24"/>
        </w:rPr>
      </w:pPr>
    </w:p>
    <w:p>
      <w:pPr>
        <w:pStyle w:val="BodyText"/>
        <w:spacing w:line="309" w:lineRule="auto" w:before="36"/>
        <w:ind w:left="136" w:right="209" w:firstLine="420"/>
        <w:jc w:val="both"/>
      </w:pPr>
      <w:r>
        <w:rPr/>
        <w:t>公司加强企业文化建设工作，发布《南威宣言》、出版《南威 </w:t>
      </w:r>
      <w:r>
        <w:rPr>
          <w:rFonts w:ascii="Times New Roman" w:hAnsi="Times New Roman" w:cs="Times New Roman" w:eastAsia="Times New Roman" w:hint="default"/>
        </w:rPr>
        <w:t>77</w:t>
      </w:r>
      <w:r>
        <w:rPr>
          <w:rFonts w:ascii="Times New Roman" w:hAnsi="Times New Roman" w:cs="Times New Roman" w:eastAsia="Times New Roman" w:hint="default"/>
          <w:spacing w:val="5"/>
        </w:rPr>
        <w:t> </w:t>
      </w:r>
      <w:r>
        <w:rPr/>
        <w:t>个工作法则》，成为南威</w:t>
      </w:r>
      <w:r>
        <w:rPr>
          <w:w w:val="100"/>
        </w:rPr>
        <w:t> </w:t>
      </w:r>
      <w:r>
        <w:rPr>
          <w:spacing w:val="-1"/>
        </w:rPr>
        <w:t>所有干部员工的基本工作指南，全体干部员工凝聚共识，形成广泛合力，进一步丰富了企业文化</w:t>
      </w:r>
      <w:r>
        <w:rPr>
          <w:spacing w:val="-55"/>
        </w:rPr>
        <w:t> </w:t>
      </w:r>
      <w:r>
        <w:rPr>
          <w:spacing w:val="-55"/>
        </w:rPr>
      </w:r>
      <w:r>
        <w:rPr>
          <w:spacing w:val="-1"/>
        </w:rPr>
        <w:t>内涵，坚定了企业使命愿景；此外，报告期内，公司完成了南威大学的筹建筹备工作，南威大学</w:t>
      </w:r>
      <w:r>
        <w:rPr>
          <w:spacing w:val="-55"/>
        </w:rPr>
        <w:t> </w:t>
      </w:r>
      <w:r>
        <w:rPr>
          <w:spacing w:val="-55"/>
        </w:rPr>
      </w:r>
      <w:r>
        <w:rPr/>
        <w:t>进入实质性运营，企业营造学习型组织的氛围更加浓烈。</w:t>
      </w:r>
    </w:p>
    <w:p>
      <w:pPr>
        <w:pStyle w:val="BodyText"/>
        <w:spacing w:line="309" w:lineRule="auto" w:before="24"/>
        <w:ind w:left="136" w:right="208"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42"/>
        </w:rPr>
        <w:t> </w:t>
      </w:r>
      <w:r>
        <w:rPr>
          <w:spacing w:val="-3"/>
        </w:rPr>
        <w:t>年，公司进一步落实红色引擎战略，加强集团党委领导与建设，继续促进经营班子与党</w:t>
      </w:r>
      <w:r>
        <w:rPr>
          <w:w w:val="100"/>
        </w:rPr>
        <w:t> </w:t>
      </w:r>
      <w:r>
        <w:rPr>
          <w:spacing w:val="-1"/>
        </w:rPr>
        <w:t>委班子的深度融合，在公司干部晋升考核过程中，引入党委参与，发挥了党委选拔、任用、监督</w:t>
      </w:r>
      <w:r>
        <w:rPr>
          <w:spacing w:val="-55"/>
        </w:rPr>
        <w:t> </w:t>
      </w:r>
      <w:r>
        <w:rPr>
          <w:spacing w:val="-55"/>
        </w:rPr>
      </w:r>
      <w:r>
        <w:rPr>
          <w:spacing w:val="-1"/>
        </w:rPr>
        <w:t>的积极作用。经上级党委批准，集团董事长担任集团党委第一书记。公司党委荣获泉州市先进党</w:t>
      </w:r>
      <w:r>
        <w:rPr>
          <w:spacing w:val="-55"/>
        </w:rPr>
        <w:t> </w:t>
      </w:r>
      <w:r>
        <w:rPr>
          <w:spacing w:val="-55"/>
        </w:rPr>
      </w:r>
      <w:r>
        <w:rPr>
          <w:spacing w:val="-2"/>
        </w:rPr>
        <w:t>组织、丰泽区先进党组织，并被中央党校学习时报评为全国“新时代百优民企党建典型案例”。</w:t>
      </w:r>
    </w:p>
    <w:p>
      <w:pPr>
        <w:pStyle w:val="Heading4"/>
        <w:spacing w:line="240" w:lineRule="auto" w:before="46"/>
        <w:ind w:left="559" w:right="2819"/>
        <w:jc w:val="left"/>
        <w:rPr>
          <w:b w:val="0"/>
          <w:bCs w:val="0"/>
        </w:rPr>
      </w:pPr>
      <w:r>
        <w:rPr/>
        <w:t>（二）报告期内公司主营业务发展情况</w:t>
      </w:r>
      <w:r>
        <w:rPr>
          <w:b w:val="0"/>
          <w:bCs w:val="0"/>
        </w:rPr>
      </w:r>
    </w:p>
    <w:p>
      <w:pPr>
        <w:pStyle w:val="BodyText"/>
        <w:spacing w:line="297" w:lineRule="auto" w:before="176"/>
        <w:ind w:left="557" w:right="0" w:firstLine="2"/>
        <w:jc w:val="left"/>
      </w:pPr>
      <w:r>
        <w:rPr>
          <w:rFonts w:ascii="Times New Roman" w:hAnsi="Times New Roman" w:cs="Times New Roman" w:eastAsia="Times New Roman" w:hint="default"/>
          <w:b/>
          <w:bCs/>
        </w:rPr>
        <w:t>1</w:t>
      </w:r>
      <w:r>
        <w:rPr>
          <w:rFonts w:ascii="宋体" w:hAnsi="宋体" w:cs="宋体" w:eastAsia="宋体" w:hint="default"/>
          <w:b/>
          <w:bCs/>
        </w:rPr>
        <w:t>、数字政府</w:t>
      </w:r>
      <w:r>
        <w:rPr>
          <w:rFonts w:ascii="宋体" w:hAnsi="宋体" w:cs="宋体" w:eastAsia="宋体" w:hint="default"/>
          <w:b/>
          <w:bCs/>
          <w:w w:val="100"/>
        </w:rPr>
        <w:t> </w:t>
      </w:r>
      <w:r>
        <w:rPr/>
        <w:t>公司是全国“数字政府”领域的核心骨干企业，是“互联网</w:t>
      </w:r>
      <w:r>
        <w:rPr>
          <w:rFonts w:ascii="Times New Roman" w:hAnsi="Times New Roman" w:cs="Times New Roman" w:eastAsia="Times New Roman" w:hint="default"/>
        </w:rPr>
        <w:t>+</w:t>
      </w:r>
      <w:r>
        <w:rPr/>
        <w:t>政务”的龙头企业，是国家电</w:t>
      </w:r>
    </w:p>
    <w:p>
      <w:pPr>
        <w:pStyle w:val="BodyText"/>
        <w:spacing w:line="300" w:lineRule="auto" w:before="13"/>
        <w:ind w:left="136" w:right="208"/>
        <w:jc w:val="both"/>
      </w:pPr>
      <w:r>
        <w:rPr/>
        <w:t>子证照标准制定的组长单位。</w:t>
      </w:r>
      <w:r>
        <w:rPr>
          <w:rFonts w:ascii="Times New Roman" w:hAnsi="Times New Roman" w:cs="Times New Roman" w:eastAsia="Times New Roman" w:hint="default"/>
        </w:rPr>
        <w:t>2019 </w:t>
      </w:r>
      <w:r>
        <w:rPr/>
        <w:t>年，南威软件继续引领行业发展，继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年主导发布六项电</w:t>
      </w:r>
      <w:r>
        <w:rPr>
          <w:w w:val="100"/>
        </w:rPr>
        <w:t> </w:t>
      </w:r>
      <w:r>
        <w:rPr>
          <w:spacing w:val="-3"/>
        </w:rPr>
        <w:t>子证照国家标准后，</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0"/>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0"/>
        </w:rPr>
        <w:t> </w:t>
      </w:r>
      <w:r>
        <w:rPr>
          <w:rFonts w:ascii="Times New Roman" w:hAnsi="Times New Roman" w:cs="Times New Roman" w:eastAsia="Times New Roman" w:hint="default"/>
        </w:rPr>
        <w:t>27</w:t>
      </w:r>
      <w:r>
        <w:rPr>
          <w:rFonts w:ascii="Times New Roman" w:hAnsi="Times New Roman" w:cs="Times New Roman" w:eastAsia="Times New Roman" w:hint="default"/>
          <w:spacing w:val="10"/>
        </w:rPr>
        <w:t> </w:t>
      </w:r>
      <w:r>
        <w:rPr>
          <w:spacing w:val="-3"/>
        </w:rPr>
        <w:t>日，由公司参与拟定的国家档案行业标准《政务服务事项电</w:t>
      </w:r>
      <w:r>
        <w:rPr>
          <w:spacing w:val="-99"/>
        </w:rPr>
        <w:t> </w:t>
      </w:r>
      <w:r>
        <w:rPr>
          <w:spacing w:val="-99"/>
        </w:rPr>
      </w:r>
      <w:r>
        <w:rPr>
          <w:spacing w:val="-3"/>
        </w:rPr>
        <w:t>子文件归档标准》正式发布。</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月，由公司参建的福建省一体化网上政务服务平台和福建</w:t>
      </w:r>
      <w:r>
        <w:rPr>
          <w:w w:val="100"/>
        </w:rPr>
        <w:t> </w:t>
      </w:r>
      <w:r>
        <w:rPr>
          <w:spacing w:val="-1"/>
        </w:rPr>
        <w:t>省证照数据电文（电子证照）共享服务系统（电子证照服务平台）入选第二届数字中国建设峰会</w:t>
      </w:r>
      <w:r>
        <w:rPr>
          <w:spacing w:val="-55"/>
        </w:rPr>
        <w:t> </w:t>
      </w:r>
      <w:r>
        <w:rPr>
          <w:spacing w:val="-55"/>
        </w:rPr>
      </w:r>
      <w:r>
        <w:rPr>
          <w:spacing w:val="-3"/>
        </w:rPr>
        <w:t>评选的数字福建电子政务十佳案例；</w:t>
      </w:r>
      <w:r>
        <w:rPr>
          <w:rFonts w:ascii="Times New Roman" w:hAnsi="Times New Roman" w:cs="Times New Roman" w:eastAsia="Times New Roman" w:hint="default"/>
          <w:spacing w:val="-3"/>
        </w:rPr>
        <w:t>2019 </w:t>
      </w:r>
      <w:r>
        <w:rPr/>
        <w:t>年 </w:t>
      </w:r>
      <w:r>
        <w:rPr>
          <w:rFonts w:ascii="Times New Roman" w:hAnsi="Times New Roman" w:cs="Times New Roman" w:eastAsia="Times New Roman" w:hint="default"/>
        </w:rPr>
        <w:t>6 </w:t>
      </w:r>
      <w:r>
        <w:rPr>
          <w:spacing w:val="-3"/>
        </w:rPr>
        <w:t>月，南威数据治理一体化平台获得国内大数据行业</w:t>
      </w:r>
      <w:r>
        <w:rPr>
          <w:spacing w:val="-76"/>
        </w:rPr>
        <w:t> </w:t>
      </w:r>
      <w:r>
        <w:rPr>
          <w:spacing w:val="-76"/>
        </w:rPr>
      </w:r>
      <w:r>
        <w:rPr>
          <w:spacing w:val="-1"/>
        </w:rPr>
        <w:t>的权威系列奖项“星河（</w:t>
      </w:r>
      <w:r>
        <w:rPr>
          <w:rFonts w:ascii="Times New Roman" w:hAnsi="Times New Roman" w:cs="Times New Roman" w:eastAsia="Times New Roman" w:hint="default"/>
          <w:spacing w:val="-1"/>
        </w:rPr>
        <w:t>Galaxy</w:t>
      </w:r>
      <w:r>
        <w:rPr>
          <w:spacing w:val="-1"/>
        </w:rPr>
        <w:t>）”奖优秀大数据产品奖。同时，籍蚂蚁金服战略入股公司的契</w:t>
      </w:r>
      <w:r>
        <w:rPr>
          <w:spacing w:val="-23"/>
        </w:rPr>
        <w:t> </w:t>
      </w:r>
      <w:r>
        <w:rPr>
          <w:spacing w:val="-23"/>
        </w:rPr>
      </w:r>
      <w:r>
        <w:rPr>
          <w:spacing w:val="-1"/>
        </w:rPr>
        <w:t>机，双方在数字政务平台联合开展深入研发，并在创新行业标准与联合市场推广等方面开展深度</w:t>
      </w:r>
      <w:r>
        <w:rPr>
          <w:spacing w:val="-55"/>
        </w:rPr>
        <w:t> </w:t>
      </w:r>
      <w:r>
        <w:rPr>
          <w:spacing w:val="-55"/>
        </w:rPr>
      </w:r>
      <w:r>
        <w:rPr>
          <w:spacing w:val="-4"/>
        </w:rPr>
        <w:t>合作。</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月，在阿里云峰会上公司携手阿里巴巴及其他行业领军企业共同发布“数字政府</w:t>
      </w:r>
      <w:r>
        <w:rPr>
          <w:w w:val="100"/>
        </w:rPr>
        <w:t> </w:t>
      </w:r>
      <w:r>
        <w:rPr/>
        <w:t>共建计划”；</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月，公司与阿里经济体联合发布区块链电子证照和新一代政务中台；</w:t>
      </w:r>
      <w:r>
        <w:rPr>
          <w:rFonts w:ascii="Times New Roman" w:hAnsi="Times New Roman" w:cs="Times New Roman" w:eastAsia="Times New Roman" w:hint="default"/>
        </w:rPr>
        <w:t>11</w:t>
      </w:r>
      <w:r>
        <w:rPr>
          <w:rFonts w:ascii="Times New Roman" w:hAnsi="Times New Roman" w:cs="Times New Roman" w:eastAsia="Times New Roman" w:hint="default"/>
          <w:w w:val="100"/>
        </w:rPr>
        <w:t> </w:t>
      </w:r>
      <w:r>
        <w:rPr/>
        <w:t>月，在 </w:t>
      </w:r>
      <w:r>
        <w:rPr>
          <w:rFonts w:ascii="Times New Roman" w:hAnsi="Times New Roman" w:cs="Times New Roman" w:eastAsia="Times New Roman" w:hint="default"/>
        </w:rPr>
        <w:t>2019 </w:t>
      </w:r>
      <w:r>
        <w:rPr/>
        <w:t>年亚太智慧城市评选中，公司获评“</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年中国领军智慧城市智慧政务解决方案提</w:t>
      </w:r>
      <w:r>
        <w:rPr>
          <w:w w:val="100"/>
        </w:rPr>
        <w:t> </w:t>
      </w:r>
      <w:r>
        <w:rPr/>
        <w:t>供商”。</w:t>
      </w:r>
    </w:p>
    <w:p>
      <w:pPr>
        <w:pStyle w:val="BodyText"/>
        <w:spacing w:line="297" w:lineRule="auto" w:before="32"/>
        <w:ind w:left="557" w:right="0"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）政务服务</w:t>
      </w:r>
      <w:r>
        <w:rPr>
          <w:rFonts w:ascii="宋体" w:hAnsi="宋体" w:cs="宋体" w:eastAsia="宋体" w:hint="default"/>
          <w:b/>
          <w:bCs/>
          <w:w w:val="100"/>
        </w:rPr>
        <w:t> </w:t>
      </w:r>
      <w:r>
        <w:rPr>
          <w:spacing w:val="-2"/>
        </w:rPr>
        <w:t>公司致力于为全国“互联网</w:t>
      </w:r>
      <w:r>
        <w:rPr>
          <w:rFonts w:ascii="Times New Roman" w:hAnsi="Times New Roman" w:cs="Times New Roman" w:eastAsia="Times New Roman" w:hint="default"/>
          <w:spacing w:val="-2"/>
        </w:rPr>
        <w:t>+</w:t>
      </w:r>
      <w:r>
        <w:rPr>
          <w:spacing w:val="-2"/>
        </w:rPr>
        <w:t>政务服务”改革提供技术支撑。截至目前，公司互联网</w:t>
      </w:r>
      <w:r>
        <w:rPr>
          <w:rFonts w:ascii="Times New Roman" w:hAnsi="Times New Roman" w:cs="Times New Roman" w:eastAsia="Times New Roman" w:hint="default"/>
          <w:spacing w:val="-2"/>
        </w:rPr>
        <w:t>+</w:t>
      </w:r>
      <w:r>
        <w:rPr>
          <w:spacing w:val="-2"/>
        </w:rPr>
        <w:t>政务的</w:t>
      </w:r>
    </w:p>
    <w:p>
      <w:pPr>
        <w:pStyle w:val="BodyText"/>
        <w:spacing w:line="297" w:lineRule="auto" w:before="13"/>
        <w:ind w:left="136" w:right="208"/>
        <w:jc w:val="both"/>
      </w:pPr>
      <w:r>
        <w:rPr/>
        <w:t>产品解决方案已在全国 </w:t>
      </w:r>
      <w:r>
        <w:rPr>
          <w:rFonts w:ascii="Times New Roman" w:hAnsi="Times New Roman" w:cs="Times New Roman" w:eastAsia="Times New Roman" w:hint="default"/>
        </w:rPr>
        <w:t>30 </w:t>
      </w:r>
      <w:r>
        <w:rPr>
          <w:spacing w:val="-5"/>
        </w:rPr>
        <w:t>个省、</w:t>
      </w:r>
      <w:r>
        <w:rPr>
          <w:rFonts w:ascii="Times New Roman" w:hAnsi="Times New Roman" w:cs="Times New Roman" w:eastAsia="Times New Roman" w:hint="default"/>
          <w:spacing w:val="-5"/>
        </w:rPr>
        <w:t>180 </w:t>
      </w:r>
      <w:r>
        <w:rPr>
          <w:spacing w:val="-3"/>
        </w:rPr>
        <w:t>个地市以及众多县区和基层政府得到深入且广泛的应用，为</w:t>
      </w:r>
      <w:r>
        <w:rPr>
          <w:spacing w:val="-94"/>
        </w:rPr>
        <w:t> </w:t>
      </w:r>
      <w:r>
        <w:rPr>
          <w:spacing w:val="-94"/>
        </w:rPr>
      </w:r>
      <w:r>
        <w:rPr>
          <w:spacing w:val="-3"/>
        </w:rPr>
        <w:t>各地“放管服”改革工作的推进提供了强有力的支撑和保障。</w:t>
      </w:r>
      <w:r>
        <w:rPr>
          <w:rFonts w:ascii="Times New Roman" w:hAnsi="Times New Roman" w:cs="Times New Roman" w:eastAsia="Times New Roman" w:hint="default"/>
          <w:spacing w:val="-3"/>
        </w:rPr>
        <w:t>2019 </w:t>
      </w:r>
      <w:r>
        <w:rPr/>
        <w:t>年公司围绕政务服务在行业应</w:t>
      </w:r>
      <w:r>
        <w:rPr>
          <w:spacing w:val="-59"/>
        </w:rPr>
        <w:t> </w:t>
      </w:r>
      <w:r>
        <w:rPr>
          <w:spacing w:val="-59"/>
        </w:rPr>
      </w:r>
      <w:r>
        <w:rPr/>
        <w:t>用方面进行深化改革，取得良好成绩：</w:t>
      </w:r>
    </w:p>
    <w:p>
      <w:pPr>
        <w:pStyle w:val="BodyText"/>
        <w:spacing w:line="314" w:lineRule="auto" w:before="34"/>
        <w:ind w:left="136" w:right="208" w:firstLine="420"/>
        <w:jc w:val="both"/>
      </w:pPr>
      <w:r>
        <w:rPr>
          <w:spacing w:val="-5"/>
        </w:rPr>
        <w:t>公司围绕国家工程建设项目审批制度改革，助力工程建设提速，推出</w:t>
      </w:r>
      <w:r>
        <w:rPr>
          <w:spacing w:val="43"/>
        </w:rPr>
        <w:t> </w:t>
      </w:r>
      <w:r>
        <w:rPr/>
        <w:t>“工程建设项目审批管</w:t>
      </w:r>
      <w:r>
        <w:rPr>
          <w:w w:val="100"/>
        </w:rPr>
        <w:t> </w:t>
      </w:r>
      <w:r>
        <w:rPr>
          <w:spacing w:val="-1"/>
        </w:rPr>
        <w:t>理系统”，以“一张表单”、“一窗受理”、“一套机制”为统筹，整合对接多规合一“一张蓝</w:t>
      </w:r>
      <w:r>
        <w:rPr>
          <w:spacing w:val="-56"/>
        </w:rPr>
        <w:t> </w:t>
      </w:r>
      <w:r>
        <w:rPr>
          <w:spacing w:val="-56"/>
        </w:rPr>
      </w:r>
      <w:r>
        <w:rPr>
          <w:spacing w:val="-1"/>
        </w:rPr>
        <w:t>图”服务，对项目立项到竣工验收和公共设施接入等审批环节进行全过程服务。报告期内，工程</w:t>
      </w:r>
      <w:r>
        <w:rPr>
          <w:spacing w:val="-55"/>
        </w:rPr>
        <w:t> </w:t>
      </w:r>
      <w:r>
        <w:rPr>
          <w:spacing w:val="-55"/>
        </w:rPr>
      </w:r>
      <w:r>
        <w:rPr/>
        <w:t>建设项目审批管理系统在全国</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个省、</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个城市顺利落地。</w:t>
      </w:r>
    </w:p>
    <w:p>
      <w:pPr>
        <w:pStyle w:val="BodyText"/>
        <w:spacing w:line="304" w:lineRule="auto"/>
        <w:ind w:left="136" w:right="0" w:firstLine="420"/>
        <w:jc w:val="left"/>
      </w:pPr>
      <w:r>
        <w:rPr>
          <w:spacing w:val="-5"/>
          <w:w w:val="100"/>
        </w:rPr>
        <w:t>投资项目在线审批监管平台是公司的传统优势产品，公司已建设全国</w:t>
      </w:r>
      <w:r>
        <w:rPr>
          <w:spacing w:val="-49"/>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
          <w:w w:val="100"/>
        </w:rPr>
        <w:t> </w:t>
      </w:r>
      <w:r>
        <w:rPr>
          <w:spacing w:val="-2"/>
          <w:w w:val="100"/>
        </w:rPr>
        <w:t>余个省份的省级投资</w:t>
      </w:r>
      <w:r>
        <w:rPr>
          <w:w w:val="100"/>
        </w:rPr>
        <w:t> </w:t>
      </w:r>
      <w:r>
        <w:rPr/>
        <w:t>项目在线审批监管平台。</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月，在国家发改委主办的全国投资项目在线审批监管示范平</w:t>
      </w:r>
      <w:r>
        <w:rPr>
          <w:w w:val="100"/>
        </w:rPr>
        <w:t> </w:t>
      </w:r>
      <w:r>
        <w:rPr>
          <w:spacing w:val="-4"/>
          <w:w w:val="100"/>
        </w:rPr>
        <w:t>台评选活动上，公司承担建设的湖北省投资项目在线审批监管平台获评全国三星级综合示范平台，</w:t>
      </w:r>
      <w:r>
        <w:rPr>
          <w:spacing w:val="-86"/>
          <w:w w:val="100"/>
        </w:rPr>
        <w:t> </w:t>
      </w:r>
      <w:r>
        <w:rPr>
          <w:spacing w:val="-86"/>
          <w:w w:val="100"/>
        </w:rPr>
      </w:r>
      <w:r>
        <w:rPr/>
        <w:t>河南省、内蒙古自治区投资项目在线审批监管平台获评全国项目监管示范平台，贵州省投资项目</w:t>
      </w:r>
      <w:r>
        <w:rPr>
          <w:spacing w:val="-97"/>
        </w:rPr>
        <w:t> </w:t>
      </w:r>
      <w:r>
        <w:rPr>
          <w:spacing w:val="-97"/>
        </w:rPr>
      </w:r>
      <w:r>
        <w:rPr/>
        <w:t>在线审批监管平台获评</w:t>
      </w:r>
      <w:r>
        <w:rPr>
          <w:spacing w:val="-57"/>
        </w:rPr>
        <w:t> </w:t>
      </w:r>
      <w:r>
        <w:rPr>
          <w:rFonts w:ascii="Times New Roman" w:hAnsi="Times New Roman" w:cs="Times New Roman" w:eastAsia="Times New Roman" w:hint="default"/>
        </w:rPr>
        <w:t>PPP</w:t>
      </w:r>
      <w:r>
        <w:rPr>
          <w:rFonts w:ascii="Times New Roman" w:hAnsi="Times New Roman" w:cs="Times New Roman" w:eastAsia="Times New Roman" w:hint="default"/>
          <w:spacing w:val="-2"/>
        </w:rPr>
        <w:t> </w:t>
      </w:r>
      <w:r>
        <w:rPr/>
        <w:t>监测服务示范平台。</w:t>
      </w:r>
    </w:p>
    <w:p>
      <w:pPr>
        <w:pStyle w:val="BodyText"/>
        <w:spacing w:line="297" w:lineRule="auto" w:before="6"/>
        <w:ind w:left="136" w:right="0" w:firstLine="420"/>
        <w:jc w:val="left"/>
      </w:pPr>
      <w:r>
        <w:rPr>
          <w:spacing w:val="-2"/>
        </w:rPr>
        <w:t>公司响应公安部对公安政务服务三个通办的要求，推出“互联网</w:t>
      </w:r>
      <w:r>
        <w:rPr>
          <w:rFonts w:ascii="Times New Roman" w:hAnsi="Times New Roman" w:cs="Times New Roman" w:eastAsia="Times New Roman" w:hint="default"/>
          <w:spacing w:val="-2"/>
        </w:rPr>
        <w:t>+</w:t>
      </w:r>
      <w:r>
        <w:rPr>
          <w:spacing w:val="-2"/>
        </w:rPr>
        <w:t>公安政务服务”解决方案，</w:t>
      </w:r>
      <w:r>
        <w:rPr>
          <w:w w:val="100"/>
        </w:rPr>
        <w:t> </w:t>
      </w:r>
      <w:r>
        <w:rPr/>
        <w:t>通过整合公安政务资源、打通公安部门间数据共享，优化交管、户政、出入境、治安、网安、信</w:t>
      </w:r>
    </w:p>
    <w:p>
      <w:pPr>
        <w:spacing w:after="0" w:line="297" w:lineRule="auto"/>
        <w:jc w:val="left"/>
        <w:sectPr>
          <w:pgSz w:w="11910" w:h="16840"/>
          <w:pgMar w:header="855" w:footer="979" w:top="1120" w:bottom="1160" w:left="1140" w:right="1580"/>
        </w:sectPr>
      </w:pPr>
    </w:p>
    <w:p>
      <w:pPr>
        <w:spacing w:line="240" w:lineRule="auto" w:before="7"/>
        <w:rPr>
          <w:rFonts w:ascii="宋体" w:hAnsi="宋体" w:cs="宋体" w:eastAsia="宋体" w:hint="default"/>
          <w:sz w:val="24"/>
          <w:szCs w:val="24"/>
        </w:rPr>
      </w:pPr>
    </w:p>
    <w:p>
      <w:pPr>
        <w:pStyle w:val="BodyText"/>
        <w:spacing w:line="314" w:lineRule="auto" w:before="36"/>
        <w:ind w:left="136" w:right="208"/>
        <w:jc w:val="both"/>
      </w:pPr>
      <w:r>
        <w:rPr>
          <w:spacing w:val="-1"/>
        </w:rPr>
        <w:t>访等核心服务部门政务服务流程，提供多元化的服务形式，实现公安政务服务的“一证通办”、</w:t>
      </w:r>
      <w:r>
        <w:rPr>
          <w:spacing w:val="-55"/>
        </w:rPr>
        <w:t> </w:t>
      </w:r>
      <w:r>
        <w:rPr>
          <w:spacing w:val="-55"/>
        </w:rPr>
      </w:r>
      <w:r>
        <w:rPr>
          <w:spacing w:val="-2"/>
        </w:rPr>
        <w:t>“网上直办”、“就近可办”、“全城通办”、“异地能办”。报告期内，公司公安政务服务已</w:t>
      </w:r>
      <w:r>
        <w:rPr>
          <w:spacing w:val="-15"/>
        </w:rPr>
        <w:t> </w:t>
      </w:r>
      <w:r>
        <w:rPr>
          <w:spacing w:val="-15"/>
        </w:rPr>
      </w:r>
      <w:r>
        <w:rPr/>
        <w:t>经在全国</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个省，</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余个地市落地推广应用。</w:t>
      </w:r>
    </w:p>
    <w:p>
      <w:pPr>
        <w:pStyle w:val="BodyText"/>
        <w:spacing w:line="302" w:lineRule="auto"/>
        <w:ind w:left="136" w:right="208" w:firstLine="420"/>
        <w:jc w:val="both"/>
      </w:pPr>
      <w:r>
        <w:rPr>
          <w:spacing w:val="-3"/>
        </w:rPr>
        <w:t>此外，为促进实现政务服务“</w:t>
      </w:r>
      <w:r>
        <w:rPr>
          <w:rFonts w:ascii="Times New Roman" w:hAnsi="Times New Roman" w:cs="Times New Roman" w:eastAsia="Times New Roman" w:hint="default"/>
          <w:spacing w:val="-3"/>
        </w:rPr>
        <w:t>24</w:t>
      </w:r>
      <w:r>
        <w:rPr>
          <w:rFonts w:ascii="Times New Roman" w:hAnsi="Times New Roman" w:cs="Times New Roman" w:eastAsia="Times New Roman" w:hint="default"/>
          <w:spacing w:val="1"/>
        </w:rPr>
        <w:t> </w:t>
      </w:r>
      <w:r>
        <w:rPr>
          <w:spacing w:val="-3"/>
        </w:rPr>
        <w:t>小时不打烊”，公司升级智慧政务自助服务一体机，集成多</w:t>
      </w:r>
      <w:r>
        <w:rPr>
          <w:w w:val="100"/>
        </w:rPr>
        <w:t> </w:t>
      </w:r>
      <w:r>
        <w:rPr>
          <w:spacing w:val="-6"/>
        </w:rPr>
        <w:t>样化服务模块，覆盖更多政府服务事项，实现城市服务终端应用和管控统一化，打通政务服务“最</w:t>
      </w:r>
      <w:r>
        <w:rPr>
          <w:spacing w:val="-53"/>
        </w:rPr>
        <w:t> </w:t>
      </w:r>
      <w:r>
        <w:rPr>
          <w:spacing w:val="-53"/>
        </w:rPr>
      </w:r>
      <w:r>
        <w:rPr>
          <w:spacing w:val="-4"/>
        </w:rPr>
        <w:t>后一公里”。自助服务终端使用单位已遍布全国超过 </w:t>
      </w:r>
      <w:r>
        <w:rPr>
          <w:rFonts w:ascii="Times New Roman" w:hAnsi="Times New Roman" w:cs="Times New Roman" w:eastAsia="Times New Roman" w:hint="default"/>
        </w:rPr>
        <w:t>100 </w:t>
      </w:r>
      <w:r>
        <w:rPr>
          <w:spacing w:val="-11"/>
        </w:rPr>
        <w:t>家的省、市、区（县）级服务中心及乡、</w:t>
      </w:r>
      <w:r>
        <w:rPr>
          <w:spacing w:val="-70"/>
        </w:rPr>
        <w:t> </w:t>
      </w:r>
      <w:r>
        <w:rPr>
          <w:spacing w:val="-70"/>
        </w:rPr>
      </w:r>
      <w:r>
        <w:rPr/>
        <w:t>镇、村的街道办、工作站等。</w:t>
      </w:r>
    </w:p>
    <w:p>
      <w:pPr>
        <w:spacing w:line="297" w:lineRule="auto" w:before="3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）区块链电子证照</w:t>
      </w:r>
      <w:r>
        <w:rPr>
          <w:rFonts w:ascii="宋体" w:hAnsi="宋体" w:cs="宋体" w:eastAsia="宋体" w:hint="default"/>
          <w:b/>
          <w:bCs/>
          <w:w w:val="100"/>
          <w:sz w:val="21"/>
          <w:szCs w:val="21"/>
        </w:rPr>
        <w:t> </w:t>
      </w:r>
      <w:r>
        <w:rPr>
          <w:rFonts w:ascii="宋体" w:hAnsi="宋体" w:cs="宋体" w:eastAsia="宋体" w:hint="default"/>
          <w:spacing w:val="-2"/>
          <w:sz w:val="21"/>
          <w:szCs w:val="21"/>
        </w:rPr>
        <w:t>公司是全国电子证照领域引领者，拥有融合公有云与私有云，集管证、用证、鉴证于一体的</w:t>
      </w:r>
    </w:p>
    <w:p>
      <w:pPr>
        <w:pStyle w:val="BodyText"/>
        <w:spacing w:line="307" w:lineRule="auto" w:before="34"/>
        <w:ind w:left="136" w:right="0"/>
        <w:jc w:val="left"/>
      </w:pPr>
      <w:r>
        <w:rPr/>
        <w:t>完整的区块链证照通产品解决方案。报告期内，公司将电子证照和区块链技术相结合所打造的产</w:t>
      </w:r>
      <w:r>
        <w:rPr>
          <w:spacing w:val="-97"/>
        </w:rPr>
        <w:t> </w:t>
      </w:r>
      <w:r>
        <w:rPr>
          <w:spacing w:val="-97"/>
        </w:rPr>
      </w:r>
      <w:r>
        <w:rPr>
          <w:spacing w:val="-4"/>
          <w:w w:val="100"/>
        </w:rPr>
        <w:t>品“证照链”成功通过了国家互联网信息办公室备案，成为境内具有区块链信息服务资质的产品。</w:t>
      </w:r>
      <w:r>
        <w:rPr>
          <w:spacing w:val="-85"/>
          <w:w w:val="100"/>
        </w:rPr>
        <w:t> </w:t>
      </w:r>
      <w:r>
        <w:rPr>
          <w:spacing w:val="-85"/>
          <w:w w:val="100"/>
        </w:rPr>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11 </w:t>
      </w:r>
      <w:r>
        <w:rPr/>
        <w:t>月，泉州政务服务 </w:t>
      </w:r>
      <w:r>
        <w:rPr>
          <w:rFonts w:ascii="Times New Roman" w:hAnsi="Times New Roman" w:cs="Times New Roman" w:eastAsia="Times New Roman" w:hint="default"/>
        </w:rPr>
        <w:t>APP</w:t>
      </w:r>
      <w:r>
        <w:rPr>
          <w:rFonts w:ascii="Times New Roman" w:hAnsi="Times New Roman" w:cs="Times New Roman" w:eastAsia="Times New Roman" w:hint="default"/>
          <w:spacing w:val="-28"/>
        </w:rPr>
        <w:t> </w:t>
      </w:r>
      <w:r>
        <w:rPr/>
        <w:t>引入公司“区块链</w:t>
      </w:r>
      <w:r>
        <w:rPr>
          <w:rFonts w:ascii="Times New Roman" w:hAnsi="Times New Roman" w:cs="Times New Roman" w:eastAsia="Times New Roman" w:hint="default"/>
        </w:rPr>
        <w:t>+</w:t>
      </w:r>
      <w:r>
        <w:rPr/>
        <w:t>电子证照”技术，在全国率先实现区块链</w:t>
      </w:r>
      <w:r>
        <w:rPr>
          <w:w w:val="100"/>
        </w:rPr>
        <w:t> </w:t>
      </w:r>
      <w:r>
        <w:rPr/>
        <w:t>电子证照</w:t>
      </w:r>
      <w:r>
        <w:rPr>
          <w:rFonts w:ascii="Times New Roman" w:hAnsi="Times New Roman" w:cs="Times New Roman" w:eastAsia="Times New Roman" w:hint="default"/>
        </w:rPr>
        <w:t>+</w:t>
      </w:r>
      <w:r>
        <w:rPr/>
        <w:t>实体证照同步颁发。同时，公司还是电子证照应用的倡导者，</w:t>
      </w:r>
      <w:r>
        <w:rPr>
          <w:rFonts w:ascii="Times New Roman" w:hAnsi="Times New Roman" w:cs="Times New Roman" w:eastAsia="Times New Roman" w:hint="default"/>
        </w:rPr>
        <w:t>2019</w:t>
      </w:r>
      <w:r>
        <w:rPr>
          <w:rFonts w:ascii="Times New Roman" w:hAnsi="Times New Roman" w:cs="Times New Roman" w:eastAsia="Times New Roman" w:hint="default"/>
          <w:spacing w:val="47"/>
        </w:rPr>
        <w:t> </w:t>
      </w:r>
      <w:r>
        <w:rPr/>
        <w:t>年底国务院办公室</w:t>
      </w:r>
      <w:r>
        <w:rPr>
          <w:w w:val="100"/>
        </w:rPr>
        <w:t> </w:t>
      </w:r>
      <w:r>
        <w:rPr/>
        <w:t>发出关于开展电子证照应用试点的通知，公司在长沙、青岛等地打造的“电子驾照”以及基于电</w:t>
      </w:r>
      <w:r>
        <w:rPr>
          <w:spacing w:val="-96"/>
        </w:rPr>
        <w:t> </w:t>
      </w:r>
      <w:r>
        <w:rPr>
          <w:spacing w:val="-96"/>
        </w:rPr>
      </w:r>
      <w:r>
        <w:rPr/>
        <w:t>子证照的“一码通办”等应用场景将得到进一步推广。</w:t>
      </w:r>
    </w:p>
    <w:p>
      <w:pPr>
        <w:pStyle w:val="BodyText"/>
        <w:spacing w:line="314" w:lineRule="auto" w:before="26"/>
        <w:ind w:left="136" w:right="209" w:firstLine="420"/>
        <w:jc w:val="both"/>
      </w:pPr>
      <w:r>
        <w:rPr>
          <w:spacing w:val="-2"/>
        </w:rPr>
        <w:t>公司坚持创新引领，作为区块链“数字政府”的引领者，研发推广的区块链电子证照入选国</w:t>
      </w:r>
      <w:r>
        <w:rPr>
          <w:w w:val="100"/>
        </w:rPr>
        <w:t> </w:t>
      </w:r>
      <w:r>
        <w:rPr>
          <w:spacing w:val="-1"/>
        </w:rPr>
        <w:t>家网信办区块链产品目录，是国内具有证照区块链信息服务资质的企业；公司研发的区块链核心</w:t>
      </w:r>
      <w:r>
        <w:rPr>
          <w:spacing w:val="-54"/>
        </w:rPr>
        <w:t> </w:t>
      </w:r>
      <w:r>
        <w:rPr>
          <w:spacing w:val="-54"/>
        </w:rPr>
      </w:r>
      <w:r>
        <w:rPr>
          <w:spacing w:val="-1"/>
        </w:rPr>
        <w:t>技术与政府治理架构应用相结合，从数据确权认定、完整性保护、隐私保护和共享共治等基础能</w:t>
      </w:r>
      <w:r>
        <w:rPr>
          <w:spacing w:val="-55"/>
        </w:rPr>
        <w:t> </w:t>
      </w:r>
      <w:r>
        <w:rPr>
          <w:spacing w:val="-55"/>
        </w:rPr>
      </w:r>
      <w:r>
        <w:rPr>
          <w:spacing w:val="-1"/>
        </w:rPr>
        <w:t>力出发，解决数字政府在虚拟互联网中的信任障碍，解决各部门数据在原有机制下共享滞后的问</w:t>
      </w:r>
      <w:r>
        <w:rPr>
          <w:spacing w:val="-54"/>
        </w:rPr>
        <w:t> </w:t>
      </w:r>
      <w:r>
        <w:rPr>
          <w:spacing w:val="-54"/>
        </w:rPr>
      </w:r>
      <w:r>
        <w:rPr>
          <w:spacing w:val="-7"/>
        </w:rPr>
        <w:t>题。未来公司将以证照链、审批链、监管链作为切入点，建设区块链数字政府，为数字政府的“数</w:t>
      </w:r>
      <w:r>
        <w:rPr>
          <w:spacing w:val="-12"/>
        </w:rPr>
        <w:t> </w:t>
      </w:r>
      <w:r>
        <w:rPr>
          <w:spacing w:val="-12"/>
        </w:rPr>
      </w:r>
      <w:r>
        <w:rPr/>
        <w:t>字证明”、“数字协同”和“数字制度”等构建数据信任体系。</w:t>
      </w:r>
    </w:p>
    <w:p>
      <w:pPr>
        <w:pStyle w:val="BodyText"/>
        <w:spacing w:line="297" w:lineRule="auto" w:before="20"/>
        <w:ind w:left="557" w:right="0"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）政务监管</w:t>
      </w:r>
      <w:r>
        <w:rPr>
          <w:rFonts w:ascii="宋体" w:hAnsi="宋体" w:cs="宋体" w:eastAsia="宋体" w:hint="default"/>
          <w:b/>
          <w:bCs/>
          <w:w w:val="100"/>
        </w:rPr>
        <w:t> </w:t>
      </w:r>
      <w:r>
        <w:rPr>
          <w:spacing w:val="-2"/>
        </w:rPr>
        <w:t>公司抓住国家“互联网</w:t>
      </w:r>
      <w:r>
        <w:rPr>
          <w:rFonts w:ascii="Times New Roman" w:hAnsi="Times New Roman" w:cs="Times New Roman" w:eastAsia="Times New Roman" w:hint="default"/>
          <w:spacing w:val="-2"/>
        </w:rPr>
        <w:t>+</w:t>
      </w:r>
      <w:r>
        <w:rPr>
          <w:spacing w:val="-2"/>
        </w:rPr>
        <w:t>监管”政策风口，报告期内，先后推出了“互联网</w:t>
      </w:r>
      <w:r>
        <w:rPr>
          <w:rFonts w:ascii="Times New Roman" w:hAnsi="Times New Roman" w:cs="Times New Roman" w:eastAsia="Times New Roman" w:hint="default"/>
          <w:spacing w:val="-2"/>
        </w:rPr>
        <w:t>+</w:t>
      </w:r>
      <w:r>
        <w:rPr>
          <w:spacing w:val="-2"/>
        </w:rPr>
        <w:t>监管”、“互联</w:t>
      </w:r>
      <w:r>
        <w:rPr/>
      </w:r>
    </w:p>
    <w:p>
      <w:pPr>
        <w:pStyle w:val="BodyText"/>
        <w:spacing w:line="297" w:lineRule="auto" w:before="13"/>
        <w:ind w:left="136" w:right="208"/>
        <w:jc w:val="both"/>
      </w:pPr>
      <w:r>
        <w:rPr>
          <w:spacing w:val="-7"/>
        </w:rPr>
        <w:t>网</w:t>
      </w:r>
      <w:r>
        <w:rPr>
          <w:rFonts w:ascii="Times New Roman" w:hAnsi="Times New Roman" w:cs="Times New Roman" w:eastAsia="Times New Roman" w:hint="default"/>
          <w:spacing w:val="-7"/>
        </w:rPr>
        <w:t>+</w:t>
      </w:r>
      <w:r>
        <w:rPr>
          <w:spacing w:val="-7"/>
        </w:rPr>
        <w:t>监督”、“互联网</w:t>
      </w:r>
      <w:r>
        <w:rPr>
          <w:rFonts w:ascii="Times New Roman" w:hAnsi="Times New Roman" w:cs="Times New Roman" w:eastAsia="Times New Roman" w:hint="default"/>
          <w:spacing w:val="-7"/>
        </w:rPr>
        <w:t>+</w:t>
      </w:r>
      <w:r>
        <w:rPr>
          <w:spacing w:val="-7"/>
        </w:rPr>
        <w:t>督查”系列产品。新一代的监管系列产品应用于福建、贵州、广西、湖南、</w:t>
      </w:r>
      <w:r>
        <w:rPr>
          <w:spacing w:val="-29"/>
        </w:rPr>
        <w:t> </w:t>
      </w:r>
      <w:r>
        <w:rPr>
          <w:spacing w:val="-29"/>
        </w:rPr>
      </w:r>
      <w:r>
        <w:rPr/>
        <w:t>浙江等 </w:t>
      </w:r>
      <w:r>
        <w:rPr>
          <w:rFonts w:ascii="Times New Roman" w:hAnsi="Times New Roman" w:cs="Times New Roman" w:eastAsia="Times New Roman" w:hint="default"/>
        </w:rPr>
        <w:t>8</w:t>
      </w:r>
      <w:r>
        <w:rPr>
          <w:rFonts w:ascii="Times New Roman" w:hAnsi="Times New Roman" w:cs="Times New Roman" w:eastAsia="Times New Roman" w:hint="default"/>
          <w:spacing w:val="44"/>
        </w:rPr>
        <w:t> </w:t>
      </w:r>
      <w:r>
        <w:rPr/>
        <w:t>个省份。其中，公司所承建的广西“互联网</w:t>
      </w:r>
      <w:r>
        <w:rPr>
          <w:rFonts w:ascii="Times New Roman" w:hAnsi="Times New Roman" w:cs="Times New Roman" w:eastAsia="Times New Roman" w:hint="default"/>
        </w:rPr>
        <w:t>+</w:t>
      </w:r>
      <w:r>
        <w:rPr/>
        <w:t>监管”系统项目成为了全国首个省市一体</w:t>
      </w:r>
    </w:p>
    <w:p>
      <w:pPr>
        <w:pStyle w:val="BodyText"/>
        <w:spacing w:line="297" w:lineRule="auto" w:before="13"/>
        <w:ind w:left="136" w:right="208"/>
        <w:jc w:val="both"/>
      </w:pPr>
      <w:r>
        <w:rPr>
          <w:spacing w:val="-3"/>
        </w:rPr>
        <w:t>化的“互联网</w:t>
      </w:r>
      <w:r>
        <w:rPr>
          <w:rFonts w:ascii="Times New Roman" w:hAnsi="Times New Roman" w:cs="Times New Roman" w:eastAsia="Times New Roman" w:hint="default"/>
          <w:spacing w:val="-3"/>
        </w:rPr>
        <w:t>+</w:t>
      </w:r>
      <w:r>
        <w:rPr>
          <w:spacing w:val="-3"/>
        </w:rPr>
        <w:t>监管”平台，该平台在</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spacing w:val="-3"/>
        </w:rPr>
        <w:t>月正式运行。</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spacing w:val="-3"/>
        </w:rPr>
        <w:t>月，公司聚焦数字政府再</w:t>
      </w:r>
      <w:r>
        <w:rPr>
          <w:spacing w:val="-101"/>
        </w:rPr>
        <w:t> </w:t>
      </w:r>
      <w:r>
        <w:rPr>
          <w:spacing w:val="-101"/>
        </w:rPr>
      </w:r>
      <w:r>
        <w:rPr/>
        <w:t>突破，为浙江省政府打造全国首个综合型“互联网</w:t>
      </w:r>
      <w:r>
        <w:rPr>
          <w:rFonts w:ascii="Times New Roman" w:hAnsi="Times New Roman" w:cs="Times New Roman" w:eastAsia="Times New Roman" w:hint="default"/>
        </w:rPr>
        <w:t>+</w:t>
      </w:r>
      <w:r>
        <w:rPr/>
        <w:t>督查”平台</w:t>
      </w:r>
      <w:r>
        <w:rPr>
          <w:rFonts w:ascii="Times New Roman" w:hAnsi="Times New Roman" w:cs="Times New Roman" w:eastAsia="Times New Roman" w:hint="default"/>
        </w:rPr>
        <w:t>——</w:t>
      </w:r>
      <w:r>
        <w:rPr/>
        <w:t>“浙里督”上线运行，与国</w:t>
      </w:r>
      <w:r>
        <w:rPr>
          <w:spacing w:val="-4"/>
        </w:rPr>
        <w:t> </w:t>
      </w:r>
      <w:r>
        <w:rPr>
          <w:spacing w:val="-4"/>
        </w:rPr>
      </w:r>
      <w:r>
        <w:rPr/>
        <w:t>务院“互联网</w:t>
      </w:r>
      <w:r>
        <w:rPr>
          <w:rFonts w:ascii="Times New Roman" w:hAnsi="Times New Roman" w:cs="Times New Roman" w:eastAsia="Times New Roman" w:hint="default"/>
        </w:rPr>
        <w:t>+</w:t>
      </w:r>
      <w:r>
        <w:rPr/>
        <w:t>督查”平台紧密对接，实现问题线索网上收集、督查事务政民互动、绩效考评结</w:t>
      </w:r>
      <w:r>
        <w:rPr>
          <w:spacing w:val="-10"/>
        </w:rPr>
        <w:t> </w:t>
      </w:r>
      <w:r>
        <w:rPr>
          <w:spacing w:val="-10"/>
        </w:rPr>
      </w:r>
      <w:r>
        <w:rPr/>
        <w:t>果公开、政府创新同台竞技及民生事项在线监督。</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月，公司建设的湖南省省市县三级</w:t>
      </w:r>
      <w:r>
        <w:rPr>
          <w:w w:val="100"/>
        </w:rPr>
        <w:t> </w:t>
      </w:r>
      <w:r>
        <w:rPr/>
        <w:t>民生资金“互联网</w:t>
      </w:r>
      <w:r>
        <w:rPr>
          <w:rFonts w:ascii="Times New Roman" w:hAnsi="Times New Roman" w:cs="Times New Roman" w:eastAsia="Times New Roman" w:hint="default"/>
        </w:rPr>
        <w:t>+</w:t>
      </w:r>
      <w:r>
        <w:rPr/>
        <w:t>监督”平台正式上线运行，该平台技术赋能政务监管，全面公开民生资金使</w:t>
      </w:r>
      <w:r>
        <w:rPr>
          <w:spacing w:val="-8"/>
        </w:rPr>
        <w:t> </w:t>
      </w:r>
      <w:r>
        <w:rPr>
          <w:spacing w:val="-8"/>
        </w:rPr>
      </w:r>
      <w:r>
        <w:rPr/>
        <w:t>用情况。</w:t>
      </w:r>
    </w:p>
    <w:p>
      <w:pPr>
        <w:pStyle w:val="BodyText"/>
        <w:spacing w:line="297" w:lineRule="auto" w:before="34"/>
        <w:ind w:left="557" w:right="0" w:firstLine="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）政务大数据</w:t>
      </w:r>
      <w:r>
        <w:rPr>
          <w:rFonts w:ascii="宋体" w:hAnsi="宋体" w:cs="宋体" w:eastAsia="宋体" w:hint="default"/>
          <w:b/>
          <w:bCs/>
          <w:w w:val="100"/>
        </w:rPr>
        <w:t> </w:t>
      </w:r>
      <w:r>
        <w:rPr>
          <w:spacing w:val="-7"/>
          <w:w w:val="100"/>
        </w:rPr>
        <w:t>公司深度发掘政务大数据技术与业务，激发政府数据类市场潜力，通过对海量数据进行采集、</w:t>
      </w:r>
    </w:p>
    <w:p>
      <w:pPr>
        <w:pStyle w:val="BodyText"/>
        <w:spacing w:line="314" w:lineRule="auto" w:before="34"/>
        <w:ind w:left="136" w:right="209"/>
        <w:jc w:val="both"/>
      </w:pPr>
      <w:r>
        <w:rPr>
          <w:spacing w:val="-6"/>
        </w:rPr>
        <w:t>计算、存储、加工、治理，同时统一标准和口径。通过数据中台将数据统一之后，形成标准数据，</w:t>
      </w:r>
      <w:r>
        <w:rPr>
          <w:spacing w:val="-50"/>
        </w:rPr>
        <w:t> </w:t>
      </w:r>
      <w:r>
        <w:rPr>
          <w:spacing w:val="-50"/>
        </w:rPr>
      </w:r>
      <w:r>
        <w:rPr>
          <w:spacing w:val="-1"/>
        </w:rPr>
        <w:t>再进行存储，形成大数据资产层，进而为客户提供高效服务。报告期内，公司持续完善政务大数</w:t>
      </w:r>
      <w:r>
        <w:rPr>
          <w:spacing w:val="-55"/>
        </w:rPr>
        <w:t> </w:t>
      </w:r>
      <w:r>
        <w:rPr>
          <w:spacing w:val="-55"/>
        </w:rPr>
      </w:r>
      <w:r>
        <w:rPr>
          <w:spacing w:val="-1"/>
        </w:rPr>
        <w:t>据治理平台、政府数据开放平台、政府高速数据交换平台等核心产品和技术，并在智慧城市、公</w:t>
      </w:r>
      <w:r>
        <w:rPr>
          <w:spacing w:val="-55"/>
        </w:rPr>
        <w:t> </w:t>
      </w:r>
      <w:r>
        <w:rPr>
          <w:spacing w:val="-55"/>
        </w:rPr>
      </w:r>
      <w:r>
        <w:rPr>
          <w:spacing w:val="-1"/>
        </w:rPr>
        <w:t>共安全、交通、电子证照等领域贡献了优秀的数据治理服务能力；在贵州、福建、深圳等地，公</w:t>
      </w:r>
    </w:p>
    <w:p>
      <w:pPr>
        <w:spacing w:after="0" w:line="314" w:lineRule="auto"/>
        <w:jc w:val="both"/>
        <w:sectPr>
          <w:pgSz w:w="11910" w:h="16840"/>
          <w:pgMar w:header="855" w:footer="979" w:top="1120" w:bottom="1160" w:left="1140" w:right="1580"/>
        </w:sectPr>
      </w:pPr>
    </w:p>
    <w:p>
      <w:pPr>
        <w:spacing w:line="240" w:lineRule="auto" w:before="7"/>
        <w:rPr>
          <w:rFonts w:ascii="宋体" w:hAnsi="宋体" w:cs="宋体" w:eastAsia="宋体" w:hint="default"/>
          <w:sz w:val="24"/>
          <w:szCs w:val="24"/>
        </w:rPr>
      </w:pPr>
    </w:p>
    <w:p>
      <w:pPr>
        <w:pStyle w:val="BodyText"/>
        <w:spacing w:line="314" w:lineRule="auto" w:before="36"/>
        <w:ind w:left="136" w:right="0"/>
        <w:jc w:val="left"/>
      </w:pPr>
      <w:r>
        <w:rPr>
          <w:spacing w:val="-1"/>
        </w:rPr>
        <w:t>司打造的数据开放平台助力各地政府提升数据开放能力。报告期内，公司建设的贵阳市政府数据</w:t>
      </w:r>
      <w:r>
        <w:rPr>
          <w:spacing w:val="-55"/>
        </w:rPr>
        <w:t> </w:t>
      </w:r>
      <w:r>
        <w:rPr>
          <w:spacing w:val="-55"/>
        </w:rPr>
      </w:r>
      <w:r>
        <w:rPr/>
        <w:t>开放平台在全国地级</w:t>
      </w:r>
      <w:r>
        <w:rPr>
          <w:rFonts w:ascii="Times New Roman" w:hAnsi="Times New Roman" w:cs="Times New Roman" w:eastAsia="Times New Roman" w:hint="default"/>
        </w:rPr>
        <w:t>(</w:t>
      </w:r>
      <w:r>
        <w:rPr/>
        <w:t>含副省级</w:t>
      </w:r>
      <w:r>
        <w:rPr>
          <w:rFonts w:ascii="Times New Roman" w:hAnsi="Times New Roman" w:cs="Times New Roman" w:eastAsia="Times New Roman" w:hint="default"/>
        </w:rPr>
        <w:t>)</w:t>
      </w:r>
      <w:r>
        <w:rPr/>
        <w:t>综合指数排名第一，蝉联中国开放数林指数“数开叶茂”奖。</w:t>
      </w:r>
    </w:p>
    <w:p>
      <w:pPr>
        <w:pStyle w:val="BodyText"/>
        <w:spacing w:line="297" w:lineRule="auto"/>
        <w:ind w:left="557" w:right="0" w:firstLine="2"/>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）信创业务</w:t>
      </w:r>
      <w:r>
        <w:rPr>
          <w:rFonts w:ascii="宋体" w:hAnsi="宋体" w:cs="宋体" w:eastAsia="宋体" w:hint="default"/>
          <w:b/>
          <w:bCs/>
          <w:w w:val="100"/>
        </w:rPr>
        <w:t> </w:t>
      </w:r>
      <w:r>
        <w:rPr>
          <w:spacing w:val="-2"/>
        </w:rPr>
        <w:t>公司是全国最早一批进行全国产化信息系统研发的企业，是安全可控技术创新与应用实践的</w:t>
      </w:r>
    </w:p>
    <w:p>
      <w:pPr>
        <w:pStyle w:val="BodyText"/>
        <w:spacing w:line="302" w:lineRule="auto" w:before="34"/>
        <w:ind w:left="136" w:right="0"/>
        <w:jc w:val="left"/>
      </w:pPr>
      <w:r>
        <w:rPr>
          <w:spacing w:val="-7"/>
        </w:rPr>
        <w:t>先行者。早在 </w:t>
      </w:r>
      <w:r>
        <w:rPr>
          <w:rFonts w:ascii="Times New Roman" w:hAnsi="Times New Roman" w:cs="Times New Roman" w:eastAsia="Times New Roman" w:hint="default"/>
        </w:rPr>
        <w:t>2011 </w:t>
      </w:r>
      <w:r>
        <w:rPr>
          <w:spacing w:val="-4"/>
        </w:rPr>
        <w:t>年，南威软件就受中共中央办公厅及福建省委、省政府的委托进行全国产化信</w:t>
      </w:r>
      <w:r>
        <w:rPr>
          <w:spacing w:val="-74"/>
        </w:rPr>
        <w:t> </w:t>
      </w:r>
      <w:r>
        <w:rPr>
          <w:spacing w:val="-74"/>
        </w:rPr>
      </w:r>
      <w:r>
        <w:rPr>
          <w:spacing w:val="-3"/>
        </w:rPr>
        <w:t>息系统的研究与建设，并成功应用于福建、江西、浙江等地的电子政务试点项目。</w:t>
      </w:r>
      <w:r>
        <w:rPr>
          <w:rFonts w:ascii="Times New Roman" w:hAnsi="Times New Roman" w:cs="Times New Roman" w:eastAsia="Times New Roman" w:hint="default"/>
          <w:spacing w:val="-3"/>
        </w:rPr>
        <w:t>2015 </w:t>
      </w:r>
      <w:r>
        <w:rPr>
          <w:spacing w:val="-4"/>
        </w:rPr>
        <w:t>年，南威</w:t>
      </w:r>
      <w:r>
        <w:rPr>
          <w:spacing w:val="-15"/>
        </w:rPr>
        <w:t> </w:t>
      </w:r>
      <w:r>
        <w:rPr>
          <w:spacing w:val="-15"/>
        </w:rPr>
      </w:r>
      <w:r>
        <w:rPr>
          <w:spacing w:val="-2"/>
        </w:rPr>
        <w:t>软件建设的“自主可控软件重点实验室”被福建省科技厅认定为福建省唯一一个省级重点实验室。</w:t>
      </w:r>
      <w:r>
        <w:rPr>
          <w:spacing w:val="-14"/>
        </w:rPr>
        <w:t> </w:t>
      </w:r>
      <w:r>
        <w:rPr>
          <w:spacing w:val="-14"/>
        </w:rPr>
      </w:r>
      <w:r>
        <w:rPr>
          <w:rFonts w:ascii="Times New Roman" w:hAnsi="Times New Roman" w:cs="Times New Roman" w:eastAsia="Times New Roman" w:hint="default"/>
        </w:rPr>
        <w:t>2016 </w:t>
      </w:r>
      <w:r>
        <w:rPr>
          <w:spacing w:val="-3"/>
        </w:rPr>
        <w:t>年，公司即通过国产化适配解决方案测试，正式加入安全可靠技术和产业联盟，与联盟成员</w:t>
      </w:r>
      <w:r>
        <w:rPr>
          <w:spacing w:val="-34"/>
        </w:rPr>
        <w:t> </w:t>
      </w:r>
      <w:r>
        <w:rPr>
          <w:spacing w:val="-34"/>
        </w:rPr>
      </w:r>
      <w:r>
        <w:rPr/>
        <w:t>一同为建设安全可靠自主可控的数字强国而努力。</w:t>
      </w:r>
    </w:p>
    <w:p>
      <w:pPr>
        <w:pStyle w:val="BodyText"/>
        <w:spacing w:line="309" w:lineRule="auto" w:before="30"/>
        <w:ind w:left="136" w:right="308" w:firstLine="420"/>
        <w:jc w:val="both"/>
      </w:pPr>
      <w:r>
        <w:rPr>
          <w:spacing w:val="-2"/>
        </w:rPr>
        <w:t>南威软件以四芯五系为适配主线，已适配完成目前安可目录里的全部核心产品，实现了从核</w:t>
      </w:r>
      <w:r>
        <w:rPr>
          <w:w w:val="100"/>
        </w:rPr>
        <w:t> </w:t>
      </w:r>
      <w:r>
        <w:rPr>
          <w:spacing w:val="-1"/>
        </w:rPr>
        <w:t>心芯片、服务器、终端、操作系统、数据库、中间件、流版签的一套整机替换解决方案，同时完</w:t>
      </w:r>
      <w:r>
        <w:rPr>
          <w:spacing w:val="-55"/>
        </w:rPr>
        <w:t> </w:t>
      </w:r>
      <w:r>
        <w:rPr>
          <w:spacing w:val="-55"/>
        </w:rPr>
      </w:r>
      <w:r>
        <w:rPr>
          <w:spacing w:val="-1"/>
        </w:rPr>
        <w:t>成了基于国产化基础设施的国产云平台的适配（鲲鹏云和阿里云），实现了信创云的全面兼容，</w:t>
      </w:r>
      <w:r>
        <w:rPr>
          <w:spacing w:val="-55"/>
        </w:rPr>
        <w:t> </w:t>
      </w:r>
      <w:r>
        <w:rPr>
          <w:spacing w:val="-55"/>
        </w:rPr>
      </w:r>
      <w:r>
        <w:rPr>
          <w:spacing w:val="-1"/>
        </w:rPr>
        <w:t>适配能力达到全国领先水平。另外，公司已完成了信创基础服务产品开发（含分布式文件管理、</w:t>
      </w:r>
      <w:r>
        <w:rPr>
          <w:spacing w:val="-55"/>
        </w:rPr>
        <w:t> </w:t>
      </w:r>
      <w:r>
        <w:rPr>
          <w:spacing w:val="-55"/>
        </w:rPr>
      </w:r>
      <w:r>
        <w:rPr/>
        <w:t>统一用户认证、云表单服务、</w:t>
      </w:r>
      <w:r>
        <w:rPr>
          <w:rFonts w:ascii="Times New Roman" w:hAnsi="Times New Roman" w:cs="Times New Roman" w:eastAsia="Times New Roman" w:hint="default"/>
        </w:rPr>
        <w:t>API</w:t>
      </w:r>
      <w:r>
        <w:rPr>
          <w:rFonts w:ascii="Times New Roman" w:hAnsi="Times New Roman" w:cs="Times New Roman" w:eastAsia="Times New Roman" w:hint="default"/>
          <w:spacing w:val="35"/>
        </w:rPr>
        <w:t> </w:t>
      </w:r>
      <w:r>
        <w:rPr/>
        <w:t>网关服务、邮件管理系统）及政务、公安、政法等行业解决方</w:t>
      </w:r>
      <w:r>
        <w:rPr>
          <w:w w:val="100"/>
        </w:rPr>
        <w:t> </w:t>
      </w:r>
      <w:r>
        <w:rPr/>
        <w:t>案、云平台解决方案的全面国产适配。报告期内，公司承建的 </w:t>
      </w:r>
      <w:r>
        <w:rPr>
          <w:rFonts w:ascii="Times New Roman" w:hAnsi="Times New Roman" w:cs="Times New Roman" w:eastAsia="Times New Roman" w:hint="default"/>
        </w:rPr>
        <w:t>4 </w:t>
      </w:r>
      <w:r>
        <w:rPr/>
        <w:t>个省级试点、</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个地市试点项目</w:t>
      </w:r>
      <w:r>
        <w:rPr>
          <w:w w:val="100"/>
        </w:rPr>
        <w:t> </w:t>
      </w:r>
      <w:r>
        <w:rPr/>
        <w:t>顺利通过验收，公司自主创新的政务软件产品受到广泛好评。</w:t>
      </w:r>
    </w:p>
    <w:p>
      <w:pPr>
        <w:pStyle w:val="BodyText"/>
        <w:spacing w:line="297" w:lineRule="auto" w:before="24"/>
        <w:ind w:left="557" w:right="0" w:firstLine="2"/>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）政务中台</w:t>
      </w:r>
      <w:r>
        <w:rPr>
          <w:rFonts w:ascii="宋体" w:hAnsi="宋体" w:cs="宋体" w:eastAsia="宋体" w:hint="default"/>
          <w:b/>
          <w:bCs/>
          <w:w w:val="100"/>
        </w:rPr>
        <w:t> </w:t>
      </w:r>
      <w:r>
        <w:rPr>
          <w:spacing w:val="-2"/>
        </w:rPr>
        <w:t>为顺应政务服务一体化建设趋势，公司提出了“政务中台”战略，目标是打造数字政府中台</w:t>
      </w:r>
    </w:p>
    <w:p>
      <w:pPr>
        <w:pStyle w:val="BodyText"/>
        <w:spacing w:line="314" w:lineRule="auto" w:before="34"/>
        <w:ind w:left="136" w:right="308"/>
        <w:jc w:val="both"/>
      </w:pPr>
      <w:r>
        <w:rPr>
          <w:spacing w:val="-1"/>
        </w:rPr>
        <w:t>服务生态体系和运营模式。政务中台定位数字政府应用中枢，是面向政务服务领域，基于“大中</w:t>
      </w:r>
      <w:r>
        <w:rPr>
          <w:spacing w:val="-54"/>
        </w:rPr>
        <w:t> </w:t>
      </w:r>
      <w:r>
        <w:rPr>
          <w:spacing w:val="-54"/>
        </w:rPr>
      </w:r>
      <w:r>
        <w:rPr>
          <w:spacing w:val="-1"/>
        </w:rPr>
        <w:t>台、小前台”的理念，采用互联网架构、可落地、可私有化的企业级业务赋能平台。政务中台整</w:t>
      </w:r>
      <w:r>
        <w:rPr>
          <w:spacing w:val="-55"/>
        </w:rPr>
        <w:t> </w:t>
      </w:r>
      <w:r>
        <w:rPr>
          <w:spacing w:val="-55"/>
        </w:rPr>
      </w:r>
      <w:r>
        <w:rPr>
          <w:spacing w:val="-1"/>
        </w:rPr>
        <w:t>合政务服务资源，将政务服务的业务、经验、数据等模型能力进行沉淀，形成政务服务共享能力</w:t>
      </w:r>
      <w:r>
        <w:rPr>
          <w:spacing w:val="-55"/>
        </w:rPr>
        <w:t> </w:t>
      </w:r>
      <w:r>
        <w:rPr>
          <w:spacing w:val="-55"/>
        </w:rPr>
      </w:r>
      <w:r>
        <w:rPr>
          <w:spacing w:val="-1"/>
        </w:rPr>
        <w:t>体系，输出全方位的政务服务能力，为构建政务生态圈提供支撑，为构建政务服务一体化平台提</w:t>
      </w:r>
      <w:r>
        <w:rPr>
          <w:spacing w:val="-55"/>
        </w:rPr>
        <w:t> </w:t>
      </w:r>
      <w:r>
        <w:rPr>
          <w:spacing w:val="-55"/>
        </w:rPr>
      </w:r>
      <w:r>
        <w:rPr>
          <w:spacing w:val="-1"/>
        </w:rPr>
        <w:t>供开放、稳定、丰富的业务服务。政务中台分为业务中台和数据中台两部分，业务中台核心组件</w:t>
      </w:r>
      <w:r>
        <w:rPr>
          <w:spacing w:val="-55"/>
        </w:rPr>
        <w:t> </w:t>
      </w:r>
      <w:r>
        <w:rPr>
          <w:spacing w:val="-55"/>
        </w:rPr>
      </w:r>
      <w:r>
        <w:rPr>
          <w:spacing w:val="-1"/>
        </w:rPr>
        <w:t>开发已初步完成，并应用于郑州、海南等地项目，数据中台在原有数据治理一体化平台、数据共</w:t>
      </w:r>
      <w:r>
        <w:rPr>
          <w:spacing w:val="-55"/>
        </w:rPr>
        <w:t> </w:t>
      </w:r>
      <w:r>
        <w:rPr>
          <w:spacing w:val="-55"/>
        </w:rPr>
      </w:r>
      <w:r>
        <w:rPr>
          <w:spacing w:val="-1"/>
        </w:rPr>
        <w:t>享交换平台基础上升级改造，助力泉州市公安局“城安七期”项目，支撑邢台“智慧城市”建设</w:t>
      </w:r>
      <w:r>
        <w:rPr>
          <w:spacing w:val="-54"/>
        </w:rPr>
        <w:t> </w:t>
      </w:r>
      <w:r>
        <w:rPr>
          <w:spacing w:val="-54"/>
        </w:rPr>
      </w:r>
      <w:r>
        <w:rPr/>
        <w:t>等。</w:t>
      </w:r>
    </w:p>
    <w:p>
      <w:pPr>
        <w:pStyle w:val="Heading4"/>
        <w:spacing w:line="240" w:lineRule="auto" w:before="20"/>
        <w:ind w:left="559" w:right="0"/>
        <w:jc w:val="left"/>
        <w:rPr>
          <w:b w:val="0"/>
          <w:bCs w:val="0"/>
        </w:rPr>
      </w:pPr>
      <w:r>
        <w:rPr>
          <w:rFonts w:ascii="Times New Roman" w:hAnsi="Times New Roman" w:cs="Times New Roman" w:eastAsia="Times New Roman" w:hint="default"/>
        </w:rPr>
        <w:t>2</w:t>
      </w:r>
      <w:r>
        <w:rPr/>
        <w:t>、公共安全</w:t>
      </w:r>
      <w:r>
        <w:rPr>
          <w:b w:val="0"/>
          <w:bCs w:val="0"/>
        </w:rPr>
      </w:r>
    </w:p>
    <w:p>
      <w:pPr>
        <w:pStyle w:val="BodyText"/>
        <w:spacing w:line="307" w:lineRule="auto" w:before="69"/>
        <w:ind w:left="136" w:right="308" w:firstLine="420"/>
        <w:jc w:val="both"/>
      </w:pPr>
      <w:r>
        <w:rPr>
          <w:spacing w:val="-3"/>
        </w:rPr>
        <w:t>报告期内，公司公安行业整体已签合同订单达</w:t>
      </w:r>
      <w:r>
        <w:rPr>
          <w:spacing w:val="-44"/>
        </w:rPr>
        <w:t> </w:t>
      </w:r>
      <w:r>
        <w:rPr>
          <w:rFonts w:ascii="Times New Roman" w:hAnsi="Times New Roman" w:cs="Times New Roman" w:eastAsia="Times New Roman" w:hint="default"/>
        </w:rPr>
        <w:t>8.81</w:t>
      </w:r>
      <w:r>
        <w:rPr>
          <w:rFonts w:ascii="Times New Roman" w:hAnsi="Times New Roman" w:cs="Times New Roman" w:eastAsia="Times New Roman" w:hint="default"/>
          <w:spacing w:val="6"/>
        </w:rPr>
        <w:t> </w:t>
      </w:r>
      <w:r>
        <w:rPr>
          <w:spacing w:val="-8"/>
        </w:rPr>
        <w:t>亿，较</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年同比增长</w:t>
      </w:r>
      <w:r>
        <w:rPr>
          <w:spacing w:val="-44"/>
        </w:rPr>
        <w:t> </w:t>
      </w:r>
      <w:r>
        <w:rPr>
          <w:rFonts w:ascii="Times New Roman" w:hAnsi="Times New Roman" w:cs="Times New Roman" w:eastAsia="Times New Roman" w:hint="default"/>
          <w:spacing w:val="-4"/>
        </w:rPr>
        <w:t>183%</w:t>
      </w:r>
      <w:r>
        <w:rPr>
          <w:spacing w:val="-4"/>
        </w:rPr>
        <w:t>。公司申报</w:t>
      </w:r>
      <w:r>
        <w:rPr>
          <w:w w:val="100"/>
        </w:rPr>
        <w:t> </w:t>
      </w:r>
      <w:r>
        <w:rPr/>
        <w:t>的“互联网</w:t>
      </w:r>
      <w:r>
        <w:rPr>
          <w:rFonts w:ascii="Times New Roman" w:hAnsi="Times New Roman" w:cs="Times New Roman" w:eastAsia="Times New Roman" w:hint="default"/>
        </w:rPr>
        <w:t>+</w:t>
      </w:r>
      <w:r>
        <w:rPr/>
        <w:t>民生警务平台”和泉州城市安全信息系统，分别荣获第二届中国警务信息化建设成</w:t>
      </w:r>
      <w:r>
        <w:rPr>
          <w:spacing w:val="-8"/>
        </w:rPr>
        <w:t> </w:t>
      </w:r>
      <w:r>
        <w:rPr>
          <w:spacing w:val="-8"/>
        </w:rPr>
      </w:r>
      <w:r>
        <w:rPr>
          <w:spacing w:val="-1"/>
        </w:rPr>
        <w:t>果推介活动的“最佳公安业务创新方案”和“最佳智慧视频解决方案”两项殊荣；智能感知大数</w:t>
      </w:r>
      <w:r>
        <w:rPr>
          <w:spacing w:val="-55"/>
        </w:rPr>
        <w:t> </w:t>
      </w:r>
      <w:r>
        <w:rPr>
          <w:spacing w:val="-55"/>
        </w:rPr>
      </w:r>
      <w:r>
        <w:rPr>
          <w:spacing w:val="-1"/>
        </w:rPr>
        <w:t>据平台荣获全国政法智能化建设“雪亮工程十大创新产品”；公司受福建省安防行业协会高度肯</w:t>
      </w:r>
      <w:r>
        <w:rPr>
          <w:spacing w:val="-55"/>
        </w:rPr>
        <w:t> </w:t>
      </w:r>
      <w:r>
        <w:rPr>
          <w:spacing w:val="-55"/>
        </w:rPr>
      </w:r>
      <w:r>
        <w:rPr>
          <w:spacing w:val="-1"/>
        </w:rPr>
        <w:t>定，获评服务公共安全突出贡献单位、福建省安防行业品牌企业；公司创新研发的智能导侦应用</w:t>
      </w:r>
      <w:r>
        <w:rPr>
          <w:spacing w:val="-55"/>
        </w:rPr>
        <w:t> </w:t>
      </w:r>
      <w:r>
        <w:rPr>
          <w:spacing w:val="-55"/>
        </w:rPr>
      </w:r>
      <w:r>
        <w:rPr>
          <w:spacing w:val="-2"/>
          <w:w w:val="100"/>
        </w:rPr>
        <w:t>系统被福建省工业和信息化厅评为</w:t>
      </w:r>
      <w:r>
        <w:rPr>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20"/>
          <w:w w:val="100"/>
        </w:rPr>
        <w:t> </w:t>
      </w:r>
      <w:r>
        <w:rPr>
          <w:spacing w:val="-6"/>
          <w:w w:val="100"/>
        </w:rPr>
        <w:t>年度人工智能应用示范项目；涉车大数据平台获得泉州市</w:t>
      </w:r>
    </w:p>
    <w:p>
      <w:pPr>
        <w:pStyle w:val="BodyText"/>
        <w:spacing w:line="309" w:lineRule="auto" w:before="4"/>
        <w:ind w:left="136" w:right="309"/>
        <w:jc w:val="both"/>
      </w:pPr>
      <w:r>
        <w:rPr>
          <w:spacing w:val="-3"/>
        </w:rPr>
        <w:t>丰泽区科技计划项目立项专款补助；公安智能感知大数据平台</w:t>
      </w:r>
      <w:r>
        <w:rPr>
          <w:spacing w:val="-43"/>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入选</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年度第三批福建省工</w:t>
      </w:r>
      <w:r>
        <w:rPr>
          <w:spacing w:val="-102"/>
        </w:rPr>
        <w:t> </w:t>
      </w:r>
      <w:r>
        <w:rPr>
          <w:spacing w:val="-102"/>
        </w:rPr>
      </w:r>
      <w:r>
        <w:rPr>
          <w:spacing w:val="-1"/>
        </w:rPr>
        <w:t>业和信息化重点新产品。公司将充分发挥自身能力，将公共服务能力延伸到各个警种，打造多警</w:t>
      </w:r>
      <w:r>
        <w:rPr>
          <w:spacing w:val="-55"/>
        </w:rPr>
        <w:t> </w:t>
      </w:r>
      <w:r>
        <w:rPr>
          <w:spacing w:val="-55"/>
        </w:rPr>
      </w:r>
      <w:r>
        <w:rPr>
          <w:spacing w:val="-1"/>
        </w:rPr>
        <w:t>种应用，形成以视频视觉大数据和视频视觉应用为核心的，在全国有竞争力、有影响力的应用产</w:t>
      </w:r>
      <w:r>
        <w:rPr>
          <w:spacing w:val="-55"/>
        </w:rPr>
        <w:t> </w:t>
      </w:r>
      <w:r>
        <w:rPr>
          <w:spacing w:val="-55"/>
        </w:rPr>
      </w:r>
      <w:r>
        <w:rPr/>
        <w:t>品。</w:t>
      </w:r>
    </w:p>
    <w:p>
      <w:pPr>
        <w:pStyle w:val="Heading4"/>
        <w:spacing w:line="240" w:lineRule="auto" w:before="24"/>
        <w:ind w:left="559" w:right="0"/>
        <w:jc w:val="left"/>
        <w:rPr>
          <w:b w:val="0"/>
          <w:bCs w:val="0"/>
        </w:rPr>
      </w:pPr>
      <w:r>
        <w:rPr/>
        <w:t>（</w:t>
      </w:r>
      <w:r>
        <w:rPr>
          <w:rFonts w:ascii="Times New Roman" w:hAnsi="Times New Roman" w:cs="Times New Roman" w:eastAsia="Times New Roman" w:hint="default"/>
        </w:rPr>
        <w:t>1</w:t>
      </w:r>
      <w:r>
        <w:rPr/>
        <w:t>）雪亮工程（平安城市）</w:t>
      </w:r>
      <w:r>
        <w:rPr>
          <w:b w:val="0"/>
          <w:bCs w:val="0"/>
        </w:rPr>
      </w:r>
    </w:p>
    <w:p>
      <w:pPr>
        <w:spacing w:after="0" w:line="240" w:lineRule="auto"/>
        <w:jc w:val="left"/>
        <w:sectPr>
          <w:pgSz w:w="11910" w:h="16840"/>
          <w:pgMar w:header="855" w:footer="979" w:top="1120" w:bottom="1160" w:left="1140" w:right="1480"/>
        </w:sectPr>
      </w:pPr>
    </w:p>
    <w:p>
      <w:pPr>
        <w:spacing w:line="240" w:lineRule="auto" w:before="7"/>
        <w:rPr>
          <w:rFonts w:ascii="宋体" w:hAnsi="宋体" w:cs="宋体" w:eastAsia="宋体" w:hint="default"/>
          <w:b/>
          <w:bCs/>
          <w:sz w:val="24"/>
          <w:szCs w:val="24"/>
        </w:rPr>
      </w:pPr>
    </w:p>
    <w:p>
      <w:pPr>
        <w:pStyle w:val="BodyText"/>
        <w:spacing w:line="314" w:lineRule="auto" w:before="36"/>
        <w:ind w:left="136" w:right="129" w:firstLine="420"/>
        <w:jc w:val="both"/>
      </w:pPr>
      <w:r>
        <w:rPr>
          <w:spacing w:val="-2"/>
        </w:rPr>
        <w:t>公司持续聚焦数据融合共享与高端集成应用，以公共安全前端感知系统与各类实战应用平台</w:t>
      </w:r>
      <w:r>
        <w:rPr>
          <w:w w:val="100"/>
        </w:rPr>
        <w:t> </w:t>
      </w:r>
      <w:r>
        <w:rPr>
          <w:spacing w:val="-1"/>
        </w:rPr>
        <w:t>为建设重点，快速推进“雪亮工程”相关项目的建设，通过对综合解决方案、系统集成能力的不</w:t>
      </w:r>
      <w:r>
        <w:rPr>
          <w:spacing w:val="-55"/>
        </w:rPr>
        <w:t> </w:t>
      </w:r>
      <w:r>
        <w:rPr>
          <w:spacing w:val="-55"/>
        </w:rPr>
      </w:r>
      <w:r>
        <w:rPr>
          <w:spacing w:val="-1"/>
        </w:rPr>
        <w:t>断提升，强化前端感知科学规划布点与后端视频实战应用融合，形成以智能感知大数据平台为核</w:t>
      </w:r>
      <w:r>
        <w:rPr>
          <w:spacing w:val="-55"/>
        </w:rPr>
        <w:t> </w:t>
      </w:r>
      <w:r>
        <w:rPr>
          <w:spacing w:val="-55"/>
        </w:rPr>
      </w:r>
      <w:r>
        <w:rPr>
          <w:spacing w:val="-1"/>
        </w:rPr>
        <w:t>心，以公安实战业务为导向，设计公安大脑算法引擎，深度融合业务模型体系，实现对各类风险</w:t>
      </w:r>
      <w:r>
        <w:rPr>
          <w:spacing w:val="-55"/>
        </w:rPr>
        <w:t> </w:t>
      </w:r>
      <w:r>
        <w:rPr>
          <w:spacing w:val="-55"/>
        </w:rPr>
      </w:r>
      <w:r>
        <w:rPr>
          <w:spacing w:val="-1"/>
        </w:rPr>
        <w:t>隐患的敏锐感知、精确预警。报告期内，完成福州、泉州、南平、福清等几个重大项目的建设工</w:t>
      </w:r>
      <w:r>
        <w:rPr>
          <w:spacing w:val="-55"/>
        </w:rPr>
        <w:t> </w:t>
      </w:r>
      <w:r>
        <w:rPr>
          <w:spacing w:val="-55"/>
        </w:rPr>
      </w:r>
      <w:r>
        <w:rPr/>
        <w:t>作。</w:t>
      </w:r>
    </w:p>
    <w:p>
      <w:pPr>
        <w:pStyle w:val="Heading4"/>
        <w:spacing w:line="240" w:lineRule="auto" w:before="20"/>
        <w:ind w:left="559" w:right="0"/>
        <w:jc w:val="left"/>
        <w:rPr>
          <w:b w:val="0"/>
          <w:bCs w:val="0"/>
        </w:rPr>
      </w:pPr>
      <w:r>
        <w:rPr/>
        <w:t>（</w:t>
      </w:r>
      <w:r>
        <w:rPr>
          <w:rFonts w:ascii="Times New Roman" w:hAnsi="Times New Roman" w:cs="Times New Roman" w:eastAsia="Times New Roman" w:hint="default"/>
        </w:rPr>
        <w:t>2</w:t>
      </w:r>
      <w:r>
        <w:rPr/>
        <w:t>）视频中台</w:t>
      </w:r>
      <w:r>
        <w:rPr>
          <w:b w:val="0"/>
          <w:bCs w:val="0"/>
        </w:rPr>
      </w:r>
    </w:p>
    <w:p>
      <w:pPr>
        <w:pStyle w:val="BodyText"/>
        <w:spacing w:line="304" w:lineRule="auto" w:before="69"/>
        <w:ind w:left="136" w:right="130" w:firstLine="420"/>
        <w:jc w:val="both"/>
      </w:pPr>
      <w:r>
        <w:rPr>
          <w:spacing w:val="-4"/>
        </w:rPr>
        <w:t>公司与阿里深度融合，联合打造视频图像 </w:t>
      </w:r>
      <w:r>
        <w:rPr>
          <w:rFonts w:ascii="Times New Roman" w:hAnsi="Times New Roman" w:cs="Times New Roman" w:eastAsia="Times New Roman" w:hint="default"/>
        </w:rPr>
        <w:t>AI</w:t>
      </w:r>
      <w:r>
        <w:rPr>
          <w:rFonts w:ascii="Times New Roman" w:hAnsi="Times New Roman" w:cs="Times New Roman" w:eastAsia="Times New Roman" w:hint="default"/>
          <w:spacing w:val="6"/>
        </w:rPr>
        <w:t> </w:t>
      </w:r>
      <w:r>
        <w:rPr>
          <w:spacing w:val="-5"/>
        </w:rPr>
        <w:t>中台，建设集视频图像解析处理、多算法任务调</w:t>
      </w:r>
      <w:r>
        <w:rPr>
          <w:w w:val="100"/>
        </w:rPr>
        <w:t> </w:t>
      </w:r>
      <w:r>
        <w:rPr>
          <w:spacing w:val="-10"/>
        </w:rPr>
        <w:t>度、算法管理、数据 </w:t>
      </w:r>
      <w:r>
        <w:rPr>
          <w:rFonts w:ascii="Times New Roman" w:hAnsi="Times New Roman" w:cs="Times New Roman" w:eastAsia="Times New Roman" w:hint="default"/>
        </w:rPr>
        <w:t>API </w:t>
      </w:r>
      <w:r>
        <w:rPr>
          <w:spacing w:val="-7"/>
        </w:rPr>
        <w:t>接口等，实现算法、算力在不同场景、不同时段、不同任务的按需调配，</w:t>
      </w:r>
      <w:r>
        <w:rPr>
          <w:spacing w:val="-67"/>
        </w:rPr>
        <w:t> </w:t>
      </w:r>
      <w:r>
        <w:rPr>
          <w:spacing w:val="-67"/>
        </w:rPr>
      </w:r>
      <w:r>
        <w:rPr>
          <w:spacing w:val="-1"/>
        </w:rPr>
        <w:t>为智慧城市建设过程中各类大数据平台、业务系统开展视频应用提供组件式服务。运用新技术新</w:t>
      </w:r>
      <w:r>
        <w:rPr>
          <w:spacing w:val="-56"/>
        </w:rPr>
        <w:t> </w:t>
      </w:r>
      <w:r>
        <w:rPr>
          <w:spacing w:val="-56"/>
        </w:rPr>
      </w:r>
      <w:r>
        <w:rPr>
          <w:spacing w:val="-1"/>
        </w:rPr>
        <w:t>模式推进社会治理和公共服务创新体系建设，进一步完善产业链，提升行业竞争力，驱动业务深</w:t>
      </w:r>
      <w:r>
        <w:rPr>
          <w:spacing w:val="-55"/>
        </w:rPr>
        <w:t> </w:t>
      </w:r>
      <w:r>
        <w:rPr>
          <w:spacing w:val="-55"/>
        </w:rPr>
      </w:r>
      <w:r>
        <w:rPr/>
        <w:t>度发展。</w:t>
      </w:r>
    </w:p>
    <w:p>
      <w:pPr>
        <w:spacing w:line="297" w:lineRule="auto" w:before="28"/>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）公安大数据智能化建设应用</w:t>
      </w:r>
      <w:r>
        <w:rPr>
          <w:rFonts w:ascii="宋体" w:hAnsi="宋体" w:cs="宋体" w:eastAsia="宋体" w:hint="default"/>
          <w:b/>
          <w:bCs/>
          <w:w w:val="100"/>
          <w:sz w:val="21"/>
          <w:szCs w:val="21"/>
        </w:rPr>
        <w:t> </w:t>
      </w:r>
      <w:r>
        <w:rPr>
          <w:rFonts w:ascii="宋体" w:hAnsi="宋体" w:cs="宋体" w:eastAsia="宋体" w:hint="default"/>
          <w:spacing w:val="-7"/>
          <w:sz w:val="21"/>
          <w:szCs w:val="21"/>
        </w:rPr>
        <w:t>公司以公安大数据建设为指引，按照据部、省为枢纽，地市为重心的公安大数建设总体布局，</w:t>
      </w:r>
    </w:p>
    <w:p>
      <w:pPr>
        <w:pStyle w:val="BodyText"/>
        <w:spacing w:line="314" w:lineRule="auto" w:before="34"/>
        <w:ind w:left="136" w:right="128"/>
        <w:jc w:val="both"/>
      </w:pPr>
      <w:r>
        <w:rPr>
          <w:spacing w:val="-1"/>
        </w:rPr>
        <w:t>遵循部、省两级公安机关出台的一系列大数据平台技术规范性文件和标准，以原有大数据传输平</w:t>
      </w:r>
      <w:r>
        <w:rPr>
          <w:spacing w:val="-55"/>
        </w:rPr>
        <w:t> </w:t>
      </w:r>
      <w:r>
        <w:rPr>
          <w:spacing w:val="-55"/>
        </w:rPr>
      </w:r>
      <w:r>
        <w:rPr>
          <w:spacing w:val="-1"/>
        </w:rPr>
        <w:t>台、跨网数据交换平台、数据治理平台、标签画像平台、知识图谱系统等为基础进行优化提升，</w:t>
      </w:r>
      <w:r>
        <w:rPr>
          <w:spacing w:val="-55"/>
        </w:rPr>
        <w:t> </w:t>
      </w:r>
      <w:r>
        <w:rPr>
          <w:spacing w:val="-55"/>
        </w:rPr>
      </w:r>
      <w:r>
        <w:rPr>
          <w:spacing w:val="-1"/>
        </w:rPr>
        <w:t>构建集数据采集、传输、处理、治理、服务为一体的南威公安数据中台，并研发如云搜、云控、</w:t>
      </w:r>
      <w:r>
        <w:rPr>
          <w:spacing w:val="-55"/>
        </w:rPr>
        <w:t> </w:t>
      </w:r>
      <w:r>
        <w:rPr>
          <w:spacing w:val="-55"/>
        </w:rPr>
      </w:r>
      <w:r>
        <w:rPr>
          <w:spacing w:val="-1"/>
        </w:rPr>
        <w:t>轨迹中心、预警中心等通用应用，同时并在此基础上研发如智能交通大数据平台、智慧执法办案</w:t>
      </w:r>
      <w:r>
        <w:rPr>
          <w:spacing w:val="-54"/>
        </w:rPr>
        <w:t> </w:t>
      </w:r>
      <w:r>
        <w:rPr>
          <w:spacing w:val="-54"/>
        </w:rPr>
      </w:r>
      <w:r>
        <w:rPr/>
        <w:t>中心、视频车辆大数据平台等专业应用。相关成果已在福建、北京、拉萨等地进行应用。</w:t>
      </w:r>
    </w:p>
    <w:p>
      <w:pPr>
        <w:spacing w:line="297" w:lineRule="auto" w:before="2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）智慧社区安防管控平台</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公司通过雪亮工程、平安城市等项目建设基础，融合公安大数据建设与网格化服务管理思路，</w:t>
      </w:r>
    </w:p>
    <w:p>
      <w:pPr>
        <w:pStyle w:val="BodyText"/>
        <w:spacing w:line="297" w:lineRule="auto" w:before="34"/>
        <w:ind w:left="136" w:right="130"/>
        <w:jc w:val="both"/>
      </w:pPr>
      <w:r>
        <w:rPr>
          <w:spacing w:val="-2"/>
        </w:rPr>
        <w:t>提出涵盖互联网</w:t>
      </w:r>
      <w:r>
        <w:rPr>
          <w:rFonts w:ascii="Times New Roman" w:hAnsi="Times New Roman" w:cs="Times New Roman" w:eastAsia="Times New Roman" w:hint="default"/>
          <w:spacing w:val="-2"/>
        </w:rPr>
        <w:t>+</w:t>
      </w:r>
      <w:r>
        <w:rPr>
          <w:spacing w:val="-2"/>
        </w:rPr>
        <w:t>群防群治、网格化</w:t>
      </w:r>
      <w:r>
        <w:rPr>
          <w:rFonts w:ascii="Times New Roman" w:hAnsi="Times New Roman" w:cs="Times New Roman" w:eastAsia="Times New Roman" w:hint="default"/>
          <w:spacing w:val="-2"/>
        </w:rPr>
        <w:t>+</w:t>
      </w:r>
      <w:r>
        <w:rPr>
          <w:spacing w:val="-2"/>
        </w:rPr>
        <w:t>应用、公安社区安防管控等不同层级、不同网络应用的综合</w:t>
      </w:r>
      <w:r>
        <w:rPr>
          <w:spacing w:val="-42"/>
        </w:rPr>
        <w:t> </w:t>
      </w:r>
      <w:r>
        <w:rPr>
          <w:spacing w:val="-42"/>
        </w:rPr>
      </w:r>
      <w:r>
        <w:rPr/>
        <w:t>社区安防管控平台解决方案，并快速应用到现有目前已建设的各个项目中。</w:t>
      </w:r>
    </w:p>
    <w:p>
      <w:pPr>
        <w:pStyle w:val="BodyText"/>
        <w:spacing w:line="309" w:lineRule="auto" w:before="34"/>
        <w:ind w:left="136" w:right="128" w:firstLine="420"/>
        <w:jc w:val="both"/>
      </w:pPr>
      <w:r>
        <w:rPr>
          <w:spacing w:val="-2"/>
        </w:rPr>
        <w:t>报告期间，公司依托数字福建先发优势，全面参与福建省智慧公安建设规划与公安大数据智</w:t>
      </w:r>
      <w:r>
        <w:rPr>
          <w:w w:val="100"/>
        </w:rPr>
        <w:t> </w:t>
      </w:r>
      <w:r>
        <w:rPr>
          <w:spacing w:val="-1"/>
        </w:rPr>
        <w:t>能化建设顶层设计，打造福建省“平安城市”行业标杆，并向全国复制辐射。公司城市公共安全</w:t>
      </w:r>
      <w:r>
        <w:rPr>
          <w:spacing w:val="-56"/>
        </w:rPr>
        <w:t> </w:t>
      </w:r>
      <w:r>
        <w:rPr>
          <w:spacing w:val="-56"/>
        </w:rPr>
      </w:r>
      <w:r>
        <w:rPr>
          <w:spacing w:val="-5"/>
        </w:rPr>
        <w:t>产品已应用于福建、海南、河南、广西、西藏等全国</w:t>
      </w:r>
      <w:r>
        <w:rPr>
          <w:spacing w:val="-40"/>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个省份超</w:t>
      </w:r>
      <w:r>
        <w:rPr>
          <w:spacing w:val="-40"/>
        </w:rPr>
        <w:t> </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spacing w:val="-3"/>
        </w:rPr>
        <w:t>个地级市，支撑当地公共安全</w:t>
      </w:r>
      <w:r>
        <w:rPr>
          <w:spacing w:val="-101"/>
        </w:rPr>
        <w:t> </w:t>
      </w:r>
      <w:r>
        <w:rPr>
          <w:spacing w:val="-101"/>
        </w:rPr>
      </w:r>
      <w:r>
        <w:rPr/>
        <w:t>信息化建设，助力公共安全科技发展。</w:t>
      </w:r>
    </w:p>
    <w:p>
      <w:pPr>
        <w:pStyle w:val="Heading4"/>
        <w:spacing w:line="240" w:lineRule="auto" w:before="24"/>
        <w:ind w:left="559" w:right="0"/>
        <w:jc w:val="left"/>
        <w:rPr>
          <w:b w:val="0"/>
          <w:bCs w:val="0"/>
        </w:rPr>
      </w:pPr>
      <w:r>
        <w:rPr/>
        <w:t>（三）其他业务</w:t>
      </w:r>
      <w:r>
        <w:rPr>
          <w:b w:val="0"/>
          <w:bCs w:val="0"/>
        </w:rPr>
      </w:r>
    </w:p>
    <w:p>
      <w:pPr>
        <w:pStyle w:val="BodyText"/>
        <w:spacing w:line="297" w:lineRule="auto" w:before="85"/>
        <w:ind w:left="557" w:right="135" w:firstLine="2"/>
        <w:jc w:val="left"/>
      </w:pPr>
      <w:r>
        <w:rPr>
          <w:rFonts w:ascii="Times New Roman" w:hAnsi="Times New Roman" w:cs="Times New Roman" w:eastAsia="Times New Roman" w:hint="default"/>
          <w:b/>
          <w:bCs/>
        </w:rPr>
        <w:t>1</w:t>
      </w:r>
      <w:r>
        <w:rPr>
          <w:rFonts w:ascii="宋体" w:hAnsi="宋体" w:cs="宋体" w:eastAsia="宋体" w:hint="default"/>
          <w:b/>
          <w:bCs/>
        </w:rPr>
        <w:t>、智慧城市</w:t>
      </w:r>
      <w:r>
        <w:rPr>
          <w:rFonts w:ascii="宋体" w:hAnsi="宋体" w:cs="宋体" w:eastAsia="宋体" w:hint="default"/>
          <w:b/>
          <w:bCs/>
          <w:w w:val="100"/>
        </w:rPr>
        <w:t> </w:t>
      </w:r>
      <w:r>
        <w:rPr>
          <w:spacing w:val="-8"/>
          <w:w w:val="100"/>
        </w:rPr>
        <w:t>报告期内，公司进一步积累智慧城市的业务经验，拓展智慧城市综合开发业务。</w:t>
      </w:r>
      <w:r>
        <w:rPr>
          <w:rFonts w:ascii="Times New Roman" w:hAnsi="Times New Roman" w:cs="Times New Roman" w:eastAsia="Times New Roman" w:hint="default"/>
          <w:spacing w:val="-8"/>
          <w:w w:val="100"/>
        </w:rPr>
        <w:t>2019</w:t>
      </w:r>
      <w:r>
        <w:rPr>
          <w:rFonts w:ascii="Times New Roman" w:hAnsi="Times New Roman" w:cs="Times New Roman" w:eastAsia="Times New Roman" w:hint="default"/>
          <w:spacing w:val="1"/>
          <w:w w:val="100"/>
        </w:rPr>
        <w:t> </w:t>
      </w:r>
      <w:r>
        <w:rPr>
          <w:w w:val="100"/>
        </w:rPr>
        <w:t>年</w:t>
      </w:r>
      <w:r>
        <w:rPr>
          <w:spacing w:val="-55"/>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1"/>
          <w:w w:val="100"/>
        </w:rPr>
        <w:t> </w:t>
      </w:r>
      <w:r>
        <w:rPr>
          <w:spacing w:val="-3"/>
          <w:w w:val="100"/>
        </w:rPr>
        <w:t>月，</w:t>
      </w:r>
      <w:r>
        <w:rPr>
          <w:w w:val="100"/>
        </w:rPr>
      </w:r>
    </w:p>
    <w:p>
      <w:pPr>
        <w:pStyle w:val="BodyText"/>
        <w:spacing w:line="302" w:lineRule="auto" w:before="14"/>
        <w:ind w:left="136" w:right="128"/>
        <w:jc w:val="both"/>
      </w:pPr>
      <w:r>
        <w:rPr>
          <w:spacing w:val="-4"/>
        </w:rPr>
        <w:t>公司中标智慧邹城（一期）</w:t>
      </w:r>
      <w:r>
        <w:rPr>
          <w:rFonts w:ascii="Times New Roman" w:hAnsi="Times New Roman" w:cs="Times New Roman" w:eastAsia="Times New Roman" w:hint="default"/>
          <w:spacing w:val="-4"/>
        </w:rPr>
        <w:t>PPP</w:t>
      </w:r>
      <w:r>
        <w:rPr>
          <w:rFonts w:ascii="Times New Roman" w:hAnsi="Times New Roman" w:cs="Times New Roman" w:eastAsia="Times New Roman" w:hint="default"/>
          <w:spacing w:val="30"/>
        </w:rPr>
        <w:t> </w:t>
      </w:r>
      <w:r>
        <w:rPr>
          <w:spacing w:val="-4"/>
        </w:rPr>
        <w:t>项目；</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spacing w:val="-3"/>
        </w:rPr>
        <w:t>月，公司参与申报的“新型智慧城市技术标准体</w:t>
      </w:r>
      <w:r>
        <w:rPr>
          <w:spacing w:val="-100"/>
        </w:rPr>
        <w:t> </w:t>
      </w:r>
      <w:r>
        <w:rPr>
          <w:spacing w:val="-100"/>
        </w:rPr>
      </w:r>
      <w:r>
        <w:rPr/>
        <w:t>系与标准服务平台”项目获科技部国家重点研发计划立项支持；</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月，公司主导编制的</w:t>
      </w:r>
      <w:r>
        <w:rPr>
          <w:w w:val="100"/>
        </w:rPr>
        <w:t> </w:t>
      </w:r>
      <w:r>
        <w:rPr/>
        <w:t>国家智慧城市标准化总体组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年十大课题之一</w:t>
      </w:r>
      <w:r>
        <w:rPr>
          <w:rFonts w:ascii="Times New Roman" w:hAnsi="Times New Roman" w:cs="Times New Roman" w:eastAsia="Times New Roman" w:hint="default"/>
        </w:rPr>
        <w:t>——</w:t>
      </w:r>
      <w:r>
        <w:rPr/>
        <w:t>共享</w:t>
      </w:r>
      <w:r>
        <w:rPr>
          <w:rFonts w:ascii="Times New Roman" w:hAnsi="Times New Roman" w:cs="Times New Roman" w:eastAsia="Times New Roman" w:hint="default"/>
        </w:rPr>
        <w:t>/</w:t>
      </w:r>
      <w:r>
        <w:rPr/>
        <w:t>数字经济研究课题成果《城市级分享</w:t>
      </w:r>
      <w:r>
        <w:rPr>
          <w:w w:val="100"/>
        </w:rPr>
        <w:t> </w:t>
      </w:r>
      <w:r>
        <w:rPr>
          <w:spacing w:val="-6"/>
        </w:rPr>
        <w:t>经济运行指标汇聚与监管标准研究报告》正式发布；同时，公司积极响应国家对外开放政策和“一</w:t>
      </w:r>
      <w:r>
        <w:rPr>
          <w:spacing w:val="-54"/>
        </w:rPr>
        <w:t> </w:t>
      </w:r>
      <w:r>
        <w:rPr>
          <w:spacing w:val="-54"/>
        </w:rPr>
      </w:r>
      <w:r>
        <w:rPr>
          <w:spacing w:val="-1"/>
        </w:rPr>
        <w:t>带一路”倡议，加快推进与“一带一路”国家城市政企在数字经济与智慧城市领域的互利合作，</w:t>
      </w:r>
      <w:r>
        <w:rPr>
          <w:spacing w:val="-56"/>
        </w:rPr>
        <w:t> </w:t>
      </w:r>
      <w:r>
        <w:rPr>
          <w:spacing w:val="-56"/>
        </w:rPr>
      </w:r>
      <w:r>
        <w:rPr>
          <w:spacing w:val="-5"/>
        </w:rPr>
        <w:t>将南威数字经济建设方案向全球推广；</w:t>
      </w:r>
      <w:r>
        <w:rPr>
          <w:rFonts w:ascii="Times New Roman" w:hAnsi="Times New Roman" w:cs="Times New Roman" w:eastAsia="Times New Roman" w:hint="default"/>
          <w:spacing w:val="-5"/>
        </w:rPr>
        <w:t>2019 </w:t>
      </w:r>
      <w:r>
        <w:rPr/>
        <w:t>年 </w:t>
      </w:r>
      <w:r>
        <w:rPr>
          <w:rFonts w:ascii="Times New Roman" w:hAnsi="Times New Roman" w:cs="Times New Roman" w:eastAsia="Times New Roman" w:hint="default"/>
        </w:rPr>
        <w:t>12 </w:t>
      </w:r>
      <w:r>
        <w:rPr>
          <w:spacing w:val="-5"/>
        </w:rPr>
        <w:t>月，公司与菲律宾八达雁省签订战略合作协议，</w:t>
      </w:r>
      <w:r>
        <w:rPr>
          <w:spacing w:val="-97"/>
        </w:rPr>
        <w:t> </w:t>
      </w:r>
      <w:r>
        <w:rPr>
          <w:spacing w:val="-97"/>
        </w:rPr>
      </w:r>
      <w:r>
        <w:rPr/>
        <w:t>共同推进在菲律宾八达雁省智慧城市、数字经济、共享经济平台等领域的投资、建设和运营。</w:t>
      </w:r>
    </w:p>
    <w:p>
      <w:pPr>
        <w:pStyle w:val="Heading4"/>
        <w:spacing w:line="240" w:lineRule="auto" w:before="30"/>
        <w:ind w:left="559" w:right="0"/>
        <w:jc w:val="left"/>
        <w:rPr>
          <w:b w:val="0"/>
          <w:bCs w:val="0"/>
        </w:rPr>
      </w:pPr>
      <w:r>
        <w:rPr>
          <w:rFonts w:ascii="Times New Roman" w:hAnsi="Times New Roman" w:cs="Times New Roman" w:eastAsia="Times New Roman" w:hint="default"/>
        </w:rPr>
        <w:t>2</w:t>
      </w:r>
      <w:r>
        <w:rPr/>
        <w:t>、智慧政法</w:t>
      </w:r>
      <w:r>
        <w:rPr>
          <w:b w:val="0"/>
          <w:bCs w:val="0"/>
        </w:rPr>
      </w:r>
    </w:p>
    <w:p>
      <w:pPr>
        <w:spacing w:after="0" w:line="240" w:lineRule="auto"/>
        <w:jc w:val="left"/>
        <w:sectPr>
          <w:pgSz w:w="11910" w:h="16840"/>
          <w:pgMar w:header="855" w:footer="979" w:top="1120" w:bottom="1160" w:left="1140" w:right="1660"/>
        </w:sectPr>
      </w:pPr>
    </w:p>
    <w:p>
      <w:pPr>
        <w:spacing w:line="240" w:lineRule="auto" w:before="7"/>
        <w:rPr>
          <w:rFonts w:ascii="宋体" w:hAnsi="宋体" w:cs="宋体" w:eastAsia="宋体" w:hint="default"/>
          <w:b/>
          <w:bCs/>
          <w:sz w:val="24"/>
          <w:szCs w:val="24"/>
        </w:rPr>
      </w:pPr>
    </w:p>
    <w:p>
      <w:pPr>
        <w:pStyle w:val="BodyText"/>
        <w:spacing w:line="309" w:lineRule="auto" w:before="36"/>
        <w:ind w:left="136" w:right="209" w:firstLine="420"/>
        <w:jc w:val="both"/>
      </w:pPr>
      <w:r>
        <w:rPr>
          <w:spacing w:val="-2"/>
        </w:rPr>
        <w:t>报告期内，公司政法业务逐步覆盖政法委、检察院、法院等司法部门，在产品技术应用和业</w:t>
      </w:r>
      <w:r>
        <w:rPr>
          <w:w w:val="100"/>
        </w:rPr>
        <w:t> </w:t>
      </w:r>
      <w:r>
        <w:rPr>
          <w:spacing w:val="-1"/>
        </w:rPr>
        <w:t>务价值提升等方面不断创新，从业务应用和数据应用方面积极响应客户需求，持续创造新的客户</w:t>
      </w:r>
      <w:r>
        <w:rPr>
          <w:spacing w:val="-55"/>
        </w:rPr>
        <w:t> </w:t>
      </w:r>
      <w:r>
        <w:rPr>
          <w:spacing w:val="-55"/>
        </w:rPr>
      </w:r>
      <w:r>
        <w:rPr>
          <w:spacing w:val="-4"/>
        </w:rPr>
        <w:t>价值。以“智慧政法”为代表的智慧型行业解决方案自 </w:t>
      </w:r>
      <w:r>
        <w:rPr>
          <w:rFonts w:ascii="Times New Roman" w:hAnsi="Times New Roman" w:cs="Times New Roman" w:eastAsia="Times New Roman" w:hint="default"/>
        </w:rPr>
        <w:t>2019 </w:t>
      </w:r>
      <w:r>
        <w:rPr>
          <w:spacing w:val="-5"/>
        </w:rPr>
        <w:t>年以来加速落地，成为公司在政法领</w:t>
      </w:r>
      <w:r>
        <w:rPr>
          <w:spacing w:val="-83"/>
        </w:rPr>
        <w:t> </w:t>
      </w:r>
      <w:r>
        <w:rPr>
          <w:spacing w:val="-83"/>
        </w:rPr>
      </w:r>
      <w:r>
        <w:rPr/>
        <w:t>域业务的增长引擎。</w:t>
      </w:r>
    </w:p>
    <w:p>
      <w:pPr>
        <w:pStyle w:val="BodyText"/>
        <w:spacing w:line="314" w:lineRule="auto" w:before="24"/>
        <w:ind w:left="136" w:right="0" w:firstLine="420"/>
        <w:jc w:val="left"/>
      </w:pPr>
      <w:r>
        <w:rPr>
          <w:spacing w:val="-4"/>
          <w:w w:val="100"/>
        </w:rPr>
        <w:t>在不断丰富政法行业产品线的同时，公司在行业内也获得了较高的品牌影响力和客户满意度。</w:t>
      </w:r>
      <w:r>
        <w:rPr>
          <w:w w:val="100"/>
        </w:rPr>
        <w:t> </w:t>
      </w:r>
      <w:r>
        <w:rPr/>
        <w:t>公司参加 </w:t>
      </w:r>
      <w:r>
        <w:rPr>
          <w:rFonts w:ascii="Times New Roman" w:hAnsi="Times New Roman" w:cs="Times New Roman" w:eastAsia="Times New Roman" w:hint="default"/>
        </w:rPr>
        <w:t>2019</w:t>
      </w:r>
      <w:r>
        <w:rPr>
          <w:rFonts w:ascii="Times New Roman" w:hAnsi="Times New Roman" w:cs="Times New Roman" w:eastAsia="Times New Roman" w:hint="default"/>
          <w:spacing w:val="24"/>
        </w:rPr>
        <w:t> </w:t>
      </w:r>
      <w:r>
        <w:rPr>
          <w:spacing w:val="-5"/>
        </w:rPr>
        <w:t>全国政法智能化建设技术装备及成果展，获评智慧法院十大解决方案提供商、智慧</w:t>
      </w:r>
    </w:p>
    <w:p>
      <w:pPr>
        <w:pStyle w:val="BodyText"/>
        <w:spacing w:line="288" w:lineRule="exact"/>
        <w:ind w:left="136" w:right="0"/>
        <w:jc w:val="both"/>
      </w:pPr>
      <w:r>
        <w:rPr>
          <w:spacing w:val="-4"/>
        </w:rPr>
        <w:t>检务十大解决方案提供商，三项案例获评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spacing w:val="-4"/>
        </w:rPr>
        <w:t>全国政法智能化建设优秀创新案例；由公司实施交</w:t>
      </w:r>
    </w:p>
    <w:p>
      <w:pPr>
        <w:pStyle w:val="BodyText"/>
        <w:spacing w:line="307" w:lineRule="auto" w:before="69"/>
        <w:ind w:left="136" w:right="208"/>
        <w:jc w:val="both"/>
      </w:pPr>
      <w:r>
        <w:rPr/>
        <w:t>付的济宁智慧政法项目，中央政法委</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次听取专题汇报，最高人民检察院实地调研，全国多个省</w:t>
      </w:r>
      <w:r>
        <w:rPr>
          <w:w w:val="100"/>
        </w:rPr>
        <w:t> </w:t>
      </w:r>
      <w:r>
        <w:rPr>
          <w:spacing w:val="-1"/>
        </w:rPr>
        <w:t>份、地市政法委到实地参观考察，《法制日报》头版刊发《文书一件不差，程序一步不落》，获</w:t>
      </w:r>
      <w:r>
        <w:rPr>
          <w:spacing w:val="-55"/>
        </w:rPr>
        <w:t> </w:t>
      </w:r>
      <w:r>
        <w:rPr>
          <w:spacing w:val="-55"/>
        </w:rPr>
      </w:r>
      <w:r>
        <w:rPr>
          <w:spacing w:val="-3"/>
        </w:rPr>
        <w:t>新华社、中新社、光明网等新闻媒体重点报道；“济宁智慧政法网上办案平台”被评为“</w:t>
      </w:r>
      <w:r>
        <w:rPr>
          <w:rFonts w:ascii="Times New Roman" w:hAnsi="Times New Roman" w:cs="Times New Roman" w:eastAsia="Times New Roman" w:hint="default"/>
          <w:spacing w:val="-3"/>
        </w:rPr>
        <w:t>2019 </w:t>
      </w:r>
      <w:r>
        <w:rPr/>
        <w:t>年</w:t>
      </w:r>
      <w:r>
        <w:rPr>
          <w:spacing w:val="-71"/>
        </w:rPr>
        <w:t> </w:t>
      </w:r>
      <w:r>
        <w:rPr>
          <w:spacing w:val="-1"/>
        </w:rPr>
        <w:t>度中国智慧政法十佳典型案例”；法院报头版报道公司承建的福建法院廉政风险防控系统，实现</w:t>
      </w:r>
      <w:r>
        <w:rPr>
          <w:spacing w:val="-55"/>
        </w:rPr>
        <w:t> </w:t>
      </w:r>
      <w:r>
        <w:rPr>
          <w:spacing w:val="-55"/>
        </w:rPr>
      </w:r>
      <w:r>
        <w:rPr>
          <w:spacing w:val="-1"/>
        </w:rPr>
        <w:t>对司法活动审判执行重要节点的全程留痕、违规预警与责任倒查，加固廉政“边界”，推动科技</w:t>
      </w:r>
      <w:r>
        <w:rPr>
          <w:spacing w:val="-53"/>
        </w:rPr>
        <w:t> </w:t>
      </w:r>
      <w:r>
        <w:rPr>
          <w:spacing w:val="-53"/>
        </w:rPr>
      </w:r>
      <w:r>
        <w:rPr/>
        <w:t>“控权”。</w:t>
      </w:r>
    </w:p>
    <w:p>
      <w:pPr>
        <w:pStyle w:val="BodyText"/>
        <w:spacing w:line="297" w:lineRule="auto" w:before="26"/>
        <w:ind w:left="557" w:right="0" w:firstLine="2"/>
        <w:jc w:val="left"/>
      </w:pPr>
      <w:r>
        <w:rPr>
          <w:rFonts w:ascii="Times New Roman" w:hAnsi="Times New Roman" w:cs="Times New Roman" w:eastAsia="Times New Roman" w:hint="default"/>
          <w:b/>
          <w:bCs/>
        </w:rPr>
        <w:t>3</w:t>
      </w:r>
      <w:r>
        <w:rPr>
          <w:rFonts w:ascii="宋体" w:hAnsi="宋体" w:cs="宋体" w:eastAsia="宋体" w:hint="default"/>
          <w:b/>
          <w:bCs/>
        </w:rPr>
        <w:t>、物联网</w:t>
      </w:r>
      <w:r>
        <w:rPr>
          <w:rFonts w:ascii="宋体" w:hAnsi="宋体" w:cs="宋体" w:eastAsia="宋体" w:hint="default"/>
          <w:b/>
          <w:bCs/>
          <w:w w:val="100"/>
        </w:rPr>
        <w:t> </w:t>
      </w:r>
      <w:r>
        <w:rPr>
          <w:spacing w:val="-7"/>
        </w:rPr>
        <w:t>报告期内，公司系列物联网核心平台与创新产品解决方案落地武汉、福州、泉州、龙岩等地。</w:t>
      </w:r>
    </w:p>
    <w:p>
      <w:pPr>
        <w:pStyle w:val="BodyText"/>
        <w:spacing w:line="314" w:lineRule="auto" w:before="34"/>
        <w:ind w:left="136" w:right="208"/>
        <w:jc w:val="both"/>
      </w:pPr>
      <w:r>
        <w:rPr>
          <w:spacing w:val="-1"/>
        </w:rPr>
        <w:t>在智慧社区、智慧园区领域，公司依托物联网、人工智能、大数据核心技术，打造区县级社区与</w:t>
      </w:r>
      <w:r>
        <w:rPr>
          <w:spacing w:val="-55"/>
        </w:rPr>
        <w:t> </w:t>
      </w:r>
      <w:r>
        <w:rPr>
          <w:spacing w:val="-55"/>
        </w:rPr>
      </w:r>
      <w:r>
        <w:rPr>
          <w:spacing w:val="-1"/>
        </w:rPr>
        <w:t>园区治理服务平台，形成以政府企事业单位管理为基础，社区与园区前端接入运营的两级智慧营</w:t>
      </w:r>
      <w:r>
        <w:rPr>
          <w:spacing w:val="-55"/>
        </w:rPr>
        <w:t> </w:t>
      </w:r>
      <w:r>
        <w:rPr>
          <w:spacing w:val="-55"/>
        </w:rPr>
      </w:r>
      <w:r>
        <w:rPr>
          <w:spacing w:val="-4"/>
        </w:rPr>
        <w:t>盘产品的业务全闭环。报告期内，公司在物联网领域取得专利证书 </w:t>
      </w:r>
      <w:r>
        <w:rPr>
          <w:rFonts w:ascii="Times New Roman" w:hAnsi="Times New Roman" w:cs="Times New Roman" w:eastAsia="Times New Roman" w:hint="default"/>
        </w:rPr>
        <w:t>3 </w:t>
      </w:r>
      <w:r>
        <w:rPr>
          <w:spacing w:val="-6"/>
        </w:rPr>
        <w:t>项、软著证书 </w:t>
      </w:r>
      <w:r>
        <w:rPr>
          <w:rFonts w:ascii="Times New Roman" w:hAnsi="Times New Roman" w:cs="Times New Roman" w:eastAsia="Times New Roman" w:hint="default"/>
        </w:rPr>
        <w:t>49</w:t>
      </w:r>
      <w:r>
        <w:rPr>
          <w:rFonts w:ascii="Times New Roman" w:hAnsi="Times New Roman" w:cs="Times New Roman" w:eastAsia="Times New Roman" w:hint="default"/>
          <w:spacing w:val="-16"/>
        </w:rPr>
        <w:t> </w:t>
      </w:r>
      <w:r>
        <w:rPr>
          <w:spacing w:val="-6"/>
        </w:rPr>
        <w:t>项、商标证</w:t>
      </w:r>
    </w:p>
    <w:p>
      <w:pPr>
        <w:pStyle w:val="BodyText"/>
        <w:spacing w:line="300" w:lineRule="auto"/>
        <w:ind w:left="136" w:right="208"/>
        <w:jc w:val="both"/>
      </w:pPr>
      <w:r>
        <w:rPr/>
        <w:t>书</w:t>
      </w:r>
      <w:r>
        <w:rPr>
          <w:spacing w:val="-43"/>
        </w:rPr>
        <w:t> </w:t>
      </w:r>
      <w:r>
        <w:rPr>
          <w:rFonts w:ascii="Times New Roman" w:hAnsi="Times New Roman" w:cs="Times New Roman" w:eastAsia="Times New Roman" w:hint="default"/>
        </w:rPr>
        <w:t>36</w:t>
      </w:r>
      <w:r>
        <w:rPr>
          <w:rFonts w:ascii="Times New Roman" w:hAnsi="Times New Roman" w:cs="Times New Roman" w:eastAsia="Times New Roman" w:hint="default"/>
          <w:spacing w:val="5"/>
        </w:rPr>
        <w:t> </w:t>
      </w:r>
      <w:r>
        <w:rPr>
          <w:spacing w:val="-3"/>
        </w:rPr>
        <w:t>项，尚在审核的专利达</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spacing w:val="-3"/>
        </w:rPr>
        <w:t>项；并获得多项产品荣誉，</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9"/>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spacing w:val="-3"/>
        </w:rPr>
        <w:t>月，公司“蜻蜒停车”城市</w:t>
      </w:r>
      <w:r>
        <w:rPr>
          <w:spacing w:val="-101"/>
        </w:rPr>
        <w:t> </w:t>
      </w:r>
      <w:r>
        <w:rPr>
          <w:spacing w:val="-101"/>
        </w:rPr>
      </w:r>
      <w:r>
        <w:rPr/>
        <w:t>级智慧停车平台获得国家发改委“双创”支撑平台专项立项支持；</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spacing w:val="-4"/>
        </w:rPr>
        <w:t>月，公司全国首创的</w:t>
      </w:r>
      <w:r>
        <w:rPr>
          <w:w w:val="100"/>
        </w:rPr>
        <w:t> </w:t>
      </w:r>
      <w:r>
        <w:rPr>
          <w:spacing w:val="-2"/>
          <w:w w:val="100"/>
        </w:rPr>
        <w:t>“网猎”车辆智能预警平台荣获</w:t>
      </w:r>
      <w:r>
        <w:rPr>
          <w:spacing w:val="-49"/>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3"/>
          <w:w w:val="100"/>
        </w:rPr>
        <w:t> </w:t>
      </w:r>
      <w:r>
        <w:rPr>
          <w:spacing w:val="-5"/>
          <w:w w:val="100"/>
        </w:rPr>
        <w:t>全国政法智能化建设</w:t>
      </w:r>
      <w:r>
        <w:rPr>
          <w:rFonts w:ascii="Times New Roman" w:hAnsi="Times New Roman" w:cs="Times New Roman" w:eastAsia="Times New Roman" w:hint="default"/>
          <w:spacing w:val="-5"/>
          <w:w w:val="100"/>
        </w:rPr>
        <w:t>——</w:t>
      </w:r>
      <w:r>
        <w:rPr>
          <w:spacing w:val="-5"/>
          <w:w w:val="100"/>
        </w:rPr>
        <w:t>智慧法院十大创新产品；公司成为</w:t>
      </w:r>
      <w:r>
        <w:rPr>
          <w:w w:val="100"/>
        </w:rPr>
        <w:t> </w:t>
      </w:r>
      <w:r>
        <w:rPr/>
        <w:t>智慧城市治理体系多领域顶层设计的参与单位，</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月，公司分别参与全国智能建筑及居</w:t>
      </w:r>
      <w:r>
        <w:rPr>
          <w:w w:val="100"/>
        </w:rPr>
        <w:t> </w:t>
      </w:r>
      <w:r>
        <w:rPr>
          <w:spacing w:val="-1"/>
        </w:rPr>
        <w:t>住区数字化标准化技术委员会组织的《中国绿色智慧社区建设指南》编写、中国电子技术标准化</w:t>
      </w:r>
      <w:r>
        <w:rPr>
          <w:spacing w:val="-55"/>
        </w:rPr>
        <w:t> </w:t>
      </w:r>
      <w:r>
        <w:rPr>
          <w:spacing w:val="-55"/>
        </w:rPr>
      </w:r>
      <w:r>
        <w:rPr/>
        <w:t>研究院组织的《智慧云停车云平台国家标准可行性研究》编写。</w:t>
      </w:r>
    </w:p>
    <w:p>
      <w:pPr>
        <w:pStyle w:val="Heading4"/>
        <w:spacing w:line="240" w:lineRule="auto" w:before="32"/>
        <w:ind w:left="559" w:right="2819"/>
        <w:jc w:val="left"/>
        <w:rPr>
          <w:b w:val="0"/>
          <w:bCs w:val="0"/>
        </w:rPr>
      </w:pPr>
      <w:r>
        <w:rPr>
          <w:rFonts w:ascii="Times New Roman" w:hAnsi="Times New Roman" w:cs="Times New Roman" w:eastAsia="Times New Roman" w:hint="default"/>
        </w:rPr>
        <w:t>4</w:t>
      </w:r>
      <w:r>
        <w:rPr/>
        <w:t>、互联网</w:t>
      </w:r>
      <w:r>
        <w:rPr>
          <w:b w:val="0"/>
          <w:bCs w:val="0"/>
        </w:rPr>
      </w:r>
    </w:p>
    <w:p>
      <w:pPr>
        <w:pStyle w:val="BodyText"/>
        <w:spacing w:line="300" w:lineRule="auto" w:before="69"/>
        <w:ind w:left="136" w:right="208" w:firstLine="420"/>
        <w:jc w:val="both"/>
      </w:pPr>
      <w:r>
        <w:rPr>
          <w:spacing w:val="-4"/>
        </w:rPr>
        <w:t>报告期内，公司发布城市通</w:t>
      </w:r>
      <w:r>
        <w:rPr>
          <w:spacing w:val="-1"/>
        </w:rPr>
        <w:t> </w:t>
      </w:r>
      <w:r>
        <w:rPr>
          <w:rFonts w:ascii="Times New Roman" w:hAnsi="Times New Roman" w:cs="Times New Roman" w:eastAsia="Times New Roman" w:hint="default"/>
          <w:spacing w:val="-4"/>
        </w:rPr>
        <w:t>3.0</w:t>
      </w:r>
      <w:r>
        <w:rPr>
          <w:spacing w:val="-4"/>
        </w:rPr>
        <w:t>，重点升级移动构建平台，丰富完善城市通组件库，打造城市</w:t>
      </w:r>
      <w:r>
        <w:rPr>
          <w:w w:val="100"/>
        </w:rPr>
        <w:t> </w:t>
      </w:r>
      <w:r>
        <w:rPr>
          <w:spacing w:val="-1"/>
        </w:rPr>
        <w:t>通特色服务，形成城市通、公务通、政务通等行业应用支撑平台，行业通平台产品初步形成，提</w:t>
      </w:r>
      <w:r>
        <w:rPr>
          <w:spacing w:val="-55"/>
        </w:rPr>
        <w:t> </w:t>
      </w:r>
      <w:r>
        <w:rPr>
          <w:spacing w:val="-55"/>
        </w:rPr>
      </w:r>
      <w:r>
        <w:rPr/>
        <w:t>供小程序平台让</w:t>
      </w:r>
      <w:r>
        <w:rPr>
          <w:spacing w:val="-57"/>
        </w:rPr>
        <w:t> </w:t>
      </w:r>
      <w:r>
        <w:rPr>
          <w:rFonts w:ascii="Times New Roman" w:hAnsi="Times New Roman" w:cs="Times New Roman" w:eastAsia="Times New Roman" w:hint="default"/>
        </w:rPr>
        <w:t>APP</w:t>
      </w:r>
      <w:r>
        <w:rPr>
          <w:rFonts w:ascii="Times New Roman" w:hAnsi="Times New Roman" w:cs="Times New Roman" w:eastAsia="Times New Roman" w:hint="default"/>
          <w:spacing w:val="-4"/>
        </w:rPr>
        <w:t> </w:t>
      </w:r>
      <w:r>
        <w:rPr/>
        <w:t>具备自主构建生态的能力。城市通</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产品的升级为南威移动中台的研发奠</w:t>
      </w:r>
      <w:r>
        <w:rPr>
          <w:w w:val="100"/>
        </w:rPr>
        <w:t> </w:t>
      </w:r>
      <w:r>
        <w:rPr>
          <w:spacing w:val="-3"/>
        </w:rPr>
        <w:t>定了基础</w:t>
      </w:r>
      <w:r>
        <w:rPr>
          <w:rFonts w:ascii="Times New Roman" w:hAnsi="Times New Roman" w:cs="Times New Roman" w:eastAsia="Times New Roman" w:hint="default"/>
          <w:spacing w:val="-3"/>
        </w:rPr>
        <w:t>,</w:t>
      </w:r>
      <w:r>
        <w:rPr>
          <w:spacing w:val="-3"/>
        </w:rPr>
        <w:t>将逐步形成公司在移动互联网领域的核心技术能力。城市通</w:t>
      </w:r>
      <w:r>
        <w:rPr>
          <w:spacing w:val="-40"/>
        </w:rPr>
        <w:t> </w:t>
      </w:r>
      <w:r>
        <w:rPr>
          <w:rFonts w:ascii="Times New Roman" w:hAnsi="Times New Roman" w:cs="Times New Roman" w:eastAsia="Times New Roman" w:hint="default"/>
        </w:rPr>
        <w:t>3.0</w:t>
      </w:r>
      <w:r>
        <w:rPr>
          <w:rFonts w:ascii="Times New Roman" w:hAnsi="Times New Roman" w:cs="Times New Roman" w:eastAsia="Times New Roman" w:hint="default"/>
          <w:spacing w:val="11"/>
        </w:rPr>
        <w:t> </w:t>
      </w:r>
      <w:r>
        <w:rPr/>
        <w:t>实现了“</w:t>
      </w:r>
      <w:r>
        <w:rPr>
          <w:rFonts w:ascii="Times New Roman" w:hAnsi="Times New Roman" w:cs="Times New Roman" w:eastAsia="Times New Roman" w:hint="default"/>
        </w:rPr>
        <w:t>i</w:t>
      </w:r>
      <w:r>
        <w:rPr>
          <w:rFonts w:ascii="Times New Roman" w:hAnsi="Times New Roman" w:cs="Times New Roman" w:eastAsia="Times New Roman" w:hint="default"/>
          <w:spacing w:val="14"/>
        </w:rPr>
        <w:t> </w:t>
      </w:r>
      <w:r>
        <w:rPr>
          <w:spacing w:val="-10"/>
        </w:rPr>
        <w:t>厦门”、“掌</w:t>
      </w:r>
      <w:r>
        <w:rPr>
          <w:spacing w:val="-99"/>
        </w:rPr>
        <w:t> </w:t>
      </w:r>
      <w:r>
        <w:rPr>
          <w:spacing w:val="-99"/>
        </w:rPr>
      </w:r>
      <w:r>
        <w:rPr/>
        <w:t>上南平”、“泉州一体化政务 </w:t>
      </w:r>
      <w:r>
        <w:rPr>
          <w:rFonts w:ascii="Times New Roman" w:hAnsi="Times New Roman" w:cs="Times New Roman" w:eastAsia="Times New Roman" w:hint="default"/>
        </w:rPr>
        <w:t>APP</w:t>
      </w:r>
      <w:r>
        <w:rPr/>
        <w:t>”、“福建省经济信息中心</w:t>
      </w:r>
      <w:r>
        <w:rPr>
          <w:spacing w:val="-54"/>
        </w:rPr>
        <w:t> </w:t>
      </w:r>
      <w:r>
        <w:rPr>
          <w:rFonts w:ascii="Times New Roman" w:hAnsi="Times New Roman" w:cs="Times New Roman" w:eastAsia="Times New Roman" w:hint="default"/>
        </w:rPr>
        <w:t>OA</w:t>
      </w:r>
      <w:r>
        <w:rPr/>
        <w:t>”等项目的应用，同时行业通</w:t>
      </w:r>
      <w:r>
        <w:rPr>
          <w:w w:val="100"/>
        </w:rPr>
        <w:t> </w:t>
      </w:r>
      <w:r>
        <w:rPr/>
        <w:t>产品的升级也为在公司在公安、司法、企业等行业拓展提供可能。</w:t>
      </w:r>
    </w:p>
    <w:p>
      <w:pPr>
        <w:spacing w:line="240" w:lineRule="auto" w:before="2"/>
        <w:rPr>
          <w:rFonts w:ascii="宋体" w:hAnsi="宋体" w:cs="宋体" w:eastAsia="宋体" w:hint="default"/>
          <w:sz w:val="24"/>
          <w:szCs w:val="24"/>
        </w:rPr>
      </w:pPr>
    </w:p>
    <w:p>
      <w:pPr>
        <w:pStyle w:val="Heading4"/>
        <w:spacing w:line="290" w:lineRule="auto" w:before="0"/>
        <w:ind w:left="136" w:right="6393"/>
        <w:jc w:val="left"/>
        <w:rPr>
          <w:b w:val="0"/>
          <w:bCs w:val="0"/>
        </w:rPr>
      </w:pPr>
      <w:r>
        <w:rPr>
          <w:rFonts w:ascii="宋体" w:hAnsi="宋体" w:cs="宋体" w:eastAsia="宋体" w:hint="default"/>
          <w:b w:val="0"/>
          <w:bCs w:val="0"/>
          <w:w w:val="100"/>
        </w:rPr>
        <w:t> </w:t>
      </w:r>
      <w:r>
        <w:rPr>
          <w:w w:val="100"/>
        </w:rPr>
        <w:t>二、报告期内主要经营</w:t>
      </w:r>
      <w:r>
        <w:rPr>
          <w:spacing w:val="-3"/>
          <w:w w:val="100"/>
        </w:rPr>
        <w:t>情</w:t>
      </w:r>
      <w:r>
        <w:rPr>
          <w:w w:val="100"/>
        </w:rPr>
        <w:t>况</w:t>
      </w:r>
      <w:r>
        <w:rPr>
          <w:b w:val="0"/>
          <w:bCs w:val="0"/>
          <w:w w:val="100"/>
        </w:rPr>
      </w:r>
    </w:p>
    <w:p>
      <w:pPr>
        <w:pStyle w:val="BodyText"/>
        <w:spacing w:line="297" w:lineRule="auto" w:before="91"/>
        <w:ind w:left="136" w:right="209" w:firstLine="420"/>
        <w:jc w:val="both"/>
      </w:pPr>
      <w:r>
        <w:rPr/>
        <w:t>报告期内，公司实现营业收入 </w:t>
      </w:r>
      <w:r>
        <w:rPr>
          <w:rFonts w:ascii="Times New Roman" w:hAnsi="Times New Roman" w:cs="Times New Roman" w:eastAsia="Times New Roman" w:hint="default"/>
        </w:rPr>
        <w:t>137,925.89 </w:t>
      </w:r>
      <w:r>
        <w:rPr/>
        <w:t>万元，同比增长 </w:t>
      </w:r>
      <w:r>
        <w:rPr>
          <w:rFonts w:ascii="Times New Roman" w:hAnsi="Times New Roman" w:cs="Times New Roman" w:eastAsia="Times New Roman" w:hint="default"/>
        </w:rPr>
        <w:t>40.88%</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年归属于上市股东</w:t>
      </w:r>
      <w:r>
        <w:rPr>
          <w:w w:val="100"/>
        </w:rPr>
        <w:t> </w:t>
      </w:r>
      <w:r>
        <w:rPr/>
        <w:t>的净利润为 </w:t>
      </w:r>
      <w:r>
        <w:rPr>
          <w:rFonts w:ascii="Times New Roman" w:hAnsi="Times New Roman" w:cs="Times New Roman" w:eastAsia="Times New Roman" w:hint="default"/>
        </w:rPr>
        <w:t>21,353.50 </w:t>
      </w:r>
      <w:r>
        <w:rPr/>
        <w:t>万元，较上年同期增长</w:t>
      </w:r>
      <w:r>
        <w:rPr>
          <w:spacing w:val="-66"/>
        </w:rPr>
        <w:t> </w:t>
      </w:r>
      <w:r>
        <w:rPr>
          <w:rFonts w:ascii="Times New Roman" w:hAnsi="Times New Roman" w:cs="Times New Roman" w:eastAsia="Times New Roman" w:hint="default"/>
        </w:rPr>
        <w:t>23.77%</w:t>
      </w:r>
      <w:r>
        <w:rPr/>
        <w:t>，归属于上市公司股东的扣除非经常性损益</w:t>
      </w:r>
      <w:r>
        <w:rPr>
          <w:w w:val="100"/>
        </w:rPr>
        <w:t> </w:t>
      </w:r>
      <w:r>
        <w:rPr/>
        <w:t>后的净利润为</w:t>
      </w:r>
      <w:r>
        <w:rPr>
          <w:spacing w:val="-37"/>
        </w:rPr>
        <w:t> </w:t>
      </w:r>
      <w:r>
        <w:rPr>
          <w:rFonts w:ascii="Times New Roman" w:hAnsi="Times New Roman" w:cs="Times New Roman" w:eastAsia="Times New Roman" w:hint="default"/>
        </w:rPr>
        <w:t>20,122.13</w:t>
      </w:r>
      <w:r>
        <w:rPr>
          <w:rFonts w:ascii="Times New Roman" w:hAnsi="Times New Roman" w:cs="Times New Roman" w:eastAsia="Times New Roman" w:hint="default"/>
          <w:spacing w:val="15"/>
        </w:rPr>
        <w:t> </w:t>
      </w:r>
      <w:r>
        <w:rPr/>
        <w:t>万元，较上年同期增长</w:t>
      </w:r>
      <w:r>
        <w:rPr>
          <w:spacing w:val="-39"/>
        </w:rPr>
        <w:t> </w:t>
      </w:r>
      <w:r>
        <w:rPr>
          <w:rFonts w:ascii="Times New Roman" w:hAnsi="Times New Roman" w:cs="Times New Roman" w:eastAsia="Times New Roman" w:hint="default"/>
        </w:rPr>
        <w:t>31.42%</w:t>
      </w:r>
      <w:r>
        <w:rPr/>
        <w:t>。截止</w:t>
      </w:r>
      <w:r>
        <w:rPr>
          <w:spacing w:val="-3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37"/>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日，公司总资产</w:t>
      </w:r>
    </w:p>
    <w:p>
      <w:pPr>
        <w:spacing w:after="0" w:line="297" w:lineRule="auto"/>
        <w:jc w:val="both"/>
        <w:sectPr>
          <w:pgSz w:w="11910" w:h="16840"/>
          <w:pgMar w:header="855" w:footer="979" w:top="1120" w:bottom="1160" w:left="1140" w:right="1580"/>
        </w:sectPr>
      </w:pPr>
    </w:p>
    <w:p>
      <w:pPr>
        <w:spacing w:line="240" w:lineRule="auto" w:before="7"/>
        <w:rPr>
          <w:rFonts w:ascii="宋体" w:hAnsi="宋体" w:cs="宋体" w:eastAsia="宋体" w:hint="default"/>
          <w:sz w:val="24"/>
          <w:szCs w:val="24"/>
        </w:rPr>
      </w:pPr>
    </w:p>
    <w:p>
      <w:pPr>
        <w:pStyle w:val="BodyText"/>
        <w:spacing w:line="297" w:lineRule="auto" w:before="36"/>
        <w:ind w:left="216" w:right="227"/>
        <w:jc w:val="left"/>
      </w:pPr>
      <w:r>
        <w:rPr>
          <w:rFonts w:ascii="Times New Roman" w:hAnsi="Times New Roman" w:cs="Times New Roman" w:eastAsia="Times New Roman" w:hint="default"/>
        </w:rPr>
        <w:t>381,176.16</w:t>
      </w:r>
      <w:r>
        <w:rPr>
          <w:rFonts w:ascii="Times New Roman" w:hAnsi="Times New Roman" w:cs="Times New Roman" w:eastAsia="Times New Roman" w:hint="default"/>
          <w:spacing w:val="-4"/>
        </w:rPr>
        <w:t> </w:t>
      </w:r>
      <w:r>
        <w:rPr/>
        <w:t>万元，较上年同期增长</w:t>
      </w:r>
      <w:r>
        <w:rPr>
          <w:spacing w:val="-55"/>
        </w:rPr>
        <w:t> </w:t>
      </w:r>
      <w:r>
        <w:rPr>
          <w:rFonts w:ascii="Times New Roman" w:hAnsi="Times New Roman" w:cs="Times New Roman" w:eastAsia="Times New Roman" w:hint="default"/>
        </w:rPr>
        <w:t>27.18%</w:t>
      </w:r>
      <w:r>
        <w:rPr/>
        <w:t>；归属于上市股东的所有者权益为</w:t>
      </w:r>
      <w:r>
        <w:rPr>
          <w:spacing w:val="-57"/>
        </w:rPr>
        <w:t> </w:t>
      </w:r>
      <w:r>
        <w:rPr>
          <w:rFonts w:ascii="Times New Roman" w:hAnsi="Times New Roman" w:cs="Times New Roman" w:eastAsia="Times New Roman" w:hint="default"/>
        </w:rPr>
        <w:t>206,243.47</w:t>
      </w:r>
      <w:r>
        <w:rPr>
          <w:rFonts w:ascii="Times New Roman" w:hAnsi="Times New Roman" w:cs="Times New Roman" w:eastAsia="Times New Roman" w:hint="default"/>
          <w:spacing w:val="-4"/>
        </w:rPr>
        <w:t> </w:t>
      </w:r>
      <w:r>
        <w:rPr/>
        <w:t>万元，较</w:t>
      </w:r>
      <w:r>
        <w:rPr>
          <w:w w:val="100"/>
        </w:rPr>
        <w:t> </w:t>
      </w:r>
      <w:r>
        <w:rPr/>
        <w:t>期初增长</w:t>
      </w:r>
      <w:r>
        <w:rPr>
          <w:spacing w:val="-54"/>
        </w:rPr>
        <w:t> </w:t>
      </w:r>
      <w:r>
        <w:rPr>
          <w:rFonts w:ascii="Times New Roman" w:hAnsi="Times New Roman" w:cs="Times New Roman" w:eastAsia="Times New Roman" w:hint="default"/>
        </w:rPr>
        <w:t>18.00%</w:t>
      </w:r>
      <w:r>
        <w:rPr/>
        <w:t>。</w:t>
      </w:r>
    </w:p>
    <w:p>
      <w:pPr>
        <w:pStyle w:val="BodyText"/>
        <w:spacing w:line="211"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rFonts w:ascii="宋体" w:hAnsi="宋体" w:cs="宋体" w:eastAsia="宋体" w:hint="default"/>
        </w:rPr>
        <w:t>(</w:t>
      </w:r>
      <w:r>
        <w:rPr/>
        <w:t>一</w:t>
      </w:r>
      <w:r>
        <w:rPr>
          <w:rFonts w:ascii="宋体" w:hAnsi="宋体" w:cs="宋体" w:eastAsia="宋体" w:hint="default"/>
        </w:rPr>
        <w:t>)</w:t>
      </w:r>
      <w:r>
        <w:rPr/>
        <w:t>主营业务分析</w:t>
      </w:r>
      <w:r>
        <w:rPr>
          <w:b w:val="0"/>
          <w:bCs w:val="0"/>
        </w:rPr>
      </w:r>
    </w:p>
    <w:p>
      <w:pPr>
        <w:pStyle w:val="Heading4"/>
        <w:tabs>
          <w:tab w:pos="637" w:val="left" w:leader="none"/>
        </w:tabs>
        <w:spacing w:line="240" w:lineRule="auto" w:before="58"/>
        <w:ind w:left="216"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87"/>
        <w:gridCol w:w="1913"/>
        <w:gridCol w:w="1822"/>
        <w:gridCol w:w="1928"/>
      </w:tblGrid>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34"/>
              <w:jc w:val="right"/>
              <w:rPr>
                <w:rFonts w:ascii="宋体" w:hAnsi="宋体" w:cs="宋体" w:eastAsia="宋体" w:hint="default"/>
                <w:sz w:val="21"/>
                <w:szCs w:val="21"/>
              </w:rPr>
            </w:pPr>
            <w:r>
              <w:rPr>
                <w:rFonts w:ascii="宋体" w:hAnsi="宋体" w:cs="宋体" w:eastAsia="宋体" w:hint="default"/>
                <w:spacing w:val="-2"/>
                <w:sz w:val="21"/>
                <w:szCs w:val="21"/>
              </w:rPr>
              <w:t>变动比例（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281"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1,379,258,881.22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979,043,905.27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40.88</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803,864,541.42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535,668,213.24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50.07</w:t>
            </w:r>
          </w:p>
        </w:tc>
      </w:tr>
      <w:tr>
        <w:trPr>
          <w:trHeight w:val="281"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92,336,341.88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56,974,256.64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62.07</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165,007,130.17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134,915,189.08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22.3</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75,063,537.48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45,779,686.48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63.97</w:t>
            </w:r>
          </w:p>
        </w:tc>
      </w:tr>
      <w:tr>
        <w:trPr>
          <w:trHeight w:val="281"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-12,807,159.57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-2,711,834.95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-372.27</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-121,994,386.47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-269,780,968.06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54.78</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-271,564,712.26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37,001,695.69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-833.93</w:t>
            </w:r>
          </w:p>
        </w:tc>
      </w:tr>
      <w:tr>
        <w:trPr>
          <w:trHeight w:val="283"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555,024,153.40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568,812,078.50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-2.42</w:t>
            </w:r>
          </w:p>
        </w:tc>
      </w:tr>
    </w:tbl>
    <w:p>
      <w:pPr>
        <w:spacing w:line="240" w:lineRule="auto" w:before="9"/>
        <w:rPr>
          <w:rFonts w:ascii="宋体" w:hAnsi="宋体" w:cs="宋体" w:eastAsia="宋体" w:hint="default"/>
          <w:sz w:val="18"/>
          <w:szCs w:val="18"/>
        </w:rPr>
      </w:pPr>
    </w:p>
    <w:p>
      <w:pPr>
        <w:pStyle w:val="Heading4"/>
        <w:tabs>
          <w:tab w:pos="637" w:val="left" w:leader="none"/>
        </w:tabs>
        <w:spacing w:line="240" w:lineRule="auto" w:before="36"/>
        <w:ind w:left="216" w:right="0"/>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7" w:lineRule="auto" w:before="73"/>
        <w:ind w:left="216" w:right="229" w:firstLine="420"/>
        <w:jc w:val="both"/>
        <w:rPr>
          <w:rFonts w:ascii="宋体" w:hAnsi="宋体" w:cs="宋体" w:eastAsia="宋体" w:hint="default"/>
        </w:rPr>
      </w:pPr>
      <w:r>
        <w:rPr/>
        <w:t>报告期内，公司主营业务收入比上年同期增长</w:t>
      </w:r>
      <w:r>
        <w:rPr>
          <w:spacing w:val="-25"/>
        </w:rPr>
        <w:t> </w:t>
      </w:r>
      <w:r>
        <w:rPr>
          <w:rFonts w:ascii="Times New Roman" w:hAnsi="Times New Roman" w:cs="Times New Roman" w:eastAsia="Times New Roman" w:hint="default"/>
        </w:rPr>
        <w:t>40.92%</w:t>
      </w:r>
      <w:r>
        <w:rPr/>
        <w:t>，主要系公司互联网</w:t>
      </w:r>
      <w:r>
        <w:rPr>
          <w:rFonts w:ascii="Times New Roman" w:hAnsi="Times New Roman" w:cs="Times New Roman" w:eastAsia="Times New Roman" w:hint="default"/>
        </w:rPr>
        <w:t>+</w:t>
      </w:r>
      <w:r>
        <w:rPr/>
        <w:t>政务以及城市公</w:t>
      </w:r>
      <w:r>
        <w:rPr>
          <w:w w:val="100"/>
        </w:rPr>
        <w:t> </w:t>
      </w:r>
      <w:r>
        <w:rPr>
          <w:spacing w:val="-4"/>
        </w:rPr>
        <w:t>共安全业务增长迅速，互联网</w:t>
      </w:r>
      <w:r>
        <w:rPr>
          <w:rFonts w:ascii="Times New Roman" w:hAnsi="Times New Roman" w:cs="Times New Roman" w:eastAsia="Times New Roman" w:hint="default"/>
          <w:spacing w:val="-4"/>
        </w:rPr>
        <w:t>+</w:t>
      </w:r>
      <w:r>
        <w:rPr>
          <w:spacing w:val="-4"/>
        </w:rPr>
        <w:t>政务业务比增</w:t>
      </w:r>
      <w:r>
        <w:rPr>
          <w:spacing w:val="-39"/>
        </w:rPr>
        <w:t> </w:t>
      </w:r>
      <w:r>
        <w:rPr>
          <w:rFonts w:ascii="Times New Roman" w:hAnsi="Times New Roman" w:cs="Times New Roman" w:eastAsia="Times New Roman" w:hint="default"/>
          <w:spacing w:val="-5"/>
        </w:rPr>
        <w:t>40.48%</w:t>
      </w:r>
      <w:r>
        <w:rPr>
          <w:spacing w:val="-5"/>
        </w:rPr>
        <w:t>，城市公共安全业务比增</w:t>
      </w:r>
      <w:r>
        <w:rPr>
          <w:spacing w:val="-39"/>
        </w:rPr>
        <w:t> </w:t>
      </w:r>
      <w:r>
        <w:rPr>
          <w:rFonts w:ascii="Times New Roman" w:hAnsi="Times New Roman" w:cs="Times New Roman" w:eastAsia="Times New Roman" w:hint="default"/>
        </w:rPr>
        <w:t>107.60%;</w:t>
      </w:r>
      <w:r>
        <w:rPr>
          <w:rFonts w:ascii="Times New Roman" w:hAnsi="Times New Roman" w:cs="Times New Roman" w:eastAsia="Times New Roman" w:hint="default"/>
          <w:spacing w:val="25"/>
        </w:rPr>
        <w:t> </w:t>
      </w:r>
      <w:r>
        <w:rPr/>
        <w:t>公司销售</w:t>
      </w:r>
      <w:r>
        <w:rPr>
          <w:spacing w:val="-99"/>
        </w:rPr>
        <w:t> </w:t>
      </w:r>
      <w:r>
        <w:rPr>
          <w:spacing w:val="-99"/>
        </w:rPr>
      </w:r>
      <w:r>
        <w:rPr/>
        <w:t>综合毛利率较上年略降</w:t>
      </w:r>
      <w:r>
        <w:rPr>
          <w:spacing w:val="-57"/>
        </w:rPr>
        <w:t> </w:t>
      </w:r>
      <w:r>
        <w:rPr>
          <w:rFonts w:ascii="Times New Roman" w:hAnsi="Times New Roman" w:cs="Times New Roman" w:eastAsia="Times New Roman" w:hint="default"/>
        </w:rPr>
        <w:t>3.57</w:t>
      </w:r>
      <w:r>
        <w:rPr>
          <w:rFonts w:ascii="Times New Roman" w:hAnsi="Times New Roman" w:cs="Times New Roman" w:eastAsia="Times New Roman" w:hint="default"/>
          <w:spacing w:val="-4"/>
        </w:rPr>
        <w:t> </w:t>
      </w:r>
      <w:r>
        <w:rPr/>
        <w:t>个百分点，主要系互联网</w:t>
      </w:r>
      <w:r>
        <w:rPr>
          <w:rFonts w:ascii="Times New Roman" w:hAnsi="Times New Roman" w:cs="Times New Roman" w:eastAsia="Times New Roman" w:hint="default"/>
        </w:rPr>
        <w:t>+</w:t>
      </w:r>
      <w:r>
        <w:rPr/>
        <w:t>政务业务的毛利略有下降。</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3"/>
        <w:ind w:left="637" w:right="0"/>
        <w:jc w:val="left"/>
        <w:rPr>
          <w:rFonts w:ascii="宋体" w:hAnsi="宋体" w:cs="宋体" w:eastAsia="宋体" w:hint="default"/>
        </w:rPr>
      </w:pPr>
      <w:r>
        <w:rPr>
          <w:rFonts w:ascii="宋体"/>
          <w:w w:val="100"/>
        </w:rPr>
        <w:t> </w:t>
      </w:r>
    </w:p>
    <w:p>
      <w:pPr>
        <w:pStyle w:val="Heading4"/>
        <w:tabs>
          <w:tab w:pos="783" w:val="left" w:leader="none"/>
        </w:tabs>
        <w:spacing w:line="240" w:lineRule="auto" w:before="68"/>
        <w:ind w:left="216" w:right="0"/>
        <w:jc w:val="left"/>
        <w:rPr>
          <w:b w:val="0"/>
          <w:bCs w:val="0"/>
        </w:rPr>
      </w:pPr>
      <w:r>
        <w:rPr>
          <w:rFonts w:ascii="Times New Roman" w:hAnsi="Times New Roman" w:cs="Times New Roman" w:eastAsia="Times New Roman" w:hint="default"/>
          <w:spacing w:val="-1"/>
        </w:rPr>
        <w:t>(1).</w:t>
        <w:tab/>
      </w:r>
      <w:r>
        <w:rPr>
          <w:spacing w:val="-1"/>
        </w:rPr>
        <w:t>主营业务分行业、分产品、分地区情况</w:t>
      </w:r>
      <w:r>
        <w:rPr>
          <w:b w:val="0"/>
          <w:bCs w:val="0"/>
          <w:spacing w:val="-1"/>
        </w:rPr>
      </w:r>
    </w:p>
    <w:p>
      <w:pPr>
        <w:pStyle w:val="BodyText"/>
        <w:spacing w:line="240" w:lineRule="auto" w:before="43"/>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4"/>
        </w:rPr>
        <w:t> </w:t>
      </w:r>
      <w:r>
        <w:rPr>
          <w:rFonts w:ascii="宋体" w:hAnsi="宋体" w:cs="宋体" w:eastAsia="宋体" w:hint="default"/>
          <w:spacing w:val="-4"/>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83"/>
        <w:gridCol w:w="1745"/>
        <w:gridCol w:w="1723"/>
        <w:gridCol w:w="778"/>
        <w:gridCol w:w="998"/>
        <w:gridCol w:w="1169"/>
        <w:gridCol w:w="1472"/>
      </w:tblGrid>
      <w:tr>
        <w:trPr>
          <w:trHeight w:val="370" w:hRule="exact"/>
        </w:trPr>
        <w:tc>
          <w:tcPr>
            <w:tcW w:w="896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0"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1452"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3"/>
              <w:ind w:left="103" w:right="0" w:firstLine="69"/>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45"/>
                <w:w w:val="100"/>
                <w:sz w:val="21"/>
                <w:szCs w:val="21"/>
              </w:rPr>
              <w:t>率（</w:t>
            </w:r>
            <w:r>
              <w:rPr>
                <w:rFonts w:ascii="宋体" w:hAnsi="宋体" w:cs="宋体" w:eastAsia="宋体" w:hint="default"/>
                <w:spacing w:val="-45"/>
                <w:w w:val="100"/>
                <w:sz w:val="21"/>
                <w:szCs w:val="21"/>
              </w:rPr>
              <w:t>%</w:t>
            </w:r>
            <w:r>
              <w:rPr>
                <w:rFonts w:ascii="宋体" w:hAnsi="宋体" w:cs="宋体" w:eastAsia="宋体" w:hint="default"/>
                <w:spacing w:val="-45"/>
                <w:w w:val="100"/>
                <w:sz w:val="21"/>
                <w:szCs w:val="21"/>
              </w:rPr>
              <w:t>）</w:t>
            </w:r>
            <w:r>
              <w:rPr>
                <w:rFonts w:ascii="宋体" w:hAnsi="宋体" w:cs="宋体" w:eastAsia="宋体" w:hint="default"/>
                <w:w w:val="100"/>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75" w:right="179"/>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20"/>
              <w:ind w:left="227"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156" w:right="108"/>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3"/>
              <w:ind w:left="153" w:right="47" w:firstLine="50"/>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730"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公安行业</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650,565,792.37</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424,500,001.45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34.75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114.1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97.87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8"/>
              <w:jc w:val="left"/>
              <w:rPr>
                <w:rFonts w:ascii="宋体" w:hAnsi="宋体" w:cs="宋体" w:eastAsia="宋体" w:hint="default"/>
                <w:sz w:val="21"/>
                <w:szCs w:val="21"/>
              </w:rPr>
            </w:pPr>
            <w:r>
              <w:rPr>
                <w:rFonts w:ascii="宋体" w:hAnsi="宋体" w:cs="宋体" w:eastAsia="宋体" w:hint="default"/>
                <w:spacing w:val="7"/>
                <w:sz w:val="21"/>
                <w:szCs w:val="21"/>
              </w:rPr>
              <w:t>增加 </w:t>
            </w:r>
            <w:r>
              <w:rPr>
                <w:rFonts w:ascii="Times New Roman" w:hAnsi="Times New Roman" w:cs="Times New Roman" w:eastAsia="Times New Roman" w:hint="default"/>
                <w:sz w:val="21"/>
                <w:szCs w:val="21"/>
              </w:rPr>
              <w:t>5.35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730"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政务行业</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672,579,276.26</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335,307,762.69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50.15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29.23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43.67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8"/>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w:t>
            </w:r>
            <w:r>
              <w:rPr>
                <w:rFonts w:ascii="宋体" w:hAnsi="宋体" w:cs="宋体" w:eastAsia="宋体" w:hint="default"/>
                <w:w w:val="100"/>
                <w:sz w:val="21"/>
                <w:szCs w:val="21"/>
              </w:rPr>
              <w:t> </w:t>
            </w:r>
            <w:r>
              <w:rPr>
                <w:rFonts w:ascii="宋体" w:hAnsi="宋体" w:cs="宋体" w:eastAsia="宋体" w:hint="default"/>
                <w:sz w:val="21"/>
                <w:szCs w:val="21"/>
              </w:rPr>
              <w:t>点</w:t>
            </w:r>
            <w:r>
              <w:rPr>
                <w:rFonts w:ascii="宋体" w:hAnsi="宋体" w:cs="宋体" w:eastAsia="宋体" w:hint="default"/>
                <w:sz w:val="21"/>
                <w:szCs w:val="21"/>
              </w:rPr>
              <w:t> </w:t>
            </w:r>
          </w:p>
        </w:tc>
      </w:tr>
      <w:tr>
        <w:trPr>
          <w:trHeight w:val="730"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民生行业</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21,986,841.00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13,484,411.44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38.67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-85.14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2"/>
                <w:sz w:val="21"/>
              </w:rPr>
              <w:t>-84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8"/>
              <w:jc w:val="left"/>
              <w:rPr>
                <w:rFonts w:ascii="宋体" w:hAnsi="宋体" w:cs="宋体" w:eastAsia="宋体" w:hint="default"/>
                <w:sz w:val="21"/>
                <w:szCs w:val="21"/>
              </w:rPr>
            </w:pPr>
            <w:r>
              <w:rPr>
                <w:rFonts w:ascii="宋体" w:hAnsi="宋体" w:cs="宋体" w:eastAsia="宋体" w:hint="default"/>
                <w:spacing w:val="7"/>
                <w:sz w:val="21"/>
                <w:szCs w:val="21"/>
              </w:rPr>
              <w:t>减少 </w:t>
            </w:r>
            <w:r>
              <w:rPr>
                <w:rFonts w:ascii="Times New Roman" w:hAnsi="Times New Roman" w:cs="Times New Roman" w:eastAsia="Times New Roman" w:hint="default"/>
                <w:sz w:val="21"/>
                <w:szCs w:val="21"/>
              </w:rPr>
              <w:t>4.39</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730"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其他行业</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32,591,510.32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30,310,940.90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504.98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860.98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8"/>
              <w:jc w:val="left"/>
              <w:rPr>
                <w:rFonts w:ascii="宋体" w:hAnsi="宋体" w:cs="宋体" w:eastAsia="宋体" w:hint="default"/>
                <w:sz w:val="21"/>
                <w:szCs w:val="21"/>
              </w:rPr>
            </w:pPr>
            <w:r>
              <w:rPr>
                <w:rFonts w:ascii="宋体" w:hAnsi="宋体" w:cs="宋体" w:eastAsia="宋体" w:hint="default"/>
                <w:sz w:val="21"/>
                <w:szCs w:val="21"/>
              </w:rPr>
              <w:t>减少 </w:t>
            </w:r>
            <w:r>
              <w:rPr>
                <w:rFonts w:ascii="Times New Roman" w:hAnsi="Times New Roman" w:cs="Times New Roman" w:eastAsia="Times New Roman" w:hint="default"/>
                <w:sz w:val="21"/>
                <w:szCs w:val="21"/>
              </w:rPr>
              <w:t>34.45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730"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总计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1,377,723,419.95</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803,603,116.48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41.67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40.92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50.11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8"/>
              <w:jc w:val="left"/>
              <w:rPr>
                <w:rFonts w:ascii="宋体" w:hAnsi="宋体" w:cs="宋体" w:eastAsia="宋体" w:hint="default"/>
                <w:sz w:val="21"/>
                <w:szCs w:val="21"/>
              </w:rPr>
            </w:pPr>
            <w:r>
              <w:rPr>
                <w:rFonts w:ascii="宋体" w:hAnsi="宋体" w:cs="宋体" w:eastAsia="宋体" w:hint="default"/>
                <w:spacing w:val="7"/>
                <w:sz w:val="21"/>
                <w:szCs w:val="21"/>
              </w:rPr>
              <w:t>减少 </w:t>
            </w:r>
            <w:r>
              <w:rPr>
                <w:rFonts w:ascii="Times New Roman" w:hAnsi="Times New Roman" w:cs="Times New Roman" w:eastAsia="Times New Roman" w:hint="default"/>
                <w:sz w:val="21"/>
                <w:szCs w:val="21"/>
              </w:rPr>
              <w:t>3.57</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372" w:hRule="exact"/>
        </w:trPr>
        <w:tc>
          <w:tcPr>
            <w:tcW w:w="896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0"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pgSz w:w="11910" w:h="16840"/>
          <w:pgMar w:header="855" w:footer="979" w:top="1120" w:bottom="1160" w:left="1060" w:right="1560"/>
        </w:sectPr>
      </w:pPr>
    </w:p>
    <w:p>
      <w:pPr>
        <w:spacing w:line="240" w:lineRule="auto" w:before="0"/>
        <w:rPr>
          <w:rFonts w:ascii="宋体" w:hAnsi="宋体" w:cs="宋体" w:eastAsia="宋体" w:hint="default"/>
          <w:sz w:val="20"/>
          <w:szCs w:val="20"/>
        </w:rPr>
      </w:pPr>
      <w:r>
        <w:rPr/>
        <w:pict>
          <v:shape style="position:absolute;margin-left:58.200001pt;margin-top:71.999985pt;width:449.6pt;height:693.6pt;mso-position-horizontal-relative:page;mso-position-vertical-relative:page;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3"/>
                    <w:gridCol w:w="1745"/>
                    <w:gridCol w:w="1723"/>
                    <w:gridCol w:w="778"/>
                    <w:gridCol w:w="998"/>
                    <w:gridCol w:w="1169"/>
                    <w:gridCol w:w="1480"/>
                  </w:tblGrid>
                  <w:tr>
                    <w:trPr>
                      <w:trHeight w:val="1450"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1"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103" w:right="0" w:firstLine="69"/>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45"/>
                            <w:w w:val="100"/>
                            <w:sz w:val="21"/>
                            <w:szCs w:val="21"/>
                          </w:rPr>
                          <w:t>率（</w:t>
                        </w:r>
                        <w:r>
                          <w:rPr>
                            <w:rFonts w:ascii="宋体" w:hAnsi="宋体" w:cs="宋体" w:eastAsia="宋体" w:hint="default"/>
                            <w:spacing w:val="-45"/>
                            <w:w w:val="100"/>
                            <w:sz w:val="21"/>
                            <w:szCs w:val="21"/>
                          </w:rPr>
                          <w:t>%</w:t>
                        </w:r>
                        <w:r>
                          <w:rPr>
                            <w:rFonts w:ascii="宋体" w:hAnsi="宋体" w:cs="宋体" w:eastAsia="宋体" w:hint="default"/>
                            <w:spacing w:val="-45"/>
                            <w:w w:val="100"/>
                            <w:sz w:val="21"/>
                            <w:szCs w:val="21"/>
                          </w:rPr>
                          <w:t>）</w:t>
                        </w:r>
                        <w:r>
                          <w:rPr>
                            <w:rFonts w:ascii="宋体" w:hAnsi="宋体" w:cs="宋体" w:eastAsia="宋体" w:hint="default"/>
                            <w:w w:val="100"/>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75" w:right="179"/>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20"/>
                          <w:ind w:left="227"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156" w:right="108"/>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153" w:right="54" w:firstLine="50"/>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730"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28"/>
                            <w:sz w:val="21"/>
                            <w:szCs w:val="21"/>
                          </w:rPr>
                          <w:t>互联网</w:t>
                        </w:r>
                        <w:r>
                          <w:rPr>
                            <w:rFonts w:ascii="宋体" w:hAnsi="宋体" w:cs="宋体" w:eastAsia="宋体" w:hint="default"/>
                            <w:spacing w:val="-58"/>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政务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616,353,052.92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304,825,971.25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50.54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39.69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54.38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26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4.71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732"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9"/>
                          <w:jc w:val="left"/>
                          <w:rPr>
                            <w:rFonts w:ascii="宋体" w:hAnsi="宋体" w:cs="宋体" w:eastAsia="宋体" w:hint="default"/>
                            <w:sz w:val="21"/>
                            <w:szCs w:val="21"/>
                          </w:rPr>
                        </w:pPr>
                        <w:r>
                          <w:rPr>
                            <w:rFonts w:ascii="宋体" w:hAnsi="宋体" w:cs="宋体" w:eastAsia="宋体" w:hint="default"/>
                            <w:spacing w:val="4"/>
                            <w:sz w:val="21"/>
                            <w:szCs w:val="21"/>
                          </w:rPr>
                          <w:t>城市公共</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安全</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675,025,394.64</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436,574,227.38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35.32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81.5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78.66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5"/>
                          <w:ind w:left="415" w:right="185" w:hanging="236"/>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730"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创新业务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45,702,102.13</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22,455,197.45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50.87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-71.7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-75.56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415" w:right="157" w:hanging="26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7.76</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730"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40,642,870.26</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39,747,720.40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2.20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1,233.3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2,286.67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3"/>
                          <w:ind w:left="415" w:right="131" w:hanging="28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43.17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730"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总计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1,377,723,419.95</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803,603,116.48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41.67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40.92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50.11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415" w:right="185" w:hanging="23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3.57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370" w:hRule="exact"/>
                    </w:trPr>
                    <w:tc>
                      <w:tcPr>
                        <w:tcW w:w="8977"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11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4017" w:hRule="exact"/>
                    </w:trPr>
                    <w:tc>
                      <w:tcPr>
                        <w:tcW w:w="8977" w:type="dxa"/>
                        <w:gridSpan w:val="7"/>
                        <w:tcBorders>
                          <w:top w:val="nil" w:sz="6" w:space="0" w:color="auto"/>
                          <w:left w:val="single" w:sz="4" w:space="0" w:color="000000"/>
                          <w:bottom w:val="nil" w:sz="6" w:space="0" w:color="auto"/>
                          <w:right w:val="single" w:sz="4" w:space="0" w:color="000000"/>
                        </w:tcBorders>
                      </w:tcPr>
                      <w:p>
                        <w:pPr/>
                      </w:p>
                    </w:tc>
                  </w:tr>
                  <w:tr>
                    <w:trPr>
                      <w:trHeight w:val="363" w:hRule="exact"/>
                    </w:trPr>
                    <w:tc>
                      <w:tcPr>
                        <w:tcW w:w="8977"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left="11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1450"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1" w:right="0"/>
                          <w:jc w:val="left"/>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103" w:right="0" w:firstLine="69"/>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45"/>
                            <w:w w:val="100"/>
                            <w:sz w:val="21"/>
                            <w:szCs w:val="21"/>
                          </w:rPr>
                          <w:t>率（</w:t>
                        </w:r>
                        <w:r>
                          <w:rPr>
                            <w:rFonts w:ascii="宋体" w:hAnsi="宋体" w:cs="宋体" w:eastAsia="宋体" w:hint="default"/>
                            <w:spacing w:val="-45"/>
                            <w:w w:val="100"/>
                            <w:sz w:val="21"/>
                            <w:szCs w:val="21"/>
                          </w:rPr>
                          <w:t>%</w:t>
                        </w:r>
                        <w:r>
                          <w:rPr>
                            <w:rFonts w:ascii="宋体" w:hAnsi="宋体" w:cs="宋体" w:eastAsia="宋体" w:hint="default"/>
                            <w:spacing w:val="-45"/>
                            <w:w w:val="100"/>
                            <w:sz w:val="21"/>
                            <w:szCs w:val="21"/>
                          </w:rPr>
                          <w:t>）</w:t>
                        </w:r>
                        <w:r>
                          <w:rPr>
                            <w:rFonts w:ascii="宋体" w:hAnsi="宋体" w:cs="宋体" w:eastAsia="宋体" w:hint="default"/>
                            <w:w w:val="100"/>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75" w:right="179"/>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20"/>
                          <w:ind w:left="227"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56" w:right="108"/>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153" w:right="54" w:firstLine="50"/>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732"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华南区</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1,095,234,172.86</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674,216,665.13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38.44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35.02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46.35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5"/>
                          <w:ind w:left="415" w:right="185" w:hanging="23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4.76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730"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华东区</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63,518,942.87</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18,372,510.26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71.08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13.28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-5.05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415" w:right="185" w:hanging="236"/>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5.59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730"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华北区</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175,948,866.47</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88,313,529.89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49.81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155.11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132.1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415" w:right="157" w:hanging="26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4.98</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370"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西部区</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43,021,437.75</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22,700,411.20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47.23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3.79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31.73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tbl>
      <w:tblPr>
        <w:tblW w:w="0" w:type="auto"/>
        <w:jc w:val="left"/>
        <w:tblInd w:w="216" w:type="dxa"/>
        <w:tblLayout w:type="fixed"/>
        <w:tblCellMar>
          <w:top w:w="0" w:type="dxa"/>
          <w:left w:w="0" w:type="dxa"/>
          <w:bottom w:w="0" w:type="dxa"/>
          <w:right w:w="0" w:type="dxa"/>
        </w:tblCellMar>
        <w:tblLook w:val="01E0"/>
      </w:tblPr>
      <w:tblGrid>
        <w:gridCol w:w="946"/>
        <w:gridCol w:w="1688"/>
        <w:gridCol w:w="1644"/>
        <w:gridCol w:w="850"/>
        <w:gridCol w:w="1136"/>
        <w:gridCol w:w="1133"/>
        <w:gridCol w:w="1136"/>
      </w:tblGrid>
      <w:tr>
        <w:trPr>
          <w:trHeight w:val="109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103" w:right="0"/>
              <w:jc w:val="center"/>
              <w:rPr>
                <w:rFonts w:ascii="宋体" w:hAnsi="宋体" w:cs="宋体" w:eastAsia="宋体" w:hint="default"/>
                <w:sz w:val="21"/>
                <w:szCs w:val="21"/>
              </w:rPr>
            </w:pPr>
            <w:r>
              <w:rPr>
                <w:rFonts w:ascii="宋体" w:hAnsi="宋体" w:cs="宋体" w:eastAsia="宋体" w:hint="default"/>
                <w:sz w:val="21"/>
                <w:szCs w:val="21"/>
              </w:rPr>
              <w:t>分产品</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417"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39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85"/>
              <w:ind w:left="1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42" w:right="89"/>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41" w:right="86"/>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41" w:right="140"/>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20"/>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73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3" w:right="99"/>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54"/>
                <w:sz w:val="21"/>
                <w:szCs w:val="21"/>
              </w:rPr>
              <w:t> </w:t>
            </w:r>
            <w:r>
              <w:rPr>
                <w:rFonts w:ascii="宋体" w:hAnsi="宋体" w:cs="宋体" w:eastAsia="宋体" w:hint="default"/>
                <w:sz w:val="21"/>
                <w:szCs w:val="21"/>
              </w:rPr>
              <w:t>件</w:t>
            </w:r>
            <w:r>
              <w:rPr>
                <w:rFonts w:ascii="宋体" w:hAnsi="宋体" w:cs="宋体" w:eastAsia="宋体" w:hint="default"/>
                <w:spacing w:val="-57"/>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536,107,512.91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240,591,144.67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55.12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58.47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7.47</w:t>
            </w:r>
          </w:p>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73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99"/>
              <w:jc w:val="left"/>
              <w:rPr>
                <w:rFonts w:ascii="宋体" w:hAnsi="宋体" w:cs="宋体" w:eastAsia="宋体" w:hint="default"/>
                <w:sz w:val="21"/>
                <w:szCs w:val="21"/>
              </w:rPr>
            </w:pPr>
            <w:r>
              <w:rPr>
                <w:rFonts w:ascii="宋体" w:hAnsi="宋体" w:cs="宋体" w:eastAsia="宋体" w:hint="default"/>
                <w:sz w:val="21"/>
                <w:szCs w:val="21"/>
              </w:rPr>
              <w:t>系</w:t>
            </w:r>
            <w:r>
              <w:rPr>
                <w:rFonts w:ascii="宋体" w:hAnsi="宋体" w:cs="宋体" w:eastAsia="宋体" w:hint="default"/>
                <w:spacing w:val="-54"/>
                <w:sz w:val="21"/>
                <w:szCs w:val="21"/>
              </w:rPr>
              <w:t> </w:t>
            </w:r>
            <w:r>
              <w:rPr>
                <w:rFonts w:ascii="宋体" w:hAnsi="宋体" w:cs="宋体" w:eastAsia="宋体" w:hint="default"/>
                <w:sz w:val="21"/>
                <w:szCs w:val="21"/>
              </w:rPr>
              <w:t>统</w:t>
            </w:r>
            <w:r>
              <w:rPr>
                <w:rFonts w:ascii="宋体" w:hAnsi="宋体" w:cs="宋体" w:eastAsia="宋体" w:hint="default"/>
                <w:spacing w:val="-57"/>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775,868,728.76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546,246,972.30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29.60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49.02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46.12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p>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73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99"/>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54"/>
                <w:sz w:val="21"/>
                <w:szCs w:val="21"/>
              </w:rPr>
              <w:t> </w:t>
            </w:r>
            <w:r>
              <w:rPr>
                <w:rFonts w:ascii="宋体" w:hAnsi="宋体" w:cs="宋体" w:eastAsia="宋体" w:hint="default"/>
                <w:sz w:val="21"/>
                <w:szCs w:val="21"/>
              </w:rPr>
              <w:t>术</w:t>
            </w:r>
            <w:r>
              <w:rPr>
                <w:rFonts w:ascii="宋体" w:hAnsi="宋体" w:cs="宋体" w:eastAsia="宋体" w:hint="default"/>
                <w:spacing w:val="-57"/>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65,747,178.28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16,764,999.51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74.50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28.51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73.33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Times New Roman" w:hAnsi="Times New Roman" w:cs="Times New Roman" w:eastAsia="Times New Roman" w:hint="default"/>
                <w:sz w:val="21"/>
                <w:szCs w:val="21"/>
              </w:rPr>
            </w:pPr>
            <w:r>
              <w:rPr>
                <w:rFonts w:ascii="宋体" w:hAnsi="宋体" w:cs="宋体" w:eastAsia="宋体" w:hint="default"/>
                <w:sz w:val="24"/>
                <w:szCs w:val="24"/>
              </w:rPr>
              <w:t>减少</w:t>
            </w:r>
            <w:r>
              <w:rPr>
                <w:rFonts w:ascii="宋体" w:hAnsi="宋体" w:cs="宋体" w:eastAsia="宋体" w:hint="default"/>
                <w:spacing w:val="-58"/>
                <w:sz w:val="24"/>
                <w:szCs w:val="24"/>
              </w:rPr>
              <w:t> </w:t>
            </w:r>
            <w:r>
              <w:rPr>
                <w:rFonts w:ascii="Times New Roman" w:hAnsi="Times New Roman" w:cs="Times New Roman" w:eastAsia="Times New Roman" w:hint="default"/>
                <w:sz w:val="21"/>
                <w:szCs w:val="21"/>
              </w:rPr>
              <w:t>6.59</w:t>
            </w:r>
          </w:p>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73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总计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1,377,723,419.95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803,603,116.48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41.67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40.92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3.57</w:t>
            </w:r>
          </w:p>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10" w:lineRule="exact" w:before="0"/>
        <w:ind w:left="0" w:right="1" w:firstLine="0"/>
        <w:jc w:val="center"/>
        <w:rPr>
          <w:rFonts w:ascii="宋体" w:hAnsi="宋体" w:cs="宋体" w:eastAsia="宋体" w:hint="default"/>
          <w:sz w:val="2"/>
          <w:szCs w:val="2"/>
        </w:rPr>
      </w:pPr>
      <w:r>
        <w:rPr>
          <w:rFonts w:ascii="宋体"/>
          <w:w w:val="96"/>
          <w:sz w:val="2"/>
        </w:rPr>
        <w:t> </w:t>
      </w:r>
      <w:r>
        <w:rPr>
          <w:rFonts w:ascii="宋体"/>
          <w:sz w:val="2"/>
        </w:rPr>
      </w:r>
    </w:p>
    <w:p>
      <w:pPr>
        <w:spacing w:after="0" w:line="10" w:lineRule="exact"/>
        <w:jc w:val="center"/>
        <w:rPr>
          <w:rFonts w:ascii="宋体" w:hAnsi="宋体" w:cs="宋体" w:eastAsia="宋体" w:hint="default"/>
          <w:sz w:val="2"/>
          <w:szCs w:val="2"/>
        </w:rPr>
        <w:sectPr>
          <w:pgSz w:w="11910" w:h="16840"/>
          <w:pgMar w:header="855" w:footer="979" w:top="1120" w:bottom="1160" w:left="1060" w:right="16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083"/>
        <w:gridCol w:w="1745"/>
        <w:gridCol w:w="1723"/>
        <w:gridCol w:w="778"/>
        <w:gridCol w:w="998"/>
        <w:gridCol w:w="1169"/>
        <w:gridCol w:w="1472"/>
      </w:tblGrid>
      <w:tr>
        <w:trPr>
          <w:trHeight w:val="370" w:hRule="exact"/>
        </w:trPr>
        <w:tc>
          <w:tcPr>
            <w:tcW w:w="1083"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5"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732"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26" w:right="0"/>
              <w:jc w:val="left"/>
              <w:rPr>
                <w:rFonts w:ascii="宋体" w:hAnsi="宋体" w:cs="宋体" w:eastAsia="宋体" w:hint="default"/>
                <w:sz w:val="21"/>
                <w:szCs w:val="21"/>
              </w:rPr>
            </w:pPr>
            <w:r>
              <w:rPr>
                <w:rFonts w:ascii="宋体" w:hAnsi="宋体" w:cs="宋体" w:eastAsia="宋体" w:hint="default"/>
                <w:sz w:val="21"/>
                <w:szCs w:val="21"/>
              </w:rPr>
              <w:t>总计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60" w:right="0"/>
              <w:jc w:val="left"/>
              <w:rPr>
                <w:rFonts w:ascii="Times New Roman" w:hAnsi="Times New Roman" w:cs="Times New Roman" w:eastAsia="Times New Roman" w:hint="default"/>
                <w:sz w:val="21"/>
                <w:szCs w:val="21"/>
              </w:rPr>
            </w:pPr>
            <w:r>
              <w:rPr>
                <w:rFonts w:ascii="Times New Roman"/>
                <w:sz w:val="21"/>
              </w:rPr>
              <w:t>1,377,723,419.95</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97" w:right="0"/>
              <w:jc w:val="left"/>
              <w:rPr>
                <w:rFonts w:ascii="Times New Roman" w:hAnsi="Times New Roman" w:cs="Times New Roman" w:eastAsia="Times New Roman" w:hint="default"/>
                <w:sz w:val="21"/>
                <w:szCs w:val="21"/>
              </w:rPr>
            </w:pPr>
            <w:r>
              <w:rPr>
                <w:rFonts w:ascii="Times New Roman"/>
                <w:sz w:val="21"/>
              </w:rPr>
              <w:t>803,603,116.48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sz w:val="21"/>
              </w:rPr>
              <w:t>41.67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10" w:right="0"/>
              <w:jc w:val="left"/>
              <w:rPr>
                <w:rFonts w:ascii="Times New Roman" w:hAnsi="Times New Roman" w:cs="Times New Roman" w:eastAsia="Times New Roman" w:hint="default"/>
                <w:sz w:val="21"/>
                <w:szCs w:val="21"/>
              </w:rPr>
            </w:pPr>
            <w:r>
              <w:rPr>
                <w:rFonts w:ascii="Times New Roman"/>
                <w:sz w:val="21"/>
              </w:rPr>
              <w:t>40.92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80" w:right="0"/>
              <w:jc w:val="left"/>
              <w:rPr>
                <w:rFonts w:ascii="Times New Roman" w:hAnsi="Times New Roman" w:cs="Times New Roman" w:eastAsia="Times New Roman" w:hint="default"/>
                <w:sz w:val="21"/>
                <w:szCs w:val="21"/>
              </w:rPr>
            </w:pPr>
            <w:r>
              <w:rPr>
                <w:rFonts w:ascii="Times New Roman"/>
                <w:sz w:val="21"/>
              </w:rPr>
              <w:t>50.11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415" w:right="175" w:hanging="23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3.57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before="26"/>
        <w:ind w:left="697" w:right="0" w:hanging="481"/>
        <w:jc w:val="left"/>
      </w:pPr>
      <w:r>
        <w:rPr/>
        <w:t>主营业务分行业、分产品、分地区情况的说明</w:t>
      </w:r>
      <w:r>
        <w:rPr>
          <w:rFonts w:ascii="宋体" w:hAnsi="宋体" w:cs="宋体" w:eastAsia="宋体" w:hint="default"/>
          <w:w w:val="100"/>
        </w:rPr>
        <w:t> </w:t>
      </w:r>
      <w:r>
        <w:rPr/>
        <w:t>报告期内，公司更加关注主营业务，互联网</w:t>
      </w:r>
      <w:r>
        <w:rPr>
          <w:rFonts w:ascii="Times New Roman" w:hAnsi="Times New Roman" w:cs="Times New Roman" w:eastAsia="Times New Roman" w:hint="default"/>
        </w:rPr>
        <w:t>+</w:t>
      </w:r>
      <w:r>
        <w:rPr/>
        <w:t>政务服务和城市公共安全业务收入快速增长，</w:t>
      </w:r>
    </w:p>
    <w:p>
      <w:pPr>
        <w:pStyle w:val="BodyText"/>
        <w:spacing w:line="272" w:lineRule="exact" w:before="1"/>
        <w:ind w:left="216" w:right="184"/>
        <w:jc w:val="left"/>
      </w:pPr>
      <w:r>
        <w:rPr/>
        <w:t>对公司业绩的贡献持续提升，其中互联网</w:t>
      </w:r>
      <w:r>
        <w:rPr>
          <w:rFonts w:ascii="Times New Roman" w:hAnsi="Times New Roman" w:cs="Times New Roman" w:eastAsia="Times New Roman" w:hint="default"/>
        </w:rPr>
        <w:t>+</w:t>
      </w:r>
      <w:r>
        <w:rPr/>
        <w:t>政务业务收入增长</w:t>
      </w:r>
      <w:r>
        <w:rPr>
          <w:spacing w:val="-25"/>
        </w:rPr>
        <w:t> </w:t>
      </w:r>
      <w:r>
        <w:rPr>
          <w:rFonts w:ascii="Times New Roman" w:hAnsi="Times New Roman" w:cs="Times New Roman" w:eastAsia="Times New Roman" w:hint="default"/>
        </w:rPr>
        <w:t>39.69%</w:t>
      </w:r>
      <w:r>
        <w:rPr/>
        <w:t>，城市公共安全业务收入增</w:t>
      </w:r>
      <w:r>
        <w:rPr>
          <w:w w:val="100"/>
        </w:rPr>
        <w:t> </w:t>
      </w:r>
      <w:r>
        <w:rPr/>
        <w:t>长</w:t>
      </w:r>
      <w:r>
        <w:rPr>
          <w:spacing w:val="-54"/>
        </w:rPr>
        <w:t> </w:t>
      </w:r>
      <w:r>
        <w:rPr>
          <w:rFonts w:ascii="Times New Roman" w:hAnsi="Times New Roman" w:cs="Times New Roman" w:eastAsia="Times New Roman" w:hint="default"/>
        </w:rPr>
        <w:t>81.50%</w:t>
      </w:r>
      <w:r>
        <w:rPr/>
        <w:t>，近三年的公司综合毛利率</w:t>
      </w:r>
      <w:r>
        <w:rPr>
          <w:spacing w:val="-54"/>
        </w:rPr>
        <w:t> </w:t>
      </w:r>
      <w:r>
        <w:rPr>
          <w:rFonts w:ascii="Times New Roman" w:hAnsi="Times New Roman" w:cs="Times New Roman" w:eastAsia="Times New Roman" w:hint="default"/>
        </w:rPr>
        <w:t>33.28%</w:t>
      </w:r>
      <w:r>
        <w:rPr/>
        <w:t>、</w:t>
      </w:r>
      <w:r>
        <w:rPr>
          <w:rFonts w:ascii="Times New Roman" w:hAnsi="Times New Roman" w:cs="Times New Roman" w:eastAsia="Times New Roman" w:hint="default"/>
        </w:rPr>
        <w:t>45.24%</w:t>
      </w:r>
      <w:r>
        <w:rPr/>
        <w:t>和</w:t>
      </w:r>
      <w:r>
        <w:rPr>
          <w:spacing w:val="-54"/>
        </w:rPr>
        <w:t> </w:t>
      </w:r>
      <w:r>
        <w:rPr>
          <w:rFonts w:ascii="Times New Roman" w:hAnsi="Times New Roman" w:cs="Times New Roman" w:eastAsia="Times New Roman" w:hint="default"/>
        </w:rPr>
        <w:t>41.67%</w:t>
      </w:r>
      <w:r>
        <w:rPr/>
        <w:t>。</w:t>
      </w:r>
    </w:p>
    <w:p>
      <w:pPr>
        <w:pStyle w:val="BodyText"/>
        <w:spacing w:line="272" w:lineRule="exact" w:before="1"/>
        <w:ind w:left="216" w:right="0" w:firstLine="420"/>
        <w:jc w:val="left"/>
      </w:pPr>
      <w:r>
        <w:rPr/>
        <w:t>报告期内，公司业务区域集中化有明显改善；华南地区收入占比</w:t>
      </w:r>
      <w:r>
        <w:rPr>
          <w:spacing w:val="-56"/>
        </w:rPr>
        <w:t> </w:t>
      </w:r>
      <w:r>
        <w:rPr>
          <w:rFonts w:ascii="Times New Roman" w:hAnsi="Times New Roman" w:cs="Times New Roman" w:eastAsia="Times New Roman" w:hint="default"/>
        </w:rPr>
        <w:t>79.5%</w:t>
      </w:r>
      <w:r>
        <w:rPr/>
        <w:t>，同比下降</w:t>
      </w:r>
      <w:r>
        <w:rPr>
          <w:spacing w:val="-56"/>
        </w:rPr>
        <w:t> </w:t>
      </w:r>
      <w:r>
        <w:rPr>
          <w:rFonts w:ascii="Times New Roman" w:hAnsi="Times New Roman" w:cs="Times New Roman" w:eastAsia="Times New Roman" w:hint="default"/>
        </w:rPr>
        <w:t>3.47</w:t>
      </w:r>
      <w:r>
        <w:rPr>
          <w:rFonts w:ascii="Times New Roman" w:hAnsi="Times New Roman" w:cs="Times New Roman" w:eastAsia="Times New Roman" w:hint="default"/>
          <w:spacing w:val="-4"/>
        </w:rPr>
        <w:t> </w:t>
      </w:r>
      <w:r>
        <w:rPr>
          <w:spacing w:val="-3"/>
        </w:rPr>
        <w:t>个百</w:t>
      </w:r>
      <w:r>
        <w:rPr>
          <w:spacing w:val="-3"/>
          <w:w w:val="100"/>
        </w:rPr>
        <w:t> </w:t>
      </w:r>
      <w:r>
        <w:rPr>
          <w:spacing w:val="-1"/>
        </w:rPr>
        <w:t>分点；华北地区收入逐步迅速提高，华东地区保持平稳增长。从省内外业务收入占比情况来看，</w:t>
      </w:r>
    </w:p>
    <w:p>
      <w:pPr>
        <w:pStyle w:val="BodyText"/>
        <w:spacing w:line="272" w:lineRule="exact" w:before="1"/>
        <w:ind w:left="637" w:right="0" w:hanging="421"/>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年福建省内的主营业务收入占比为</w:t>
      </w:r>
      <w:r>
        <w:rPr>
          <w:spacing w:val="-54"/>
        </w:rPr>
        <w:t> </w:t>
      </w:r>
      <w:r>
        <w:rPr>
          <w:rFonts w:ascii="Times New Roman" w:hAnsi="Times New Roman" w:cs="Times New Roman" w:eastAsia="Times New Roman" w:hint="default"/>
        </w:rPr>
        <w:t>69.09%</w:t>
      </w:r>
      <w:r>
        <w:rPr/>
        <w:t>，较</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年的</w:t>
      </w:r>
      <w:r>
        <w:rPr>
          <w:spacing w:val="-54"/>
        </w:rPr>
        <w:t> </w:t>
      </w:r>
      <w:r>
        <w:rPr>
          <w:rFonts w:ascii="Times New Roman" w:hAnsi="Times New Roman" w:cs="Times New Roman" w:eastAsia="Times New Roman" w:hint="default"/>
        </w:rPr>
        <w:t>77.62%</w:t>
      </w:r>
      <w:r>
        <w:rPr/>
        <w:t>下降了</w:t>
      </w:r>
      <w:r>
        <w:rPr>
          <w:spacing w:val="-54"/>
        </w:rPr>
        <w:t> </w:t>
      </w:r>
      <w:r>
        <w:rPr>
          <w:rFonts w:ascii="Times New Roman" w:hAnsi="Times New Roman" w:cs="Times New Roman" w:eastAsia="Times New Roman" w:hint="default"/>
        </w:rPr>
        <w:t>8.53</w:t>
      </w:r>
      <w:r>
        <w:rPr>
          <w:rFonts w:ascii="Times New Roman" w:hAnsi="Times New Roman" w:cs="Times New Roman" w:eastAsia="Times New Roman" w:hint="default"/>
          <w:spacing w:val="-1"/>
        </w:rPr>
        <w:t> </w:t>
      </w:r>
      <w:r>
        <w:rPr/>
        <w:t>个百分点。</w:t>
      </w:r>
      <w:r>
        <w:rPr>
          <w:w w:val="100"/>
        </w:rPr>
        <w:t> </w:t>
      </w:r>
      <w:r>
        <w:rPr>
          <w:spacing w:val="-7"/>
        </w:rPr>
        <w:t>注：华南区主要为福建省、广东省、广西省、海南省、湖南省、湖北省、贵州省、云南省等；</w:t>
      </w:r>
    </w:p>
    <w:p>
      <w:pPr>
        <w:pStyle w:val="BodyText"/>
        <w:spacing w:line="272" w:lineRule="exact" w:before="1"/>
        <w:ind w:left="216" w:right="0"/>
        <w:jc w:val="left"/>
      </w:pPr>
      <w:r>
        <w:rPr>
          <w:spacing w:val="-1"/>
        </w:rPr>
        <w:t>华东区要为上海市、江苏省、浙江省、江西省、安徽省等；华北区为北京市、河北省、河南省、</w:t>
      </w:r>
      <w:r>
        <w:rPr>
          <w:spacing w:val="-55"/>
        </w:rPr>
        <w:t> </w:t>
      </w:r>
      <w:r>
        <w:rPr>
          <w:spacing w:val="-55"/>
        </w:rPr>
      </w:r>
      <w:r>
        <w:rPr>
          <w:spacing w:val="-1"/>
        </w:rPr>
        <w:t>山东省、辽宁省、黑龙江、吉林省、内蒙自治区、山西等；西部区为四川省、重庆市、陕西省、</w:t>
      </w:r>
    </w:p>
    <w:p>
      <w:pPr>
        <w:pStyle w:val="BodyText"/>
        <w:spacing w:line="244" w:lineRule="exact"/>
        <w:ind w:left="216" w:right="0"/>
        <w:jc w:val="left"/>
        <w:rPr>
          <w:rFonts w:ascii="宋体" w:hAnsi="宋体" w:cs="宋体" w:eastAsia="宋体" w:hint="default"/>
          <w:sz w:val="24"/>
          <w:szCs w:val="24"/>
        </w:rPr>
      </w:pPr>
      <w:r>
        <w:rPr/>
        <w:t>宁夏、甘肃省和新疆自治区、四川省、西藏自治区等。</w:t>
      </w:r>
      <w:r>
        <w:rPr>
          <w:rFonts w:ascii="宋体" w:hAnsi="宋体" w:cs="宋体" w:eastAsia="宋体" w:hint="default"/>
          <w:sz w:val="24"/>
          <w:szCs w:val="24"/>
        </w:rPr>
        <w:t> </w:t>
      </w:r>
    </w:p>
    <w:p>
      <w:pPr>
        <w:pStyle w:val="Heading3"/>
        <w:spacing w:line="309" w:lineRule="exact"/>
        <w:ind w:left="697" w:right="0"/>
        <w:jc w:val="left"/>
      </w:pPr>
      <w:r>
        <w:rPr/>
        <w:t>  </w:t>
      </w:r>
    </w:p>
    <w:p>
      <w:pPr>
        <w:pStyle w:val="Heading4"/>
        <w:tabs>
          <w:tab w:pos="783" w:val="left" w:leader="none"/>
        </w:tabs>
        <w:spacing w:line="240" w:lineRule="auto"/>
        <w:ind w:left="216" w:right="0"/>
        <w:jc w:val="left"/>
        <w:rPr>
          <w:b w:val="0"/>
          <w:bCs w:val="0"/>
        </w:rPr>
      </w:pPr>
      <w:r>
        <w:rPr>
          <w:rFonts w:ascii="Times New Roman" w:hAnsi="Times New Roman" w:cs="Times New Roman" w:eastAsia="Times New Roman" w:hint="default"/>
          <w:spacing w:val="-1"/>
        </w:rPr>
        <w:t>(2).</w:t>
        <w:tab/>
      </w:r>
      <w:r>
        <w:rPr>
          <w:spacing w:val="-1"/>
        </w:rPr>
        <w:t>产销量情况分析表</w:t>
      </w:r>
      <w:r>
        <w:rPr>
          <w:b w:val="0"/>
          <w:bCs w:val="0"/>
          <w:spacing w:val="-1"/>
        </w:rPr>
      </w:r>
    </w:p>
    <w:p>
      <w:pPr>
        <w:pStyle w:val="BodyText"/>
        <w:spacing w:line="271" w:lineRule="exact" w:before="40"/>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0" w:lineRule="exact"/>
        <w:ind w:left="216" w:right="0"/>
        <w:jc w:val="left"/>
      </w:pPr>
      <w:r>
        <w:rPr/>
        <w:t> </w:t>
      </w:r>
    </w:p>
    <w:p>
      <w:pPr>
        <w:pStyle w:val="Heading4"/>
        <w:tabs>
          <w:tab w:pos="783" w:val="left" w:leader="none"/>
        </w:tabs>
        <w:spacing w:line="240" w:lineRule="auto"/>
        <w:ind w:left="216" w:right="0"/>
        <w:jc w:val="left"/>
        <w:rPr>
          <w:b w:val="0"/>
          <w:bCs w:val="0"/>
        </w:rPr>
      </w:pPr>
      <w:r>
        <w:rPr>
          <w:rFonts w:ascii="Times New Roman" w:hAnsi="Times New Roman" w:cs="Times New Roman" w:eastAsia="Times New Roman" w:hint="default"/>
          <w:spacing w:val="-1"/>
        </w:rPr>
        <w:t>(3).</w:t>
        <w:tab/>
      </w:r>
      <w:r>
        <w:rPr/>
        <w:t>成本分析表</w:t>
      </w:r>
      <w:r>
        <w:rPr>
          <w:b w:val="0"/>
          <w:bCs w:val="0"/>
        </w:rPr>
      </w:r>
    </w:p>
    <w:p>
      <w:pPr>
        <w:pStyle w:val="BodyText"/>
        <w:spacing w:line="240" w:lineRule="auto" w:before="40"/>
        <w:ind w:left="0" w:right="191"/>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40"/>
        <w:gridCol w:w="742"/>
        <w:gridCol w:w="1601"/>
        <w:gridCol w:w="869"/>
        <w:gridCol w:w="1570"/>
        <w:gridCol w:w="907"/>
        <w:gridCol w:w="977"/>
        <w:gridCol w:w="1205"/>
      </w:tblGrid>
      <w:tr>
        <w:trPr>
          <w:trHeight w:val="370" w:hRule="exact"/>
        </w:trPr>
        <w:tc>
          <w:tcPr>
            <w:tcW w:w="90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0" w:right="0"/>
              <w:jc w:val="center"/>
              <w:rPr>
                <w:rFonts w:ascii="宋体" w:hAnsi="宋体" w:cs="宋体" w:eastAsia="宋体" w:hint="default"/>
                <w:sz w:val="24"/>
                <w:szCs w:val="24"/>
              </w:rPr>
            </w:pPr>
            <w:r>
              <w:rPr>
                <w:rFonts w:ascii="宋体" w:hAnsi="宋体" w:cs="宋体" w:eastAsia="宋体" w:hint="default"/>
                <w:sz w:val="24"/>
                <w:szCs w:val="24"/>
              </w:rPr>
              <w:t>分行业情况</w:t>
            </w:r>
            <w:r>
              <w:rPr>
                <w:rFonts w:ascii="宋体" w:hAnsi="宋体" w:cs="宋体" w:eastAsia="宋体" w:hint="default"/>
                <w:sz w:val="24"/>
                <w:szCs w:val="24"/>
              </w:rPr>
              <w:t> </w:t>
            </w:r>
          </w:p>
        </w:tc>
      </w:tr>
      <w:tr>
        <w:trPr>
          <w:trHeight w:val="18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分行业</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155" w:right="48"/>
              <w:jc w:val="both"/>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构成</w:t>
            </w:r>
            <w:r>
              <w:rPr>
                <w:rFonts w:ascii="宋体" w:hAnsi="宋体" w:cs="宋体" w:eastAsia="宋体" w:hint="default"/>
                <w:spacing w:val="-103"/>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10" w:right="113"/>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32" w:right="79"/>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65" w:right="115"/>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4" w:lineRule="auto"/>
              <w:ind w:left="384" w:right="283"/>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37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公安行业</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sz w:val="24"/>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424,500,001.45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52.82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4" w:right="0"/>
              <w:jc w:val="left"/>
              <w:rPr>
                <w:rFonts w:ascii="Times New Roman" w:hAnsi="Times New Roman" w:cs="Times New Roman" w:eastAsia="Times New Roman" w:hint="default"/>
                <w:sz w:val="21"/>
                <w:szCs w:val="21"/>
              </w:rPr>
            </w:pPr>
            <w:r>
              <w:rPr>
                <w:rFonts w:ascii="Times New Roman"/>
                <w:sz w:val="21"/>
              </w:rPr>
              <w:t>214,531,827.98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40.07</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97.87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1" w:right="0"/>
              <w:jc w:val="left"/>
              <w:rPr>
                <w:rFonts w:ascii="宋体" w:hAnsi="宋体" w:cs="宋体" w:eastAsia="宋体" w:hint="default"/>
                <w:sz w:val="24"/>
                <w:szCs w:val="24"/>
              </w:rPr>
            </w:pPr>
            <w:r>
              <w:rPr>
                <w:rFonts w:ascii="宋体"/>
                <w:sz w:val="24"/>
              </w:rPr>
              <w:t> </w:t>
            </w:r>
          </w:p>
        </w:tc>
      </w:tr>
      <w:tr>
        <w:trPr>
          <w:trHeight w:val="37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政务行业</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sz w:val="24"/>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335,307,762.69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41.73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4" w:right="0"/>
              <w:jc w:val="left"/>
              <w:rPr>
                <w:rFonts w:ascii="Times New Roman" w:hAnsi="Times New Roman" w:cs="Times New Roman" w:eastAsia="Times New Roman" w:hint="default"/>
                <w:sz w:val="21"/>
                <w:szCs w:val="21"/>
              </w:rPr>
            </w:pPr>
            <w:r>
              <w:rPr>
                <w:rFonts w:ascii="Times New Roman"/>
                <w:sz w:val="21"/>
              </w:rPr>
              <w:t>233,395,342.95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43.6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43.67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1" w:right="0"/>
              <w:jc w:val="left"/>
              <w:rPr>
                <w:rFonts w:ascii="宋体" w:hAnsi="宋体" w:cs="宋体" w:eastAsia="宋体" w:hint="default"/>
                <w:sz w:val="24"/>
                <w:szCs w:val="24"/>
              </w:rPr>
            </w:pPr>
            <w:r>
              <w:rPr>
                <w:rFonts w:ascii="宋体"/>
                <w:sz w:val="24"/>
              </w:rPr>
              <w:t> </w:t>
            </w:r>
          </w:p>
        </w:tc>
      </w:tr>
      <w:tr>
        <w:trPr>
          <w:trHeight w:val="37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民生行业</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sz w:val="24"/>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13,484,411.44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1.68</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9" w:right="0"/>
              <w:jc w:val="left"/>
              <w:rPr>
                <w:rFonts w:ascii="Times New Roman" w:hAnsi="Times New Roman" w:cs="Times New Roman" w:eastAsia="Times New Roman" w:hint="default"/>
                <w:sz w:val="21"/>
                <w:szCs w:val="21"/>
              </w:rPr>
            </w:pPr>
            <w:r>
              <w:rPr>
                <w:rFonts w:ascii="Times New Roman"/>
                <w:sz w:val="21"/>
              </w:rPr>
              <w:t>84,253,905.68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15.74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-84.00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1" w:right="0"/>
              <w:jc w:val="left"/>
              <w:rPr>
                <w:rFonts w:ascii="宋体" w:hAnsi="宋体" w:cs="宋体" w:eastAsia="宋体" w:hint="default"/>
                <w:sz w:val="24"/>
                <w:szCs w:val="24"/>
              </w:rPr>
            </w:pPr>
            <w:r>
              <w:rPr>
                <w:rFonts w:ascii="宋体"/>
                <w:sz w:val="24"/>
              </w:rPr>
              <w:t> </w:t>
            </w:r>
          </w:p>
        </w:tc>
      </w:tr>
      <w:tr>
        <w:trPr>
          <w:trHeight w:val="372"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其他行业</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4"/>
                <w:szCs w:val="24"/>
              </w:rPr>
            </w:pPr>
            <w:r>
              <w:rPr>
                <w:rFonts w:ascii="宋体"/>
                <w:sz w:val="24"/>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30,310,940.90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z w:val="21"/>
              </w:rPr>
              <w:t>3.77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5" w:right="0"/>
              <w:jc w:val="left"/>
              <w:rPr>
                <w:rFonts w:ascii="Times New Roman" w:hAnsi="Times New Roman" w:cs="Times New Roman" w:eastAsia="Times New Roman" w:hint="default"/>
                <w:sz w:val="21"/>
                <w:szCs w:val="21"/>
              </w:rPr>
            </w:pPr>
            <w:r>
              <w:rPr>
                <w:rFonts w:ascii="Times New Roman"/>
                <w:sz w:val="21"/>
              </w:rPr>
              <w:t>3,154,178.99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0.59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z w:val="21"/>
              </w:rPr>
              <w:t>860.98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24"/>
                <w:szCs w:val="24"/>
              </w:rPr>
            </w:pPr>
            <w:r>
              <w:rPr>
                <w:rFonts w:ascii="宋体"/>
                <w:sz w:val="24"/>
              </w:rPr>
              <w:t> </w:t>
            </w:r>
          </w:p>
        </w:tc>
      </w:tr>
      <w:tr>
        <w:trPr>
          <w:trHeight w:val="37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sz w:val="24"/>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803,603,116.48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100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4" w:right="0"/>
              <w:jc w:val="left"/>
              <w:rPr>
                <w:rFonts w:ascii="Times New Roman" w:hAnsi="Times New Roman" w:cs="Times New Roman" w:eastAsia="Times New Roman" w:hint="default"/>
                <w:sz w:val="21"/>
                <w:szCs w:val="21"/>
              </w:rPr>
            </w:pPr>
            <w:r>
              <w:rPr>
                <w:rFonts w:ascii="Times New Roman"/>
                <w:sz w:val="21"/>
              </w:rPr>
              <w:t>535,335,255.60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50.11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1" w:right="0"/>
              <w:jc w:val="left"/>
              <w:rPr>
                <w:rFonts w:ascii="宋体" w:hAnsi="宋体" w:cs="宋体" w:eastAsia="宋体" w:hint="default"/>
                <w:sz w:val="24"/>
                <w:szCs w:val="24"/>
              </w:rPr>
            </w:pPr>
            <w:r>
              <w:rPr>
                <w:rFonts w:ascii="宋体"/>
                <w:sz w:val="24"/>
              </w:rPr>
              <w:t> </w:t>
            </w:r>
          </w:p>
        </w:tc>
      </w:tr>
      <w:tr>
        <w:trPr>
          <w:trHeight w:val="370" w:hRule="exact"/>
        </w:trPr>
        <w:tc>
          <w:tcPr>
            <w:tcW w:w="90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0" w:right="0"/>
              <w:jc w:val="center"/>
              <w:rPr>
                <w:rFonts w:ascii="宋体" w:hAnsi="宋体" w:cs="宋体" w:eastAsia="宋体" w:hint="default"/>
                <w:sz w:val="24"/>
                <w:szCs w:val="24"/>
              </w:rPr>
            </w:pPr>
            <w:r>
              <w:rPr>
                <w:rFonts w:ascii="宋体" w:hAnsi="宋体" w:cs="宋体" w:eastAsia="宋体" w:hint="default"/>
                <w:sz w:val="24"/>
                <w:szCs w:val="24"/>
              </w:rPr>
              <w:t>分产品情况</w:t>
            </w:r>
            <w:r>
              <w:rPr>
                <w:rFonts w:ascii="宋体" w:hAnsi="宋体" w:cs="宋体" w:eastAsia="宋体" w:hint="default"/>
                <w:sz w:val="24"/>
                <w:szCs w:val="24"/>
              </w:rPr>
              <w:t> </w:t>
            </w:r>
          </w:p>
        </w:tc>
      </w:tr>
      <w:tr>
        <w:trPr>
          <w:trHeight w:val="18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分产品</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155" w:right="48"/>
              <w:jc w:val="both"/>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构成</w:t>
            </w:r>
            <w:r>
              <w:rPr>
                <w:rFonts w:ascii="宋体" w:hAnsi="宋体" w:cs="宋体" w:eastAsia="宋体" w:hint="default"/>
                <w:spacing w:val="-103"/>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110" w:right="113"/>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132" w:right="79"/>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65" w:right="115"/>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14" w:lineRule="auto"/>
              <w:ind w:left="384" w:right="283"/>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73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4"/>
                <w:szCs w:val="24"/>
              </w:rPr>
            </w:pPr>
            <w:r>
              <w:rPr>
                <w:rFonts w:ascii="宋体" w:hAnsi="宋体" w:cs="宋体" w:eastAsia="宋体" w:hint="default"/>
                <w:spacing w:val="40"/>
                <w:sz w:val="21"/>
                <w:szCs w:val="21"/>
              </w:rPr>
              <w:t>互联网</w:t>
            </w:r>
            <w:r>
              <w:rPr>
                <w:rFonts w:ascii="宋体" w:hAnsi="宋体" w:cs="宋体" w:eastAsia="宋体" w:hint="default"/>
                <w:spacing w:val="-37"/>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政务</w:t>
            </w:r>
            <w:r>
              <w:rPr>
                <w:rFonts w:ascii="宋体" w:hAnsi="宋体" w:cs="宋体" w:eastAsia="宋体" w:hint="default"/>
                <w:sz w:val="24"/>
                <w:szCs w:val="24"/>
              </w:rPr>
              <w:t> </w:t>
            </w:r>
          </w:p>
        </w:tc>
        <w:tc>
          <w:tcPr>
            <w:tcW w:w="74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304,825,971.25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37.93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197,447,589.61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36.88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54.38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1" w:right="0"/>
              <w:jc w:val="left"/>
              <w:rPr>
                <w:rFonts w:ascii="宋体" w:hAnsi="宋体" w:cs="宋体" w:eastAsia="宋体" w:hint="default"/>
                <w:sz w:val="24"/>
                <w:szCs w:val="24"/>
              </w:rPr>
            </w:pPr>
            <w:r>
              <w:rPr>
                <w:rFonts w:ascii="宋体"/>
                <w:sz w:val="24"/>
              </w:rPr>
              <w:t> </w:t>
            </w:r>
          </w:p>
        </w:tc>
      </w:tr>
      <w:tr>
        <w:trPr>
          <w:trHeight w:val="372"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pacing w:val="-76"/>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共</w:t>
            </w:r>
          </w:p>
        </w:tc>
        <w:tc>
          <w:tcPr>
            <w:tcW w:w="74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436,574,227.38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54.33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4" w:right="0"/>
              <w:jc w:val="left"/>
              <w:rPr>
                <w:rFonts w:ascii="Times New Roman" w:hAnsi="Times New Roman" w:cs="Times New Roman" w:eastAsia="Times New Roman" w:hint="default"/>
                <w:sz w:val="21"/>
                <w:szCs w:val="21"/>
              </w:rPr>
            </w:pPr>
            <w:r>
              <w:rPr>
                <w:rFonts w:ascii="Times New Roman"/>
                <w:sz w:val="21"/>
              </w:rPr>
              <w:t>244,356,232.45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45.65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78.66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1" w:right="0"/>
              <w:jc w:val="left"/>
              <w:rPr>
                <w:rFonts w:ascii="宋体" w:hAnsi="宋体" w:cs="宋体" w:eastAsia="宋体" w:hint="default"/>
                <w:sz w:val="24"/>
                <w:szCs w:val="24"/>
              </w:rPr>
            </w:pPr>
            <w:r>
              <w:rPr>
                <w:rFonts w:ascii="宋体"/>
                <w:sz w:val="24"/>
              </w:rPr>
              <w:t> </w:t>
            </w:r>
          </w:p>
        </w:tc>
      </w:tr>
    </w:tbl>
    <w:p>
      <w:pPr>
        <w:spacing w:after="0" w:line="240" w:lineRule="auto"/>
        <w:jc w:val="left"/>
        <w:rPr>
          <w:rFonts w:ascii="宋体" w:hAnsi="宋体" w:cs="宋体" w:eastAsia="宋体" w:hint="default"/>
          <w:sz w:val="24"/>
          <w:szCs w:val="24"/>
        </w:rPr>
        <w:sectPr>
          <w:pgSz w:w="11910" w:h="16840"/>
          <w:pgMar w:header="855" w:footer="979" w:top="1120" w:bottom="1160" w:left="1060" w:right="1600"/>
        </w:sectPr>
      </w:pPr>
    </w:p>
    <w:p>
      <w:pPr>
        <w:spacing w:line="240" w:lineRule="auto" w:before="0"/>
        <w:rPr>
          <w:rFonts w:ascii="宋体" w:hAnsi="宋体" w:cs="宋体" w:eastAsia="宋体" w:hint="default"/>
          <w:sz w:val="24"/>
          <w:szCs w:val="24"/>
        </w:rPr>
      </w:pPr>
    </w:p>
    <w:tbl>
      <w:tblPr>
        <w:tblW w:w="0" w:type="auto"/>
        <w:jc w:val="left"/>
        <w:tblInd w:w="243" w:type="dxa"/>
        <w:tblLayout w:type="fixed"/>
        <w:tblCellMar>
          <w:top w:w="0" w:type="dxa"/>
          <w:left w:w="0" w:type="dxa"/>
          <w:bottom w:w="0" w:type="dxa"/>
          <w:right w:w="0" w:type="dxa"/>
        </w:tblCellMar>
        <w:tblLook w:val="01E0"/>
      </w:tblPr>
      <w:tblGrid>
        <w:gridCol w:w="1140"/>
        <w:gridCol w:w="742"/>
        <w:gridCol w:w="1601"/>
        <w:gridCol w:w="869"/>
        <w:gridCol w:w="1570"/>
        <w:gridCol w:w="907"/>
        <w:gridCol w:w="977"/>
        <w:gridCol w:w="1205"/>
      </w:tblGrid>
      <w:tr>
        <w:trPr>
          <w:trHeight w:val="37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1"/>
                <w:szCs w:val="21"/>
              </w:rPr>
              <w:t>安全</w:t>
            </w:r>
            <w:r>
              <w:rPr>
                <w:rFonts w:ascii="宋体" w:hAnsi="宋体" w:cs="宋体" w:eastAsia="宋体" w:hint="default"/>
                <w:sz w:val="24"/>
                <w:szCs w:val="24"/>
              </w:rPr>
              <w:t> </w:t>
            </w:r>
          </w:p>
        </w:tc>
        <w:tc>
          <w:tcPr>
            <w:tcW w:w="74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1"/>
                <w:szCs w:val="21"/>
              </w:rPr>
              <w:t>创新业务</w:t>
            </w:r>
            <w:r>
              <w:rPr>
                <w:rFonts w:ascii="宋体" w:hAnsi="宋体" w:cs="宋体" w:eastAsia="宋体" w:hint="default"/>
                <w:sz w:val="24"/>
                <w:szCs w:val="24"/>
              </w:rPr>
              <w:t> </w:t>
            </w:r>
          </w:p>
        </w:tc>
        <w:tc>
          <w:tcPr>
            <w:tcW w:w="74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22,455,197.45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2.79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91,866,028.97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17.16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-75.56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1" w:right="0"/>
              <w:jc w:val="left"/>
              <w:rPr>
                <w:rFonts w:ascii="宋体" w:hAnsi="宋体" w:cs="宋体" w:eastAsia="宋体" w:hint="default"/>
                <w:sz w:val="24"/>
                <w:szCs w:val="24"/>
              </w:rPr>
            </w:pPr>
            <w:r>
              <w:rPr>
                <w:rFonts w:ascii="宋体"/>
                <w:sz w:val="24"/>
              </w:rPr>
              <w:t> </w:t>
            </w:r>
          </w:p>
        </w:tc>
      </w:tr>
      <w:tr>
        <w:trPr>
          <w:trHeight w:val="372"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4"/>
                <w:szCs w:val="24"/>
              </w:rPr>
            </w:pPr>
            <w:r>
              <w:rPr>
                <w:rFonts w:ascii="宋体" w:hAnsi="宋体" w:cs="宋体" w:eastAsia="宋体" w:hint="default"/>
                <w:sz w:val="21"/>
                <w:szCs w:val="21"/>
              </w:rPr>
              <w:t>其他</w:t>
            </w:r>
            <w:r>
              <w:rPr>
                <w:rFonts w:ascii="宋体" w:hAnsi="宋体" w:cs="宋体" w:eastAsia="宋体" w:hint="default"/>
                <w:sz w:val="24"/>
                <w:szCs w:val="24"/>
              </w:rPr>
              <w:t> </w:t>
            </w:r>
          </w:p>
        </w:tc>
        <w:tc>
          <w:tcPr>
            <w:tcW w:w="74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39,747,720.40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z w:val="21"/>
              </w:rPr>
              <w:t>4.95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1,665,404.57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0.31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2,286.67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24"/>
                <w:szCs w:val="24"/>
              </w:rPr>
            </w:pPr>
            <w:r>
              <w:rPr>
                <w:rFonts w:ascii="宋体"/>
                <w:sz w:val="24"/>
              </w:rPr>
              <w:t> </w:t>
            </w:r>
          </w:p>
        </w:tc>
      </w:tr>
      <w:tr>
        <w:trPr>
          <w:trHeight w:val="37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总计</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803,603,116.48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100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535,335,255.60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50.11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1" w:right="0"/>
              <w:jc w:val="left"/>
              <w:rPr>
                <w:rFonts w:ascii="宋体" w:hAnsi="宋体" w:cs="宋体" w:eastAsia="宋体" w:hint="default"/>
                <w:sz w:val="24"/>
                <w:szCs w:val="24"/>
              </w:rPr>
            </w:pPr>
            <w:r>
              <w:rPr>
                <w:rFonts w:ascii="宋体"/>
                <w:sz w:val="24"/>
              </w:rPr>
              <w:t> </w:t>
            </w:r>
          </w:p>
        </w:tc>
      </w:tr>
    </w:tbl>
    <w:p>
      <w:pPr>
        <w:pStyle w:val="BodyText"/>
        <w:spacing w:line="239" w:lineRule="exact"/>
        <w:ind w:left="356" w:right="0"/>
        <w:jc w:val="left"/>
        <w:rPr>
          <w:rFonts w:ascii="宋体" w:hAnsi="宋体" w:cs="宋体" w:eastAsia="宋体" w:hint="default"/>
        </w:rPr>
      </w:pPr>
      <w:r>
        <w:rPr>
          <w:rFonts w:ascii="宋体"/>
          <w:w w:val="100"/>
        </w:rPr>
        <w:t> </w:t>
      </w:r>
    </w:p>
    <w:p>
      <w:pPr>
        <w:pStyle w:val="BodyText"/>
        <w:spacing w:line="307" w:lineRule="auto"/>
        <w:ind w:left="777" w:right="0" w:hanging="421"/>
        <w:jc w:val="left"/>
      </w:pPr>
      <w:r>
        <w:rPr/>
        <w:t>成本分析其他情况说明</w:t>
      </w:r>
      <w:r>
        <w:rPr>
          <w:rFonts w:ascii="宋体" w:hAnsi="宋体" w:cs="宋体" w:eastAsia="宋体" w:hint="default"/>
          <w:w w:val="100"/>
        </w:rPr>
        <w:t> </w:t>
      </w:r>
      <w:r>
        <w:rPr>
          <w:spacing w:val="-2"/>
        </w:rPr>
        <w:t>公司为客户提供包括软件开发、系统集成和技术服务等在内综合解决方案。报告期内，城市</w:t>
      </w:r>
      <w:r>
        <w:rPr/>
      </w:r>
    </w:p>
    <w:p>
      <w:pPr>
        <w:pStyle w:val="BodyText"/>
        <w:spacing w:line="297" w:lineRule="auto" w:before="26"/>
        <w:ind w:left="356" w:right="0"/>
        <w:jc w:val="left"/>
      </w:pPr>
      <w:r>
        <w:rPr/>
        <w:t>公共安全业务增长</w:t>
      </w:r>
      <w:r>
        <w:rPr>
          <w:spacing w:val="-55"/>
        </w:rPr>
        <w:t> </w:t>
      </w:r>
      <w:r>
        <w:rPr>
          <w:rFonts w:ascii="Times New Roman" w:hAnsi="Times New Roman" w:cs="Times New Roman" w:eastAsia="Times New Roman" w:hint="default"/>
        </w:rPr>
        <w:t>81.50%</w:t>
      </w:r>
      <w:r>
        <w:rPr/>
        <w:t>，因该类业务硬件占比较高毛利率为</w:t>
      </w:r>
      <w:r>
        <w:rPr>
          <w:spacing w:val="-54"/>
        </w:rPr>
        <w:t> </w:t>
      </w:r>
      <w:r>
        <w:rPr>
          <w:rFonts w:ascii="Times New Roman" w:hAnsi="Times New Roman" w:cs="Times New Roman" w:eastAsia="Times New Roman" w:hint="default"/>
        </w:rPr>
        <w:t>35.32%</w:t>
      </w:r>
      <w:r>
        <w:rPr/>
        <w:t>相对较低</w:t>
      </w:r>
      <w:r>
        <w:rPr>
          <w:spacing w:val="-3"/>
        </w:rPr>
        <w:t> </w:t>
      </w:r>
      <w:r>
        <w:rPr>
          <w:spacing w:val="-4"/>
        </w:rPr>
        <w:t>，导致公司的营</w:t>
      </w:r>
      <w:r>
        <w:rPr>
          <w:w w:val="100"/>
        </w:rPr>
        <w:t> </w:t>
      </w:r>
      <w:r>
        <w:rPr/>
        <w:t>业成本增长较快。</w:t>
      </w:r>
    </w:p>
    <w:p>
      <w:pPr>
        <w:pStyle w:val="Heading3"/>
        <w:spacing w:line="266" w:lineRule="exact"/>
        <w:ind w:left="837" w:right="0"/>
        <w:jc w:val="left"/>
      </w:pPr>
      <w:r>
        <w:rPr/>
        <w:t>  </w:t>
      </w:r>
    </w:p>
    <w:p>
      <w:pPr>
        <w:pStyle w:val="Heading4"/>
        <w:tabs>
          <w:tab w:pos="923" w:val="left" w:leader="none"/>
        </w:tabs>
        <w:spacing w:line="240" w:lineRule="auto" w:before="61"/>
        <w:ind w:left="356" w:right="0"/>
        <w:jc w:val="left"/>
        <w:rPr>
          <w:b w:val="0"/>
          <w:bCs w:val="0"/>
        </w:rPr>
      </w:pPr>
      <w:r>
        <w:rPr>
          <w:rFonts w:ascii="Times New Roman" w:hAnsi="Times New Roman" w:cs="Times New Roman" w:eastAsia="Times New Roman" w:hint="default"/>
          <w:spacing w:val="-1"/>
        </w:rPr>
        <w:t>(4).</w:t>
        <w:tab/>
      </w:r>
      <w:r>
        <w:rPr>
          <w:spacing w:val="-1"/>
        </w:rPr>
        <w:t>主要销售客户及主要供应商情况</w:t>
      </w:r>
      <w:r>
        <w:rPr>
          <w:b w:val="0"/>
          <w:bCs w:val="0"/>
          <w:spacing w:val="-1"/>
        </w:rPr>
      </w:r>
    </w:p>
    <w:p>
      <w:pPr>
        <w:pStyle w:val="BodyText"/>
        <w:spacing w:line="240" w:lineRule="auto" w:before="43"/>
        <w:ind w:left="35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97" w:lineRule="auto" w:before="73"/>
        <w:ind w:left="356" w:right="186"/>
        <w:jc w:val="left"/>
        <w:rPr>
          <w:rFonts w:ascii="宋体" w:hAnsi="宋体" w:cs="宋体" w:eastAsia="宋体" w:hint="default"/>
        </w:rPr>
      </w:pPr>
      <w:r>
        <w:rPr/>
        <w:t>前五名客户销售额</w:t>
      </w:r>
      <w:r>
        <w:rPr>
          <w:spacing w:val="-38"/>
        </w:rPr>
        <w:t> </w:t>
      </w:r>
      <w:r>
        <w:rPr>
          <w:rFonts w:ascii="Times New Roman" w:hAnsi="Times New Roman" w:cs="Times New Roman" w:eastAsia="Times New Roman" w:hint="default"/>
        </w:rPr>
        <w:t>46,348.84</w:t>
      </w:r>
      <w:r>
        <w:rPr>
          <w:rFonts w:ascii="Times New Roman" w:hAnsi="Times New Roman" w:cs="Times New Roman" w:eastAsia="Times New Roman" w:hint="default"/>
          <w:spacing w:val="15"/>
        </w:rPr>
        <w:t> </w:t>
      </w:r>
      <w:r>
        <w:rPr>
          <w:spacing w:val="-6"/>
        </w:rPr>
        <w:t>万元，占年度销售总额</w:t>
      </w:r>
      <w:r>
        <w:rPr>
          <w:spacing w:val="-41"/>
        </w:rPr>
        <w:t> </w:t>
      </w:r>
      <w:r>
        <w:rPr>
          <w:rFonts w:ascii="Times New Roman" w:hAnsi="Times New Roman" w:cs="Times New Roman" w:eastAsia="Times New Roman" w:hint="default"/>
          <w:spacing w:val="-4"/>
        </w:rPr>
        <w:t>33.73</w:t>
      </w:r>
      <w:r>
        <w:rPr>
          <w:rFonts w:ascii="宋体" w:hAnsi="宋体" w:cs="宋体" w:eastAsia="宋体" w:hint="default"/>
          <w:spacing w:val="-4"/>
        </w:rPr>
        <w:t>%</w:t>
      </w:r>
      <w:r>
        <w:rPr>
          <w:spacing w:val="-4"/>
        </w:rPr>
        <w:t>；其中前五名客户销售额中关联方销售</w:t>
      </w:r>
      <w:r>
        <w:rPr>
          <w:spacing w:val="-99"/>
        </w:rPr>
        <w:t> </w:t>
      </w:r>
      <w:r>
        <w:rPr>
          <w:spacing w:val="-99"/>
        </w:rPr>
      </w:r>
      <w:r>
        <w:rPr/>
        <w:t>额</w:t>
      </w:r>
      <w:r>
        <w:rPr>
          <w:spacing w:val="-52"/>
        </w:rPr>
        <w:t> </w:t>
      </w:r>
      <w:r>
        <w:rPr>
          <w:rFonts w:ascii="Times New Roman" w:hAnsi="Times New Roman" w:cs="Times New Roman" w:eastAsia="Times New Roman" w:hint="default"/>
        </w:rPr>
        <w:t>0 </w:t>
      </w:r>
      <w:r>
        <w:rPr/>
        <w:t>万元，占年度销售总额</w:t>
      </w:r>
      <w:r>
        <w:rPr>
          <w:spacing w:val="-53"/>
        </w:rPr>
        <w:t> </w:t>
      </w:r>
      <w:r>
        <w:rPr>
          <w:rFonts w:ascii="Times New Roman" w:hAnsi="Times New Roman" w:cs="Times New Roman" w:eastAsia="Times New Roman" w:hint="default"/>
        </w:rPr>
        <w:t>0 </w:t>
      </w:r>
      <w:r>
        <w:rPr>
          <w:rFonts w:ascii="Times New Roman" w:hAnsi="Times New Roman" w:cs="Times New Roman" w:eastAsia="Times New Roman" w:hint="default"/>
          <w:spacing w:val="-4"/>
        </w:rPr>
        <w:t>%</w:t>
      </w:r>
      <w:r>
        <w:rPr>
          <w:spacing w:val="-4"/>
        </w:rPr>
        <w:t>。</w:t>
      </w:r>
      <w:r>
        <w:rPr>
          <w:rFonts w:ascii="宋体" w:hAnsi="宋体" w:cs="宋体" w:eastAsia="宋体" w:hint="default"/>
        </w:rPr>
        <w:t> </w:t>
      </w:r>
    </w:p>
    <w:p>
      <w:pPr>
        <w:pStyle w:val="BodyText"/>
        <w:spacing w:line="211" w:lineRule="exact"/>
        <w:ind w:left="356" w:right="0"/>
        <w:jc w:val="left"/>
        <w:rPr>
          <w:rFonts w:ascii="宋体" w:hAnsi="宋体" w:cs="宋体" w:eastAsia="宋体" w:hint="default"/>
        </w:rPr>
      </w:pPr>
      <w:r>
        <w:rPr>
          <w:rFonts w:ascii="宋体"/>
          <w:w w:val="100"/>
        </w:rPr>
        <w:t> </w:t>
      </w:r>
    </w:p>
    <w:p>
      <w:pPr>
        <w:pStyle w:val="BodyText"/>
        <w:spacing w:line="297" w:lineRule="auto" w:before="75"/>
        <w:ind w:left="356" w:right="0"/>
        <w:jc w:val="left"/>
        <w:rPr>
          <w:rFonts w:ascii="宋体" w:hAnsi="宋体" w:cs="宋体" w:eastAsia="宋体" w:hint="default"/>
        </w:rPr>
      </w:pPr>
      <w:r>
        <w:rPr/>
        <w:t>前五名供应商采购额</w:t>
      </w:r>
      <w:r>
        <w:rPr>
          <w:spacing w:val="-39"/>
        </w:rPr>
        <w:t> </w:t>
      </w:r>
      <w:r>
        <w:rPr>
          <w:rFonts w:ascii="Times New Roman" w:hAnsi="Times New Roman" w:cs="Times New Roman" w:eastAsia="Times New Roman" w:hint="default"/>
        </w:rPr>
        <w:t>8,176.24</w:t>
      </w:r>
      <w:r>
        <w:rPr>
          <w:rFonts w:ascii="Times New Roman" w:hAnsi="Times New Roman" w:cs="Times New Roman" w:eastAsia="Times New Roman" w:hint="default"/>
          <w:spacing w:val="14"/>
        </w:rPr>
        <w:t> </w:t>
      </w:r>
      <w:r>
        <w:rPr>
          <w:spacing w:val="-5"/>
        </w:rPr>
        <w:t>万元，占年度采购总额</w:t>
      </w:r>
      <w:r>
        <w:rPr>
          <w:spacing w:val="-41"/>
        </w:rPr>
        <w:t> </w:t>
      </w:r>
      <w:r>
        <w:rPr>
          <w:rFonts w:ascii="Times New Roman" w:hAnsi="Times New Roman" w:cs="Times New Roman" w:eastAsia="Times New Roman" w:hint="default"/>
          <w:spacing w:val="-3"/>
        </w:rPr>
        <w:t>15.17%</w:t>
      </w:r>
      <w:r>
        <w:rPr>
          <w:spacing w:val="-3"/>
        </w:rPr>
        <w:t>；其中前五名供应商采购额中关联方</w:t>
      </w:r>
      <w:r>
        <w:rPr>
          <w:spacing w:val="-99"/>
        </w:rPr>
        <w:t> </w:t>
      </w:r>
      <w:r>
        <w:rPr>
          <w:spacing w:val="-99"/>
        </w:rPr>
      </w:r>
      <w:r>
        <w:rPr/>
        <w:t>采购额</w:t>
      </w:r>
      <w:r>
        <w:rPr>
          <w:spacing w:val="-54"/>
        </w:rPr>
        <w:t> </w:t>
      </w:r>
      <w:r>
        <w:rPr>
          <w:rFonts w:ascii="Times New Roman" w:hAnsi="Times New Roman" w:cs="Times New Roman" w:eastAsia="Times New Roman" w:hint="default"/>
        </w:rPr>
        <w:t>3,034.40</w:t>
      </w:r>
      <w:r>
        <w:rPr>
          <w:rFonts w:ascii="Times New Roman" w:hAnsi="Times New Roman" w:cs="Times New Roman" w:eastAsia="Times New Roman" w:hint="default"/>
          <w:spacing w:val="-5"/>
        </w:rPr>
        <w:t> </w:t>
      </w:r>
      <w:r>
        <w:rPr/>
        <w:t>万元，占年度采购总额</w:t>
      </w:r>
      <w:r>
        <w:rPr>
          <w:spacing w:val="-54"/>
        </w:rPr>
        <w:t> </w:t>
      </w:r>
      <w:r>
        <w:rPr>
          <w:rFonts w:ascii="Times New Roman" w:hAnsi="Times New Roman" w:cs="Times New Roman" w:eastAsia="Times New Roman" w:hint="default"/>
        </w:rPr>
        <w:t>5.63%</w:t>
      </w:r>
      <w:r>
        <w:rPr/>
        <w:t>。</w:t>
      </w:r>
      <w:r>
        <w:rPr>
          <w:rFonts w:ascii="宋体" w:hAnsi="宋体" w:cs="宋体" w:eastAsia="宋体" w:hint="default"/>
        </w:rPr>
        <w:t> </w:t>
      </w:r>
    </w:p>
    <w:p>
      <w:pPr>
        <w:pStyle w:val="BodyText"/>
        <w:spacing w:line="242" w:lineRule="auto" w:before="13"/>
        <w:ind w:left="356" w:right="8159"/>
        <w:jc w:val="left"/>
        <w:rPr>
          <w:rFonts w:ascii="宋体" w:hAnsi="宋体" w:cs="宋体" w:eastAsia="宋体" w:hint="default"/>
          <w:sz w:val="24"/>
          <w:szCs w:val="24"/>
        </w:rPr>
      </w:pPr>
      <w:r>
        <w:rPr>
          <w:rFonts w:ascii="宋体" w:hAnsi="宋体" w:cs="宋体" w:eastAsia="宋体" w:hint="default"/>
          <w:w w:val="100"/>
        </w:rPr>
        <w:t>  </w:t>
      </w:r>
      <w:r>
        <w:rPr/>
        <w:t>其他说明   </w:t>
      </w:r>
      <w:r>
        <w:rPr>
          <w:spacing w:val="103"/>
        </w:rPr>
        <w:t> </w:t>
      </w:r>
      <w:r>
        <w:rPr>
          <w:rFonts w:ascii="宋体" w:hAnsi="宋体" w:cs="宋体" w:eastAsia="宋体" w:hint="default"/>
          <w:spacing w:val="103"/>
        </w:rPr>
      </w:r>
      <w:r>
        <w:rPr>
          <w:w w:val="100"/>
        </w:rPr>
        <w:t>无</w:t>
      </w:r>
      <w:r>
        <w:rPr>
          <w:rFonts w:ascii="宋体" w:hAnsi="宋体" w:cs="宋体" w:eastAsia="宋体" w:hint="default"/>
          <w:sz w:val="24"/>
          <w:szCs w:val="24"/>
        </w:rPr>
        <w:t> </w:t>
      </w:r>
    </w:p>
    <w:p>
      <w:pPr>
        <w:pStyle w:val="Heading4"/>
        <w:tabs>
          <w:tab w:pos="777" w:val="left" w:leader="none"/>
        </w:tabs>
        <w:spacing w:line="240" w:lineRule="auto" w:before="56"/>
        <w:ind w:left="356"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56"/>
        <w:ind w:left="35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0" w:lineRule="exact"/>
        <w:ind w:left="0" w:right="7749"/>
        <w:jc w:val="center"/>
      </w:pPr>
      <w:r>
        <w:rPr/>
        <w:t> </w:t>
      </w: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99"/>
        <w:gridCol w:w="1599"/>
        <w:gridCol w:w="1567"/>
        <w:gridCol w:w="1193"/>
        <w:gridCol w:w="3344"/>
      </w:tblGrid>
      <w:tr>
        <w:trPr>
          <w:trHeight w:val="73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增减比率</w:t>
            </w:r>
          </w:p>
          <w:p>
            <w:pPr>
              <w:pStyle w:val="TableParagraph"/>
              <w:spacing w:line="240" w:lineRule="auto" w:before="85"/>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55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7,324,649.82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9,582,598.24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-23.56</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主要系报告期内增值税会计政策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变更的原因所致</w:t>
            </w:r>
            <w:r>
              <w:rPr>
                <w:rFonts w:ascii="宋体" w:hAnsi="宋体" w:cs="宋体" w:eastAsia="宋体" w:hint="default"/>
                <w:sz w:val="21"/>
                <w:szCs w:val="21"/>
              </w:rPr>
              <w:t> </w:t>
            </w:r>
          </w:p>
        </w:tc>
      </w:tr>
      <w:tr>
        <w:trPr>
          <w:trHeight w:val="55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92,336,341.88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56,974,256.64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62.07</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主要系报告期内加强营销体系建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设，营销人员薪酬增加所致。</w:t>
            </w:r>
            <w:r>
              <w:rPr>
                <w:rFonts w:ascii="宋体" w:hAnsi="宋体" w:cs="宋体" w:eastAsia="宋体" w:hint="default"/>
                <w:sz w:val="21"/>
                <w:szCs w:val="21"/>
              </w:rPr>
              <w:t> </w:t>
            </w:r>
          </w:p>
        </w:tc>
      </w:tr>
      <w:tr>
        <w:trPr>
          <w:trHeight w:val="55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165,007,130.17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134,915,189.08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22.30</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主要系报告期内人员规模扩大，管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理人员的数量与薪酬增加所致。</w:t>
            </w:r>
            <w:r>
              <w:rPr>
                <w:rFonts w:ascii="宋体" w:hAnsi="宋体" w:cs="宋体" w:eastAsia="宋体" w:hint="default"/>
                <w:sz w:val="21"/>
                <w:szCs w:val="21"/>
              </w:rPr>
              <w:t> </w:t>
            </w:r>
          </w:p>
        </w:tc>
      </w:tr>
      <w:tr>
        <w:trPr>
          <w:trHeight w:val="82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75,063,537.48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45,779,686.48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63.97</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主要系报告期内研发费用化投入</w:t>
            </w:r>
            <w:r>
              <w:rPr>
                <w:rFonts w:ascii="宋体" w:hAnsi="宋体" w:cs="宋体" w:eastAsia="宋体" w:hint="default"/>
                <w:sz w:val="21"/>
                <w:szCs w:val="21"/>
              </w:rPr>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pacing w:val="10"/>
                <w:sz w:val="21"/>
                <w:szCs w:val="21"/>
              </w:rPr>
              <w:t>增加及自主研发无形资产摊销增</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加所致。</w:t>
            </w:r>
            <w:r>
              <w:rPr>
                <w:rFonts w:ascii="宋体" w:hAnsi="宋体" w:cs="宋体" w:eastAsia="宋体" w:hint="default"/>
                <w:sz w:val="21"/>
                <w:szCs w:val="21"/>
              </w:rPr>
              <w:t> </w:t>
            </w:r>
          </w:p>
        </w:tc>
      </w:tr>
      <w:tr>
        <w:trPr>
          <w:trHeight w:val="82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-12,807,159.57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-2,711,834.95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-372.27</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主要系报告期内长期应收款未确</w:t>
            </w:r>
            <w:r>
              <w:rPr>
                <w:rFonts w:ascii="宋体" w:hAnsi="宋体" w:cs="宋体" w:eastAsia="宋体" w:hint="default"/>
                <w:sz w:val="21"/>
                <w:szCs w:val="21"/>
              </w:rPr>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0"/>
                <w:sz w:val="21"/>
                <w:szCs w:val="21"/>
              </w:rPr>
              <w:t>认融资收益摊销的财务利息收入</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增加所致。</w:t>
            </w:r>
            <w:r>
              <w:rPr>
                <w:rFonts w:ascii="宋体" w:hAnsi="宋体" w:cs="宋体" w:eastAsia="宋体" w:hint="default"/>
                <w:sz w:val="21"/>
                <w:szCs w:val="21"/>
              </w:rPr>
              <w:t> </w:t>
            </w:r>
          </w:p>
        </w:tc>
      </w:tr>
      <w:tr>
        <w:trPr>
          <w:trHeight w:val="55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信用减值损失</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-18,432,168.93</w:t>
            </w:r>
          </w:p>
        </w:tc>
        <w:tc>
          <w:tcPr>
            <w:tcW w:w="156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主要系报告期内根据新金融工具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准则的规定变更报表列示科目</w:t>
            </w:r>
            <w:r>
              <w:rPr>
                <w:rFonts w:ascii="宋体" w:hAnsi="宋体" w:cs="宋体" w:eastAsia="宋体" w:hint="default"/>
                <w:sz w:val="21"/>
                <w:szCs w:val="21"/>
              </w:rPr>
              <w:t> </w:t>
            </w:r>
          </w:p>
        </w:tc>
      </w:tr>
      <w:tr>
        <w:trPr>
          <w:trHeight w:val="55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-824,135.26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-17,759,912.50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95.36</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主要系报告期内根据新金融工具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准则的规定变更报表列示科目。</w:t>
            </w:r>
            <w:r>
              <w:rPr>
                <w:rFonts w:ascii="宋体" w:hAnsi="宋体" w:cs="宋体" w:eastAsia="宋体" w:hint="default"/>
                <w:sz w:val="21"/>
                <w:szCs w:val="21"/>
              </w:rPr>
              <w:t> </w:t>
            </w:r>
          </w:p>
        </w:tc>
      </w:tr>
      <w:tr>
        <w:trPr>
          <w:trHeight w:val="557"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30,271,951.92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48,596,294.24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-37.71</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主要系报告期内子公司新增享受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所得税优惠政策所致。</w:t>
            </w:r>
            <w:r>
              <w:rPr>
                <w:rFonts w:ascii="宋体" w:hAnsi="宋体" w:cs="宋体" w:eastAsia="宋体" w:hint="default"/>
                <w:sz w:val="21"/>
                <w:szCs w:val="21"/>
              </w:rPr>
              <w:t> </w:t>
            </w:r>
          </w:p>
        </w:tc>
      </w:tr>
    </w:tbl>
    <w:p>
      <w:pPr>
        <w:pStyle w:val="Heading3"/>
        <w:spacing w:line="274" w:lineRule="exact"/>
        <w:ind w:left="356" w:right="0"/>
        <w:jc w:val="left"/>
      </w:pPr>
      <w:r>
        <w:rPr/>
        <w:t> </w:t>
      </w:r>
    </w:p>
    <w:p>
      <w:pPr>
        <w:spacing w:after="0" w:line="274" w:lineRule="exact"/>
        <w:jc w:val="left"/>
        <w:sectPr>
          <w:pgSz w:w="11910" w:h="16840"/>
          <w:pgMar w:header="855" w:footer="979" w:top="1120" w:bottom="1160" w:left="920" w:right="14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5" w:footer="979" w:top="1120" w:bottom="1160" w:left="1040" w:right="1560"/>
        </w:sectPr>
      </w:pPr>
    </w:p>
    <w:p>
      <w:pPr>
        <w:pStyle w:val="Heading4"/>
        <w:tabs>
          <w:tab w:pos="657" w:val="left" w:leader="none"/>
        </w:tabs>
        <w:spacing w:line="240" w:lineRule="auto" w:before="36"/>
        <w:ind w:left="236"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2347" w:space="5647"/>
            <w:col w:w="1316"/>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35,818,701.70</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62,707,680.89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98,526,382.59</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7.14</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751</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研发</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占</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人</w:t>
            </w:r>
            <w:r>
              <w:rPr>
                <w:rFonts w:ascii="宋体" w:hAnsi="宋体" w:cs="宋体" w:eastAsia="宋体" w:hint="default"/>
                <w:w w:val="100"/>
                <w:sz w:val="21"/>
                <w:szCs w:val="21"/>
              </w:rPr>
              <w:t>数的</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28.51</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63.65</w:t>
            </w:r>
          </w:p>
        </w:tc>
      </w:tr>
    </w:tbl>
    <w:p>
      <w:pPr>
        <w:pStyle w:val="Heading4"/>
        <w:spacing w:line="240" w:lineRule="auto" w:before="26"/>
        <w:ind w:left="2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3"/>
        <w:spacing w:line="240" w:lineRule="auto" w:before="53"/>
        <w:ind w:right="0"/>
        <w:jc w:val="left"/>
      </w:pPr>
      <w:r>
        <w:rPr/>
        <w:t> </w:t>
      </w:r>
    </w:p>
    <w:p>
      <w:pPr>
        <w:pStyle w:val="Heading4"/>
        <w:tabs>
          <w:tab w:pos="657" w:val="left" w:leader="none"/>
        </w:tabs>
        <w:spacing w:line="240" w:lineRule="auto" w:before="61"/>
        <w:ind w:left="236"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58"/>
        <w:ind w:left="2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9" w:lineRule="exact"/>
        <w:ind w:right="0"/>
        <w:jc w:val="left"/>
      </w:pPr>
      <w:r>
        <w:rPr/>
        <w:t> </w:t>
      </w: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695"/>
        <w:gridCol w:w="1702"/>
        <w:gridCol w:w="1702"/>
        <w:gridCol w:w="1133"/>
        <w:gridCol w:w="2847"/>
      </w:tblGrid>
      <w:tr>
        <w:trPr>
          <w:trHeight w:val="730"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增长比率</w:t>
            </w:r>
          </w:p>
          <w:p>
            <w:pPr>
              <w:pStyle w:val="TableParagraph"/>
              <w:spacing w:line="240" w:lineRule="auto" w:before="85"/>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828"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0"/>
              <w:ind w:left="100" w:right="99"/>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-121,994,386.47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-269,780,968.06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54.78</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主要系报告期内业务增长销</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0"/>
                <w:w w:val="100"/>
                <w:sz w:val="21"/>
                <w:szCs w:val="21"/>
              </w:rPr>
              <w:t>售回款增加、加强供应商账期</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管理对外支付减少所致。</w:t>
            </w:r>
            <w:r>
              <w:rPr>
                <w:rFonts w:ascii="宋体" w:hAnsi="宋体" w:cs="宋体" w:eastAsia="宋体" w:hint="default"/>
                <w:sz w:val="21"/>
                <w:szCs w:val="21"/>
              </w:rPr>
              <w:t> </w:t>
            </w:r>
          </w:p>
        </w:tc>
      </w:tr>
      <w:tr>
        <w:trPr>
          <w:trHeight w:val="730"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99"/>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-271,564,712.26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37,001,695.69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-833.93</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102"/>
              <w:jc w:val="left"/>
              <w:rPr>
                <w:rFonts w:ascii="宋体" w:hAnsi="宋体" w:cs="宋体" w:eastAsia="宋体" w:hint="default"/>
                <w:sz w:val="21"/>
                <w:szCs w:val="21"/>
              </w:rPr>
            </w:pPr>
            <w:r>
              <w:rPr>
                <w:rFonts w:ascii="宋体" w:hAnsi="宋体" w:cs="宋体" w:eastAsia="宋体" w:hint="default"/>
                <w:spacing w:val="6"/>
                <w:sz w:val="21"/>
                <w:szCs w:val="21"/>
              </w:rPr>
              <w:t>主要系报告期内收回理财投</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资的现金流入减少所致。</w:t>
            </w:r>
            <w:r>
              <w:rPr>
                <w:rFonts w:ascii="宋体" w:hAnsi="宋体" w:cs="宋体" w:eastAsia="宋体" w:hint="default"/>
                <w:sz w:val="21"/>
                <w:szCs w:val="21"/>
              </w:rPr>
              <w:t> </w:t>
            </w:r>
          </w:p>
        </w:tc>
      </w:tr>
      <w:tr>
        <w:trPr>
          <w:trHeight w:val="730"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99"/>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555,024,153.40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568,812,078.50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-2.42</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102"/>
              <w:jc w:val="left"/>
              <w:rPr>
                <w:rFonts w:ascii="宋体" w:hAnsi="宋体" w:cs="宋体" w:eastAsia="宋体" w:hint="default"/>
                <w:sz w:val="21"/>
                <w:szCs w:val="21"/>
              </w:rPr>
            </w:pPr>
            <w:r>
              <w:rPr>
                <w:rFonts w:ascii="宋体" w:hAnsi="宋体" w:cs="宋体" w:eastAsia="宋体" w:hint="default"/>
                <w:spacing w:val="6"/>
                <w:sz w:val="21"/>
                <w:szCs w:val="21"/>
              </w:rPr>
              <w:t>主要系报告期内筹资活动现</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金流流出增加所致</w:t>
            </w:r>
            <w:r>
              <w:rPr>
                <w:rFonts w:ascii="宋体" w:hAnsi="宋体" w:cs="宋体" w:eastAsia="宋体" w:hint="default"/>
                <w:sz w:val="21"/>
                <w:szCs w:val="21"/>
              </w:rPr>
              <w:t> </w:t>
            </w:r>
          </w:p>
        </w:tc>
      </w:tr>
    </w:tbl>
    <w:p>
      <w:pPr>
        <w:pStyle w:val="Heading3"/>
        <w:spacing w:line="274" w:lineRule="exact"/>
        <w:ind w:right="0"/>
        <w:jc w:val="left"/>
      </w:pPr>
      <w:r>
        <w:rPr/>
        <w:t> </w:t>
      </w:r>
    </w:p>
    <w:p>
      <w:pPr>
        <w:pStyle w:val="Heading4"/>
        <w:spacing w:line="240" w:lineRule="auto"/>
        <w:ind w:left="236" w:right="0"/>
        <w:jc w:val="left"/>
        <w:rPr>
          <w:b w:val="0"/>
          <w:bCs w:val="0"/>
        </w:rPr>
      </w:pPr>
      <w:r>
        <w:rPr>
          <w:rFonts w:ascii="宋体" w:hAnsi="宋体" w:cs="宋体" w:eastAsia="宋体" w:hint="default"/>
        </w:rPr>
        <w:t>(</w:t>
      </w:r>
      <w:r>
        <w:rPr/>
        <w:t>二</w:t>
      </w:r>
      <w:r>
        <w:rPr>
          <w:rFonts w:ascii="宋体" w:hAnsi="宋体" w:cs="宋体" w:eastAsia="宋体" w:hint="default"/>
        </w:rPr>
        <w:t>)</w:t>
      </w:r>
      <w:r>
        <w:rPr/>
        <w:t>非主营业务导致利润重大变化的说明</w:t>
      </w:r>
      <w:r>
        <w:rPr>
          <w:b w:val="0"/>
          <w:bCs w:val="0"/>
        </w:rPr>
      </w:r>
    </w:p>
    <w:p>
      <w:pPr>
        <w:pStyle w:val="BodyText"/>
        <w:spacing w:line="240" w:lineRule="auto" w:before="56"/>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40" w:right="1560"/>
        </w:sectPr>
      </w:pPr>
    </w:p>
    <w:p>
      <w:pPr>
        <w:pStyle w:val="Heading3"/>
        <w:spacing w:line="240" w:lineRule="auto" w:before="111"/>
        <w:ind w:left="224" w:right="0"/>
        <w:jc w:val="left"/>
      </w:pPr>
      <w:r>
        <w:rPr/>
        <w:t> </w:t>
      </w:r>
    </w:p>
    <w:p>
      <w:pPr>
        <w:pStyle w:val="Heading4"/>
        <w:spacing w:line="240" w:lineRule="auto" w:before="61"/>
        <w:ind w:left="224" w:right="-17"/>
        <w:jc w:val="left"/>
        <w:rPr>
          <w:b w:val="0"/>
          <w:bCs w:val="0"/>
        </w:rPr>
      </w:pPr>
      <w:r>
        <w:rPr>
          <w:rFonts w:ascii="宋体" w:hAnsi="宋体" w:cs="宋体" w:eastAsia="宋体" w:hint="default"/>
        </w:rPr>
        <w:t>(</w:t>
      </w:r>
      <w:r>
        <w:rPr/>
        <w:t>三</w:t>
      </w:r>
      <w:r>
        <w:rPr>
          <w:rFonts w:ascii="宋体" w:hAnsi="宋体" w:cs="宋体" w:eastAsia="宋体" w:hint="default"/>
        </w:rPr>
        <w:t>)</w:t>
      </w:r>
      <w:r>
        <w:rPr/>
        <w:t>资产、负债情况分析</w:t>
      </w:r>
      <w:r>
        <w:rPr>
          <w:b w:val="0"/>
          <w:bCs w:val="0"/>
        </w:rPr>
      </w:r>
    </w:p>
    <w:p>
      <w:pPr>
        <w:tabs>
          <w:tab w:pos="649" w:val="left" w:leader="none"/>
        </w:tabs>
        <w:spacing w:line="290" w:lineRule="auto" w:before="58"/>
        <w:ind w:left="224" w:right="31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77"/>
        <w:ind w:left="224"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14"/>
          <w:footerReference w:type="default" r:id="rId15"/>
          <w:pgSz w:w="16840" w:h="11910" w:orient="landscape"/>
          <w:pgMar w:header="855" w:footer="980" w:top="1120" w:bottom="1160" w:left="1300" w:right="1220"/>
          <w:pgNumType w:start="26"/>
          <w:cols w:num="2" w:equalWidth="0">
            <w:col w:w="2548" w:space="10486"/>
            <w:col w:w="1286"/>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80"/>
        <w:gridCol w:w="1584"/>
        <w:gridCol w:w="1585"/>
        <w:gridCol w:w="1586"/>
        <w:gridCol w:w="1440"/>
        <w:gridCol w:w="1730"/>
        <w:gridCol w:w="4585"/>
      </w:tblGrid>
      <w:tr>
        <w:trPr>
          <w:trHeight w:val="97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8" w:right="152"/>
              <w:jc w:val="center"/>
              <w:rPr>
                <w:rFonts w:ascii="宋体" w:hAnsi="宋体" w:cs="宋体" w:eastAsia="宋体" w:hint="default"/>
                <w:sz w:val="21"/>
                <w:szCs w:val="21"/>
              </w:rPr>
            </w:pPr>
            <w:r>
              <w:rPr>
                <w:rFonts w:ascii="宋体" w:hAnsi="宋体" w:cs="宋体" w:eastAsia="宋体" w:hint="default"/>
                <w:spacing w:val="-1"/>
                <w:sz w:val="21"/>
                <w:szCs w:val="21"/>
              </w:rPr>
              <w:t>本期期末数占</w:t>
            </w:r>
            <w:r>
              <w:rPr>
                <w:rFonts w:ascii="宋体" w:hAnsi="宋体" w:cs="宋体" w:eastAsia="宋体" w:hint="default"/>
                <w:w w:val="100"/>
                <w:sz w:val="21"/>
                <w:szCs w:val="21"/>
              </w:rPr>
              <w:t> </w:t>
            </w:r>
            <w:r>
              <w:rPr>
                <w:rFonts w:ascii="宋体" w:hAnsi="宋体" w:cs="宋体" w:eastAsia="宋体" w:hint="default"/>
                <w:spacing w:val="-1"/>
                <w:sz w:val="21"/>
                <w:szCs w:val="21"/>
              </w:rPr>
              <w:t>总资产的比例</w:t>
            </w:r>
          </w:p>
          <w:p>
            <w:pPr>
              <w:pStyle w:val="TableParagraph"/>
              <w:spacing w:line="287" w:lineRule="exact"/>
              <w:ind w:left="7"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0"/>
              <w:ind w:left="191" w:right="183"/>
              <w:jc w:val="both"/>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0"/>
              <w:ind w:left="127" w:right="117"/>
              <w:jc w:val="center"/>
              <w:rPr>
                <w:rFonts w:ascii="宋体" w:hAnsi="宋体" w:cs="宋体" w:eastAsia="宋体" w:hint="default"/>
                <w:sz w:val="21"/>
                <w:szCs w:val="21"/>
              </w:rPr>
            </w:pPr>
            <w:r>
              <w:rPr>
                <w:rFonts w:ascii="宋体" w:hAnsi="宋体" w:cs="宋体" w:eastAsia="宋体" w:hint="default"/>
                <w:spacing w:val="-1"/>
                <w:sz w:val="21"/>
                <w:szCs w:val="21"/>
              </w:rPr>
              <w:t>本期期末金额较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上期期末变动比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28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1,920,405.10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0.05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100.00</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主要系报告期内应收票据重分类加所致</w:t>
            </w:r>
            <w:r>
              <w:rPr>
                <w:rFonts w:ascii="宋体" w:hAnsi="宋体" w:cs="宋体" w:eastAsia="宋体" w:hint="default"/>
                <w:sz w:val="21"/>
                <w:szCs w:val="21"/>
              </w:rPr>
              <w:t> </w:t>
            </w:r>
          </w:p>
        </w:tc>
      </w:tr>
      <w:tr>
        <w:trPr>
          <w:trHeight w:val="55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484,797,355.58</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12.72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243,682,583.12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8.14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98.95</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主要系报告期内验收的项目增加以及未到收款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节点金额增加</w:t>
            </w:r>
            <w:r>
              <w:rPr>
                <w:rFonts w:ascii="宋体" w:hAnsi="宋体" w:cs="宋体" w:eastAsia="宋体" w:hint="default"/>
                <w:sz w:val="21"/>
                <w:szCs w:val="21"/>
              </w:rPr>
              <w:t> </w:t>
            </w:r>
          </w:p>
        </w:tc>
      </w:tr>
      <w:tr>
        <w:trPr>
          <w:trHeight w:val="28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11,119,996.35</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0.29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17,532,076.25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0.59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-36.57</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主要系报告期内预付货款减少所致</w:t>
            </w:r>
            <w:r>
              <w:rPr>
                <w:rFonts w:ascii="宋体" w:hAnsi="宋体" w:cs="宋体" w:eastAsia="宋体" w:hint="default"/>
                <w:sz w:val="21"/>
                <w:szCs w:val="21"/>
              </w:rPr>
              <w:t> </w:t>
            </w:r>
          </w:p>
        </w:tc>
      </w:tr>
      <w:tr>
        <w:trPr>
          <w:trHeight w:val="55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323,728,802.32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8.49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482,156,808.68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16.11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-32.86</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主要系报告期内在建项目不同，投入的成本减少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55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一年内到期的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150,620,793.35</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3.95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w w:val="100"/>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w w:val="100"/>
                <w:sz w:val="21"/>
              </w:rPr>
              <w:t>-</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100.00</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主要系报告期内长期应收款重分类为一年内到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期的非流动资产所致</w:t>
            </w:r>
            <w:r>
              <w:rPr>
                <w:rFonts w:ascii="宋体" w:hAnsi="宋体" w:cs="宋体" w:eastAsia="宋体" w:hint="default"/>
                <w:sz w:val="21"/>
                <w:szCs w:val="21"/>
              </w:rPr>
              <w:t> </w:t>
            </w:r>
          </w:p>
        </w:tc>
      </w:tr>
      <w:tr>
        <w:trPr>
          <w:trHeight w:val="28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147,117,207.27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3.86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82,961,615.43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2.77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77.33</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主要系报告期内未到期的理财产品增加所致</w:t>
            </w:r>
            <w:r>
              <w:rPr>
                <w:rFonts w:ascii="宋体" w:hAnsi="宋体" w:cs="宋体" w:eastAsia="宋体" w:hint="default"/>
                <w:sz w:val="21"/>
                <w:szCs w:val="21"/>
              </w:rPr>
              <w:t> </w:t>
            </w:r>
          </w:p>
        </w:tc>
      </w:tr>
      <w:tr>
        <w:trPr>
          <w:trHeight w:val="55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289,452,674.15</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z w:val="21"/>
              </w:rPr>
              <w:t>7.59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195,522,147.61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z w:val="21"/>
              </w:rPr>
              <w:t>6.53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z w:val="21"/>
              </w:rPr>
              <w:t>48.04</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主要系报告期内对外投资增加及享有其权益变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动所致</w:t>
            </w:r>
            <w:r>
              <w:rPr>
                <w:rFonts w:ascii="宋体" w:hAnsi="宋体" w:cs="宋体" w:eastAsia="宋体" w:hint="default"/>
                <w:sz w:val="21"/>
                <w:szCs w:val="21"/>
              </w:rPr>
              <w:t> </w:t>
            </w:r>
          </w:p>
        </w:tc>
      </w:tr>
      <w:tr>
        <w:trPr>
          <w:trHeight w:val="55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4,153,972.29</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0.11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9,376,590.56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0.31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-55.70</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主要系报告期内在建工程完工转入固定资产所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致</w:t>
            </w:r>
            <w:r>
              <w:rPr>
                <w:rFonts w:ascii="宋体" w:hAnsi="宋体" w:cs="宋体" w:eastAsia="宋体" w:hint="default"/>
                <w:sz w:val="21"/>
                <w:szCs w:val="21"/>
              </w:rPr>
              <w:t> </w:t>
            </w:r>
          </w:p>
        </w:tc>
      </w:tr>
      <w:tr>
        <w:trPr>
          <w:trHeight w:val="28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190,378,857.24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4.99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133,540,580.83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4.46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42.56</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主要系报告期内自主研发项目结项所致</w:t>
            </w:r>
            <w:r>
              <w:rPr>
                <w:rFonts w:ascii="宋体" w:hAnsi="宋体" w:cs="宋体" w:eastAsia="宋体" w:hint="default"/>
                <w:sz w:val="21"/>
                <w:szCs w:val="21"/>
              </w:rPr>
              <w:t> </w:t>
            </w:r>
          </w:p>
        </w:tc>
      </w:tr>
      <w:tr>
        <w:trPr>
          <w:trHeight w:val="28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7,816,835.69</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0.21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1,640,129.31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0.05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376.60</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主要系报告期内装修费增加所致</w:t>
            </w:r>
            <w:r>
              <w:rPr>
                <w:rFonts w:ascii="宋体" w:hAnsi="宋体" w:cs="宋体" w:eastAsia="宋体" w:hint="default"/>
                <w:sz w:val="21"/>
                <w:szCs w:val="21"/>
              </w:rPr>
              <w:t> </w:t>
            </w:r>
          </w:p>
        </w:tc>
      </w:tr>
      <w:tr>
        <w:trPr>
          <w:trHeight w:val="55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递延所得税资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26,652,431.61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0.70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19,546,478.82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0.65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36.35</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主要系报告期内计提资产减值准备形成的可抵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扣暂时性差异所致</w:t>
            </w:r>
            <w:r>
              <w:rPr>
                <w:rFonts w:ascii="宋体" w:hAnsi="宋体" w:cs="宋体" w:eastAsia="宋体" w:hint="default"/>
                <w:sz w:val="21"/>
                <w:szCs w:val="21"/>
              </w:rPr>
              <w:t> </w:t>
            </w:r>
          </w:p>
        </w:tc>
      </w:tr>
      <w:tr>
        <w:trPr>
          <w:trHeight w:val="28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19,532,734.25</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0.51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32,258,187.27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1.08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-39.45</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主要系报告期内归还借款所致</w:t>
            </w:r>
            <w:r>
              <w:rPr>
                <w:rFonts w:ascii="宋体" w:hAnsi="宋体" w:cs="宋体" w:eastAsia="宋体" w:hint="default"/>
                <w:sz w:val="21"/>
                <w:szCs w:val="21"/>
              </w:rPr>
              <w:t> </w:t>
            </w:r>
          </w:p>
        </w:tc>
      </w:tr>
      <w:tr>
        <w:trPr>
          <w:trHeight w:val="55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交易性金融负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z w:val="21"/>
              </w:rPr>
              <w:t>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z w:val="21"/>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z w:val="21"/>
              </w:rPr>
              <w:t>0.10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主要系报告期子公司转让的股权预计回购价变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动所致</w:t>
            </w:r>
            <w:r>
              <w:rPr>
                <w:rFonts w:ascii="宋体" w:hAnsi="宋体" w:cs="宋体" w:eastAsia="宋体" w:hint="default"/>
                <w:sz w:val="21"/>
                <w:szCs w:val="21"/>
              </w:rPr>
              <w:t> </w:t>
            </w:r>
          </w:p>
        </w:tc>
      </w:tr>
      <w:tr>
        <w:trPr>
          <w:trHeight w:val="28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128,980,916.60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3.38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91,517,931.60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3.06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40.94</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主要系报告期内应交的增值税增加所致</w:t>
            </w:r>
            <w:r>
              <w:rPr>
                <w:rFonts w:ascii="宋体" w:hAnsi="宋体" w:cs="宋体" w:eastAsia="宋体" w:hint="default"/>
                <w:sz w:val="21"/>
                <w:szCs w:val="21"/>
              </w:rPr>
              <w:t> </w:t>
            </w:r>
          </w:p>
        </w:tc>
      </w:tr>
      <w:tr>
        <w:trPr>
          <w:trHeight w:val="28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一年内到期的</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139,369,118.54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3.66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55,823,267.50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1.87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149.66</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主要系报告期划分为一年内到期的子公司转让</w:t>
            </w:r>
          </w:p>
        </w:tc>
      </w:tr>
    </w:tbl>
    <w:p>
      <w:pPr>
        <w:spacing w:after="0" w:line="241" w:lineRule="exact"/>
        <w:jc w:val="left"/>
        <w:rPr>
          <w:rFonts w:ascii="宋体" w:hAnsi="宋体" w:cs="宋体" w:eastAsia="宋体" w:hint="default"/>
          <w:sz w:val="21"/>
          <w:szCs w:val="21"/>
        </w:rPr>
        <w:sectPr>
          <w:type w:val="continuous"/>
          <w:pgSz w:w="16840" w:h="11910" w:orient="landscape"/>
          <w:pgMar w:top="1500" w:bottom="280" w:left="1300" w:right="1220"/>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580"/>
        <w:gridCol w:w="1584"/>
        <w:gridCol w:w="1585"/>
        <w:gridCol w:w="1586"/>
        <w:gridCol w:w="1440"/>
        <w:gridCol w:w="1730"/>
        <w:gridCol w:w="4585"/>
      </w:tblGrid>
      <w:tr>
        <w:trPr>
          <w:trHeight w:val="28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股权赎回价所致</w:t>
            </w:r>
            <w:r>
              <w:rPr>
                <w:rFonts w:ascii="宋体" w:hAnsi="宋体" w:cs="宋体" w:eastAsia="宋体" w:hint="default"/>
                <w:sz w:val="21"/>
                <w:szCs w:val="21"/>
              </w:rPr>
              <w:t> </w:t>
            </w:r>
          </w:p>
        </w:tc>
      </w:tr>
      <w:tr>
        <w:trPr>
          <w:trHeight w:val="28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485,788,885.59</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12.74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100.00</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主要系报告期发行可转换公司债券所致</w:t>
            </w:r>
            <w:r>
              <w:rPr>
                <w:rFonts w:ascii="宋体" w:hAnsi="宋体" w:cs="宋体" w:eastAsia="宋体" w:hint="default"/>
                <w:sz w:val="21"/>
                <w:szCs w:val="21"/>
              </w:rPr>
              <w:t> </w:t>
            </w:r>
          </w:p>
        </w:tc>
      </w:tr>
      <w:tr>
        <w:trPr>
          <w:trHeight w:val="55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84,169,802.50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2.21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209,824,635.34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7.01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-59.89</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主要系报告期内重分类为一年内到期的非流动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负债增加所致</w:t>
            </w:r>
            <w:r>
              <w:rPr>
                <w:rFonts w:ascii="宋体" w:hAnsi="宋体" w:cs="宋体" w:eastAsia="宋体" w:hint="default"/>
                <w:sz w:val="21"/>
                <w:szCs w:val="21"/>
              </w:rPr>
              <w:t> </w:t>
            </w:r>
          </w:p>
        </w:tc>
      </w:tr>
      <w:tr>
        <w:trPr>
          <w:trHeight w:val="55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16,353,622.22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0.43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4,023,852.66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0.13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306.42</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主要系报告期内收到与资产相关的政府补助增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加所致</w:t>
            </w:r>
            <w:r>
              <w:rPr>
                <w:rFonts w:ascii="宋体" w:hAnsi="宋体" w:cs="宋体" w:eastAsia="宋体" w:hint="default"/>
                <w:sz w:val="21"/>
                <w:szCs w:val="21"/>
              </w:rPr>
              <w:t> </w:t>
            </w:r>
          </w:p>
        </w:tc>
      </w:tr>
      <w:tr>
        <w:trPr>
          <w:trHeight w:val="55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递延所得税负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28,361,359.13</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0.74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16,831,783.07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0.56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68.50</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主要系报告期内分期收款项目验收增加形成的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应纳税暂时性差异所致</w:t>
            </w:r>
            <w:r>
              <w:rPr>
                <w:rFonts w:ascii="宋体" w:hAnsi="宋体" w:cs="宋体" w:eastAsia="宋体" w:hint="default"/>
                <w:sz w:val="21"/>
                <w:szCs w:val="21"/>
              </w:rPr>
              <w:t>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2" w:lineRule="exact" w:before="27"/>
        <w:ind w:left="224" w:right="1306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after="0" w:line="272" w:lineRule="exact"/>
        <w:jc w:val="left"/>
        <w:rPr>
          <w:rFonts w:ascii="宋体" w:hAnsi="宋体" w:cs="宋体" w:eastAsia="宋体" w:hint="default"/>
        </w:rPr>
        <w:sectPr>
          <w:pgSz w:w="16840" w:h="11910" w:orient="landscape"/>
          <w:pgMar w:header="855" w:footer="980" w:top="1120" w:bottom="1160" w:left="1300" w:right="1220"/>
        </w:sectPr>
      </w:pPr>
    </w:p>
    <w:p>
      <w:pPr>
        <w:spacing w:before="50"/>
        <w:ind w:left="1313" w:right="0" w:firstLine="0"/>
        <w:jc w:val="left"/>
        <w:rPr>
          <w:rFonts w:ascii="宋体" w:hAnsi="宋体" w:cs="宋体" w:eastAsia="宋体" w:hint="default"/>
          <w:sz w:val="18"/>
          <w:szCs w:val="18"/>
        </w:rPr>
      </w:pPr>
      <w:r>
        <w:rPr/>
        <w:pict>
          <v:shape style="position:absolute;margin-left:71.25pt;margin-top:3.806641pt;width:51.594pt;height:9.235100pt;mso-position-horizontal-relative:page;mso-position-vertical-relative:paragraph;z-index:-1170376" type="#_x0000_t75" stroked="false">
            <v:imagedata r:id="rId18" o:title=""/>
          </v:shape>
        </w:pict>
      </w: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8"/>
          <w:szCs w:val="18"/>
        </w:rPr>
      </w:pPr>
    </w:p>
    <w:p>
      <w:pPr>
        <w:pStyle w:val="Heading3"/>
        <w:spacing w:line="240" w:lineRule="auto" w:before="26"/>
        <w:ind w:left="136" w:right="0"/>
        <w:jc w:val="left"/>
      </w:pPr>
      <w:r>
        <w:rPr/>
        <w:t> </w:t>
      </w:r>
    </w:p>
    <w:p>
      <w:pPr>
        <w:pStyle w:val="Heading4"/>
        <w:tabs>
          <w:tab w:pos="562" w:val="left" w:leader="none"/>
        </w:tabs>
        <w:spacing w:line="240" w:lineRule="auto"/>
        <w:ind w:left="136"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6" w:right="0"/>
        <w:jc w:val="left"/>
        <w:rPr>
          <w:rFonts w:ascii="宋体" w:hAnsi="宋体" w:cs="宋体" w:eastAsia="宋体" w:hint="default"/>
          <w:sz w:val="24"/>
          <w:szCs w:val="24"/>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t>详见第十一节财务报告、合并财务报表项目注释七、（</w:t>
      </w:r>
      <w:r>
        <w:rPr>
          <w:rFonts w:ascii="Times New Roman" w:hAnsi="Times New Roman" w:cs="Times New Roman" w:eastAsia="Times New Roman" w:hint="default"/>
        </w:rPr>
        <w:t>79</w:t>
      </w:r>
      <w:r>
        <w:rPr/>
        <w:t>）</w:t>
      </w:r>
      <w:r>
        <w:rPr>
          <w:rFonts w:ascii="Times New Roman" w:hAnsi="Times New Roman" w:cs="Times New Roman" w:eastAsia="Times New Roman" w:hint="default"/>
        </w:rPr>
        <w:t>“</w:t>
      </w:r>
      <w:r>
        <w:rPr/>
        <w:t>所有权或使用受到限制的资产</w:t>
      </w:r>
      <w:r>
        <w:rPr>
          <w:rFonts w:ascii="Times New Roman" w:hAnsi="Times New Roman" w:cs="Times New Roman" w:eastAsia="Times New Roman" w:hint="default"/>
        </w:rPr>
        <w:t>”</w:t>
      </w:r>
      <w:r>
        <w:rPr>
          <w:rFonts w:ascii="宋体" w:hAnsi="宋体" w:cs="宋体" w:eastAsia="宋体" w:hint="default"/>
          <w:sz w:val="24"/>
          <w:szCs w:val="24"/>
        </w:rPr>
        <w:t> </w:t>
      </w:r>
    </w:p>
    <w:p>
      <w:pPr>
        <w:pStyle w:val="Heading3"/>
        <w:spacing w:line="288" w:lineRule="exact"/>
        <w:ind w:left="136" w:right="0"/>
        <w:jc w:val="left"/>
      </w:pPr>
      <w:r>
        <w:rPr/>
        <w:t> </w:t>
      </w:r>
    </w:p>
    <w:p>
      <w:pPr>
        <w:pStyle w:val="Heading4"/>
        <w:tabs>
          <w:tab w:pos="562" w:val="left" w:leader="none"/>
        </w:tabs>
        <w:spacing w:line="240" w:lineRule="auto"/>
        <w:ind w:left="136"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56"/>
        <w:ind w:left="136"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136" w:right="0"/>
        <w:jc w:val="left"/>
      </w:pPr>
      <w:r>
        <w:rPr/>
        <w:t> </w:t>
      </w:r>
    </w:p>
    <w:p>
      <w:pPr>
        <w:pStyle w:val="Heading4"/>
        <w:spacing w:line="240" w:lineRule="auto" w:before="61"/>
        <w:ind w:left="136" w:right="0"/>
        <w:jc w:val="left"/>
        <w:rPr>
          <w:b w:val="0"/>
          <w:bCs w:val="0"/>
        </w:rPr>
      </w:pPr>
      <w:r>
        <w:rPr>
          <w:rFonts w:ascii="宋体" w:hAnsi="宋体" w:cs="宋体" w:eastAsia="宋体" w:hint="default"/>
        </w:rPr>
        <w:t>(</w:t>
      </w:r>
      <w:r>
        <w:rPr/>
        <w:t>四</w:t>
      </w:r>
      <w:r>
        <w:rPr>
          <w:rFonts w:ascii="宋体" w:hAnsi="宋体" w:cs="宋体" w:eastAsia="宋体" w:hint="default"/>
        </w:rPr>
        <w:t>)</w:t>
      </w:r>
      <w:r>
        <w:rPr/>
        <w:t>行业经营性信息分析</w:t>
      </w:r>
      <w:r>
        <w:rPr>
          <w:b w:val="0"/>
          <w:bCs w:val="0"/>
        </w:rPr>
      </w:r>
    </w:p>
    <w:p>
      <w:pPr>
        <w:pStyle w:val="BodyText"/>
        <w:spacing w:line="272" w:lineRule="exact" w:before="86"/>
        <w:ind w:left="136" w:right="3425"/>
        <w:jc w:val="left"/>
        <w:rPr>
          <w:rFonts w:ascii="宋体" w:hAnsi="宋体" w:cs="宋体" w:eastAsia="宋体" w:hint="default"/>
          <w:sz w:val="24"/>
          <w:szCs w:val="24"/>
        </w:rPr>
      </w:pPr>
      <w:r>
        <w:rPr/>
        <w:t>√适用 </w:t>
      </w:r>
      <w:r>
        <w:rPr>
          <w:rFonts w:ascii="宋体" w:hAnsi="宋体" w:cs="宋体" w:eastAsia="宋体" w:hint="default"/>
        </w:rPr>
      </w:r>
      <w:r>
        <w:rPr/>
        <w:t>□不适用</w:t>
      </w:r>
      <w:r>
        <w:rPr>
          <w:spacing w:val="-104"/>
        </w:rPr>
        <w:t> </w:t>
      </w:r>
      <w:r>
        <w:rPr>
          <w:rFonts w:ascii="宋体" w:hAnsi="宋体" w:cs="宋体" w:eastAsia="宋体" w:hint="default"/>
          <w:spacing w:val="-104"/>
        </w:rPr>
      </w:r>
      <w:r>
        <w:rPr>
          <w:rFonts w:ascii="宋体" w:hAnsi="宋体" w:cs="宋体" w:eastAsia="宋体" w:hint="default"/>
          <w:spacing w:val="-104"/>
          <w:sz w:val="24"/>
          <w:szCs w:val="24"/>
        </w:rPr>
      </w:r>
      <w:r>
        <w:rPr/>
        <w:t>详见第三节公司业务概要中行业情况说明。</w:t>
      </w:r>
      <w:r>
        <w:rPr>
          <w:rFonts w:ascii="宋体" w:hAnsi="宋体" w:cs="宋体" w:eastAsia="宋体" w:hint="default"/>
          <w:sz w:val="24"/>
          <w:szCs w:val="24"/>
        </w:rPr>
        <w:t> </w:t>
      </w:r>
    </w:p>
    <w:p>
      <w:pPr>
        <w:pStyle w:val="Heading3"/>
        <w:spacing w:line="282" w:lineRule="exact"/>
        <w:ind w:left="136" w:right="0"/>
        <w:jc w:val="left"/>
      </w:pPr>
      <w:r>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0"/>
        <w:ind w:left="2115" w:right="2113" w:firstLine="0"/>
        <w:jc w:val="center"/>
        <w:rPr>
          <w:rFonts w:ascii="Times New Roman" w:hAnsi="Times New Roman" w:cs="Times New Roman" w:eastAsia="Times New Roman" w:hint="default"/>
          <w:sz w:val="18"/>
          <w:szCs w:val="18"/>
        </w:rPr>
      </w:pPr>
      <w:r>
        <w:rPr>
          <w:rFonts w:ascii="Times New Roman"/>
          <w:b/>
          <w:sz w:val="18"/>
        </w:rPr>
        <w:t>28 </w:t>
      </w:r>
      <w:r>
        <w:rPr>
          <w:rFonts w:ascii="Times New Roman"/>
          <w:sz w:val="18"/>
        </w:rPr>
        <w:t>/</w:t>
      </w:r>
      <w:r>
        <w:rPr>
          <w:rFonts w:ascii="Times New Roman"/>
          <w:spacing w:val="-1"/>
          <w:sz w:val="18"/>
        </w:rPr>
        <w:t> </w:t>
      </w:r>
      <w:r>
        <w:rPr>
          <w:rFonts w:ascii="Times New Roman"/>
          <w:b/>
          <w:sz w:val="18"/>
        </w:rPr>
        <w:t>237</w:t>
      </w:r>
      <w:r>
        <w:rPr>
          <w:rFonts w:ascii="Times New Roman"/>
          <w:sz w:val="18"/>
        </w:rPr>
      </w:r>
    </w:p>
    <w:p>
      <w:pPr>
        <w:spacing w:after="0"/>
        <w:jc w:val="center"/>
        <w:rPr>
          <w:rFonts w:ascii="Times New Roman" w:hAnsi="Times New Roman" w:cs="Times New Roman" w:eastAsia="Times New Roman" w:hint="default"/>
          <w:sz w:val="18"/>
          <w:szCs w:val="18"/>
        </w:rPr>
        <w:sectPr>
          <w:headerReference w:type="default" r:id="rId16"/>
          <w:footerReference w:type="default" r:id="rId17"/>
          <w:pgSz w:w="11910" w:h="16840"/>
          <w:pgMar w:header="0" w:footer="0" w:top="760" w:bottom="280" w:left="1140" w:right="1660"/>
        </w:sectPr>
      </w:pPr>
    </w:p>
    <w:p>
      <w:pPr>
        <w:spacing w:line="240" w:lineRule="auto" w:before="0"/>
        <w:rPr>
          <w:rFonts w:ascii="Times New Roman" w:hAnsi="Times New Roman" w:cs="Times New Roman" w:eastAsia="Times New Roman" w:hint="default"/>
          <w:b/>
          <w:bCs/>
          <w:sz w:val="20"/>
          <w:szCs w:val="20"/>
        </w:rPr>
      </w:pPr>
    </w:p>
    <w:p>
      <w:pPr>
        <w:spacing w:line="240" w:lineRule="auto" w:before="8"/>
        <w:rPr>
          <w:rFonts w:ascii="Times New Roman" w:hAnsi="Times New Roman" w:cs="Times New Roman" w:eastAsia="Times New Roman" w:hint="default"/>
          <w:b/>
          <w:bCs/>
          <w:sz w:val="15"/>
          <w:szCs w:val="15"/>
        </w:rPr>
      </w:pPr>
    </w:p>
    <w:p>
      <w:pPr>
        <w:pStyle w:val="Heading4"/>
        <w:spacing w:line="240" w:lineRule="auto" w:before="36"/>
        <w:ind w:left="138" w:right="2819"/>
        <w:jc w:val="left"/>
        <w:rPr>
          <w:b w:val="0"/>
          <w:bCs w:val="0"/>
        </w:rPr>
      </w:pPr>
      <w:r>
        <w:rPr>
          <w:rFonts w:ascii="宋体" w:hAnsi="宋体" w:cs="宋体" w:eastAsia="宋体" w:hint="default"/>
        </w:rPr>
        <w:t>(</w:t>
      </w:r>
      <w:r>
        <w:rPr/>
        <w:t>五</w:t>
      </w:r>
      <w:r>
        <w:rPr>
          <w:rFonts w:ascii="宋体" w:hAnsi="宋体" w:cs="宋体" w:eastAsia="宋体" w:hint="default"/>
        </w:rPr>
        <w:t>)</w:t>
      </w:r>
      <w:r>
        <w:rPr/>
        <w:t>投资状况分析</w:t>
      </w:r>
      <w:r>
        <w:rPr>
          <w:b w:val="0"/>
          <w:bCs w:val="0"/>
        </w:rPr>
      </w:r>
    </w:p>
    <w:p>
      <w:pPr>
        <w:pStyle w:val="Heading4"/>
        <w:spacing w:line="240" w:lineRule="auto" w:before="97"/>
        <w:ind w:left="138" w:right="2819"/>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2819"/>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auto" w:before="37"/>
        <w:ind w:left="138" w:right="0" w:firstLine="479"/>
        <w:jc w:val="left"/>
        <w:rPr>
          <w:rFonts w:ascii="宋体" w:hAnsi="宋体" w:cs="宋体" w:eastAsia="宋体" w:hint="default"/>
        </w:rPr>
      </w:pPr>
      <w:r>
        <w:rPr/>
        <w:t>报告期内，公司新增设立</w:t>
      </w:r>
      <w:r>
        <w:rPr>
          <w:spacing w:val="-56"/>
        </w:rPr>
        <w:t> </w:t>
      </w:r>
      <w:r>
        <w:rPr>
          <w:rFonts w:ascii="宋体" w:hAnsi="宋体" w:cs="宋体" w:eastAsia="宋体" w:hint="default"/>
        </w:rPr>
        <w:t>8</w:t>
      </w:r>
      <w:r>
        <w:rPr>
          <w:rFonts w:ascii="宋体" w:hAnsi="宋体" w:cs="宋体" w:eastAsia="宋体" w:hint="default"/>
          <w:spacing w:val="-54"/>
        </w:rPr>
        <w:t> </w:t>
      </w:r>
      <w:r>
        <w:rPr/>
        <w:t>家境内子公司、</w:t>
      </w:r>
      <w:r>
        <w:rPr>
          <w:rFonts w:ascii="宋体" w:hAnsi="宋体" w:cs="宋体" w:eastAsia="宋体" w:hint="default"/>
        </w:rPr>
        <w:t>1</w:t>
      </w:r>
      <w:r>
        <w:rPr>
          <w:rFonts w:ascii="宋体" w:hAnsi="宋体" w:cs="宋体" w:eastAsia="宋体" w:hint="default"/>
          <w:spacing w:val="-56"/>
        </w:rPr>
        <w:t> </w:t>
      </w:r>
      <w:r>
        <w:rPr/>
        <w:t>家孙公司和</w:t>
      </w:r>
      <w:r>
        <w:rPr>
          <w:spacing w:val="-54"/>
        </w:rPr>
        <w:t> </w:t>
      </w:r>
      <w:r>
        <w:rPr>
          <w:rFonts w:ascii="宋体" w:hAnsi="宋体" w:cs="宋体" w:eastAsia="宋体" w:hint="default"/>
        </w:rPr>
        <w:t>1</w:t>
      </w:r>
      <w:r>
        <w:rPr>
          <w:rFonts w:ascii="宋体" w:hAnsi="宋体" w:cs="宋体" w:eastAsia="宋体" w:hint="default"/>
          <w:spacing w:val="-56"/>
        </w:rPr>
        <w:t> </w:t>
      </w:r>
      <w:r>
        <w:rPr/>
        <w:t>家海外子公司，投资</w:t>
      </w:r>
      <w:r>
        <w:rPr>
          <w:spacing w:val="-53"/>
        </w:rPr>
        <w:t> </w:t>
      </w:r>
      <w:r>
        <w:rPr>
          <w:rFonts w:ascii="宋体" w:hAnsi="宋体" w:cs="宋体" w:eastAsia="宋体" w:hint="default"/>
        </w:rPr>
        <w:t>5</w:t>
      </w:r>
      <w:r>
        <w:rPr>
          <w:rFonts w:ascii="宋体" w:hAnsi="宋体" w:cs="宋体" w:eastAsia="宋体" w:hint="default"/>
          <w:spacing w:val="-54"/>
        </w:rPr>
        <w:t> </w:t>
      </w:r>
      <w:r>
        <w:rPr/>
        <w:t>家联营与</w:t>
      </w:r>
      <w:r>
        <w:rPr>
          <w:w w:val="100"/>
        </w:rPr>
        <w:t> </w:t>
      </w:r>
      <w:r>
        <w:rPr/>
        <w:t>合营企业。</w:t>
      </w:r>
      <w:r>
        <w:rPr>
          <w:rFonts w:ascii="宋体" w:hAnsi="宋体" w:cs="宋体" w:eastAsia="宋体" w:hint="default"/>
        </w:rPr>
        <w:t> </w:t>
      </w:r>
    </w:p>
    <w:p>
      <w:pPr>
        <w:pStyle w:val="Heading3"/>
        <w:spacing w:line="294" w:lineRule="exact"/>
        <w:ind w:left="138" w:right="0"/>
        <w:jc w:val="left"/>
      </w:pPr>
      <w:r>
        <w:rPr/>
        <w:t> </w:t>
      </w:r>
    </w:p>
    <w:p>
      <w:pPr>
        <w:pStyle w:val="Heading4"/>
        <w:spacing w:line="240" w:lineRule="auto" w:before="85"/>
        <w:ind w:left="138" w:right="2819"/>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73" w:lineRule="auto" w:before="97"/>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公司强调开放合作共赢，推出“百城百亿”计划，通过与国有企业、产业优质资源合作伙伴</w:t>
      </w:r>
    </w:p>
    <w:p>
      <w:pPr>
        <w:pStyle w:val="BodyText"/>
        <w:spacing w:line="273" w:lineRule="auto" w:before="7"/>
        <w:ind w:left="138" w:right="0"/>
        <w:jc w:val="left"/>
      </w:pPr>
      <w:r>
        <w:rPr>
          <w:spacing w:val="-1"/>
        </w:rPr>
        <w:t>的强强联手，优势互补、合作共赢，打造区域信息龙头企业，设立区域合资公司，实现平台区域</w:t>
      </w:r>
      <w:r>
        <w:rPr>
          <w:spacing w:val="-55"/>
        </w:rPr>
        <w:t> </w:t>
      </w:r>
      <w:r>
        <w:rPr>
          <w:spacing w:val="-55"/>
        </w:rPr>
      </w:r>
      <w:r>
        <w:rPr/>
        <w:t>化，。报告期内主要投资如下：</w:t>
      </w:r>
    </w:p>
    <w:p>
      <w:pPr>
        <w:pStyle w:val="BodyText"/>
        <w:spacing w:line="240" w:lineRule="auto" w:before="8"/>
        <w:ind w:left="558" w:right="0"/>
        <w:jc w:val="left"/>
        <w:rPr>
          <w:rFonts w:ascii="Times New Roman" w:hAnsi="Times New Roman" w:cs="Times New Roman" w:eastAsia="Times New Roman" w:hint="default"/>
        </w:rPr>
      </w:pPr>
      <w:r>
        <w:rPr>
          <w:rFonts w:ascii="Times New Roman" w:hAnsi="Times New Roman" w:cs="Times New Roman" w:eastAsia="Times New Roman" w:hint="default"/>
          <w:spacing w:val="-6"/>
        </w:rPr>
        <w:t>1</w:t>
      </w:r>
      <w:r>
        <w:rPr>
          <w:spacing w:val="-6"/>
        </w:rPr>
        <w:t>、公司投资 </w:t>
      </w:r>
      <w:r>
        <w:rPr>
          <w:rFonts w:ascii="Times New Roman" w:hAnsi="Times New Roman" w:cs="Times New Roman" w:eastAsia="Times New Roman" w:hint="default"/>
        </w:rPr>
        <w:t>7,000 </w:t>
      </w:r>
      <w:r>
        <w:rPr>
          <w:spacing w:val="-3"/>
        </w:rPr>
        <w:t>万元设立控股子公司河南省南威信息技术集团有限公司，持有该公司</w:t>
      </w:r>
      <w:r>
        <w:rPr>
          <w:spacing w:val="-39"/>
        </w:rPr>
        <w:t> </w:t>
      </w:r>
      <w:r>
        <w:rPr>
          <w:rFonts w:ascii="Times New Roman" w:hAnsi="Times New Roman" w:cs="Times New Roman" w:eastAsia="Times New Roman" w:hint="default"/>
        </w:rPr>
        <w:t>70%</w:t>
      </w:r>
    </w:p>
    <w:p>
      <w:pPr>
        <w:pStyle w:val="BodyText"/>
        <w:spacing w:line="240" w:lineRule="auto" w:before="21"/>
        <w:ind w:left="138" w:right="2819"/>
        <w:jc w:val="left"/>
      </w:pPr>
      <w:r>
        <w:rPr/>
        <w:t>股权，报告期内以自有资金出资</w:t>
      </w:r>
      <w:r>
        <w:rPr>
          <w:spacing w:val="-54"/>
        </w:rPr>
        <w:t> </w:t>
      </w:r>
      <w:r>
        <w:rPr>
          <w:rFonts w:ascii="Times New Roman" w:hAnsi="Times New Roman" w:cs="Times New Roman" w:eastAsia="Times New Roman" w:hint="default"/>
        </w:rPr>
        <w:t>1,400</w:t>
      </w:r>
      <w:r>
        <w:rPr>
          <w:rFonts w:ascii="Times New Roman" w:hAnsi="Times New Roman" w:cs="Times New Roman" w:eastAsia="Times New Roman" w:hint="default"/>
          <w:spacing w:val="-1"/>
        </w:rPr>
        <w:t> </w:t>
      </w:r>
      <w:r>
        <w:rPr/>
        <w:t>万元。</w:t>
      </w:r>
    </w:p>
    <w:p>
      <w:pPr>
        <w:pStyle w:val="BodyText"/>
        <w:spacing w:line="240" w:lineRule="auto" w:before="21"/>
        <w:ind w:left="558" w:right="0"/>
        <w:jc w:val="left"/>
      </w:pPr>
      <w:r>
        <w:rPr>
          <w:rFonts w:ascii="Times New Roman" w:hAnsi="Times New Roman" w:cs="Times New Roman" w:eastAsia="Times New Roman" w:hint="default"/>
        </w:rPr>
        <w:t>2</w:t>
      </w:r>
      <w:r>
        <w:rPr/>
        <w:t>、公司投资 </w:t>
      </w:r>
      <w:r>
        <w:rPr>
          <w:rFonts w:ascii="Times New Roman" w:hAnsi="Times New Roman" w:cs="Times New Roman" w:eastAsia="Times New Roman" w:hint="default"/>
        </w:rPr>
        <w:t>510 </w:t>
      </w:r>
      <w:r>
        <w:rPr>
          <w:rFonts w:ascii="Times New Roman" w:hAnsi="Times New Roman" w:cs="Times New Roman" w:eastAsia="Times New Roman" w:hint="default"/>
          <w:spacing w:val="5"/>
        </w:rPr>
        <w:t> </w:t>
      </w:r>
      <w:r>
        <w:rPr/>
        <w:t>万元设立控股子公司福建省南安智慧城市科技发展有限公司，持有该公司</w:t>
      </w:r>
    </w:p>
    <w:p>
      <w:pPr>
        <w:pStyle w:val="BodyText"/>
        <w:spacing w:line="240" w:lineRule="auto" w:before="21"/>
        <w:ind w:left="138" w:right="2819"/>
        <w:jc w:val="left"/>
      </w:pPr>
      <w:r>
        <w:rPr>
          <w:rFonts w:ascii="Times New Roman" w:hAnsi="Times New Roman" w:cs="Times New Roman" w:eastAsia="Times New Roman" w:hint="default"/>
        </w:rPr>
        <w:t>51%</w:t>
      </w:r>
      <w:r>
        <w:rPr/>
        <w:t>股权，报告期内以自有资金出资</w:t>
      </w:r>
      <w:r>
        <w:rPr>
          <w:spacing w:val="-54"/>
        </w:rPr>
        <w:t> </w:t>
      </w:r>
      <w:r>
        <w:rPr>
          <w:rFonts w:ascii="Times New Roman" w:hAnsi="Times New Roman" w:cs="Times New Roman" w:eastAsia="Times New Roman" w:hint="default"/>
        </w:rPr>
        <w:t>204</w:t>
      </w:r>
      <w:r>
        <w:rPr>
          <w:rFonts w:ascii="Times New Roman" w:hAnsi="Times New Roman" w:cs="Times New Roman" w:eastAsia="Times New Roman" w:hint="default"/>
          <w:spacing w:val="-4"/>
        </w:rPr>
        <w:t> </w:t>
      </w:r>
      <w:r>
        <w:rPr/>
        <w:t>万元。</w:t>
      </w:r>
    </w:p>
    <w:p>
      <w:pPr>
        <w:pStyle w:val="BodyText"/>
        <w:spacing w:line="256" w:lineRule="auto" w:before="21"/>
        <w:ind w:left="138" w:right="98" w:firstLine="419"/>
        <w:jc w:val="left"/>
      </w:pPr>
      <w:r>
        <w:rPr>
          <w:rFonts w:ascii="Times New Roman" w:hAnsi="Times New Roman" w:cs="Times New Roman" w:eastAsia="Times New Roman" w:hint="default"/>
        </w:rPr>
        <w:t>3</w:t>
      </w:r>
      <w:r>
        <w:rPr/>
        <w:t>、公司投资 </w:t>
      </w:r>
      <w:r>
        <w:rPr>
          <w:rFonts w:ascii="Times New Roman" w:hAnsi="Times New Roman" w:cs="Times New Roman" w:eastAsia="Times New Roman" w:hint="default"/>
        </w:rPr>
        <w:t>1,800 </w:t>
      </w:r>
      <w:r>
        <w:rPr/>
        <w:t>万元设立控股子公司上杭智慧杭川科技有限公司，持有该公司</w:t>
      </w:r>
      <w:r>
        <w:rPr>
          <w:spacing w:val="-64"/>
        </w:rPr>
        <w:t> </w:t>
      </w:r>
      <w:r>
        <w:rPr>
          <w:rFonts w:ascii="Times New Roman" w:hAnsi="Times New Roman" w:cs="Times New Roman" w:eastAsia="Times New Roman" w:hint="default"/>
        </w:rPr>
        <w:t>60%</w:t>
      </w:r>
      <w:r>
        <w:rPr/>
        <w:t>股权，</w:t>
      </w:r>
      <w:r>
        <w:rPr>
          <w:w w:val="100"/>
        </w:rPr>
        <w:t> </w:t>
      </w:r>
      <w:r>
        <w:rPr/>
        <w:t>报告期内以自有资金出资</w:t>
      </w:r>
      <w:r>
        <w:rPr>
          <w:spacing w:val="-55"/>
        </w:rPr>
        <w:t> </w:t>
      </w:r>
      <w:r>
        <w:rPr>
          <w:rFonts w:ascii="Times New Roman" w:hAnsi="Times New Roman" w:cs="Times New Roman" w:eastAsia="Times New Roman" w:hint="default"/>
        </w:rPr>
        <w:t>540 </w:t>
      </w:r>
      <w:r>
        <w:rPr/>
        <w:t>万元。</w:t>
      </w:r>
    </w:p>
    <w:p>
      <w:pPr>
        <w:pStyle w:val="BodyText"/>
        <w:spacing w:line="256" w:lineRule="auto" w:before="5"/>
        <w:ind w:left="138" w:right="98" w:firstLine="419"/>
        <w:jc w:val="left"/>
      </w:pPr>
      <w:r>
        <w:rPr>
          <w:rFonts w:ascii="Times New Roman" w:hAnsi="Times New Roman" w:cs="Times New Roman" w:eastAsia="Times New Roman" w:hint="default"/>
        </w:rPr>
        <w:t>4</w:t>
      </w:r>
      <w:r>
        <w:rPr/>
        <w:t>、公司投资 </w:t>
      </w:r>
      <w:r>
        <w:rPr>
          <w:rFonts w:ascii="Times New Roman" w:hAnsi="Times New Roman" w:cs="Times New Roman" w:eastAsia="Times New Roman" w:hint="default"/>
        </w:rPr>
        <w:t>5,200 </w:t>
      </w:r>
      <w:r>
        <w:rPr/>
        <w:t>万元设立控股子公司福建南威智创科技有限公司，持有该公司</w:t>
      </w:r>
      <w:r>
        <w:rPr>
          <w:spacing w:val="-64"/>
        </w:rPr>
        <w:t> </w:t>
      </w:r>
      <w:r>
        <w:rPr>
          <w:rFonts w:ascii="Times New Roman" w:hAnsi="Times New Roman" w:cs="Times New Roman" w:eastAsia="Times New Roman" w:hint="default"/>
        </w:rPr>
        <w:t>80%</w:t>
      </w:r>
      <w:r>
        <w:rPr/>
        <w:t>股权，</w:t>
      </w:r>
      <w:r>
        <w:rPr>
          <w:w w:val="100"/>
        </w:rPr>
        <w:t> </w:t>
      </w:r>
      <w:r>
        <w:rPr/>
        <w:t>报告期内以自有资金出资</w:t>
      </w:r>
      <w:r>
        <w:rPr>
          <w:spacing w:val="-55"/>
        </w:rPr>
        <w:t> </w:t>
      </w:r>
      <w:r>
        <w:rPr>
          <w:rFonts w:ascii="Times New Roman" w:hAnsi="Times New Roman" w:cs="Times New Roman" w:eastAsia="Times New Roman" w:hint="default"/>
        </w:rPr>
        <w:t>392 </w:t>
      </w:r>
      <w:r>
        <w:rPr/>
        <w:t>万元。</w:t>
      </w:r>
    </w:p>
    <w:p>
      <w:pPr>
        <w:pStyle w:val="BodyText"/>
        <w:spacing w:line="256" w:lineRule="auto" w:before="5"/>
        <w:ind w:left="138" w:right="0" w:firstLine="419"/>
        <w:jc w:val="left"/>
      </w:pPr>
      <w:r>
        <w:rPr>
          <w:rFonts w:ascii="Times New Roman" w:hAnsi="Times New Roman" w:cs="Times New Roman" w:eastAsia="Times New Roman" w:hint="default"/>
          <w:spacing w:val="-5"/>
        </w:rPr>
        <w:t>5</w:t>
      </w:r>
      <w:r>
        <w:rPr>
          <w:spacing w:val="-5"/>
        </w:rPr>
        <w:t>、公司投资 </w:t>
      </w:r>
      <w:r>
        <w:rPr>
          <w:rFonts w:ascii="Times New Roman" w:hAnsi="Times New Roman" w:cs="Times New Roman" w:eastAsia="Times New Roman" w:hint="default"/>
        </w:rPr>
        <w:t>3,544.4975</w:t>
      </w:r>
      <w:r>
        <w:rPr>
          <w:rFonts w:ascii="Times New Roman" w:hAnsi="Times New Roman" w:cs="Times New Roman" w:eastAsia="Times New Roman" w:hint="default"/>
          <w:spacing w:val="-8"/>
        </w:rPr>
        <w:t> </w:t>
      </w:r>
      <w:r>
        <w:rPr>
          <w:spacing w:val="-4"/>
        </w:rPr>
        <w:t>万元设立控股子公司南威利民（邹城）智慧城市运营有限公司，持有</w:t>
      </w:r>
      <w:r>
        <w:rPr>
          <w:w w:val="100"/>
        </w:rPr>
        <w:t> </w:t>
      </w:r>
      <w:r>
        <w:rPr/>
        <w:t>该公司</w:t>
      </w:r>
      <w:r>
        <w:rPr>
          <w:spacing w:val="-56"/>
        </w:rPr>
        <w:t> </w:t>
      </w:r>
      <w:r>
        <w:rPr>
          <w:rFonts w:ascii="Times New Roman" w:hAnsi="Times New Roman" w:cs="Times New Roman" w:eastAsia="Times New Roman" w:hint="default"/>
        </w:rPr>
        <w:t>95%</w:t>
      </w:r>
      <w:r>
        <w:rPr/>
        <w:t>股权，报告期内以自有资金出资</w:t>
      </w:r>
      <w:r>
        <w:rPr>
          <w:spacing w:val="-56"/>
        </w:rPr>
        <w:t> </w:t>
      </w:r>
      <w:r>
        <w:rPr>
          <w:rFonts w:ascii="Times New Roman" w:hAnsi="Times New Roman" w:cs="Times New Roman" w:eastAsia="Times New Roman" w:hint="default"/>
        </w:rPr>
        <w:t>708.8995</w:t>
      </w:r>
      <w:r>
        <w:rPr>
          <w:rFonts w:ascii="Times New Roman" w:hAnsi="Times New Roman" w:cs="Times New Roman" w:eastAsia="Times New Roman" w:hint="default"/>
          <w:spacing w:val="-3"/>
        </w:rPr>
        <w:t> </w:t>
      </w:r>
      <w:r>
        <w:rPr/>
        <w:t>万元。</w:t>
      </w:r>
    </w:p>
    <w:p>
      <w:pPr>
        <w:pStyle w:val="BodyText"/>
        <w:spacing w:line="256" w:lineRule="auto" w:before="5"/>
        <w:ind w:left="138" w:right="0" w:firstLine="419"/>
        <w:jc w:val="left"/>
      </w:pPr>
      <w:r>
        <w:rPr>
          <w:rFonts w:ascii="Times New Roman" w:hAnsi="Times New Roman" w:cs="Times New Roman" w:eastAsia="Times New Roman" w:hint="default"/>
          <w:spacing w:val="-5"/>
        </w:rPr>
        <w:t>6</w:t>
      </w:r>
      <w:r>
        <w:rPr>
          <w:spacing w:val="-5"/>
        </w:rPr>
        <w:t>、公司投资 </w:t>
      </w:r>
      <w:r>
        <w:rPr>
          <w:rFonts w:ascii="Times New Roman" w:hAnsi="Times New Roman" w:cs="Times New Roman" w:eastAsia="Times New Roman" w:hint="default"/>
        </w:rPr>
        <w:t>9,800 </w:t>
      </w:r>
      <w:r>
        <w:rPr>
          <w:spacing w:val="-3"/>
        </w:rPr>
        <w:t>万元设立合资公司山东南威信息科技有限公司，持有该公司</w:t>
      </w:r>
      <w:r>
        <w:rPr>
          <w:spacing w:val="-33"/>
        </w:rPr>
        <w:t> </w:t>
      </w:r>
      <w:r>
        <w:rPr>
          <w:rFonts w:ascii="Times New Roman" w:hAnsi="Times New Roman" w:cs="Times New Roman" w:eastAsia="Times New Roman" w:hint="default"/>
          <w:spacing w:val="-5"/>
        </w:rPr>
        <w:t>49%</w:t>
      </w:r>
      <w:r>
        <w:rPr>
          <w:spacing w:val="-5"/>
        </w:rPr>
        <w:t>股权，报</w:t>
      </w:r>
      <w:r>
        <w:rPr>
          <w:w w:val="100"/>
        </w:rPr>
        <w:t> </w:t>
      </w:r>
      <w:r>
        <w:rPr/>
        <w:t>告期内以自有资金出资</w:t>
      </w:r>
      <w:r>
        <w:rPr>
          <w:spacing w:val="-52"/>
        </w:rPr>
        <w:t> </w:t>
      </w:r>
      <w:r>
        <w:rPr>
          <w:rFonts w:ascii="Times New Roman" w:hAnsi="Times New Roman" w:cs="Times New Roman" w:eastAsia="Times New Roman" w:hint="default"/>
        </w:rPr>
        <w:t>98</w:t>
      </w:r>
      <w:r>
        <w:rPr>
          <w:rFonts w:ascii="Times New Roman" w:hAnsi="Times New Roman" w:cs="Times New Roman" w:eastAsia="Times New Roman" w:hint="default"/>
          <w:spacing w:val="-3"/>
        </w:rPr>
        <w:t> </w:t>
      </w:r>
      <w:r>
        <w:rPr/>
        <w:t>万元。</w:t>
      </w:r>
    </w:p>
    <w:p>
      <w:pPr>
        <w:pStyle w:val="BodyText"/>
        <w:spacing w:line="256" w:lineRule="auto" w:before="5"/>
        <w:ind w:left="138" w:right="0" w:firstLine="419"/>
        <w:jc w:val="left"/>
      </w:pPr>
      <w:r>
        <w:rPr>
          <w:rFonts w:ascii="Times New Roman" w:hAnsi="Times New Roman" w:cs="Times New Roman" w:eastAsia="Times New Roman" w:hint="default"/>
          <w:spacing w:val="-19"/>
          <w:w w:val="100"/>
        </w:rPr>
        <w:t>7</w:t>
      </w:r>
      <w:r>
        <w:rPr>
          <w:spacing w:val="-19"/>
          <w:w w:val="100"/>
        </w:rPr>
        <w:t>、公司投资</w:t>
      </w:r>
      <w:r>
        <w:rPr>
          <w:spacing w:val="-48"/>
          <w:w w:val="100"/>
        </w:rPr>
        <w:t> </w:t>
      </w:r>
      <w:r>
        <w:rPr>
          <w:rFonts w:ascii="Times New Roman" w:hAnsi="Times New Roman" w:cs="Times New Roman" w:eastAsia="Times New Roman" w:hint="default"/>
          <w:spacing w:val="-1"/>
          <w:w w:val="100"/>
        </w:rPr>
        <w:t>1950</w:t>
      </w:r>
      <w:r>
        <w:rPr>
          <w:rFonts w:ascii="Times New Roman" w:hAnsi="Times New Roman" w:cs="Times New Roman" w:eastAsia="Times New Roman" w:hint="default"/>
          <w:spacing w:val="4"/>
          <w:w w:val="100"/>
        </w:rPr>
        <w:t> </w:t>
      </w:r>
      <w:r>
        <w:rPr>
          <w:spacing w:val="-6"/>
          <w:w w:val="100"/>
        </w:rPr>
        <w:t>万元设立合资公司福建龙睿智城信息科技有限公司，持有该公司</w:t>
      </w:r>
      <w:r>
        <w:rPr>
          <w:spacing w:val="-48"/>
          <w:w w:val="100"/>
        </w:rPr>
        <w:t> </w:t>
      </w:r>
      <w:r>
        <w:rPr>
          <w:rFonts w:ascii="Times New Roman" w:hAnsi="Times New Roman" w:cs="Times New Roman" w:eastAsia="Times New Roman" w:hint="default"/>
          <w:spacing w:val="-1"/>
          <w:w w:val="100"/>
        </w:rPr>
        <w:t>39%</w:t>
      </w:r>
      <w:r>
        <w:rPr>
          <w:spacing w:val="-1"/>
          <w:w w:val="100"/>
        </w:rPr>
        <w:t>股权，</w:t>
      </w:r>
      <w:r>
        <w:rPr>
          <w:w w:val="100"/>
        </w:rPr>
        <w:t> </w:t>
      </w:r>
      <w:r>
        <w:rPr/>
        <w:t>报告期内以自有资金出资</w:t>
      </w:r>
      <w:r>
        <w:rPr>
          <w:spacing w:val="-55"/>
        </w:rPr>
        <w:t> </w:t>
      </w:r>
      <w:r>
        <w:rPr>
          <w:rFonts w:ascii="Times New Roman" w:hAnsi="Times New Roman" w:cs="Times New Roman" w:eastAsia="Times New Roman" w:hint="default"/>
        </w:rPr>
        <w:t>195 </w:t>
      </w:r>
      <w:r>
        <w:rPr/>
        <w:t>万元。</w:t>
      </w:r>
    </w:p>
    <w:p>
      <w:pPr>
        <w:pStyle w:val="BodyText"/>
        <w:spacing w:line="256" w:lineRule="auto" w:before="5"/>
        <w:ind w:left="138" w:right="0" w:firstLine="419"/>
        <w:jc w:val="left"/>
      </w:pPr>
      <w:r>
        <w:rPr>
          <w:rFonts w:ascii="Times New Roman" w:hAnsi="Times New Roman" w:cs="Times New Roman" w:eastAsia="Times New Roman" w:hint="default"/>
        </w:rPr>
        <w:t>8</w:t>
      </w:r>
      <w:r>
        <w:rPr/>
        <w:t>、公司报告期内以自有资金出资 </w:t>
      </w:r>
      <w:r>
        <w:rPr>
          <w:rFonts w:ascii="Times New Roman" w:hAnsi="Times New Roman" w:cs="Times New Roman" w:eastAsia="Times New Roman" w:hint="default"/>
        </w:rPr>
        <w:t>253.20 </w:t>
      </w:r>
      <w:r>
        <w:rPr/>
        <w:t>万元受让福建金证智城科技有限公司</w:t>
      </w:r>
      <w:r>
        <w:rPr>
          <w:spacing w:val="-67"/>
        </w:rPr>
        <w:t> </w:t>
      </w:r>
      <w:r>
        <w:rPr>
          <w:rFonts w:ascii="Times New Roman" w:hAnsi="Times New Roman" w:cs="Times New Roman" w:eastAsia="Times New Roman" w:hint="default"/>
        </w:rPr>
        <w:t>42.2%</w:t>
      </w:r>
      <w:r>
        <w:rPr/>
        <w:t>股权。</w:t>
      </w:r>
      <w:r>
        <w:rPr>
          <w:w w:val="100"/>
        </w:rPr>
        <w:t> </w:t>
      </w:r>
      <w:r>
        <w:rPr/>
        <w:t>该部分股权已实际出资</w:t>
      </w:r>
      <w:r>
        <w:rPr>
          <w:spacing w:val="-54"/>
        </w:rPr>
        <w:t> </w:t>
      </w:r>
      <w:r>
        <w:rPr>
          <w:rFonts w:ascii="Times New Roman" w:hAnsi="Times New Roman" w:cs="Times New Roman" w:eastAsia="Times New Roman" w:hint="default"/>
        </w:rPr>
        <w:t>295.4</w:t>
      </w:r>
      <w:r>
        <w:rPr>
          <w:rFonts w:ascii="Times New Roman" w:hAnsi="Times New Roman" w:cs="Times New Roman" w:eastAsia="Times New Roman" w:hint="default"/>
          <w:spacing w:val="-2"/>
        </w:rPr>
        <w:t> </w:t>
      </w:r>
      <w:r>
        <w:rPr/>
        <w:t>万元，尚有</w:t>
      </w:r>
      <w:r>
        <w:rPr>
          <w:spacing w:val="-57"/>
        </w:rPr>
        <w:t> </w:t>
      </w:r>
      <w:r>
        <w:rPr>
          <w:rFonts w:ascii="Times New Roman" w:hAnsi="Times New Roman" w:cs="Times New Roman" w:eastAsia="Times New Roman" w:hint="default"/>
        </w:rPr>
        <w:t>970.6</w:t>
      </w:r>
      <w:r>
        <w:rPr>
          <w:rFonts w:ascii="Times New Roman" w:hAnsi="Times New Roman" w:cs="Times New Roman" w:eastAsia="Times New Roman" w:hint="default"/>
          <w:spacing w:val="-2"/>
        </w:rPr>
        <w:t> </w:t>
      </w:r>
      <w:r>
        <w:rPr/>
        <w:t>万元注册资本未出资。</w:t>
      </w:r>
    </w:p>
    <w:p>
      <w:pPr>
        <w:pStyle w:val="BodyText"/>
        <w:spacing w:line="240" w:lineRule="auto" w:before="5"/>
        <w:ind w:left="558" w:right="0"/>
        <w:jc w:val="left"/>
        <w:rPr>
          <w:rFonts w:ascii="Times New Roman" w:hAnsi="Times New Roman" w:cs="Times New Roman" w:eastAsia="Times New Roman" w:hint="default"/>
        </w:rPr>
      </w:pPr>
      <w:r>
        <w:rPr>
          <w:rFonts w:ascii="Times New Roman" w:hAnsi="Times New Roman" w:cs="Times New Roman" w:eastAsia="Times New Roman" w:hint="default"/>
        </w:rPr>
        <w:t>9</w:t>
      </w:r>
      <w:r>
        <w:rPr/>
        <w:t>、报告期内，公司对参股公司四方伟业增资 </w:t>
      </w:r>
      <w:r>
        <w:rPr>
          <w:rFonts w:ascii="Times New Roman" w:hAnsi="Times New Roman" w:cs="Times New Roman" w:eastAsia="Times New Roman" w:hint="default"/>
        </w:rPr>
        <w:t>5,000  </w:t>
      </w:r>
      <w:r>
        <w:rPr/>
        <w:t>万元，进一步强化双方合作；截止</w:t>
      </w:r>
      <w:r>
        <w:rPr>
          <w:spacing w:val="-49"/>
        </w:rPr>
        <w:t> </w:t>
      </w:r>
      <w:r>
        <w:rPr>
          <w:rFonts w:ascii="Times New Roman" w:hAnsi="Times New Roman" w:cs="Times New Roman" w:eastAsia="Times New Roman" w:hint="default"/>
        </w:rPr>
        <w:t>2019</w:t>
      </w:r>
    </w:p>
    <w:p>
      <w:pPr>
        <w:pStyle w:val="BodyText"/>
        <w:spacing w:line="240" w:lineRule="auto" w:before="21"/>
        <w:ind w:left="138" w:right="0"/>
        <w:jc w:val="left"/>
      </w:pP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日，公司持有成都四方伟业软件股份有限公司的股份比例为</w:t>
      </w:r>
      <w:r>
        <w:rPr>
          <w:spacing w:val="-54"/>
        </w:rPr>
        <w:t> </w:t>
      </w:r>
      <w:r>
        <w:rPr>
          <w:rFonts w:ascii="Times New Roman" w:hAnsi="Times New Roman" w:cs="Times New Roman" w:eastAsia="Times New Roman" w:hint="default"/>
        </w:rPr>
        <w:t>12.64%</w:t>
      </w:r>
      <w:r>
        <w:rPr/>
        <w:t>。</w:t>
      </w:r>
    </w:p>
    <w:p>
      <w:pPr>
        <w:pStyle w:val="BodyText"/>
        <w:spacing w:line="240" w:lineRule="auto" w:before="21"/>
        <w:ind w:left="138" w:right="0"/>
        <w:jc w:val="left"/>
        <w:rPr>
          <w:rFonts w:ascii="宋体" w:hAnsi="宋体" w:cs="宋体" w:eastAsia="宋体" w:hint="default"/>
        </w:rPr>
      </w:pPr>
      <w:r>
        <w:rPr>
          <w:rFonts w:ascii="宋体"/>
          <w:w w:val="100"/>
        </w:rPr>
        <w:t> </w:t>
      </w:r>
    </w:p>
    <w:p>
      <w:pPr>
        <w:pStyle w:val="Heading4"/>
        <w:spacing w:line="240" w:lineRule="auto" w:before="97"/>
        <w:ind w:left="138" w:right="2819"/>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97"/>
        <w:ind w:left="138" w:right="281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spacing w:line="240" w:lineRule="auto" w:before="97"/>
        <w:ind w:left="138" w:right="2819"/>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97"/>
        <w:ind w:left="138" w:right="2819"/>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before="37"/>
        <w:ind w:left="138" w:right="0"/>
        <w:jc w:val="left"/>
      </w:pPr>
      <w:r>
        <w:rPr>
          <w:rFonts w:ascii="宋体" w:hAnsi="宋体" w:cs="宋体" w:eastAsia="宋体" w:hint="default"/>
          <w:sz w:val="24"/>
          <w:szCs w:val="24"/>
        </w:rPr>
        <w:t> </w:t>
      </w:r>
      <w:r>
        <w:rPr>
          <w:rFonts w:ascii="宋体" w:hAnsi="宋体" w:cs="宋体" w:eastAsia="宋体" w:hint="default"/>
          <w:spacing w:val="-1"/>
          <w:sz w:val="24"/>
          <w:szCs w:val="24"/>
        </w:rPr>
        <w:t> </w:t>
      </w:r>
      <w:r>
        <w:rPr/>
        <w:t>报告期内，公司以自有资金投资可转换公司债券，截止</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日已全部售出取得收</w:t>
      </w:r>
    </w:p>
    <w:p>
      <w:pPr>
        <w:pStyle w:val="BodyText"/>
        <w:spacing w:line="287" w:lineRule="exact" w:before="21"/>
        <w:ind w:left="138" w:right="0"/>
        <w:jc w:val="left"/>
        <w:rPr>
          <w:rFonts w:ascii="宋体" w:hAnsi="宋体" w:cs="宋体" w:eastAsia="宋体" w:hint="default"/>
          <w:sz w:val="24"/>
          <w:szCs w:val="24"/>
        </w:rPr>
      </w:pPr>
      <w:r>
        <w:rPr/>
        <w:t>益</w:t>
      </w:r>
      <w:r>
        <w:rPr>
          <w:spacing w:val="-59"/>
        </w:rPr>
        <w:t> </w:t>
      </w:r>
      <w:r>
        <w:rPr>
          <w:rFonts w:ascii="Times New Roman" w:hAnsi="Times New Roman" w:cs="Times New Roman" w:eastAsia="Times New Roman" w:hint="default"/>
        </w:rPr>
        <w:t>94,785.40</w:t>
      </w:r>
      <w:r>
        <w:rPr>
          <w:rFonts w:ascii="Times New Roman" w:hAnsi="Times New Roman" w:cs="Times New Roman" w:eastAsia="Times New Roman" w:hint="default"/>
          <w:spacing w:val="-7"/>
        </w:rPr>
        <w:t> </w:t>
      </w:r>
      <w:r>
        <w:rPr/>
        <w:t>元，明细详见第五节重要事项、十五、</w:t>
      </w:r>
      <w:r>
        <w:rPr>
          <w:rFonts w:ascii="宋体" w:hAnsi="宋体" w:cs="宋体" w:eastAsia="宋体" w:hint="default"/>
        </w:rPr>
        <w:t>(</w:t>
      </w:r>
      <w:r>
        <w:rPr/>
        <w:t>三)“单项委托理财情况”</w:t>
      </w:r>
      <w:r>
        <w:rPr>
          <w:rFonts w:ascii="宋体" w:hAnsi="宋体" w:cs="宋体" w:eastAsia="宋体" w:hint="default"/>
          <w:sz w:val="24"/>
          <w:szCs w:val="24"/>
        </w:rPr>
        <w:t> </w:t>
      </w:r>
    </w:p>
    <w:p>
      <w:pPr>
        <w:pStyle w:val="Heading3"/>
        <w:spacing w:line="311" w:lineRule="exact"/>
        <w:ind w:left="138" w:right="0"/>
        <w:jc w:val="left"/>
      </w:pPr>
      <w:r>
        <w:rPr/>
        <w:t> </w:t>
      </w:r>
    </w:p>
    <w:p>
      <w:pPr>
        <w:pStyle w:val="Heading4"/>
        <w:spacing w:line="240" w:lineRule="auto" w:before="85"/>
        <w:ind w:left="138" w:right="2819"/>
        <w:jc w:val="left"/>
        <w:rPr>
          <w:b w:val="0"/>
          <w:bCs w:val="0"/>
        </w:rPr>
      </w:pPr>
      <w:r>
        <w:rPr>
          <w:rFonts w:ascii="宋体" w:hAnsi="宋体" w:cs="宋体" w:eastAsia="宋体" w:hint="default"/>
        </w:rPr>
        <w:t>(</w:t>
      </w:r>
      <w:r>
        <w:rPr/>
        <w:t>六</w:t>
      </w:r>
      <w:r>
        <w:rPr>
          <w:rFonts w:ascii="宋体" w:hAnsi="宋体" w:cs="宋体" w:eastAsia="宋体" w:hint="default"/>
        </w:rPr>
        <w:t>)</w:t>
      </w:r>
      <w:r>
        <w:rPr/>
        <w:t>重大资产和股权出售</w:t>
      </w:r>
      <w:r>
        <w:rPr>
          <w:b w:val="0"/>
          <w:bCs w:val="0"/>
        </w:rPr>
      </w:r>
    </w:p>
    <w:p>
      <w:pPr>
        <w:pStyle w:val="BodyText"/>
        <w:spacing w:line="240" w:lineRule="auto" w:before="97"/>
        <w:ind w:left="138" w:right="2819"/>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40" w:lineRule="auto" w:before="9"/>
        <w:ind w:left="138" w:right="0"/>
        <w:jc w:val="left"/>
      </w:pPr>
      <w:r>
        <w:rPr/>
        <w:t> </w:t>
      </w:r>
    </w:p>
    <w:p>
      <w:pPr>
        <w:spacing w:after="0" w:line="240" w:lineRule="auto"/>
        <w:jc w:val="left"/>
        <w:sectPr>
          <w:headerReference w:type="default" r:id="rId19"/>
          <w:footerReference w:type="default" r:id="rId20"/>
          <w:pgSz w:w="11910" w:h="16840"/>
          <w:pgMar w:header="855" w:footer="979" w:top="1120" w:bottom="1160" w:left="1660" w:right="1060"/>
          <w:pgNumType w:start="29"/>
        </w:sectPr>
      </w:pPr>
    </w:p>
    <w:p>
      <w:pPr>
        <w:spacing w:line="240" w:lineRule="auto" w:before="10"/>
        <w:rPr>
          <w:rFonts w:ascii="宋体" w:hAnsi="宋体" w:cs="宋体" w:eastAsia="宋体" w:hint="default"/>
          <w:sz w:val="26"/>
          <w:szCs w:val="26"/>
        </w:rPr>
      </w:pPr>
    </w:p>
    <w:p>
      <w:pPr>
        <w:pStyle w:val="Heading4"/>
        <w:spacing w:line="240" w:lineRule="auto" w:before="36"/>
        <w:ind w:left="718" w:right="0"/>
        <w:jc w:val="left"/>
        <w:rPr>
          <w:b w:val="0"/>
          <w:bCs w:val="0"/>
        </w:rPr>
      </w:pPr>
      <w:r>
        <w:rPr>
          <w:rFonts w:ascii="宋体" w:hAnsi="宋体" w:cs="宋体" w:eastAsia="宋体" w:hint="default"/>
        </w:rPr>
        <w:t>(</w:t>
      </w:r>
      <w:r>
        <w:rPr/>
        <w:t>七</w:t>
      </w:r>
      <w:r>
        <w:rPr>
          <w:rFonts w:ascii="宋体" w:hAnsi="宋体" w:cs="宋体" w:eastAsia="宋体" w:hint="default"/>
        </w:rPr>
        <w:t>)</w:t>
      </w:r>
      <w:r>
        <w:rPr/>
        <w:t>主要控股参股公司分析</w:t>
      </w:r>
      <w:r>
        <w:rPr>
          <w:b w:val="0"/>
          <w:bCs w:val="0"/>
        </w:rPr>
      </w:r>
    </w:p>
    <w:p>
      <w:pPr>
        <w:pStyle w:val="BodyText"/>
        <w:spacing w:line="240" w:lineRule="auto" w:before="97"/>
        <w:ind w:left="718"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40" w:lineRule="auto" w:before="37"/>
        <w:ind w:left="718" w:right="0"/>
        <w:jc w:val="left"/>
      </w:pPr>
      <w:r>
        <w:rPr/>
        <w:t>                                                 </w:t>
      </w:r>
      <w:r>
        <w:rPr>
          <w:rFonts w:ascii="宋体" w:hAnsi="宋体" w:cs="宋体" w:eastAsia="宋体" w:hint="default"/>
          <w:sz w:val="21"/>
          <w:szCs w:val="21"/>
        </w:rPr>
        <w:t>单位：万元</w:t>
      </w:r>
      <w:r>
        <w:rPr>
          <w:rFonts w:ascii="宋体" w:hAnsi="宋体" w:cs="宋体" w:eastAsia="宋体" w:hint="default"/>
          <w:spacing w:val="102"/>
          <w:sz w:val="21"/>
          <w:szCs w:val="21"/>
        </w:rPr>
        <w:t> </w:t>
      </w:r>
      <w:r>
        <w:rPr>
          <w:spacing w:val="102"/>
          <w:sz w:val="21"/>
          <w:szCs w:val="21"/>
        </w:rPr>
      </w:r>
      <w:r>
        <w:rPr>
          <w:rFonts w:ascii="宋体" w:hAnsi="宋体" w:cs="宋体" w:eastAsia="宋体" w:hint="default"/>
          <w:sz w:val="21"/>
          <w:szCs w:val="21"/>
        </w:rPr>
        <w:t>币种：人民币</w:t>
      </w:r>
      <w:r>
        <w:rPr/>
        <w:t> </w:t>
      </w:r>
    </w:p>
    <w:p>
      <w:pPr>
        <w:spacing w:line="240" w:lineRule="auto" w:before="10"/>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425"/>
        <w:gridCol w:w="1308"/>
        <w:gridCol w:w="794"/>
        <w:gridCol w:w="733"/>
        <w:gridCol w:w="1135"/>
        <w:gridCol w:w="2410"/>
        <w:gridCol w:w="1057"/>
        <w:gridCol w:w="1183"/>
        <w:gridCol w:w="991"/>
      </w:tblGrid>
      <w:tr>
        <w:trPr>
          <w:trHeight w:val="636"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1" w:right="-3"/>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27"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9" w:right="77"/>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z w:val="21"/>
                <w:szCs w:val="21"/>
              </w:rPr>
              <w:t> </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9" w:right="47"/>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41" w:right="0"/>
              <w:jc w:val="left"/>
              <w:rPr>
                <w:rFonts w:ascii="宋体" w:hAnsi="宋体" w:cs="宋体" w:eastAsia="宋体" w:hint="default"/>
                <w:sz w:val="21"/>
                <w:szCs w:val="21"/>
              </w:rPr>
            </w:pPr>
            <w:r>
              <w:rPr>
                <w:rFonts w:ascii="宋体" w:hAnsi="宋体" w:cs="宋体" w:eastAsia="宋体" w:hint="default"/>
                <w:sz w:val="21"/>
                <w:szCs w:val="21"/>
              </w:rPr>
              <w:t>成立时间</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2" w:right="0"/>
              <w:jc w:val="center"/>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center"/>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71"/>
              <w:jc w:val="right"/>
              <w:rPr>
                <w:rFonts w:ascii="宋体" w:hAnsi="宋体" w:cs="宋体" w:eastAsia="宋体" w:hint="default"/>
                <w:sz w:val="21"/>
                <w:szCs w:val="21"/>
              </w:rPr>
            </w:pPr>
            <w:r>
              <w:rPr>
                <w:rFonts w:ascii="宋体" w:hAnsi="宋体" w:cs="宋体" w:eastAsia="宋体" w:hint="default"/>
                <w:spacing w:val="-1"/>
                <w:sz w:val="21"/>
                <w:szCs w:val="21"/>
              </w:rPr>
              <w:t>净利润</w:t>
            </w:r>
            <w:r>
              <w:rPr>
                <w:rFonts w:ascii="宋体" w:hAnsi="宋体" w:cs="宋体" w:eastAsia="宋体" w:hint="default"/>
                <w:sz w:val="21"/>
                <w:szCs w:val="21"/>
              </w:rPr>
              <w:t> </w:t>
            </w:r>
          </w:p>
        </w:tc>
      </w:tr>
      <w:tr>
        <w:trPr>
          <w:trHeight w:val="63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7"/>
              <w:jc w:val="left"/>
              <w:rPr>
                <w:rFonts w:ascii="宋体" w:hAnsi="宋体" w:cs="宋体" w:eastAsia="宋体" w:hint="default"/>
                <w:sz w:val="21"/>
                <w:szCs w:val="21"/>
              </w:rPr>
            </w:pPr>
            <w:r>
              <w:rPr>
                <w:rFonts w:ascii="宋体" w:hAnsi="宋体" w:cs="宋体" w:eastAsia="宋体" w:hint="default"/>
                <w:sz w:val="21"/>
                <w:szCs w:val="21"/>
              </w:rPr>
              <w:t>福建南威软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件有限公司</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12,500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软件开发与技术服务等</w:t>
            </w:r>
            <w:r>
              <w:rPr>
                <w:rFonts w:ascii="宋体" w:hAnsi="宋体" w:cs="宋体" w:eastAsia="宋体" w:hint="default"/>
                <w:sz w:val="21"/>
                <w:szCs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45,355.69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33,762.56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2"/>
              <w:jc w:val="right"/>
              <w:rPr>
                <w:rFonts w:ascii="Times New Roman" w:hAnsi="Times New Roman" w:cs="Times New Roman" w:eastAsia="Times New Roman" w:hint="default"/>
                <w:sz w:val="21"/>
                <w:szCs w:val="21"/>
              </w:rPr>
            </w:pPr>
            <w:r>
              <w:rPr>
                <w:rFonts w:ascii="Times New Roman"/>
                <w:spacing w:val="-1"/>
                <w:sz w:val="21"/>
              </w:rPr>
              <w:t>5,179.40</w:t>
            </w:r>
          </w:p>
        </w:tc>
      </w:tr>
      <w:tr>
        <w:trPr>
          <w:trHeight w:val="946"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20"/>
              <w:jc w:val="center"/>
              <w:rPr>
                <w:rFonts w:ascii="宋体" w:hAnsi="宋体" w:cs="宋体" w:eastAsia="宋体" w:hint="default"/>
                <w:sz w:val="21"/>
                <w:szCs w:val="21"/>
              </w:rPr>
            </w:pPr>
            <w:r>
              <w:rPr>
                <w:rFonts w:ascii="宋体" w:hAnsi="宋体" w:cs="宋体" w:eastAsia="宋体" w:hint="default"/>
                <w:sz w:val="21"/>
                <w:szCs w:val="21"/>
              </w:rPr>
              <w:t>深圳太极云</w:t>
            </w:r>
            <w:r>
              <w:rPr>
                <w:rFonts w:ascii="宋体" w:hAnsi="宋体" w:cs="宋体" w:eastAsia="宋体" w:hint="default"/>
                <w:w w:val="100"/>
                <w:sz w:val="21"/>
                <w:szCs w:val="21"/>
              </w:rPr>
              <w:t> </w:t>
            </w:r>
            <w:r>
              <w:rPr>
                <w:rFonts w:ascii="宋体" w:hAnsi="宋体" w:cs="宋体" w:eastAsia="宋体" w:hint="default"/>
                <w:sz w:val="21"/>
                <w:szCs w:val="21"/>
              </w:rPr>
              <w:t>软技术有限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8,000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1990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8" w:right="43"/>
              <w:jc w:val="both"/>
              <w:rPr>
                <w:rFonts w:ascii="宋体" w:hAnsi="宋体" w:cs="宋体" w:eastAsia="宋体" w:hint="default"/>
                <w:sz w:val="21"/>
                <w:szCs w:val="21"/>
              </w:rPr>
            </w:pPr>
            <w:r>
              <w:rPr>
                <w:rFonts w:ascii="宋体" w:hAnsi="宋体" w:cs="宋体" w:eastAsia="宋体" w:hint="default"/>
                <w:sz w:val="21"/>
                <w:szCs w:val="21"/>
              </w:rPr>
              <w:t>计算机软硬件的技术开</w:t>
            </w:r>
            <w:r>
              <w:rPr>
                <w:rFonts w:ascii="宋体" w:hAnsi="宋体" w:cs="宋体" w:eastAsia="宋体" w:hint="default"/>
                <w:w w:val="100"/>
                <w:sz w:val="21"/>
                <w:szCs w:val="21"/>
              </w:rPr>
              <w:t> </w:t>
            </w:r>
            <w:r>
              <w:rPr>
                <w:rFonts w:ascii="宋体" w:hAnsi="宋体" w:cs="宋体" w:eastAsia="宋体" w:hint="default"/>
                <w:sz w:val="21"/>
                <w:szCs w:val="21"/>
              </w:rPr>
              <w:t>发及销售，计算机系统</w:t>
            </w:r>
            <w:r>
              <w:rPr>
                <w:rFonts w:ascii="宋体" w:hAnsi="宋体" w:cs="宋体" w:eastAsia="宋体" w:hint="default"/>
                <w:w w:val="100"/>
                <w:sz w:val="21"/>
                <w:szCs w:val="21"/>
              </w:rPr>
              <w:t> </w:t>
            </w:r>
            <w:r>
              <w:rPr>
                <w:rFonts w:ascii="宋体" w:hAnsi="宋体" w:cs="宋体" w:eastAsia="宋体" w:hint="default"/>
                <w:sz w:val="21"/>
                <w:szCs w:val="21"/>
              </w:rPr>
              <w:t>集成，计算机技术咨询</w:t>
            </w:r>
            <w:r>
              <w:rPr>
                <w:rFonts w:ascii="宋体" w:hAnsi="宋体" w:cs="宋体" w:eastAsia="宋体" w:hint="default"/>
                <w:sz w:val="21"/>
                <w:szCs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24,737.67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10,923.49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22"/>
              <w:jc w:val="right"/>
              <w:rPr>
                <w:rFonts w:ascii="Times New Roman" w:hAnsi="Times New Roman" w:cs="Times New Roman" w:eastAsia="Times New Roman" w:hint="default"/>
                <w:sz w:val="21"/>
                <w:szCs w:val="21"/>
              </w:rPr>
            </w:pPr>
            <w:r>
              <w:rPr>
                <w:rFonts w:ascii="Times New Roman"/>
                <w:spacing w:val="-1"/>
                <w:sz w:val="21"/>
              </w:rPr>
              <w:t>4,380.19</w:t>
            </w:r>
          </w:p>
        </w:tc>
      </w:tr>
    </w:tbl>
    <w:p>
      <w:pPr>
        <w:pStyle w:val="Heading3"/>
        <w:spacing w:line="274" w:lineRule="exact"/>
        <w:ind w:left="718" w:right="0"/>
        <w:jc w:val="left"/>
      </w:pPr>
      <w:r>
        <w:rPr/>
        <w:t> </w:t>
      </w:r>
    </w:p>
    <w:p>
      <w:pPr>
        <w:pStyle w:val="Heading4"/>
        <w:spacing w:line="240" w:lineRule="auto" w:before="86"/>
        <w:ind w:left="718" w:right="0"/>
        <w:jc w:val="left"/>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52"/>
        </w:rPr>
        <w:t> </w:t>
      </w:r>
      <w:r>
        <w:rPr/>
        <w:t>公司控制的结构化主体情况</w:t>
      </w:r>
      <w:r>
        <w:rPr>
          <w:b w:val="0"/>
          <w:bCs w:val="0"/>
        </w:rPr>
      </w:r>
    </w:p>
    <w:p>
      <w:pPr>
        <w:pStyle w:val="BodyText"/>
        <w:spacing w:line="240" w:lineRule="auto" w:before="97"/>
        <w:ind w:left="718"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4"/>
        <w:spacing w:line="314" w:lineRule="auto" w:before="9"/>
        <w:ind w:left="718" w:right="5733"/>
        <w:jc w:val="left"/>
        <w:rPr>
          <w:b w:val="0"/>
          <w:bCs w:val="0"/>
        </w:rPr>
      </w:pPr>
      <w:r>
        <w:rPr>
          <w:rFonts w:ascii="宋体" w:hAnsi="宋体" w:cs="宋体" w:eastAsia="宋体" w:hint="default"/>
          <w:b w:val="0"/>
          <w:bCs w:val="0"/>
          <w:sz w:val="24"/>
          <w:szCs w:val="24"/>
        </w:rPr>
        <w:t> </w:t>
      </w:r>
      <w:r>
        <w:rPr/>
        <w:t>三、公司关于公司未来发展的讨论与分析</w:t>
      </w:r>
      <w:r>
        <w:rPr>
          <w:spacing w:val="97"/>
        </w:rPr>
        <w:t> </w:t>
      </w:r>
      <w:r>
        <w:rPr>
          <w:spacing w:val="97"/>
        </w:rPr>
      </w:r>
      <w:r>
        <w:rPr>
          <w:rFonts w:ascii="宋体" w:hAnsi="宋体" w:cs="宋体" w:eastAsia="宋体" w:hint="default"/>
          <w:w w:val="99"/>
        </w:rPr>
        <w:t>(</w:t>
      </w:r>
      <w:r>
        <w:rPr>
          <w:spacing w:val="-1"/>
          <w:w w:val="100"/>
        </w:rPr>
        <w:t>一</w:t>
      </w:r>
      <w:r>
        <w:rPr>
          <w:rFonts w:ascii="宋体" w:hAnsi="宋体" w:cs="宋体" w:eastAsia="宋体" w:hint="default"/>
          <w:w w:val="99"/>
        </w:rPr>
        <w:t>)</w:t>
      </w:r>
      <w:r>
        <w:rPr>
          <w:w w:val="100"/>
        </w:rPr>
        <w:t>行业格局和趋势</w:t>
      </w:r>
      <w:r>
        <w:rPr>
          <w:b w:val="0"/>
          <w:bCs w:val="0"/>
          <w:w w:val="100"/>
        </w:rPr>
      </w:r>
    </w:p>
    <w:p>
      <w:pPr>
        <w:pStyle w:val="BodyText"/>
        <w:spacing w:line="240" w:lineRule="auto" w:before="32"/>
        <w:ind w:left="7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2"/>
        <w:ind w:left="1138" w:right="0"/>
        <w:jc w:val="left"/>
      </w:pPr>
      <w:r>
        <w:rPr>
          <w:rFonts w:ascii="Times New Roman" w:hAnsi="Times New Roman" w:cs="Times New Roman" w:eastAsia="Times New Roman" w:hint="default"/>
        </w:rPr>
        <w:t>2019 </w:t>
      </w:r>
      <w:r>
        <w:rPr>
          <w:rFonts w:ascii="Times New Roman" w:hAnsi="Times New Roman" w:cs="Times New Roman" w:eastAsia="Times New Roman" w:hint="default"/>
          <w:spacing w:val="29"/>
        </w:rPr>
        <w:t> </w:t>
      </w:r>
      <w:r>
        <w:rPr>
          <w:spacing w:val="-6"/>
        </w:rPr>
        <w:t>年，我国软件和信息技术服务业呈现平稳向好的发展态势，收入和利润均保持较快增长，</w:t>
      </w:r>
    </w:p>
    <w:p>
      <w:pPr>
        <w:pStyle w:val="BodyText"/>
        <w:spacing w:line="240" w:lineRule="auto" w:before="69"/>
        <w:ind w:left="718" w:right="0"/>
        <w:jc w:val="left"/>
      </w:pPr>
      <w:r>
        <w:rPr>
          <w:rFonts w:ascii="Times New Roman" w:hAnsi="Times New Roman" w:cs="Times New Roman" w:eastAsia="Times New Roman" w:hint="default"/>
          <w:w w:val="100"/>
        </w:rPr>
        <w:t>2019</w:t>
      </w:r>
      <w:r>
        <w:rPr>
          <w:rFonts w:ascii="Times New Roman" w:hAnsi="Times New Roman" w:cs="Times New Roman" w:eastAsia="Times New Roman" w:hint="default"/>
          <w:spacing w:val="-27"/>
        </w:rPr>
        <w:t> </w:t>
      </w:r>
      <w:r>
        <w:rPr>
          <w:spacing w:val="-3"/>
          <w:w w:val="100"/>
        </w:rPr>
        <w:t>年</w:t>
      </w:r>
      <w:r>
        <w:rPr>
          <w:w w:val="100"/>
        </w:rPr>
        <w:t>完</w:t>
      </w:r>
      <w:r>
        <w:rPr>
          <w:spacing w:val="-3"/>
          <w:w w:val="100"/>
        </w:rPr>
        <w:t>成</w:t>
      </w:r>
      <w:r>
        <w:rPr>
          <w:w w:val="100"/>
        </w:rPr>
        <w:t>软</w:t>
      </w:r>
      <w:r>
        <w:rPr>
          <w:spacing w:val="-3"/>
          <w:w w:val="100"/>
        </w:rPr>
        <w:t>件</w:t>
      </w:r>
      <w:r>
        <w:rPr>
          <w:w w:val="100"/>
        </w:rPr>
        <w:t>业</w:t>
      </w:r>
      <w:r>
        <w:rPr>
          <w:spacing w:val="-3"/>
          <w:w w:val="100"/>
        </w:rPr>
        <w:t>务</w:t>
      </w:r>
      <w:r>
        <w:rPr>
          <w:w w:val="100"/>
        </w:rPr>
        <w:t>收入</w:t>
      </w:r>
      <w:r>
        <w:rPr>
          <w:spacing w:val="-81"/>
        </w:rPr>
        <w:t> </w:t>
      </w:r>
      <w:r>
        <w:rPr>
          <w:rFonts w:ascii="Times New Roman" w:hAnsi="Times New Roman" w:cs="Times New Roman" w:eastAsia="Times New Roman" w:hint="default"/>
          <w:w w:val="100"/>
        </w:rPr>
        <w:t>71,768</w:t>
      </w:r>
      <w:r>
        <w:rPr>
          <w:rFonts w:ascii="Times New Roman" w:hAnsi="Times New Roman" w:cs="Times New Roman" w:eastAsia="Times New Roman" w:hint="default"/>
          <w:spacing w:val="-29"/>
        </w:rPr>
        <w:t> </w:t>
      </w:r>
      <w:r>
        <w:rPr>
          <w:w w:val="100"/>
        </w:rPr>
        <w:t>亿元</w:t>
      </w:r>
      <w:r>
        <w:rPr>
          <w:spacing w:val="-108"/>
          <w:w w:val="100"/>
        </w:rPr>
        <w:t>，</w:t>
      </w:r>
      <w:r>
        <w:rPr>
          <w:w w:val="100"/>
        </w:rPr>
        <w:t>同</w:t>
      </w:r>
      <w:r>
        <w:rPr>
          <w:spacing w:val="-3"/>
          <w:w w:val="100"/>
        </w:rPr>
        <w:t>比</w:t>
      </w:r>
      <w:r>
        <w:rPr>
          <w:w w:val="100"/>
        </w:rPr>
        <w:t>增长</w:t>
      </w:r>
      <w:r>
        <w:rPr>
          <w:spacing w:val="-79"/>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spacing w:val="-1"/>
          <w:w w:val="100"/>
        </w:rPr>
        <w:t>%</w:t>
      </w:r>
      <w:r>
        <w:rPr>
          <w:spacing w:val="-106"/>
          <w:w w:val="100"/>
        </w:rPr>
        <w:t>，</w:t>
      </w:r>
      <w:r>
        <w:rPr>
          <w:w w:val="100"/>
        </w:rPr>
        <w:t>实</w:t>
      </w:r>
      <w:r>
        <w:rPr>
          <w:spacing w:val="-3"/>
          <w:w w:val="100"/>
        </w:rPr>
        <w:t>现</w:t>
      </w:r>
      <w:r>
        <w:rPr>
          <w:w w:val="100"/>
        </w:rPr>
        <w:t>利</w:t>
      </w:r>
      <w:r>
        <w:rPr>
          <w:spacing w:val="-3"/>
          <w:w w:val="100"/>
        </w:rPr>
        <w:t>润</w:t>
      </w:r>
      <w:r>
        <w:rPr>
          <w:w w:val="100"/>
        </w:rPr>
        <w:t>总额</w:t>
      </w:r>
      <w:r>
        <w:rPr>
          <w:spacing w:val="-79"/>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362</w:t>
      </w:r>
      <w:r>
        <w:rPr>
          <w:rFonts w:ascii="Times New Roman" w:hAnsi="Times New Roman" w:cs="Times New Roman" w:eastAsia="Times New Roman" w:hint="default"/>
          <w:spacing w:val="-29"/>
        </w:rPr>
        <w:t> </w:t>
      </w:r>
      <w:r>
        <w:rPr>
          <w:spacing w:val="-3"/>
          <w:w w:val="100"/>
        </w:rPr>
        <w:t>亿</w:t>
      </w:r>
      <w:r>
        <w:rPr>
          <w:w w:val="100"/>
        </w:rPr>
        <w:t>元</w:t>
      </w:r>
      <w:r>
        <w:rPr>
          <w:spacing w:val="-106"/>
          <w:w w:val="100"/>
        </w:rPr>
        <w:t>，</w:t>
      </w:r>
      <w:r>
        <w:rPr>
          <w:spacing w:val="-3"/>
          <w:w w:val="100"/>
        </w:rPr>
        <w:t>同</w:t>
      </w:r>
      <w:r>
        <w:rPr>
          <w:w w:val="100"/>
        </w:rPr>
        <w:t>比</w:t>
      </w:r>
      <w:r>
        <w:rPr>
          <w:spacing w:val="-3"/>
          <w:w w:val="100"/>
        </w:rPr>
        <w:t>增</w:t>
      </w:r>
      <w:r>
        <w:rPr>
          <w:w w:val="100"/>
        </w:rPr>
        <w:t>长</w:t>
      </w:r>
      <w:r>
        <w:rPr>
          <w:spacing w:val="-79"/>
        </w:rPr>
        <w:t> </w:t>
      </w:r>
      <w:r>
        <w:rPr>
          <w:rFonts w:ascii="Times New Roman" w:hAnsi="Times New Roman" w:cs="Times New Roman" w:eastAsia="Times New Roman" w:hint="default"/>
          <w:w w:val="100"/>
        </w:rPr>
        <w:t>9.9</w:t>
      </w:r>
      <w:r>
        <w:rPr>
          <w:rFonts w:ascii="Times New Roman" w:hAnsi="Times New Roman" w:cs="Times New Roman" w:eastAsia="Times New Roman" w:hint="default"/>
          <w:spacing w:val="-4"/>
          <w:w w:val="100"/>
        </w:rPr>
        <w:t>%</w:t>
      </w:r>
      <w:r>
        <w:rPr>
          <w:w w:val="100"/>
        </w:rPr>
        <w:t>。</w:t>
      </w:r>
    </w:p>
    <w:p>
      <w:pPr>
        <w:pStyle w:val="BodyText"/>
        <w:spacing w:line="302" w:lineRule="auto" w:before="69"/>
        <w:ind w:left="718" w:right="597"/>
        <w:jc w:val="left"/>
      </w:pPr>
      <w:r>
        <w:rPr>
          <w:rFonts w:ascii="Times New Roman" w:hAnsi="Times New Roman" w:cs="Times New Roman" w:eastAsia="Times New Roman" w:hint="default"/>
        </w:rPr>
        <w:t>2019 </w:t>
      </w:r>
      <w:r>
        <w:rPr>
          <w:spacing w:val="-3"/>
        </w:rPr>
        <w:t>年，整体行业的从业人数稳步增加；信息技术服务加快云化发展，软件应用服务化、平台化</w:t>
      </w:r>
      <w:r>
        <w:rPr>
          <w:spacing w:val="-41"/>
        </w:rPr>
        <w:t> </w:t>
      </w:r>
      <w:r>
        <w:rPr>
          <w:spacing w:val="-41"/>
        </w:rPr>
      </w:r>
      <w:r>
        <w:rPr>
          <w:spacing w:val="-3"/>
        </w:rPr>
        <w:t>趋势明显；中部地区软件业增速较快，东部地区保持集聚和领先发展态势。</w:t>
      </w:r>
      <w:r>
        <w:rPr>
          <w:rFonts w:ascii="Times New Roman" w:hAnsi="Times New Roman" w:cs="Times New Roman" w:eastAsia="Times New Roman" w:hint="default"/>
          <w:spacing w:val="-3"/>
        </w:rPr>
        <w:t>2020 </w:t>
      </w:r>
      <w:r>
        <w:rPr>
          <w:spacing w:val="-3"/>
        </w:rPr>
        <w:t>年，产业发展既</w:t>
      </w:r>
      <w:r>
        <w:rPr>
          <w:spacing w:val="-72"/>
        </w:rPr>
        <w:t> </w:t>
      </w:r>
      <w:r>
        <w:rPr>
          <w:spacing w:val="-72"/>
        </w:rPr>
      </w:r>
      <w:r>
        <w:rPr/>
        <w:t>面临与实体经济深度融合进程加速的巨大市场空间，又面临着产业向高质量发展转型的重大压力</w:t>
      </w:r>
      <w:r>
        <w:rPr>
          <w:spacing w:val="-97"/>
        </w:rPr>
        <w:t> </w:t>
      </w:r>
      <w:r>
        <w:rPr>
          <w:spacing w:val="-97"/>
        </w:rPr>
      </w:r>
      <w:r>
        <w:rPr/>
        <w:t>和挑战，预计</w:t>
      </w:r>
      <w:r>
        <w:rPr>
          <w:spacing w:val="-5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年我国软件和信息技术服务业将保持平稳发展态势，产业发展进入结构优化、</w:t>
      </w:r>
      <w:r>
        <w:rPr>
          <w:w w:val="100"/>
        </w:rPr>
        <w:t> </w:t>
      </w:r>
      <w:r>
        <w:rPr/>
        <w:t>快速迭代的关键期。</w:t>
      </w:r>
    </w:p>
    <w:p>
      <w:pPr>
        <w:pStyle w:val="BodyText"/>
        <w:spacing w:line="314" w:lineRule="auto" w:before="30"/>
        <w:ind w:left="718" w:right="707" w:firstLine="419"/>
        <w:jc w:val="both"/>
      </w:pPr>
      <w:r>
        <w:rPr>
          <w:spacing w:val="-2"/>
        </w:rPr>
        <w:t>报告期内，公司业务收入保持较快增长，盈利能力稳步提升，吸纳大批优秀人才，形成完善</w:t>
      </w:r>
      <w:r>
        <w:rPr>
          <w:w w:val="100"/>
        </w:rPr>
        <w:t> </w:t>
      </w:r>
      <w:r>
        <w:rPr>
          <w:spacing w:val="-1"/>
        </w:rPr>
        <w:t>的人才储备、培养、发展体系；公司整合政务服务、公共安全管理等各类资源，沉淀平台服务能</w:t>
      </w:r>
      <w:r>
        <w:rPr>
          <w:spacing w:val="-55"/>
        </w:rPr>
        <w:t> </w:t>
      </w:r>
      <w:r>
        <w:rPr>
          <w:spacing w:val="-55"/>
        </w:rPr>
      </w:r>
      <w:r>
        <w:rPr>
          <w:spacing w:val="-3"/>
        </w:rPr>
        <w:t>力，形成政务、视频、移动中台产品；成功发布区块链证照通、</w:t>
      </w:r>
      <w:r>
        <w:rPr>
          <w:rFonts w:ascii="Times New Roman" w:hAnsi="Times New Roman" w:cs="Times New Roman" w:eastAsia="Times New Roman" w:hint="default"/>
          <w:spacing w:val="-3"/>
        </w:rPr>
        <w:t>AI </w:t>
      </w:r>
      <w:r>
        <w:rPr>
          <w:rFonts w:ascii="Times New Roman" w:hAnsi="Times New Roman" w:cs="Times New Roman" w:eastAsia="Times New Roman" w:hint="default"/>
          <w:spacing w:val="16"/>
        </w:rPr>
        <w:t> </w:t>
      </w:r>
      <w:r>
        <w:rPr>
          <w:spacing w:val="-3"/>
        </w:rPr>
        <w:t>政务智能审批平台、“互联网</w:t>
      </w:r>
    </w:p>
    <w:p>
      <w:pPr>
        <w:pStyle w:val="BodyText"/>
        <w:spacing w:line="304" w:lineRule="auto"/>
        <w:ind w:left="718" w:right="708"/>
        <w:jc w:val="both"/>
        <w:rPr>
          <w:rFonts w:ascii="宋体" w:hAnsi="宋体" w:cs="宋体" w:eastAsia="宋体" w:hint="default"/>
        </w:rPr>
      </w:pPr>
      <w:r>
        <w:rPr>
          <w:rFonts w:ascii="Times New Roman" w:hAnsi="Times New Roman" w:cs="Times New Roman" w:eastAsia="Times New Roman" w:hint="default"/>
        </w:rPr>
        <w:t>+</w:t>
      </w:r>
      <w:r>
        <w:rPr/>
        <w:t>监管”一体化平台等十大核心产品，业务自主创新能力不断加强，产业向高质量、高科技领域</w:t>
      </w:r>
      <w:r>
        <w:rPr>
          <w:spacing w:val="-10"/>
        </w:rPr>
        <w:t> </w:t>
      </w:r>
      <w:r>
        <w:rPr>
          <w:spacing w:val="-10"/>
        </w:rPr>
      </w:r>
      <w:r>
        <w:rPr>
          <w:spacing w:val="-1"/>
        </w:rPr>
        <w:t>深度布局，持续挖掘新的增长点，并将通过资源整合利用进一步提升产业链、价值链水平，驱动</w:t>
      </w:r>
      <w:r>
        <w:rPr>
          <w:spacing w:val="-56"/>
        </w:rPr>
        <w:t> </w:t>
      </w:r>
      <w:r>
        <w:rPr>
          <w:spacing w:val="-56"/>
        </w:rPr>
      </w:r>
      <w:r>
        <w:rPr/>
        <w:t>我国软件产业国际化发展、推动数字经济发展和智慧社会建设。</w:t>
      </w:r>
      <w:r>
        <w:rPr>
          <w:rFonts w:ascii="宋体" w:hAnsi="宋体" w:cs="宋体" w:eastAsia="宋体" w:hint="default"/>
        </w:rPr>
        <w:t> </w:t>
      </w:r>
    </w:p>
    <w:p>
      <w:pPr>
        <w:pStyle w:val="BodyText"/>
        <w:spacing w:line="248" w:lineRule="exact"/>
        <w:ind w:left="718" w:right="0"/>
        <w:jc w:val="left"/>
        <w:rPr>
          <w:rFonts w:ascii="宋体" w:hAnsi="宋体" w:cs="宋体" w:eastAsia="宋体" w:hint="default"/>
        </w:rPr>
      </w:pPr>
      <w:r>
        <w:rPr>
          <w:rFonts w:ascii="宋体"/>
          <w:w w:val="100"/>
        </w:rPr>
        <w:t> </w:t>
      </w:r>
    </w:p>
    <w:p>
      <w:pPr>
        <w:pStyle w:val="Heading4"/>
        <w:spacing w:line="240" w:lineRule="auto" w:before="97"/>
        <w:ind w:left="71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公司发展战略</w:t>
      </w:r>
      <w:r>
        <w:rPr>
          <w:b w:val="0"/>
          <w:bCs w:val="0"/>
        </w:rPr>
      </w:r>
    </w:p>
    <w:p>
      <w:pPr>
        <w:pStyle w:val="BodyText"/>
        <w:spacing w:line="321" w:lineRule="auto" w:before="97"/>
        <w:ind w:left="11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为顺应国家治理体系和治理能力现代化改革的发展战略，公司重新调整自身战略定位，将公</w:t>
      </w:r>
    </w:p>
    <w:p>
      <w:pPr>
        <w:pStyle w:val="BodyText"/>
        <w:spacing w:line="304" w:lineRule="auto" w:before="13"/>
        <w:ind w:left="718" w:right="708"/>
        <w:jc w:val="both"/>
      </w:pPr>
      <w:r>
        <w:rPr>
          <w:spacing w:val="-6"/>
          <w:w w:val="100"/>
        </w:rPr>
        <w:t>司定位为数字政府服务与运营商、公共安全大数据专家、信创软件产品提供商和综合集成服务商，</w:t>
      </w:r>
      <w:r>
        <w:rPr>
          <w:spacing w:val="-104"/>
          <w:w w:val="100"/>
        </w:rPr>
        <w:t> </w:t>
      </w:r>
      <w:r>
        <w:rPr>
          <w:spacing w:val="-104"/>
          <w:w w:val="100"/>
        </w:rPr>
      </w:r>
      <w:r>
        <w:rPr/>
        <w:t>是推进国家治理体系和治理能力现代化的知名科技公司。</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月，公司制订了</w:t>
      </w:r>
      <w:r>
        <w:rPr>
          <w:spacing w:val="-39"/>
        </w:rPr>
        <w:t> </w:t>
      </w:r>
      <w:r>
        <w:rPr>
          <w:rFonts w:ascii="Times New Roman" w:hAnsi="Times New Roman" w:cs="Times New Roman" w:eastAsia="Times New Roman" w:hint="default"/>
        </w:rPr>
        <w:t>2025</w:t>
      </w:r>
      <w:r>
        <w:rPr>
          <w:rFonts w:ascii="Times New Roman" w:hAnsi="Times New Roman" w:cs="Times New Roman" w:eastAsia="Times New Roman" w:hint="default"/>
          <w:spacing w:val="13"/>
        </w:rPr>
        <w:t> </w:t>
      </w:r>
      <w:r>
        <w:rPr>
          <w:spacing w:val="-3"/>
        </w:rPr>
        <w:t>战略发</w:t>
      </w:r>
      <w:r>
        <w:rPr>
          <w:spacing w:val="-3"/>
          <w:w w:val="100"/>
        </w:rPr>
        <w:t> </w:t>
      </w:r>
      <w:r>
        <w:rPr/>
        <w:t>展规划，报告期内公司持续深化落地，效果显著。</w:t>
      </w:r>
    </w:p>
    <w:p>
      <w:pPr>
        <w:pStyle w:val="BodyText"/>
        <w:spacing w:line="314" w:lineRule="auto" w:before="28"/>
        <w:ind w:left="718" w:right="708" w:firstLine="419"/>
        <w:jc w:val="both"/>
      </w:pPr>
      <w:r>
        <w:rPr>
          <w:spacing w:val="-2"/>
        </w:rPr>
        <w:t>在行业区域布局战略方面，公司稳步推进行业区域布局战略，制定的“百城百亿计划”合作</w:t>
      </w:r>
      <w:r>
        <w:rPr>
          <w:spacing w:val="-3"/>
          <w:w w:val="100"/>
        </w:rPr>
        <w:t> </w:t>
      </w:r>
      <w:r>
        <w:rPr>
          <w:spacing w:val="-1"/>
        </w:rPr>
        <w:t>遍布全国各地取得初步成效，完成河南郑州、山东济宁、漳州金证、漳州漳浦、福州仓山、龙岩</w:t>
      </w:r>
    </w:p>
    <w:p>
      <w:pPr>
        <w:spacing w:after="0" w:line="314" w:lineRule="auto"/>
        <w:jc w:val="both"/>
        <w:sectPr>
          <w:pgSz w:w="11910" w:h="16840"/>
          <w:pgMar w:header="855" w:footer="979" w:top="1120" w:bottom="1160" w:left="1080" w:right="560"/>
        </w:sectPr>
      </w:pPr>
    </w:p>
    <w:p>
      <w:pPr>
        <w:spacing w:line="240" w:lineRule="auto" w:before="0"/>
        <w:rPr>
          <w:rFonts w:ascii="宋体" w:hAnsi="宋体" w:cs="宋体" w:eastAsia="宋体" w:hint="default"/>
          <w:sz w:val="20"/>
          <w:szCs w:val="20"/>
        </w:rPr>
      </w:pPr>
    </w:p>
    <w:p>
      <w:pPr>
        <w:pStyle w:val="BodyText"/>
        <w:spacing w:line="297" w:lineRule="auto" w:before="180"/>
        <w:ind w:left="138" w:right="0"/>
        <w:jc w:val="left"/>
      </w:pPr>
      <w:r>
        <w:rPr>
          <w:spacing w:val="-1"/>
          <w:w w:val="100"/>
        </w:rPr>
        <w:t>上杭等</w:t>
      </w:r>
      <w:r>
        <w:rPr>
          <w:spacing w:val="-40"/>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9"/>
          <w:w w:val="100"/>
        </w:rPr>
        <w:t> </w:t>
      </w:r>
      <w:r>
        <w:rPr>
          <w:spacing w:val="-10"/>
          <w:w w:val="100"/>
        </w:rPr>
        <w:t>家合资公司的组建。公司与地方政府平台、产业优质资源合作伙伴强强联合，优势互补，</w:t>
      </w:r>
      <w:r>
        <w:rPr>
          <w:spacing w:val="-100"/>
          <w:w w:val="100"/>
        </w:rPr>
        <w:t> </w:t>
      </w:r>
      <w:r>
        <w:rPr>
          <w:spacing w:val="-100"/>
          <w:w w:val="100"/>
        </w:rPr>
      </w:r>
      <w:r>
        <w:rPr/>
        <w:t>开拓市场，打造区域产业龙头企业，公司的营销能力持续提升，本地化服务能力持续增强。</w:t>
      </w:r>
    </w:p>
    <w:p>
      <w:pPr>
        <w:pStyle w:val="BodyText"/>
        <w:spacing w:line="304" w:lineRule="auto" w:before="34"/>
        <w:ind w:left="138" w:right="128" w:firstLine="419"/>
        <w:jc w:val="both"/>
      </w:pPr>
      <w:r>
        <w:rPr/>
        <w:t>在资本扩张战略方面，公司引进中国电科、蚂蚁金服的战略投资，完成对四方伟业 </w:t>
      </w:r>
      <w:r>
        <w:rPr>
          <w:rFonts w:ascii="Times New Roman" w:hAnsi="Times New Roman" w:cs="Times New Roman" w:eastAsia="Times New Roman" w:hint="default"/>
        </w:rPr>
        <w:t>5,000</w:t>
      </w:r>
      <w:r>
        <w:rPr>
          <w:rFonts w:ascii="Times New Roman" w:hAnsi="Times New Roman" w:cs="Times New Roman" w:eastAsia="Times New Roman" w:hint="default"/>
          <w:spacing w:val="5"/>
        </w:rPr>
        <w:t> </w:t>
      </w:r>
      <w:r>
        <w:rPr/>
        <w:t>万</w:t>
      </w:r>
      <w:r>
        <w:rPr>
          <w:w w:val="100"/>
        </w:rPr>
        <w:t> </w:t>
      </w:r>
      <w:r>
        <w:rPr>
          <w:spacing w:val="-1"/>
        </w:rPr>
        <w:t>元的追加投资，完成对福建金证智城科技有限公司的股权投资，完成对深圳安巽科技有限公司的</w:t>
      </w:r>
      <w:r>
        <w:rPr>
          <w:spacing w:val="-56"/>
        </w:rPr>
        <w:t> </w:t>
      </w:r>
      <w:r>
        <w:rPr>
          <w:spacing w:val="-56"/>
        </w:rPr>
      </w:r>
      <w:r>
        <w:rPr/>
        <w:t>股权投资。</w:t>
      </w:r>
    </w:p>
    <w:p>
      <w:pPr>
        <w:pStyle w:val="BodyText"/>
        <w:spacing w:line="314" w:lineRule="auto" w:before="28"/>
        <w:ind w:left="138" w:right="128" w:firstLine="419"/>
        <w:jc w:val="both"/>
      </w:pPr>
      <w:r>
        <w:rPr>
          <w:spacing w:val="-1"/>
        </w:rPr>
        <w:t>在产业生态战略方面，公司持续构建产业合作生态，与阿里巴巴、新华三等合作伙伴共同发</w:t>
      </w:r>
      <w:r>
        <w:rPr>
          <w:w w:val="100"/>
        </w:rPr>
        <w:t> </w:t>
      </w:r>
      <w:r>
        <w:rPr>
          <w:spacing w:val="-1"/>
        </w:rPr>
        <w:t>布联合解决方案，形成以城市通平台、广泛的行业应用、大数据支撑为核心的生态合作体系，共</w:t>
      </w:r>
      <w:r>
        <w:rPr>
          <w:spacing w:val="-55"/>
        </w:rPr>
        <w:t> </w:t>
      </w:r>
      <w:r>
        <w:rPr>
          <w:spacing w:val="-55"/>
        </w:rPr>
      </w:r>
      <w:r>
        <w:rPr/>
        <w:t>建智慧城市、数字城市。</w:t>
      </w:r>
    </w:p>
    <w:p>
      <w:pPr>
        <w:pStyle w:val="BodyText"/>
        <w:spacing w:line="314" w:lineRule="auto" w:before="20"/>
        <w:ind w:left="138" w:right="128" w:firstLine="419"/>
        <w:jc w:val="both"/>
      </w:pPr>
      <w:r>
        <w:rPr>
          <w:spacing w:val="-1"/>
        </w:rPr>
        <w:t>在核心竞争力战略方面，公司坚持发展大数据的“中国芯”，研发大数据底层技术、基础工</w:t>
      </w:r>
      <w:r>
        <w:rPr>
          <w:w w:val="100"/>
        </w:rPr>
        <w:t> </w:t>
      </w:r>
      <w:r>
        <w:rPr>
          <w:spacing w:val="-1"/>
        </w:rPr>
        <w:t>具和核心应用，完成研发上云，形成技术财富库，产品研发实行标准化管理，五大行业集团建立</w:t>
      </w:r>
      <w:r>
        <w:rPr>
          <w:spacing w:val="-55"/>
        </w:rPr>
        <w:t> </w:t>
      </w:r>
      <w:r>
        <w:rPr>
          <w:spacing w:val="-55"/>
        </w:rPr>
      </w:r>
      <w:r>
        <w:rPr>
          <w:spacing w:val="-1"/>
        </w:rPr>
        <w:t>产品报价体系，业务中台、数据中台、移动中台、行业应用、国产化等一批重大课题立项研发，</w:t>
      </w:r>
      <w:r>
        <w:rPr>
          <w:spacing w:val="-55"/>
        </w:rPr>
        <w:t> </w:t>
      </w:r>
      <w:r>
        <w:rPr>
          <w:spacing w:val="-55"/>
        </w:rPr>
      </w:r>
      <w:r>
        <w:rPr/>
        <w:t>公司技术能力、技术管理能力得以跃升，全面提高了公司的产品竞争力优势。</w:t>
      </w:r>
    </w:p>
    <w:p>
      <w:pPr>
        <w:pStyle w:val="BodyText"/>
        <w:spacing w:line="314" w:lineRule="auto" w:before="20"/>
        <w:ind w:left="138" w:right="130" w:firstLine="419"/>
        <w:jc w:val="both"/>
      </w:pPr>
      <w:r>
        <w:rPr>
          <w:spacing w:val="-2"/>
        </w:rPr>
        <w:t>在全球化战略方面，公司成功落地菲律宾合资公司、柬埔寨合资公司，为公司迈向全球奠定</w:t>
      </w:r>
      <w:r>
        <w:rPr>
          <w:w w:val="100"/>
        </w:rPr>
        <w:t> </w:t>
      </w:r>
      <w:r>
        <w:rPr/>
        <w:t>坚实的基础，南威致远公司中标多个海外项目，海外项目也将成为公司新的业务增长点。</w:t>
      </w:r>
    </w:p>
    <w:p>
      <w:pPr>
        <w:pStyle w:val="BodyText"/>
        <w:spacing w:line="314" w:lineRule="auto" w:before="20"/>
        <w:ind w:left="138" w:right="128" w:firstLine="419"/>
        <w:jc w:val="both"/>
      </w:pPr>
      <w:r>
        <w:rPr>
          <w:spacing w:val="-1"/>
        </w:rPr>
        <w:t>在红色引擎战略方面，公司始终坚持加强集团党委领导与建设，深化经营班子与党委班子深</w:t>
      </w:r>
      <w:r>
        <w:rPr>
          <w:w w:val="100"/>
        </w:rPr>
        <w:t> </w:t>
      </w:r>
      <w:r>
        <w:rPr>
          <w:spacing w:val="-1"/>
        </w:rPr>
        <w:t>度融合，集团党委荣获泉州市先进党组织、丰泽区先进党组织，被中央党校学习时报社评为全国</w:t>
      </w:r>
      <w:r>
        <w:rPr>
          <w:spacing w:val="-55"/>
        </w:rPr>
        <w:t> </w:t>
      </w:r>
      <w:r>
        <w:rPr>
          <w:spacing w:val="-55"/>
        </w:rPr>
      </w:r>
      <w:r>
        <w:rPr/>
        <w:t>“新时代百优民企党建典型案例”。</w:t>
      </w:r>
    </w:p>
    <w:p>
      <w:pPr>
        <w:pStyle w:val="BodyText"/>
        <w:spacing w:line="314" w:lineRule="auto" w:before="20"/>
        <w:ind w:left="138" w:right="130" w:firstLine="419"/>
        <w:jc w:val="both"/>
      </w:pPr>
      <w:r>
        <w:rPr>
          <w:spacing w:val="-2"/>
        </w:rPr>
        <w:t>在人才战略方面，公司第一批总裁百人计划学员毕业，为公司的人才培养提供了新的方法与</w:t>
      </w:r>
      <w:r>
        <w:rPr>
          <w:w w:val="100"/>
        </w:rPr>
        <w:t> </w:t>
      </w:r>
      <w:r>
        <w:rPr/>
        <w:t>经验，双职业通道、储备干部、末位淘汰等机制的实施为激活集团人力资源起到了积极作用。</w:t>
      </w:r>
    </w:p>
    <w:p>
      <w:pPr>
        <w:pStyle w:val="BodyText"/>
        <w:spacing w:line="240" w:lineRule="exact"/>
        <w:ind w:left="138" w:right="0"/>
        <w:jc w:val="left"/>
        <w:rPr>
          <w:rFonts w:ascii="宋体" w:hAnsi="宋体" w:cs="宋体" w:eastAsia="宋体" w:hint="default"/>
        </w:rPr>
      </w:pPr>
      <w:r>
        <w:rPr>
          <w:rFonts w:ascii="宋体"/>
          <w:w w:val="100"/>
        </w:rPr>
        <w:t> </w:t>
      </w:r>
    </w:p>
    <w:p>
      <w:pPr>
        <w:pStyle w:val="Heading4"/>
        <w:spacing w:line="240" w:lineRule="auto" w:before="97"/>
        <w:ind w:left="138" w:right="0"/>
        <w:jc w:val="left"/>
        <w:rPr>
          <w:b w:val="0"/>
          <w:bCs w:val="0"/>
        </w:rPr>
      </w:pPr>
      <w:r>
        <w:rPr>
          <w:rFonts w:ascii="宋体" w:hAnsi="宋体" w:cs="宋体" w:eastAsia="宋体" w:hint="default"/>
        </w:rPr>
        <w:t>(</w:t>
      </w:r>
      <w:r>
        <w:rPr/>
        <w:t>三</w:t>
      </w:r>
      <w:r>
        <w:rPr>
          <w:rFonts w:ascii="宋体" w:hAnsi="宋体" w:cs="宋体" w:eastAsia="宋体" w:hint="default"/>
        </w:rPr>
        <w:t>)</w:t>
      </w:r>
      <w:r>
        <w:rPr/>
        <w:t>经营计划</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2" w:lineRule="auto" w:before="92"/>
        <w:ind w:left="138" w:right="127" w:firstLine="419"/>
        <w:jc w:val="both"/>
        <w:rPr>
          <w:rFonts w:ascii="宋体" w:hAnsi="宋体" w:cs="宋体" w:eastAsia="宋体" w:hint="default"/>
        </w:rPr>
      </w:pP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年是推动公司</w:t>
      </w:r>
      <w:r>
        <w:rPr>
          <w:spacing w:val="-45"/>
        </w:rPr>
        <w:t> </w:t>
      </w:r>
      <w:r>
        <w:rPr>
          <w:rFonts w:ascii="Times New Roman" w:hAnsi="Times New Roman" w:cs="Times New Roman" w:eastAsia="Times New Roman" w:hint="default"/>
        </w:rPr>
        <w:t>2025</w:t>
      </w:r>
      <w:r>
        <w:rPr>
          <w:rFonts w:ascii="Times New Roman" w:hAnsi="Times New Roman" w:cs="Times New Roman" w:eastAsia="Times New Roman" w:hint="default"/>
          <w:spacing w:val="4"/>
        </w:rPr>
        <w:t> </w:t>
      </w:r>
      <w:r>
        <w:rPr>
          <w:spacing w:val="-4"/>
        </w:rPr>
        <w:t>战略发展的关键一年，公司将坚定不移地贯彻</w:t>
      </w:r>
      <w:r>
        <w:rPr>
          <w:spacing w:val="-46"/>
        </w:rPr>
        <w:t> </w:t>
      </w:r>
      <w:r>
        <w:rPr>
          <w:rFonts w:ascii="Times New Roman" w:hAnsi="Times New Roman" w:cs="Times New Roman" w:eastAsia="Times New Roman" w:hint="default"/>
        </w:rPr>
        <w:t>2025</w:t>
      </w:r>
      <w:r>
        <w:rPr>
          <w:rFonts w:ascii="Times New Roman" w:hAnsi="Times New Roman" w:cs="Times New Roman" w:eastAsia="Times New Roman" w:hint="default"/>
          <w:spacing w:val="5"/>
        </w:rPr>
        <w:t> </w:t>
      </w:r>
      <w:r>
        <w:rPr/>
        <w:t>整体战略指导思</w:t>
      </w:r>
      <w:r>
        <w:rPr>
          <w:w w:val="100"/>
        </w:rPr>
        <w:t> </w:t>
      </w:r>
      <w:r>
        <w:rPr>
          <w:spacing w:val="-1"/>
        </w:rPr>
        <w:t>想，牢牢把握调结构、保增长、提能力、优组织、控风险、强创新、精管理等七个要点，全面导</w:t>
      </w:r>
      <w:r>
        <w:rPr>
          <w:spacing w:val="-55"/>
        </w:rPr>
        <w:t> </w:t>
      </w:r>
      <w:r>
        <w:rPr>
          <w:spacing w:val="-55"/>
        </w:rPr>
      </w:r>
      <w:r>
        <w:rPr>
          <w:spacing w:val="-2"/>
        </w:rPr>
        <w:t>入阿米巴经营模式，共创经营哲学，用“合伙人制”连接利益，用“数字运营”锁住管理，优化</w:t>
      </w:r>
      <w:r>
        <w:rPr>
          <w:spacing w:val="-15"/>
        </w:rPr>
        <w:t> </w:t>
      </w:r>
      <w:r>
        <w:rPr>
          <w:spacing w:val="-15"/>
        </w:rPr>
      </w:r>
      <w:r>
        <w:rPr>
          <w:spacing w:val="-1"/>
        </w:rPr>
        <w:t>作战队形和作战序列，激发组织活力，构造出与南威使命愿景高度一致、赋权而不失控、自治而</w:t>
      </w:r>
      <w:r>
        <w:rPr>
          <w:spacing w:val="-55"/>
        </w:rPr>
        <w:t> </w:t>
      </w:r>
      <w:r>
        <w:rPr>
          <w:spacing w:val="-55"/>
        </w:rPr>
      </w:r>
      <w:r>
        <w:rPr>
          <w:spacing w:val="-1"/>
        </w:rPr>
        <w:t>又协同的敏捷经营系统，让南威更有活力地适应新经济环境，实现利润裂变式增长，为实现“千</w:t>
      </w:r>
      <w:r>
        <w:rPr>
          <w:spacing w:val="-55"/>
        </w:rPr>
        <w:t> </w:t>
      </w:r>
      <w:r>
        <w:rPr>
          <w:spacing w:val="-55"/>
        </w:rPr>
      </w:r>
      <w:r>
        <w:rPr/>
        <w:t>亿南威、百年南威”的企业梦想提供制度组织保证。</w:t>
      </w:r>
      <w:r>
        <w:rPr>
          <w:rFonts w:ascii="宋体" w:hAnsi="宋体" w:cs="宋体" w:eastAsia="宋体" w:hint="default"/>
        </w:rPr>
        <w:t> </w:t>
      </w:r>
    </w:p>
    <w:p>
      <w:pPr>
        <w:pStyle w:val="BodyText"/>
        <w:spacing w:line="312" w:lineRule="auto" w:before="22"/>
        <w:ind w:left="138" w:right="128" w:firstLine="419"/>
        <w:jc w:val="both"/>
        <w:rPr>
          <w:rFonts w:ascii="宋体" w:hAnsi="宋体" w:cs="宋体" w:eastAsia="宋体"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年第二季度将正式启用北京总部，形成北京、福建双总部格局。做强北京总部，服</w:t>
      </w:r>
      <w:r>
        <w:rPr>
          <w:w w:val="100"/>
        </w:rPr>
        <w:t> </w:t>
      </w:r>
      <w:r>
        <w:rPr>
          <w:spacing w:val="-1"/>
        </w:rPr>
        <w:t>务国家部委、开拓北京市场，探索开发国际业务，引进国内外更多精英人才，形成公司数字政府</w:t>
      </w:r>
      <w:r>
        <w:rPr>
          <w:spacing w:val="-56"/>
        </w:rPr>
        <w:t> </w:t>
      </w:r>
      <w:r>
        <w:rPr>
          <w:spacing w:val="-56"/>
        </w:rPr>
      </w:r>
      <w:r>
        <w:rPr>
          <w:spacing w:val="-1"/>
        </w:rPr>
        <w:t>和公共安全领域的制高点优势，做强主营业务；全面加强福建总部建设，固本培元深耕市场，做</w:t>
      </w:r>
      <w:r>
        <w:rPr>
          <w:spacing w:val="-55"/>
        </w:rPr>
        <w:t> </w:t>
      </w:r>
      <w:r>
        <w:rPr>
          <w:spacing w:val="-55"/>
        </w:rPr>
      </w:r>
      <w:r>
        <w:rPr>
          <w:spacing w:val="-1"/>
        </w:rPr>
        <w:t>好数字福建标杆，形成公司南北呼应、辐射全国、开拓国际的发展格局；在深圳设立创新中心，</w:t>
      </w:r>
      <w:r>
        <w:rPr>
          <w:spacing w:val="-55"/>
        </w:rPr>
        <w:t> </w:t>
      </w:r>
      <w:r>
        <w:rPr>
          <w:spacing w:val="-55"/>
        </w:rPr>
      </w:r>
      <w:r>
        <w:rPr>
          <w:spacing w:val="-1"/>
        </w:rPr>
        <w:t>进行行业核心技术创新、重大应用创新、商业模式创新、产业生态合作创新，为公司及下属行业</w:t>
      </w:r>
      <w:r>
        <w:rPr>
          <w:spacing w:val="-55"/>
        </w:rPr>
        <w:t> </w:t>
      </w:r>
      <w:r>
        <w:rPr>
          <w:spacing w:val="-55"/>
        </w:rPr>
      </w:r>
      <w:r>
        <w:rPr/>
        <w:t>机构提供创新平台、创新人才和创新动力。</w:t>
      </w:r>
      <w:r>
        <w:rPr>
          <w:rFonts w:ascii="宋体" w:hAnsi="宋体" w:cs="宋体" w:eastAsia="宋体" w:hint="default"/>
        </w:rPr>
        <w:t> </w:t>
      </w:r>
    </w:p>
    <w:p>
      <w:pPr>
        <w:pStyle w:val="BodyText"/>
        <w:spacing w:line="304" w:lineRule="auto" w:before="22"/>
        <w:ind w:left="138" w:right="128" w:firstLine="419"/>
        <w:jc w:val="both"/>
        <w:rPr>
          <w:rFonts w:ascii="宋体" w:hAnsi="宋体" w:cs="宋体" w:eastAsia="宋体" w:hint="default"/>
        </w:rPr>
      </w:pPr>
      <w:r>
        <w:rPr>
          <w:rFonts w:ascii="Times New Roman" w:hAnsi="Times New Roman" w:cs="Times New Roman" w:eastAsia="Times New Roman" w:hint="default"/>
          <w:spacing w:val="-4"/>
        </w:rPr>
        <w:t>2</w:t>
      </w:r>
      <w:r>
        <w:rPr>
          <w:spacing w:val="-4"/>
        </w:rPr>
        <w:t>、建设高效强大的智慧集团总部，实现集团总部赋能，前端组织敏捷经营，构建人人都是合</w:t>
      </w:r>
      <w:r>
        <w:rPr>
          <w:w w:val="100"/>
        </w:rPr>
        <w:t> </w:t>
      </w:r>
      <w:r>
        <w:rPr>
          <w:spacing w:val="-1"/>
        </w:rPr>
        <w:t>伙人、个个都是经营者的现代化企业，实行全面数字化经营；推行预算动态联动管控机制和内部</w:t>
      </w:r>
      <w:r>
        <w:rPr>
          <w:spacing w:val="-55"/>
        </w:rPr>
        <w:t> </w:t>
      </w:r>
      <w:r>
        <w:rPr>
          <w:spacing w:val="-55"/>
        </w:rPr>
      </w:r>
      <w:r>
        <w:rPr/>
        <w:t>结算制改革，完善优化</w:t>
      </w:r>
      <w:r>
        <w:rPr>
          <w:spacing w:val="-57"/>
        </w:rPr>
        <w:t> </w:t>
      </w:r>
      <w:r>
        <w:rPr>
          <w:rFonts w:ascii="Times New Roman" w:hAnsi="Times New Roman" w:cs="Times New Roman" w:eastAsia="Times New Roman" w:hint="default"/>
        </w:rPr>
        <w:t>ERP</w:t>
      </w:r>
      <w:r>
        <w:rPr>
          <w:rFonts w:ascii="Times New Roman" w:hAnsi="Times New Roman" w:cs="Times New Roman" w:eastAsia="Times New Roman" w:hint="default"/>
          <w:spacing w:val="-3"/>
        </w:rPr>
        <w:t> </w:t>
      </w:r>
      <w:r>
        <w:rPr/>
        <w:t>系统实现业财一体化，提高集团的整体管理水平。</w:t>
      </w:r>
      <w:r>
        <w:rPr>
          <w:rFonts w:ascii="宋体" w:hAnsi="宋体" w:cs="宋体" w:eastAsia="宋体" w:hint="default"/>
        </w:rPr>
        <w:t> </w:t>
      </w:r>
    </w:p>
    <w:p>
      <w:pPr>
        <w:spacing w:after="0" w:line="304" w:lineRule="auto"/>
        <w:jc w:val="both"/>
        <w:rPr>
          <w:rFonts w:ascii="宋体" w:hAnsi="宋体" w:cs="宋体" w:eastAsia="宋体" w:hint="default"/>
        </w:rPr>
        <w:sectPr>
          <w:pgSz w:w="11910" w:h="16840"/>
          <w:pgMar w:header="855" w:footer="979" w:top="1120" w:bottom="1160" w:left="1660" w:right="1140"/>
        </w:sectPr>
      </w:pPr>
    </w:p>
    <w:p>
      <w:pPr>
        <w:spacing w:line="240" w:lineRule="auto" w:before="0"/>
        <w:rPr>
          <w:rFonts w:ascii="宋体" w:hAnsi="宋体" w:cs="宋体" w:eastAsia="宋体" w:hint="default"/>
          <w:sz w:val="20"/>
          <w:szCs w:val="20"/>
        </w:rPr>
      </w:pPr>
    </w:p>
    <w:p>
      <w:pPr>
        <w:pStyle w:val="BodyText"/>
        <w:spacing w:line="309" w:lineRule="auto" w:before="180"/>
        <w:ind w:left="138" w:right="208" w:firstLine="419"/>
        <w:jc w:val="both"/>
        <w:rPr>
          <w:rFonts w:ascii="宋体" w:hAnsi="宋体" w:cs="宋体" w:eastAsia="宋体" w:hint="default"/>
        </w:rPr>
      </w:pPr>
      <w:r>
        <w:rPr>
          <w:rFonts w:ascii="Times New Roman" w:hAnsi="Times New Roman" w:cs="Times New Roman" w:eastAsia="Times New Roman" w:hint="default"/>
          <w:spacing w:val="-4"/>
        </w:rPr>
        <w:t>3</w:t>
      </w:r>
      <w:r>
        <w:rPr>
          <w:spacing w:val="-4"/>
        </w:rPr>
        <w:t>、做大做强行业专业子公司，提升行业子公司的研发、交付以及市场经营能力，有效赋能区</w:t>
      </w:r>
      <w:r>
        <w:rPr>
          <w:w w:val="100"/>
        </w:rPr>
        <w:t> </w:t>
      </w:r>
      <w:r>
        <w:rPr>
          <w:spacing w:val="-1"/>
        </w:rPr>
        <w:t>域机构发展。持续推进百城百亿计划，完善空白区域市场布局，实行市场全覆盖。升级完善行业</w:t>
      </w:r>
      <w:r>
        <w:rPr>
          <w:spacing w:val="-55"/>
        </w:rPr>
        <w:t> </w:t>
      </w:r>
      <w:r>
        <w:rPr>
          <w:spacing w:val="-55"/>
        </w:rPr>
      </w:r>
      <w:r>
        <w:rPr>
          <w:spacing w:val="-1"/>
        </w:rPr>
        <w:t>与区域矩阵式管理体系建设，加强行业机构的市场营销力量，提升行业产品、售前支持、实施交</w:t>
      </w:r>
      <w:r>
        <w:rPr>
          <w:spacing w:val="-55"/>
        </w:rPr>
        <w:t> </w:t>
      </w:r>
      <w:r>
        <w:rPr>
          <w:spacing w:val="-55"/>
        </w:rPr>
      </w:r>
      <w:r>
        <w:rPr/>
        <w:t>付的能力输出，提高行业机构整体经营水平和盈利能力。</w:t>
      </w:r>
      <w:r>
        <w:rPr>
          <w:rFonts w:ascii="宋体" w:hAnsi="宋体" w:cs="宋体" w:eastAsia="宋体" w:hint="default"/>
        </w:rPr>
        <w:t> </w:t>
      </w:r>
    </w:p>
    <w:p>
      <w:pPr>
        <w:pStyle w:val="BodyText"/>
        <w:spacing w:line="314" w:lineRule="auto" w:before="24"/>
        <w:ind w:left="138" w:right="208" w:firstLine="419"/>
        <w:jc w:val="both"/>
        <w:rPr>
          <w:rFonts w:ascii="宋体" w:hAnsi="宋体" w:cs="宋体" w:eastAsia="宋体" w:hint="default"/>
        </w:rPr>
      </w:pPr>
      <w:r>
        <w:rPr>
          <w:rFonts w:ascii="宋体" w:hAnsi="宋体" w:cs="宋体" w:eastAsia="宋体" w:hint="default"/>
          <w:spacing w:val="-4"/>
        </w:rPr>
        <w:t>4</w:t>
      </w:r>
      <w:r>
        <w:rPr>
          <w:spacing w:val="-4"/>
        </w:rPr>
        <w:t>、完善生态合作体系，打造具有南威特色的产业生态，构建强大的生态竞争力。加强与中电</w:t>
      </w:r>
      <w:r>
        <w:rPr>
          <w:w w:val="100"/>
        </w:rPr>
        <w:t> </w:t>
      </w:r>
      <w:r>
        <w:rPr>
          <w:spacing w:val="-1"/>
        </w:rPr>
        <w:t>科集团、阿里巴巴、蚂蚁金服、四方伟业、安巽科技等生态合作伙伴的资源共享、科研合作与市</w:t>
      </w:r>
      <w:r>
        <w:rPr>
          <w:spacing w:val="-55"/>
        </w:rPr>
        <w:t> </w:t>
      </w:r>
      <w:r>
        <w:rPr>
          <w:spacing w:val="-55"/>
        </w:rPr>
      </w:r>
      <w:r>
        <w:rPr>
          <w:spacing w:val="-1"/>
        </w:rPr>
        <w:t>场推广，推进与合作伙伴的双向赋能；加强与公司产业链上下游企业、细分领域的龙头企业、软</w:t>
      </w:r>
      <w:r>
        <w:rPr>
          <w:spacing w:val="-55"/>
        </w:rPr>
        <w:t> </w:t>
      </w:r>
      <w:r>
        <w:rPr>
          <w:spacing w:val="-55"/>
        </w:rPr>
      </w:r>
      <w:r>
        <w:rPr>
          <w:spacing w:val="-1"/>
        </w:rPr>
        <w:t>硬件厂商、科研院所等合作伙伴的全方位合作，构建产业链条，完善渠道合作体系，形成公司产</w:t>
      </w:r>
      <w:r>
        <w:rPr>
          <w:spacing w:val="-55"/>
        </w:rPr>
        <w:t> </w:t>
      </w:r>
      <w:r>
        <w:rPr>
          <w:spacing w:val="-55"/>
        </w:rPr>
      </w:r>
      <w:r>
        <w:rPr/>
        <w:t>业生态圈竞争力。</w:t>
      </w:r>
      <w:r>
        <w:rPr>
          <w:rFonts w:ascii="宋体" w:hAnsi="宋体" w:cs="宋体" w:eastAsia="宋体" w:hint="default"/>
        </w:rPr>
        <w:t> </w:t>
      </w:r>
    </w:p>
    <w:p>
      <w:pPr>
        <w:pStyle w:val="BodyText"/>
        <w:spacing w:line="304" w:lineRule="auto" w:before="20"/>
        <w:ind w:left="138" w:right="0" w:firstLine="419"/>
        <w:jc w:val="left"/>
        <w:rPr>
          <w:rFonts w:ascii="宋体" w:hAnsi="宋体" w:cs="宋体" w:eastAsia="宋体" w:hint="default"/>
        </w:rPr>
      </w:pP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年，我国经济虽然以抗击疫情开局，但经过全国人民的共同努力，疫情得以有效控制，</w:t>
      </w:r>
      <w:r>
        <w:rPr>
          <w:w w:val="100"/>
        </w:rPr>
        <w:t> </w:t>
      </w:r>
      <w:r>
        <w:rPr/>
        <w:t>企业完成复工复产，社会经济秩序得以有序恢复。在这样的时代背景下，公司全体干部员工同心</w:t>
      </w:r>
      <w:r>
        <w:rPr>
          <w:spacing w:val="-97"/>
        </w:rPr>
        <w:t> </w:t>
      </w:r>
      <w:r>
        <w:rPr>
          <w:spacing w:val="-97"/>
        </w:rPr>
      </w:r>
      <w:r>
        <w:rPr/>
        <w:t>协力、直面挑战、共克时艰，组织全员学习经营管理、推动深化企业变革、优化调整组织阵型、</w:t>
      </w:r>
      <w:r>
        <w:rPr>
          <w:spacing w:val="-97"/>
        </w:rPr>
        <w:t> </w:t>
      </w:r>
      <w:r>
        <w:rPr>
          <w:spacing w:val="-97"/>
        </w:rPr>
      </w:r>
      <w:r>
        <w:rPr>
          <w:spacing w:val="-3"/>
        </w:rPr>
        <w:t>完善提升管理制度、全面激活组织活力，以昂扬的斗志投入到生产经营工作中，坚决为实现 </w:t>
      </w:r>
      <w:r>
        <w:rPr>
          <w:rFonts w:ascii="Times New Roman" w:hAnsi="Times New Roman" w:cs="Times New Roman" w:eastAsia="Times New Roman" w:hint="default"/>
        </w:rPr>
        <w:t>2020</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年的年度经营目标而努力奋斗！</w:t>
      </w:r>
      <w:r>
        <w:rPr>
          <w:rFonts w:ascii="宋体" w:hAnsi="宋体" w:cs="宋体" w:eastAsia="宋体" w:hint="default"/>
        </w:rPr>
        <w:t> </w:t>
      </w:r>
    </w:p>
    <w:p>
      <w:pPr>
        <w:pStyle w:val="BodyText"/>
        <w:spacing w:line="248" w:lineRule="exact"/>
        <w:ind w:left="138" w:right="0"/>
        <w:jc w:val="both"/>
        <w:rPr>
          <w:rFonts w:ascii="宋体" w:hAnsi="宋体" w:cs="宋体" w:eastAsia="宋体" w:hint="default"/>
        </w:rPr>
      </w:pPr>
      <w:r>
        <w:rPr>
          <w:rFonts w:ascii="宋体"/>
          <w:w w:val="100"/>
        </w:rPr>
        <w:t> </w:t>
      </w:r>
    </w:p>
    <w:p>
      <w:pPr>
        <w:pStyle w:val="Heading4"/>
        <w:spacing w:line="240" w:lineRule="auto" w:before="97"/>
        <w:ind w:left="138" w:right="0"/>
        <w:jc w:val="both"/>
        <w:rPr>
          <w:b w:val="0"/>
          <w:bCs w:val="0"/>
        </w:rPr>
      </w:pPr>
      <w:r>
        <w:rPr>
          <w:rFonts w:ascii="宋体" w:hAnsi="宋体" w:cs="宋体" w:eastAsia="宋体" w:hint="default"/>
        </w:rPr>
        <w:t>(</w:t>
      </w:r>
      <w:r>
        <w:rPr/>
        <w:t>四</w:t>
      </w:r>
      <w:r>
        <w:rPr>
          <w:rFonts w:ascii="宋体" w:hAnsi="宋体" w:cs="宋体" w:eastAsia="宋体" w:hint="default"/>
        </w:rPr>
        <w:t>)</w:t>
      </w:r>
      <w:r>
        <w:rPr/>
        <w:t>可能面对的风险</w:t>
      </w:r>
      <w:r>
        <w:rPr>
          <w:b w:val="0"/>
          <w:bCs w:val="0"/>
        </w:rPr>
      </w:r>
    </w:p>
    <w:p>
      <w:pPr>
        <w:pStyle w:val="BodyText"/>
        <w:spacing w:line="240" w:lineRule="auto" w:before="97"/>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7" w:lineRule="auto" w:before="92"/>
        <w:ind w:left="558" w:right="0"/>
        <w:jc w:val="left"/>
      </w:pPr>
      <w:r>
        <w:rPr>
          <w:rFonts w:ascii="Times New Roman" w:hAnsi="Times New Roman" w:cs="Times New Roman" w:eastAsia="Times New Roman" w:hint="default"/>
          <w:b/>
          <w:bCs/>
        </w:rPr>
        <w:t>1</w:t>
      </w:r>
      <w:r>
        <w:rPr>
          <w:rFonts w:ascii="宋体" w:hAnsi="宋体" w:cs="宋体" w:eastAsia="宋体" w:hint="default"/>
          <w:b/>
          <w:bCs/>
        </w:rPr>
        <w:t>、市场环境风险</w:t>
      </w:r>
      <w:r>
        <w:rPr>
          <w:rFonts w:ascii="宋体" w:hAnsi="宋体" w:cs="宋体" w:eastAsia="宋体" w:hint="default"/>
          <w:b/>
          <w:bCs/>
          <w:spacing w:val="-103"/>
        </w:rPr>
        <w:t> </w:t>
      </w:r>
      <w:r>
        <w:rPr>
          <w:spacing w:val="-2"/>
        </w:rPr>
        <w:t>软件与信息技术服务业在推动经济高质量发展中发挥着重要的作用，一直都受到国家与各级</w:t>
      </w:r>
    </w:p>
    <w:p>
      <w:pPr>
        <w:pStyle w:val="BodyText"/>
        <w:spacing w:line="314" w:lineRule="auto" w:before="34"/>
        <w:ind w:left="138" w:right="208"/>
        <w:jc w:val="both"/>
      </w:pPr>
      <w:r>
        <w:rPr>
          <w:spacing w:val="-1"/>
        </w:rPr>
        <w:t>政府的高度重视，出台各类国家政策鼓励与推动产业发展，公司业务收入持续增长。如未来宏观</w:t>
      </w:r>
      <w:r>
        <w:rPr>
          <w:spacing w:val="-55"/>
        </w:rPr>
        <w:t> </w:t>
      </w:r>
      <w:r>
        <w:rPr>
          <w:spacing w:val="-55"/>
        </w:rPr>
      </w:r>
      <w:r>
        <w:rPr>
          <w:spacing w:val="-1"/>
        </w:rPr>
        <w:t>政策发生变化，将对公司业务环境造成影响。但机遇与挑战并存，软件行业仍然是经济高质量发</w:t>
      </w:r>
      <w:r>
        <w:rPr>
          <w:spacing w:val="-55"/>
        </w:rPr>
        <w:t> </w:t>
      </w:r>
      <w:r>
        <w:rPr>
          <w:spacing w:val="-55"/>
        </w:rPr>
      </w:r>
      <w:r>
        <w:rPr>
          <w:spacing w:val="-6"/>
        </w:rPr>
        <w:t>展的新动能，政策的变化同时促进行业新需求的增加，为公司发展带来新的业务需求。面对风险，</w:t>
      </w:r>
      <w:r>
        <w:rPr>
          <w:spacing w:val="-54"/>
        </w:rPr>
        <w:t> </w:t>
      </w:r>
      <w:r>
        <w:rPr>
          <w:spacing w:val="-54"/>
        </w:rPr>
      </w:r>
      <w:r>
        <w:rPr>
          <w:spacing w:val="-1"/>
        </w:rPr>
        <w:t>公司将积极研究行业发展趋势和政策方向，发展区块链、互联网、物联网、大数据等技术，提前</w:t>
      </w:r>
      <w:r>
        <w:rPr>
          <w:spacing w:val="-55"/>
        </w:rPr>
        <w:t> </w:t>
      </w:r>
      <w:r>
        <w:rPr>
          <w:spacing w:val="-55"/>
        </w:rPr>
      </w:r>
      <w:r>
        <w:rPr>
          <w:spacing w:val="-1"/>
        </w:rPr>
        <w:t>进行产业布局，拓展新行业、扩大公司市场范围，不断加强在商业模式方面的探索和创新，应对</w:t>
      </w:r>
      <w:r>
        <w:rPr>
          <w:spacing w:val="-56"/>
        </w:rPr>
        <w:t> </w:t>
      </w:r>
      <w:r>
        <w:rPr>
          <w:spacing w:val="-56"/>
        </w:rPr>
      </w:r>
      <w:r>
        <w:rPr/>
        <w:t>各类市场风险。</w:t>
      </w:r>
    </w:p>
    <w:p>
      <w:pPr>
        <w:spacing w:line="297" w:lineRule="auto" w:before="20"/>
        <w:ind w:left="55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、技术研发及迭代风险</w:t>
      </w:r>
      <w:r>
        <w:rPr>
          <w:rFonts w:ascii="宋体" w:hAnsi="宋体" w:cs="宋体" w:eastAsia="宋体" w:hint="default"/>
          <w:b/>
          <w:bCs/>
          <w:w w:val="100"/>
          <w:sz w:val="21"/>
          <w:szCs w:val="21"/>
        </w:rPr>
        <w:t> </w:t>
      </w:r>
      <w:r>
        <w:rPr>
          <w:rFonts w:ascii="宋体" w:hAnsi="宋体" w:cs="宋体" w:eastAsia="宋体" w:hint="default"/>
          <w:spacing w:val="-2"/>
          <w:sz w:val="21"/>
          <w:szCs w:val="21"/>
        </w:rPr>
        <w:t>持续的技术研发是公司不断发展壮大的基础，国家对数字政府、城市公共安全、城市治理、</w:t>
      </w:r>
    </w:p>
    <w:p>
      <w:pPr>
        <w:pStyle w:val="BodyText"/>
        <w:spacing w:line="314" w:lineRule="auto" w:before="34"/>
        <w:ind w:left="138" w:right="208"/>
        <w:jc w:val="both"/>
      </w:pPr>
      <w:r>
        <w:rPr>
          <w:spacing w:val="-1"/>
        </w:rPr>
        <w:t>应急管理和城市公共环境治理体系及能力等方面提出更高的要求，对公司相关软件及产品也提出</w:t>
      </w:r>
      <w:r>
        <w:rPr>
          <w:spacing w:val="-55"/>
        </w:rPr>
        <w:t> </w:t>
      </w:r>
      <w:r>
        <w:rPr>
          <w:spacing w:val="-55"/>
        </w:rPr>
      </w:r>
      <w:r>
        <w:rPr>
          <w:spacing w:val="-1"/>
        </w:rPr>
        <w:t>更高的要求。公司需准确把握技术、产品和市场的发展趋势，快速精准地研发出符合市场需求的</w:t>
      </w:r>
      <w:r>
        <w:rPr>
          <w:spacing w:val="-56"/>
        </w:rPr>
        <w:t> </w:t>
      </w:r>
      <w:r>
        <w:rPr>
          <w:spacing w:val="-56"/>
        </w:rPr>
      </w:r>
      <w:r>
        <w:rPr>
          <w:spacing w:val="-1"/>
        </w:rPr>
        <w:t>产品，才能适应市场环境多变、技术不断迭代更新快所带来的风险。公司将优化研发体系，持续</w:t>
      </w:r>
      <w:r>
        <w:rPr>
          <w:spacing w:val="-55"/>
        </w:rPr>
        <w:t> </w:t>
      </w:r>
      <w:r>
        <w:rPr>
          <w:spacing w:val="-55"/>
        </w:rPr>
      </w:r>
      <w:r>
        <w:rPr>
          <w:spacing w:val="-1"/>
        </w:rPr>
        <w:t>加大研发投入，继续深入研发区块链技术、大数据底层技术、基础工具和核心应用，打造公司技</w:t>
      </w:r>
      <w:r>
        <w:rPr>
          <w:spacing w:val="-55"/>
        </w:rPr>
        <w:t> </w:t>
      </w:r>
      <w:r>
        <w:rPr>
          <w:spacing w:val="-55"/>
        </w:rPr>
      </w:r>
      <w:r>
        <w:rPr/>
        <w:t>术核心竞争力。</w:t>
      </w:r>
    </w:p>
    <w:p>
      <w:pPr>
        <w:pStyle w:val="Heading4"/>
        <w:spacing w:line="240" w:lineRule="auto" w:before="20"/>
        <w:ind w:left="560" w:right="2819"/>
        <w:jc w:val="left"/>
        <w:rPr>
          <w:b w:val="0"/>
          <w:bCs w:val="0"/>
        </w:rPr>
      </w:pPr>
      <w:r>
        <w:rPr>
          <w:rFonts w:ascii="Times New Roman" w:hAnsi="Times New Roman" w:cs="Times New Roman" w:eastAsia="Times New Roman" w:hint="default"/>
        </w:rPr>
        <w:t>3</w:t>
      </w:r>
      <w:r>
        <w:rPr/>
        <w:t>、规模快速扩张引发管理风险</w:t>
      </w:r>
      <w:r>
        <w:rPr>
          <w:b w:val="0"/>
          <w:bCs w:val="0"/>
        </w:rPr>
      </w:r>
    </w:p>
    <w:p>
      <w:pPr>
        <w:pStyle w:val="BodyText"/>
        <w:spacing w:line="309" w:lineRule="auto" w:before="69"/>
        <w:ind w:left="138" w:right="208" w:firstLine="419"/>
        <w:jc w:val="both"/>
      </w:pPr>
      <w:r>
        <w:rPr/>
        <w:t>报告期内，公司持续推进“</w:t>
      </w:r>
      <w:r>
        <w:rPr>
          <w:rFonts w:ascii="Times New Roman" w:hAnsi="Times New Roman" w:cs="Times New Roman" w:eastAsia="Times New Roman" w:hint="default"/>
        </w:rPr>
        <w:t>2025</w:t>
      </w:r>
      <w:r>
        <w:rPr>
          <w:rFonts w:ascii="Times New Roman" w:hAnsi="Times New Roman" w:cs="Times New Roman" w:eastAsia="Times New Roman" w:hint="default"/>
          <w:spacing w:val="20"/>
        </w:rPr>
        <w:t> </w:t>
      </w:r>
      <w:r>
        <w:rPr>
          <w:spacing w:val="-3"/>
        </w:rPr>
        <w:t>战略规划”和“百城百亿”计划，经营规模和业务范围快速</w:t>
      </w:r>
      <w:r>
        <w:rPr>
          <w:w w:val="100"/>
        </w:rPr>
        <w:t> </w:t>
      </w:r>
      <w:r>
        <w:rPr>
          <w:spacing w:val="-1"/>
        </w:rPr>
        <w:t>扩展，业务发展模式的探索、建立、成型以及业绩的释放，都需要一定的周期和较大投入，同时</w:t>
      </w:r>
      <w:r>
        <w:rPr>
          <w:spacing w:val="-55"/>
        </w:rPr>
        <w:t> </w:t>
      </w:r>
      <w:r>
        <w:rPr>
          <w:spacing w:val="-55"/>
        </w:rPr>
      </w:r>
      <w:r>
        <w:rPr>
          <w:spacing w:val="-1"/>
        </w:rPr>
        <w:t>公司的组织结构和管理体系均需及时进行相应调整以适应经营管理和发展要求。因此，公司需及</w:t>
      </w:r>
      <w:r>
        <w:rPr>
          <w:spacing w:val="-55"/>
        </w:rPr>
        <w:t> </w:t>
      </w:r>
      <w:r>
        <w:rPr>
          <w:spacing w:val="-55"/>
        </w:rPr>
      </w:r>
      <w:r>
        <w:rPr>
          <w:spacing w:val="-1"/>
        </w:rPr>
        <w:t>时完善现有管理架构，加强内部控制体系的建设和执行，建立健全的适应业务发展的基础制度和</w:t>
      </w:r>
    </w:p>
    <w:p>
      <w:pPr>
        <w:spacing w:after="0" w:line="309" w:lineRule="auto"/>
        <w:jc w:val="both"/>
        <w:sectPr>
          <w:pgSz w:w="11910" w:h="16840"/>
          <w:pgMar w:header="855" w:footer="979" w:top="1120" w:bottom="1160" w:left="1660" w:right="1060"/>
        </w:sectPr>
      </w:pPr>
    </w:p>
    <w:p>
      <w:pPr>
        <w:spacing w:line="240" w:lineRule="auto" w:before="0"/>
        <w:rPr>
          <w:rFonts w:ascii="宋体" w:hAnsi="宋体" w:cs="宋体" w:eastAsia="宋体" w:hint="default"/>
          <w:sz w:val="20"/>
          <w:szCs w:val="20"/>
        </w:rPr>
      </w:pPr>
    </w:p>
    <w:p>
      <w:pPr>
        <w:pStyle w:val="BodyText"/>
        <w:spacing w:line="314" w:lineRule="auto" w:before="180"/>
        <w:ind w:left="138" w:right="0"/>
        <w:jc w:val="left"/>
      </w:pPr>
      <w:r>
        <w:rPr>
          <w:spacing w:val="-1"/>
        </w:rPr>
        <w:t>经营流程，提高管理能力以适应公司规模发展的需求，从而降低未来由组织模式和管理制度不完</w:t>
      </w:r>
      <w:r>
        <w:rPr>
          <w:spacing w:val="-55"/>
        </w:rPr>
        <w:t> </w:t>
      </w:r>
      <w:r>
        <w:rPr>
          <w:spacing w:val="-55"/>
        </w:rPr>
      </w:r>
      <w:r>
        <w:rPr/>
        <w:t>善带来的风险。</w:t>
      </w:r>
    </w:p>
    <w:p>
      <w:pPr>
        <w:pStyle w:val="BodyText"/>
        <w:spacing w:line="297" w:lineRule="auto" w:before="20"/>
        <w:ind w:left="558" w:right="0" w:firstLine="2"/>
        <w:jc w:val="left"/>
      </w:pPr>
      <w:r>
        <w:rPr>
          <w:rFonts w:ascii="Times New Roman" w:hAnsi="Times New Roman" w:cs="Times New Roman" w:eastAsia="Times New Roman" w:hint="default"/>
          <w:b/>
          <w:bCs/>
        </w:rPr>
        <w:t>4</w:t>
      </w:r>
      <w:r>
        <w:rPr>
          <w:rFonts w:ascii="宋体" w:hAnsi="宋体" w:cs="宋体" w:eastAsia="宋体" w:hint="default"/>
          <w:b/>
          <w:bCs/>
        </w:rPr>
        <w:t>、人力资源风险</w:t>
      </w:r>
      <w:r>
        <w:rPr>
          <w:rFonts w:ascii="宋体" w:hAnsi="宋体" w:cs="宋体" w:eastAsia="宋体" w:hint="default"/>
          <w:b/>
          <w:bCs/>
          <w:w w:val="100"/>
        </w:rPr>
        <w:t> </w:t>
      </w:r>
      <w:r>
        <w:rPr>
          <w:spacing w:val="-2"/>
        </w:rPr>
        <w:t>软件企业一般都面临人员流动大、知识结构更新快的问题，行业内的市场竞争也越来越体现</w:t>
      </w:r>
    </w:p>
    <w:p>
      <w:pPr>
        <w:pStyle w:val="BodyText"/>
        <w:spacing w:line="314" w:lineRule="auto" w:before="34"/>
        <w:ind w:left="138" w:right="128"/>
        <w:jc w:val="both"/>
      </w:pPr>
      <w:r>
        <w:rPr>
          <w:spacing w:val="-1"/>
        </w:rPr>
        <w:t>为高素质人才的竞争。随着公司区域市场的扩张和业务规模的扩大，公司对高端核心人才的需求</w:t>
      </w:r>
      <w:r>
        <w:rPr>
          <w:spacing w:val="-55"/>
        </w:rPr>
        <w:t> </w:t>
      </w:r>
      <w:r>
        <w:rPr>
          <w:spacing w:val="-55"/>
        </w:rPr>
      </w:r>
      <w:r>
        <w:rPr>
          <w:spacing w:val="-1"/>
        </w:rPr>
        <w:t>将进一步增大，如公司未来不能有效配置人力资源，培养和引进高端人才，则可能对公司发展带</w:t>
      </w:r>
      <w:r>
        <w:rPr>
          <w:spacing w:val="-55"/>
        </w:rPr>
        <w:t> </w:t>
      </w:r>
      <w:r>
        <w:rPr>
          <w:spacing w:val="-55"/>
        </w:rPr>
      </w:r>
      <w:r>
        <w:rPr>
          <w:spacing w:val="-1"/>
        </w:rPr>
        <w:t>来影响。因此，公司将构建具有竞争力的薪酬福利体系和激励体系，建立公平有序的竞争晋升机</w:t>
      </w:r>
      <w:r>
        <w:rPr>
          <w:spacing w:val="-55"/>
        </w:rPr>
        <w:t> </w:t>
      </w:r>
      <w:r>
        <w:rPr>
          <w:spacing w:val="-55"/>
        </w:rPr>
      </w:r>
      <w:r>
        <w:rPr>
          <w:spacing w:val="-1"/>
        </w:rPr>
        <w:t>制，提供完善的人才培养计划，通过核心文化增强公司凝聚力，努力为公司高速发展提供人才保</w:t>
      </w:r>
      <w:r>
        <w:rPr>
          <w:spacing w:val="-55"/>
        </w:rPr>
        <w:t> </w:t>
      </w:r>
      <w:r>
        <w:rPr>
          <w:spacing w:val="-55"/>
        </w:rPr>
      </w:r>
      <w:r>
        <w:rPr/>
        <w:t>障。</w:t>
      </w:r>
    </w:p>
    <w:p>
      <w:pPr>
        <w:pStyle w:val="Heading4"/>
        <w:spacing w:line="240" w:lineRule="auto" w:before="20"/>
        <w:ind w:left="560" w:right="0"/>
        <w:jc w:val="left"/>
        <w:rPr>
          <w:b w:val="0"/>
          <w:bCs w:val="0"/>
        </w:rPr>
      </w:pPr>
      <w:r>
        <w:rPr>
          <w:rFonts w:ascii="Times New Roman" w:hAnsi="Times New Roman" w:cs="Times New Roman" w:eastAsia="Times New Roman" w:hint="default"/>
        </w:rPr>
        <w:t>5</w:t>
      </w:r>
      <w:r>
        <w:rPr/>
        <w:t>、长期应收款较高的风险</w:t>
      </w:r>
      <w:r>
        <w:rPr>
          <w:b w:val="0"/>
          <w:bCs w:val="0"/>
        </w:rPr>
      </w:r>
    </w:p>
    <w:p>
      <w:pPr>
        <w:pStyle w:val="BodyText"/>
        <w:spacing w:line="307" w:lineRule="auto" w:before="70"/>
        <w:ind w:left="138" w:right="127" w:firstLine="419"/>
        <w:jc w:val="both"/>
        <w:rPr>
          <w:rFonts w:ascii="宋体" w:hAnsi="宋体" w:cs="宋体" w:eastAsia="宋体" w:hint="default"/>
        </w:rPr>
      </w:pPr>
      <w:r>
        <w:rPr>
          <w:rFonts w:ascii="Times New Roman" w:hAnsi="Times New Roman" w:cs="Times New Roman" w:eastAsia="Times New Roman" w:hint="default"/>
        </w:rPr>
        <w:t>2017 </w:t>
      </w:r>
      <w:r>
        <w:rPr>
          <w:spacing w:val="-7"/>
        </w:rPr>
        <w:t>年下半年起，公司开始参与部分 </w:t>
      </w:r>
      <w:r>
        <w:rPr>
          <w:rFonts w:ascii="Times New Roman" w:hAnsi="Times New Roman" w:cs="Times New Roman" w:eastAsia="Times New Roman" w:hint="default"/>
        </w:rPr>
        <w:t>PPP</w:t>
      </w:r>
      <w:r>
        <w:rPr>
          <w:rFonts w:ascii="Times New Roman" w:hAnsi="Times New Roman" w:cs="Times New Roman" w:eastAsia="Times New Roman" w:hint="default"/>
          <w:spacing w:val="-33"/>
        </w:rPr>
        <w:t> </w:t>
      </w:r>
      <w:r>
        <w:rPr/>
        <w:t>和政府采购服务类等长期付款的政务信息化建设项</w:t>
      </w:r>
      <w:r>
        <w:rPr>
          <w:w w:val="100"/>
        </w:rPr>
        <w:t> </w:t>
      </w:r>
      <w:r>
        <w:rPr>
          <w:spacing w:val="-1"/>
        </w:rPr>
        <w:t>目，公司在该类项目验收后结转建造合同部分的收入，该类项目当期回款金额较小或无回款，公</w:t>
      </w:r>
      <w:r>
        <w:rPr>
          <w:spacing w:val="-55"/>
        </w:rPr>
        <w:t> </w:t>
      </w:r>
      <w:r>
        <w:rPr>
          <w:spacing w:val="-55"/>
        </w:rPr>
      </w:r>
      <w:r>
        <w:rPr>
          <w:spacing w:val="-3"/>
        </w:rPr>
        <w:t>司按国家会计准则将当期未回款金额计入长期应收款科目。随着国家加强对 </w:t>
      </w:r>
      <w:r>
        <w:rPr>
          <w:rFonts w:ascii="Times New Roman" w:hAnsi="Times New Roman" w:cs="Times New Roman" w:eastAsia="Times New Roman" w:hint="default"/>
        </w:rPr>
        <w:t>PPP </w:t>
      </w:r>
      <w:r>
        <w:rPr/>
        <w:t>类建设项目的管</w:t>
      </w:r>
      <w:r>
        <w:rPr>
          <w:spacing w:val="-87"/>
        </w:rPr>
        <w:t> </w:t>
      </w:r>
      <w:r>
        <w:rPr>
          <w:spacing w:val="-87"/>
        </w:rPr>
      </w:r>
      <w:r>
        <w:rPr/>
        <w:t>控，公司已采取措施谨慎参与</w:t>
      </w:r>
      <w:r>
        <w:rPr>
          <w:spacing w:val="-36"/>
        </w:rPr>
        <w:t> </w:t>
      </w:r>
      <w:r>
        <w:rPr>
          <w:rFonts w:ascii="Times New Roman" w:hAnsi="Times New Roman" w:cs="Times New Roman" w:eastAsia="Times New Roman" w:hint="default"/>
        </w:rPr>
        <w:t>PPP</w:t>
      </w:r>
      <w:r>
        <w:rPr>
          <w:rFonts w:ascii="Times New Roman" w:hAnsi="Times New Roman" w:cs="Times New Roman" w:eastAsia="Times New Roman" w:hint="default"/>
          <w:spacing w:val="20"/>
        </w:rPr>
        <w:t> </w:t>
      </w:r>
      <w:r>
        <w:rPr>
          <w:spacing w:val="-3"/>
        </w:rPr>
        <w:t>类项目建设。未来政务部门对运营需求不断提升，预计政府采</w:t>
      </w:r>
      <w:r>
        <w:rPr>
          <w:spacing w:val="-96"/>
        </w:rPr>
        <w:t> </w:t>
      </w:r>
      <w:r>
        <w:rPr>
          <w:spacing w:val="-96"/>
        </w:rPr>
      </w:r>
      <w:r>
        <w:rPr>
          <w:spacing w:val="-2"/>
        </w:rPr>
        <w:t>购服务类金额占比整体政府采购总额将不断提升，公司承建该类项目金额也随之将不断扩大，长</w:t>
      </w:r>
      <w:r>
        <w:rPr>
          <w:spacing w:val="-15"/>
        </w:rPr>
        <w:t> </w:t>
      </w:r>
      <w:r>
        <w:rPr>
          <w:spacing w:val="-15"/>
        </w:rPr>
      </w:r>
      <w:r>
        <w:rPr>
          <w:spacing w:val="-1"/>
        </w:rPr>
        <w:t>期应收账款的账面金额预计将有所增加；若上述长期应收款项不能及时收回，将增加公司坏账损</w:t>
      </w:r>
      <w:r>
        <w:rPr>
          <w:spacing w:val="-55"/>
        </w:rPr>
        <w:t> </w:t>
      </w:r>
      <w:r>
        <w:rPr>
          <w:spacing w:val="-55"/>
        </w:rPr>
      </w:r>
      <w:r>
        <w:rPr>
          <w:spacing w:val="-1"/>
        </w:rPr>
        <w:t>失的风险，影响公司的净利润和现金流。公司将通过继续加强应收账款的回收管理，努力优化公</w:t>
      </w:r>
      <w:r>
        <w:rPr>
          <w:spacing w:val="-56"/>
        </w:rPr>
        <w:t> </w:t>
      </w:r>
      <w:r>
        <w:rPr>
          <w:spacing w:val="-56"/>
        </w:rPr>
      </w:r>
      <w:r>
        <w:rPr/>
        <w:t>司的经营现金流。</w:t>
      </w:r>
      <w:r>
        <w:rPr>
          <w:rFonts w:ascii="宋体" w:hAnsi="宋体" w:cs="宋体" w:eastAsia="宋体" w:hint="default"/>
        </w:rPr>
        <w:t> </w:t>
      </w:r>
    </w:p>
    <w:p>
      <w:pPr>
        <w:pStyle w:val="BodyText"/>
        <w:spacing w:line="246" w:lineRule="exact"/>
        <w:ind w:left="138" w:right="0"/>
        <w:jc w:val="both"/>
        <w:rPr>
          <w:rFonts w:ascii="宋体" w:hAnsi="宋体" w:cs="宋体" w:eastAsia="宋体" w:hint="default"/>
        </w:rPr>
      </w:pPr>
      <w:r>
        <w:rPr>
          <w:rFonts w:ascii="宋体"/>
          <w:w w:val="100"/>
        </w:rPr>
        <w:t> </w:t>
      </w:r>
    </w:p>
    <w:p>
      <w:pPr>
        <w:pStyle w:val="Heading4"/>
        <w:spacing w:line="240" w:lineRule="auto" w:before="97"/>
        <w:ind w:left="138" w:right="0"/>
        <w:jc w:val="both"/>
        <w:rPr>
          <w:b w:val="0"/>
          <w:bCs w:val="0"/>
        </w:rPr>
      </w:pPr>
      <w:r>
        <w:rPr>
          <w:rFonts w:ascii="宋体" w:hAnsi="宋体" w:cs="宋体" w:eastAsia="宋体" w:hint="default"/>
        </w:rPr>
        <w:t>(</w:t>
      </w:r>
      <w:r>
        <w:rPr/>
        <w:t>五</w:t>
      </w:r>
      <w:r>
        <w:rPr>
          <w:rFonts w:ascii="宋体" w:hAnsi="宋体" w:cs="宋体" w:eastAsia="宋体" w:hint="default"/>
        </w:rPr>
        <w:t>)</w:t>
      </w:r>
      <w:r>
        <w:rPr/>
        <w:t>其他</w:t>
      </w:r>
      <w:r>
        <w:rPr>
          <w:b w:val="0"/>
          <w:bCs w:val="0"/>
        </w:rPr>
      </w:r>
    </w:p>
    <w:p>
      <w:pPr>
        <w:pStyle w:val="BodyText"/>
        <w:spacing w:line="240" w:lineRule="auto" w:before="97"/>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left="138" w:right="11"/>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公司因不适用准则</w:t>
      </w:r>
      <w:r>
        <w:rPr>
          <w:spacing w:val="-3"/>
          <w:w w:val="100"/>
        </w:rPr>
        <w:t>规</w:t>
      </w:r>
      <w:r>
        <w:rPr>
          <w:w w:val="100"/>
        </w:rPr>
        <w:t>定</w:t>
      </w:r>
      <w:r>
        <w:rPr>
          <w:spacing w:val="-3"/>
          <w:w w:val="100"/>
        </w:rPr>
        <w:t>或</w:t>
      </w:r>
      <w:r>
        <w:rPr>
          <w:w w:val="100"/>
        </w:rPr>
        <w:t>国家秘密</w:t>
      </w:r>
      <w:r>
        <w:rPr>
          <w:spacing w:val="-10"/>
          <w:w w:val="100"/>
        </w:rPr>
        <w:t>、</w:t>
      </w:r>
      <w:r>
        <w:rPr>
          <w:spacing w:val="-3"/>
          <w:w w:val="100"/>
        </w:rPr>
        <w:t>商</w:t>
      </w:r>
      <w:r>
        <w:rPr>
          <w:w w:val="100"/>
        </w:rPr>
        <w:t>业秘密等</w:t>
      </w:r>
      <w:r>
        <w:rPr>
          <w:spacing w:val="-3"/>
          <w:w w:val="100"/>
        </w:rPr>
        <w:t>特</w:t>
      </w:r>
      <w:r>
        <w:rPr>
          <w:w w:val="100"/>
        </w:rPr>
        <w:t>殊原因</w:t>
      </w:r>
      <w:r>
        <w:rPr>
          <w:spacing w:val="-10"/>
          <w:w w:val="100"/>
        </w:rPr>
        <w:t>，</w:t>
      </w:r>
      <w:r>
        <w:rPr>
          <w:w w:val="100"/>
        </w:rPr>
        <w:t>未</w:t>
      </w:r>
      <w:r>
        <w:rPr>
          <w:spacing w:val="-3"/>
          <w:w w:val="100"/>
        </w:rPr>
        <w:t>按</w:t>
      </w:r>
      <w:r>
        <w:rPr>
          <w:w w:val="100"/>
        </w:rPr>
        <w:t>准则披露</w:t>
      </w:r>
      <w:r>
        <w:rPr>
          <w:spacing w:val="-3"/>
          <w:w w:val="100"/>
        </w:rPr>
        <w:t>的</w:t>
      </w:r>
      <w:r>
        <w:rPr>
          <w:w w:val="100"/>
        </w:rPr>
        <w:t>情况和原因说明</w:t>
      </w:r>
      <w:r>
        <w:rPr>
          <w:b w:val="0"/>
          <w:bCs w:val="0"/>
          <w:w w:val="100"/>
        </w:rPr>
      </w:r>
    </w:p>
    <w:p>
      <w:pPr>
        <w:pStyle w:val="BodyText"/>
        <w:spacing w:line="240" w:lineRule="auto" w:before="23"/>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both"/>
        <w:rPr>
          <w:rFonts w:ascii="宋体" w:hAnsi="宋体" w:cs="宋体" w:eastAsia="宋体" w:hint="default"/>
        </w:rPr>
      </w:pPr>
      <w:r>
        <w:rPr>
          <w:rFonts w:ascii="宋体"/>
          <w:w w:val="100"/>
        </w:rPr>
        <w:t> </w:t>
      </w:r>
    </w:p>
    <w:p>
      <w:pPr>
        <w:pStyle w:val="BodyText"/>
        <w:tabs>
          <w:tab w:pos="3018" w:val="left" w:leader="none"/>
        </w:tabs>
        <w:spacing w:line="240" w:lineRule="auto" w:before="37"/>
        <w:ind w:left="138" w:right="0"/>
        <w:jc w:val="both"/>
        <w:rPr>
          <w:rFonts w:ascii="宋体" w:hAnsi="宋体" w:cs="宋体" w:eastAsia="宋体" w:hint="default"/>
        </w:rPr>
      </w:pPr>
      <w:r>
        <w:rPr>
          <w:rFonts w:ascii="宋体"/>
          <w:w w:val="100"/>
        </w:rPr>
        <w:t> </w:t>
      </w:r>
      <w:r>
        <w:rPr>
          <w:rFonts w:ascii="宋体"/>
        </w:rPr>
        <w:tab/>
      </w:r>
      <w:r>
        <w:rPr>
          <w:rFonts w:ascii="宋体"/>
          <w:w w:val="100"/>
        </w:rPr>
        <w:t> </w:t>
      </w:r>
    </w:p>
    <w:p>
      <w:pPr>
        <w:spacing w:after="0" w:line="240" w:lineRule="auto"/>
        <w:jc w:val="both"/>
        <w:rPr>
          <w:rFonts w:ascii="宋体" w:hAnsi="宋体" w:cs="宋体" w:eastAsia="宋体" w:hint="default"/>
        </w:rPr>
        <w:sectPr>
          <w:pgSz w:w="11910" w:h="16840"/>
          <w:pgMar w:header="855" w:footer="979" w:top="1120" w:bottom="116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1"/>
        <w:spacing w:line="240" w:lineRule="auto"/>
        <w:ind w:left="3561" w:right="3559"/>
        <w:jc w:val="center"/>
        <w:rPr>
          <w:b w:val="0"/>
          <w:bCs w:val="0"/>
        </w:rPr>
      </w:pPr>
      <w:bookmarkStart w:name="_bookmark4" w:id="5"/>
      <w:bookmarkEnd w:id="5"/>
      <w:r>
        <w:rPr>
          <w:b w:val="0"/>
          <w:bCs w:val="0"/>
        </w:rPr>
      </w:r>
      <w:r>
        <w:rPr/>
        <w:t>第五节</w:t>
      </w:r>
      <w:r>
        <w:rPr>
          <w:spacing w:val="-3"/>
        </w:rPr>
        <w:t> </w:t>
      </w:r>
      <w:r>
        <w:rPr/>
        <w:t>重要事项</w:t>
      </w:r>
      <w:r>
        <w:rPr>
          <w:b w:val="0"/>
          <w:bCs w:val="0"/>
        </w:rPr>
      </w:r>
    </w:p>
    <w:p>
      <w:pPr>
        <w:pStyle w:val="Heading4"/>
        <w:spacing w:line="324" w:lineRule="auto" w:before="219"/>
        <w:ind w:right="2005"/>
        <w:jc w:val="left"/>
        <w:rPr>
          <w:b w:val="0"/>
          <w:bCs w:val="0"/>
        </w:rPr>
      </w:pPr>
      <w:r>
        <w:rPr>
          <w:spacing w:val="-1"/>
        </w:rPr>
        <w:t>一、普通股利润分配或资本公积金转增预案</w:t>
      </w:r>
      <w:r>
        <w:rPr>
          <w:spacing w:val="-87"/>
        </w:rPr>
        <w:t> </w:t>
      </w:r>
      <w:r>
        <w:rPr>
          <w:spacing w:val="-87"/>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现金分红政策的制定、执行或调整情况</w:t>
      </w:r>
      <w:r>
        <w:rPr>
          <w:b w:val="0"/>
          <w:bCs w:val="0"/>
          <w:spacing w:val="-1"/>
        </w:rPr>
      </w:r>
    </w:p>
    <w:p>
      <w:pPr>
        <w:pStyle w:val="BodyText"/>
        <w:spacing w:line="240" w:lineRule="auto" w:before="23"/>
        <w:ind w:right="200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4" w:lineRule="auto" w:before="37"/>
        <w:ind w:right="208" w:firstLine="419"/>
        <w:jc w:val="both"/>
      </w:pPr>
      <w:r>
        <w:rPr/>
        <w:t>报告期内，公司严格按照中国证监会《上市公司监管指引第</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上市公司现金分红》、上</w:t>
      </w:r>
      <w:r>
        <w:rPr>
          <w:w w:val="100"/>
        </w:rPr>
        <w:t> </w:t>
      </w:r>
      <w:r>
        <w:rPr>
          <w:spacing w:val="-1"/>
        </w:rPr>
        <w:t>海证券交易所《上市公司现金分红指引》及《公司章程》的规定和《未来三年分红回报规划》，</w:t>
      </w:r>
      <w:r>
        <w:rPr>
          <w:spacing w:val="-55"/>
        </w:rPr>
        <w:t> </w:t>
      </w:r>
      <w:r>
        <w:rPr>
          <w:spacing w:val="-55"/>
        </w:rPr>
      </w:r>
      <w:r>
        <w:rPr/>
        <w:t>制定、实施现金分红及利润分配。</w:t>
      </w:r>
    </w:p>
    <w:p>
      <w:pPr>
        <w:pStyle w:val="BodyText"/>
        <w:spacing w:line="240" w:lineRule="auto" w:before="16"/>
        <w:ind w:left="638"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spacing w:val="-3"/>
        </w:rPr>
        <w:t>日，公司召开第三届董事会第三十三次会议审议通过《关于公司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年度利</w:t>
      </w:r>
    </w:p>
    <w:p>
      <w:pPr>
        <w:pStyle w:val="BodyText"/>
        <w:spacing w:line="240" w:lineRule="auto" w:before="21"/>
        <w:ind w:right="0"/>
        <w:jc w:val="left"/>
      </w:pPr>
      <w:r>
        <w:rPr/>
        <w:t>润分配预案的议案》，拟以公司</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年度经审计的总股本为基数，向全体股东每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w:t>
      </w:r>
    </w:p>
    <w:p>
      <w:pPr>
        <w:pStyle w:val="BodyText"/>
        <w:spacing w:line="259" w:lineRule="auto" w:before="21"/>
        <w:ind w:right="205"/>
        <w:jc w:val="left"/>
      </w:pPr>
      <w:r>
        <w:rPr/>
        <w:t>股利</w:t>
      </w:r>
      <w:r>
        <w:rPr>
          <w:spacing w:val="-48"/>
        </w:rPr>
        <w:t> </w:t>
      </w:r>
      <w:r>
        <w:rPr>
          <w:rFonts w:ascii="Times New Roman" w:hAnsi="Times New Roman" w:cs="Times New Roman" w:eastAsia="Times New Roman" w:hint="default"/>
        </w:rPr>
        <w:t>1.20</w:t>
      </w:r>
      <w:r>
        <w:rPr>
          <w:rFonts w:ascii="Times New Roman" w:hAnsi="Times New Roman" w:cs="Times New Roman" w:eastAsia="Times New Roman" w:hint="default"/>
          <w:spacing w:val="7"/>
        </w:rPr>
        <w:t> </w:t>
      </w:r>
      <w:r>
        <w:rPr/>
        <w:t>元（含税）。该议案经公司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年度股东大会审议通过并于</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日实施完</w:t>
      </w:r>
      <w:r>
        <w:rPr>
          <w:w w:val="100"/>
        </w:rPr>
        <w:t> </w:t>
      </w:r>
      <w:r>
        <w:rPr/>
        <w:t>毕。</w:t>
      </w:r>
    </w:p>
    <w:p>
      <w:pPr>
        <w:pStyle w:val="BodyText"/>
        <w:spacing w:line="240" w:lineRule="auto" w:before="75"/>
        <w:ind w:left="638" w:right="0"/>
        <w:jc w:val="left"/>
      </w:pP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日，公司召开第三届董事会第四十六次会议审议通过《关于公司</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spacing w:val="-3"/>
        </w:rPr>
        <w:t>年度利</w:t>
      </w:r>
      <w:r>
        <w:rPr/>
      </w:r>
    </w:p>
    <w:p>
      <w:pPr>
        <w:pStyle w:val="BodyText"/>
        <w:spacing w:line="297" w:lineRule="auto" w:before="69"/>
        <w:ind w:right="0"/>
        <w:jc w:val="left"/>
      </w:pPr>
      <w:r>
        <w:rPr>
          <w:spacing w:val="-7"/>
        </w:rPr>
        <w:t>润分配方案的议案》，公司 </w:t>
      </w:r>
      <w:r>
        <w:rPr>
          <w:rFonts w:ascii="Times New Roman" w:hAnsi="Times New Roman" w:cs="Times New Roman" w:eastAsia="Times New Roman" w:hint="default"/>
        </w:rPr>
        <w:t>2019 </w:t>
      </w:r>
      <w:r>
        <w:rPr>
          <w:spacing w:val="-3"/>
        </w:rPr>
        <w:t>年年度拟以实施权益分派股权登记日登记的总股本为基数（不包</w:t>
      </w:r>
      <w:r>
        <w:rPr>
          <w:spacing w:val="-84"/>
        </w:rPr>
        <w:t> </w:t>
      </w:r>
      <w:r>
        <w:rPr>
          <w:spacing w:val="-84"/>
        </w:rPr>
      </w:r>
      <w:r>
        <w:rPr/>
        <w:t>括公司回购专户的股份数量及拟回购注销的限制性股票）分配利润。本次利润分配方案如下：</w:t>
      </w:r>
    </w:p>
    <w:p>
      <w:pPr>
        <w:pStyle w:val="BodyText"/>
        <w:spacing w:line="240" w:lineRule="auto" w:before="34"/>
        <w:ind w:left="638" w:right="0"/>
        <w:jc w:val="left"/>
      </w:pPr>
      <w:r>
        <w:rPr/>
        <w:t>公司拟向全体股东每</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股派发现金红利</w:t>
      </w:r>
      <w:r>
        <w:rPr>
          <w:spacing w:val="-41"/>
        </w:rPr>
        <w:t> </w:t>
      </w:r>
      <w:r>
        <w:rPr>
          <w:rFonts w:ascii="Times New Roman" w:hAnsi="Times New Roman" w:cs="Times New Roman" w:eastAsia="Times New Roman" w:hint="default"/>
        </w:rPr>
        <w:t>1.60</w:t>
      </w:r>
      <w:r>
        <w:rPr>
          <w:rFonts w:ascii="Times New Roman" w:hAnsi="Times New Roman" w:cs="Times New Roman" w:eastAsia="Times New Roman" w:hint="default"/>
          <w:spacing w:val="12"/>
        </w:rPr>
        <w:t> </w:t>
      </w:r>
      <w:r>
        <w:rPr/>
        <w:t>元（含税），不送红股，也不进行转增股本。</w:t>
      </w:r>
    </w:p>
    <w:p>
      <w:pPr>
        <w:pStyle w:val="BodyText"/>
        <w:spacing w:line="240" w:lineRule="auto" w:before="69"/>
        <w:ind w:right="0"/>
        <w:jc w:val="left"/>
      </w:pPr>
      <w:r>
        <w:rPr/>
        <w:t>截至</w:t>
      </w:r>
      <w:r>
        <w:rPr>
          <w:spacing w:val="-50"/>
        </w:rPr>
        <w:t> </w:t>
      </w:r>
      <w:r>
        <w:rPr>
          <w:rFonts w:ascii="Times New Roman" w:hAnsi="Times New Roman" w:cs="Times New Roman" w:eastAsia="Times New Roman" w:hint="default"/>
        </w:rPr>
        <w:t>2020 </w:t>
      </w:r>
      <w:r>
        <w:rPr/>
        <w:t>年</w:t>
      </w:r>
      <w:r>
        <w:rPr>
          <w:spacing w:val="-50"/>
        </w:rPr>
        <w:t> </w:t>
      </w:r>
      <w:r>
        <w:rPr>
          <w:rFonts w:ascii="Times New Roman" w:hAnsi="Times New Roman" w:cs="Times New Roman" w:eastAsia="Times New Roman" w:hint="default"/>
        </w:rPr>
        <w:t>4 </w:t>
      </w:r>
      <w:r>
        <w:rPr/>
        <w:t>月</w:t>
      </w:r>
      <w:r>
        <w:rPr>
          <w:spacing w:val="-50"/>
        </w:rPr>
        <w:t> </w:t>
      </w:r>
      <w:r>
        <w:rPr>
          <w:rFonts w:ascii="Times New Roman" w:hAnsi="Times New Roman" w:cs="Times New Roman" w:eastAsia="Times New Roman" w:hint="default"/>
        </w:rPr>
        <w:t>2 </w:t>
      </w:r>
      <w:r>
        <w:rPr>
          <w:spacing w:val="-8"/>
        </w:rPr>
        <w:t>日，公司总股本</w:t>
      </w:r>
      <w:r>
        <w:rPr>
          <w:spacing w:val="-49"/>
        </w:rPr>
        <w:t> </w:t>
      </w:r>
      <w:r>
        <w:rPr>
          <w:rFonts w:ascii="Times New Roman" w:hAnsi="Times New Roman" w:cs="Times New Roman" w:eastAsia="Times New Roman" w:hint="default"/>
        </w:rPr>
        <w:t>590,808,578</w:t>
      </w:r>
      <w:r>
        <w:rPr>
          <w:rFonts w:ascii="Times New Roman" w:hAnsi="Times New Roman" w:cs="Times New Roman" w:eastAsia="Times New Roman" w:hint="default"/>
          <w:spacing w:val="3"/>
        </w:rPr>
        <w:t> </w:t>
      </w:r>
      <w:r>
        <w:rPr>
          <w:spacing w:val="-6"/>
        </w:rPr>
        <w:t>股，扣除公司回购专户中的</w:t>
      </w:r>
      <w:r>
        <w:rPr>
          <w:spacing w:val="-50"/>
        </w:rPr>
        <w:t> </w:t>
      </w:r>
      <w:r>
        <w:rPr>
          <w:rFonts w:ascii="Times New Roman" w:hAnsi="Times New Roman" w:cs="Times New Roman" w:eastAsia="Times New Roman" w:hint="default"/>
        </w:rPr>
        <w:t>5,070,208</w:t>
      </w:r>
      <w:r>
        <w:rPr>
          <w:rFonts w:ascii="Times New Roman" w:hAnsi="Times New Roman" w:cs="Times New Roman" w:eastAsia="Times New Roman" w:hint="default"/>
          <w:spacing w:val="1"/>
        </w:rPr>
        <w:t> </w:t>
      </w:r>
      <w:r>
        <w:rPr/>
        <w:t>股及拟回购</w:t>
      </w:r>
    </w:p>
    <w:p>
      <w:pPr>
        <w:pStyle w:val="BodyText"/>
        <w:spacing w:line="240" w:lineRule="auto" w:before="69"/>
        <w:ind w:right="0"/>
        <w:jc w:val="left"/>
      </w:pPr>
      <w:r>
        <w:rPr/>
        <w:t>注销的限制性股票</w:t>
      </w:r>
      <w:r>
        <w:rPr>
          <w:spacing w:val="-52"/>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1"/>
        </w:rPr>
        <w:t> </w:t>
      </w:r>
      <w:r>
        <w:rPr/>
        <w:t>股，以</w:t>
      </w:r>
      <w:r>
        <w:rPr>
          <w:spacing w:val="-51"/>
        </w:rPr>
        <w:t> </w:t>
      </w:r>
      <w:r>
        <w:rPr>
          <w:rFonts w:ascii="Times New Roman" w:hAnsi="Times New Roman" w:cs="Times New Roman" w:eastAsia="Times New Roman" w:hint="default"/>
        </w:rPr>
        <w:t>585,723,370</w:t>
      </w:r>
      <w:r>
        <w:rPr>
          <w:rFonts w:ascii="Times New Roman" w:hAnsi="Times New Roman" w:cs="Times New Roman" w:eastAsia="Times New Roman" w:hint="default"/>
          <w:spacing w:val="-1"/>
        </w:rPr>
        <w:t> </w:t>
      </w:r>
      <w:r>
        <w:rPr/>
        <w:t>股为基数计算合计拟派发现金红利</w:t>
      </w:r>
      <w:r>
        <w:rPr>
          <w:spacing w:val="-51"/>
        </w:rPr>
        <w:t> </w:t>
      </w:r>
      <w:r>
        <w:rPr>
          <w:rFonts w:ascii="Times New Roman" w:hAnsi="Times New Roman" w:cs="Times New Roman" w:eastAsia="Times New Roman" w:hint="default"/>
        </w:rPr>
        <w:t>93,715,739.20</w:t>
      </w:r>
      <w:r>
        <w:rPr>
          <w:rFonts w:ascii="Times New Roman" w:hAnsi="Times New Roman" w:cs="Times New Roman" w:eastAsia="Times New Roman" w:hint="default"/>
          <w:spacing w:val="1"/>
        </w:rPr>
        <w:t> </w:t>
      </w:r>
      <w:r>
        <w:rPr/>
        <w:t>元</w:t>
      </w:r>
    </w:p>
    <w:p>
      <w:pPr>
        <w:pStyle w:val="BodyText"/>
        <w:spacing w:line="297" w:lineRule="auto" w:before="69"/>
        <w:ind w:left="638" w:right="0" w:hanging="420"/>
        <w:jc w:val="left"/>
      </w:pPr>
      <w:r>
        <w:rPr/>
        <w:t>（含税），占公司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年合并报表归属于上市公司股东净利润的比例为</w:t>
      </w:r>
      <w:r>
        <w:rPr>
          <w:spacing w:val="-54"/>
        </w:rPr>
        <w:t> </w:t>
      </w:r>
      <w:r>
        <w:rPr>
          <w:rFonts w:ascii="Times New Roman" w:hAnsi="Times New Roman" w:cs="Times New Roman" w:eastAsia="Times New Roman" w:hint="default"/>
        </w:rPr>
        <w:t>43.89%</w:t>
      </w:r>
      <w:r>
        <w:rPr/>
        <w:t>。</w:t>
      </w:r>
      <w:r>
        <w:rPr>
          <w:w w:val="100"/>
        </w:rPr>
        <w:t> </w:t>
      </w:r>
      <w:r>
        <w:rPr>
          <w:spacing w:val="-2"/>
        </w:rPr>
        <w:t>此外，根据中国证券监督管理委员会《关于支持上市公司回购股份的意见》及上海证券交易</w:t>
      </w:r>
    </w:p>
    <w:p>
      <w:pPr>
        <w:pStyle w:val="BodyText"/>
        <w:spacing w:line="302" w:lineRule="auto" w:before="34"/>
        <w:ind w:right="208"/>
        <w:jc w:val="both"/>
      </w:pPr>
      <w:r>
        <w:rPr>
          <w:spacing w:val="-1"/>
        </w:rPr>
        <w:t>所《上市公司回购股份实施细则》等规定，上市公司以现金为对价，采用集中竞价方式回购股份</w:t>
      </w:r>
      <w:r>
        <w:rPr>
          <w:spacing w:val="-55"/>
        </w:rPr>
        <w:t> </w:t>
      </w:r>
      <w:r>
        <w:rPr>
          <w:spacing w:val="-55"/>
        </w:rPr>
      </w:r>
      <w:r>
        <w:rPr>
          <w:spacing w:val="-3"/>
        </w:rPr>
        <w:t>的，当年已实施的股份回购金额视同现金分红，纳入该年度现金分红的相关比例计算。</w:t>
      </w:r>
      <w:r>
        <w:rPr>
          <w:rFonts w:ascii="Times New Roman" w:hAnsi="Times New Roman" w:cs="Times New Roman" w:eastAsia="Times New Roman" w:hint="default"/>
          <w:spacing w:val="-3"/>
        </w:rPr>
        <w:t>2019 </w:t>
      </w:r>
      <w:r>
        <w:rPr/>
        <w:t>年度</w:t>
      </w:r>
      <w:r>
        <w:rPr>
          <w:spacing w:val="-74"/>
        </w:rPr>
        <w:t> </w:t>
      </w:r>
      <w:r>
        <w:rPr/>
        <w:t>公司以集中竞价交易方式实施股份回购所支付的总金额为</w:t>
      </w:r>
      <w:r>
        <w:rPr>
          <w:spacing w:val="-46"/>
        </w:rPr>
        <w:t> </w:t>
      </w:r>
      <w:r>
        <w:rPr>
          <w:rFonts w:ascii="Times New Roman" w:hAnsi="Times New Roman" w:cs="Times New Roman" w:eastAsia="Times New Roman" w:hint="default"/>
        </w:rPr>
        <w:t>43,276,280.49</w:t>
      </w:r>
      <w:r>
        <w:rPr>
          <w:rFonts w:ascii="Times New Roman" w:hAnsi="Times New Roman" w:cs="Times New Roman" w:eastAsia="Times New Roman" w:hint="default"/>
          <w:spacing w:val="7"/>
        </w:rPr>
        <w:t> </w:t>
      </w:r>
      <w:r>
        <w:rPr>
          <w:spacing w:val="-6"/>
        </w:rPr>
        <w:t>元（不含交易费用），占</w:t>
      </w:r>
      <w:r>
        <w:rPr>
          <w:spacing w:val="-103"/>
        </w:rPr>
        <w:t> </w:t>
      </w:r>
      <w:r>
        <w:rPr>
          <w:spacing w:val="-103"/>
        </w:rPr>
      </w:r>
      <w:r>
        <w:rPr/>
        <w:t>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年合并报表归属于上市公司股东净利润的比例为</w:t>
      </w:r>
      <w:r>
        <w:rPr>
          <w:spacing w:val="-53"/>
        </w:rPr>
        <w:t> </w:t>
      </w:r>
      <w:r>
        <w:rPr>
          <w:rFonts w:ascii="Times New Roman" w:hAnsi="Times New Roman" w:cs="Times New Roman" w:eastAsia="Times New Roman" w:hint="default"/>
        </w:rPr>
        <w:t>20.27%</w:t>
      </w:r>
      <w:r>
        <w:rPr/>
        <w:t>。</w:t>
      </w:r>
    </w:p>
    <w:p>
      <w:pPr>
        <w:pStyle w:val="BodyText"/>
        <w:spacing w:line="240" w:lineRule="auto" w:before="9"/>
        <w:ind w:left="638" w:right="0"/>
        <w:jc w:val="left"/>
      </w:pPr>
      <w:r>
        <w:rPr/>
        <w:t>将该回购金额与公司</w:t>
      </w:r>
      <w:r>
        <w:rPr>
          <w:spacing w:val="-50"/>
        </w:rPr>
        <w:t> </w:t>
      </w:r>
      <w:r>
        <w:rPr>
          <w:rFonts w:ascii="Times New Roman" w:hAnsi="Times New Roman" w:cs="Times New Roman" w:eastAsia="Times New Roman" w:hint="default"/>
        </w:rPr>
        <w:t>2019 </w:t>
      </w:r>
      <w:r>
        <w:rPr/>
        <w:t>年度利润分配方案中的现金红利合并计算后，公司</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年度现金</w:t>
      </w:r>
    </w:p>
    <w:p>
      <w:pPr>
        <w:pStyle w:val="BodyText"/>
        <w:spacing w:line="297" w:lineRule="auto" w:before="69"/>
        <w:ind w:left="638" w:right="0" w:hanging="420"/>
        <w:jc w:val="left"/>
      </w:pPr>
      <w:r>
        <w:rPr>
          <w:spacing w:val="-1"/>
          <w:w w:val="100"/>
        </w:rPr>
        <w:t>分红合计</w:t>
      </w:r>
      <w:r>
        <w:rPr>
          <w:spacing w:val="-72"/>
          <w:w w:val="100"/>
        </w:rPr>
        <w:t> </w:t>
      </w:r>
      <w:r>
        <w:rPr>
          <w:rFonts w:ascii="Times New Roman" w:hAnsi="Times New Roman" w:cs="Times New Roman" w:eastAsia="Times New Roman" w:hint="default"/>
          <w:spacing w:val="-1"/>
          <w:w w:val="100"/>
        </w:rPr>
        <w:t>136,992,019.69</w:t>
      </w:r>
      <w:r>
        <w:rPr>
          <w:rFonts w:ascii="Times New Roman" w:hAnsi="Times New Roman" w:cs="Times New Roman" w:eastAsia="Times New Roman" w:hint="default"/>
          <w:spacing w:val="-18"/>
          <w:w w:val="100"/>
        </w:rPr>
        <w:t> </w:t>
      </w:r>
      <w:r>
        <w:rPr>
          <w:spacing w:val="-23"/>
          <w:w w:val="100"/>
        </w:rPr>
        <w:t>元，占公司</w:t>
      </w:r>
      <w:r>
        <w:rPr>
          <w:spacing w:val="-72"/>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22"/>
          <w:w w:val="100"/>
        </w:rPr>
        <w:t> </w:t>
      </w:r>
      <w:r>
        <w:rPr>
          <w:spacing w:val="-2"/>
          <w:w w:val="100"/>
        </w:rPr>
        <w:t>年合并报表归属于上市公司股东净利润的比例为</w:t>
      </w:r>
      <w:r>
        <w:rPr>
          <w:spacing w:val="-72"/>
          <w:w w:val="100"/>
        </w:rPr>
        <w:t> </w:t>
      </w:r>
      <w:r>
        <w:rPr>
          <w:rFonts w:ascii="Times New Roman" w:hAnsi="Times New Roman" w:cs="Times New Roman" w:eastAsia="Times New Roman" w:hint="default"/>
          <w:spacing w:val="-1"/>
          <w:w w:val="100"/>
        </w:rPr>
        <w:t>64.15%</w:t>
      </w:r>
      <w:r>
        <w:rPr>
          <w:spacing w:val="-1"/>
          <w:w w:val="100"/>
        </w:rPr>
        <w:t>。</w:t>
      </w:r>
      <w:r>
        <w:rPr>
          <w:spacing w:val="-104"/>
          <w:w w:val="100"/>
        </w:rPr>
        <w:t> </w:t>
      </w:r>
      <w:r>
        <w:rPr/>
        <w:t>以上分配方案符合公司章程及审议程序的规定，充分保护了中小投资者的合法权益，并由独</w:t>
      </w:r>
    </w:p>
    <w:p>
      <w:pPr>
        <w:pStyle w:val="BodyText"/>
        <w:spacing w:line="240" w:lineRule="auto" w:before="34"/>
        <w:ind w:right="2005"/>
        <w:jc w:val="left"/>
      </w:pPr>
      <w:r>
        <w:rPr/>
        <w:t>立董事发表了意见。</w:t>
      </w:r>
    </w:p>
    <w:p>
      <w:pPr>
        <w:pStyle w:val="Heading4"/>
        <w:spacing w:line="324" w:lineRule="auto" w:before="30"/>
        <w:ind w:right="282"/>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公司近三年（含报</w:t>
      </w:r>
      <w:r>
        <w:rPr>
          <w:spacing w:val="-3"/>
          <w:w w:val="100"/>
        </w:rPr>
        <w:t>告</w:t>
      </w:r>
      <w:r>
        <w:rPr>
          <w:w w:val="100"/>
        </w:rPr>
        <w:t>期</w:t>
      </w:r>
      <w:r>
        <w:rPr>
          <w:spacing w:val="-3"/>
          <w:w w:val="100"/>
        </w:rPr>
        <w:t>）</w:t>
      </w:r>
      <w:r>
        <w:rPr>
          <w:w w:val="100"/>
        </w:rPr>
        <w:t>的普通股股利分配</w:t>
      </w:r>
      <w:r>
        <w:rPr>
          <w:spacing w:val="-3"/>
          <w:w w:val="100"/>
        </w:rPr>
        <w:t>方</w:t>
      </w:r>
      <w:r>
        <w:rPr>
          <w:w w:val="100"/>
        </w:rPr>
        <w:t>案</w:t>
      </w:r>
      <w:r>
        <w:rPr>
          <w:spacing w:val="-3"/>
          <w:w w:val="100"/>
        </w:rPr>
        <w:t>或</w:t>
      </w:r>
      <w:r>
        <w:rPr>
          <w:w w:val="100"/>
        </w:rPr>
        <w:t>预案、资本公积金</w:t>
      </w:r>
      <w:r>
        <w:rPr>
          <w:spacing w:val="-3"/>
          <w:w w:val="100"/>
        </w:rPr>
        <w:t>转</w:t>
      </w:r>
      <w:r>
        <w:rPr>
          <w:w w:val="100"/>
        </w:rPr>
        <w:t>增</w:t>
      </w:r>
      <w:r>
        <w:rPr>
          <w:spacing w:val="-3"/>
          <w:w w:val="100"/>
        </w:rPr>
        <w:t>股</w:t>
      </w:r>
      <w:r>
        <w:rPr>
          <w:w w:val="100"/>
        </w:rPr>
        <w:t>本方案或预案</w:t>
      </w:r>
      <w:r>
        <w:rPr>
          <w:b w:val="0"/>
          <w:bCs w:val="0"/>
          <w:w w:val="100"/>
        </w:rPr>
      </w:r>
    </w:p>
    <w:p>
      <w:pPr>
        <w:pStyle w:val="BodyText"/>
        <w:spacing w:line="240" w:lineRule="auto" w:before="23"/>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893"/>
        <w:gridCol w:w="1097"/>
        <w:gridCol w:w="1030"/>
        <w:gridCol w:w="1097"/>
        <w:gridCol w:w="1685"/>
        <w:gridCol w:w="1688"/>
        <w:gridCol w:w="1334"/>
      </w:tblGrid>
      <w:tr>
        <w:trPr>
          <w:trHeight w:val="1884"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230" w:right="228"/>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56" w:lineRule="auto"/>
              <w:ind w:left="122" w:right="120"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送红股数</w:t>
            </w:r>
          </w:p>
          <w:p>
            <w:pPr>
              <w:pStyle w:val="TableParagraph"/>
              <w:spacing w:line="240" w:lineRule="auto" w:before="22"/>
              <w:ind w:left="228"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61" w:lineRule="auto"/>
              <w:ind w:left="124" w:right="120" w:hanging="3"/>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税）</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56" w:lineRule="auto"/>
              <w:ind w:left="225" w:right="175"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0" w:lineRule="auto" w:before="22"/>
              <w:ind w:left="225"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4" w:right="134"/>
              <w:jc w:val="center"/>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w w:val="100"/>
                <w:sz w:val="21"/>
                <w:szCs w:val="21"/>
              </w:rPr>
              <w:t> </w:t>
            </w: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p>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93,715,739.20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213,534,967.18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43.89</w:t>
            </w:r>
          </w:p>
        </w:tc>
      </w:tr>
      <w:tr>
        <w:trPr>
          <w:trHeight w:val="322"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63,202,136.64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172,523,315.83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36.63</w:t>
            </w:r>
          </w:p>
        </w:tc>
      </w:tr>
      <w:tr>
        <w:trPr>
          <w:trHeight w:val="322"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105,451,390.40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103,025,506.96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102.35</w:t>
            </w:r>
          </w:p>
        </w:tc>
      </w:tr>
    </w:tbl>
    <w:p>
      <w:pPr>
        <w:spacing w:after="0" w:line="240" w:lineRule="auto"/>
        <w:jc w:val="right"/>
        <w:rPr>
          <w:rFonts w:ascii="Times New Roman" w:hAnsi="Times New Roman" w:cs="Times New Roman" w:eastAsia="Times New Roman" w:hint="default"/>
          <w:sz w:val="21"/>
          <w:szCs w:val="21"/>
        </w:rPr>
        <w:sectPr>
          <w:pgSz w:w="11910" w:h="16840"/>
          <w:pgMar w:header="855" w:footer="979" w:top="1120" w:bottom="1160" w:left="1580" w:right="106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55" w:footer="979" w:top="1120" w:bottom="1160" w:left="1580" w:right="1040"/>
        </w:sectPr>
      </w:pPr>
    </w:p>
    <w:p>
      <w:pPr>
        <w:pStyle w:val="Heading4"/>
        <w:spacing w:line="324" w:lineRule="auto" w:before="36"/>
        <w:ind w:right="-12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w w:val="99"/>
        </w:rPr>
        <w:t>)</w:t>
      </w:r>
      <w:r>
        <w:rPr>
          <w:w w:val="100"/>
        </w:rPr>
        <w:t>以现金方式回购股</w:t>
      </w:r>
      <w:r>
        <w:rPr>
          <w:spacing w:val="-3"/>
          <w:w w:val="100"/>
        </w:rPr>
        <w:t>份</w:t>
      </w:r>
      <w:r>
        <w:rPr>
          <w:w w:val="100"/>
        </w:rPr>
        <w:t>计</w:t>
      </w:r>
      <w:r>
        <w:rPr>
          <w:spacing w:val="-3"/>
          <w:w w:val="100"/>
        </w:rPr>
        <w:t>入</w:t>
      </w:r>
      <w:r>
        <w:rPr>
          <w:w w:val="100"/>
        </w:rPr>
        <w:t>现金分红的情况</w:t>
      </w:r>
      <w:r>
        <w:rPr>
          <w:b w:val="0"/>
          <w:bCs w:val="0"/>
          <w:w w:val="100"/>
        </w:rPr>
      </w:r>
    </w:p>
    <w:p>
      <w:pPr>
        <w:pStyle w:val="BodyText"/>
        <w:spacing w:line="240" w:lineRule="auto" w:before="23"/>
        <w:ind w:right="-12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5"/>
          <w:szCs w:val="35"/>
        </w:rPr>
      </w:pPr>
    </w:p>
    <w:p>
      <w:pPr>
        <w:pStyle w:val="BodyText"/>
        <w:spacing w:line="240" w:lineRule="auto"/>
        <w:ind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580" w:right="1040"/>
          <w:cols w:num="2" w:equalWidth="0">
            <w:col w:w="4438" w:space="2084"/>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106"/>
        <w:gridCol w:w="3202"/>
        <w:gridCol w:w="2741"/>
      </w:tblGrid>
      <w:tr>
        <w:trPr>
          <w:trHeight w:val="324"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9" w:right="0"/>
              <w:jc w:val="center"/>
              <w:rPr>
                <w:rFonts w:ascii="宋体" w:hAnsi="宋体" w:cs="宋体" w:eastAsia="宋体" w:hint="default"/>
                <w:sz w:val="24"/>
                <w:szCs w:val="24"/>
              </w:rPr>
            </w:pPr>
            <w:r>
              <w:rPr>
                <w:rFonts w:ascii="宋体"/>
                <w:sz w:val="24"/>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59" w:right="0"/>
              <w:jc w:val="left"/>
              <w:rPr>
                <w:rFonts w:ascii="宋体" w:hAnsi="宋体" w:cs="宋体" w:eastAsia="宋体" w:hint="default"/>
                <w:sz w:val="21"/>
                <w:szCs w:val="21"/>
              </w:rPr>
            </w:pPr>
            <w:r>
              <w:rPr>
                <w:rFonts w:ascii="宋体" w:hAnsi="宋体" w:cs="宋体" w:eastAsia="宋体" w:hint="default"/>
                <w:sz w:val="21"/>
                <w:szCs w:val="21"/>
              </w:rPr>
              <w:t>现金分红的金额</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85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1"/>
                <w:szCs w:val="21"/>
              </w:rPr>
              <w:t>2019 </w:t>
            </w:r>
            <w:r>
              <w:rPr>
                <w:rFonts w:ascii="宋体" w:hAnsi="宋体" w:cs="宋体" w:eastAsia="宋体" w:hint="default"/>
                <w:spacing w:val="-3"/>
                <w:sz w:val="21"/>
                <w:szCs w:val="21"/>
              </w:rPr>
              <w:t>年</w:t>
            </w:r>
            <w:r>
              <w:rPr>
                <w:rFonts w:ascii="宋体" w:hAnsi="宋体" w:cs="宋体" w:eastAsia="宋体" w:hint="default"/>
                <w:sz w:val="24"/>
                <w:szCs w:val="24"/>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81" w:right="0"/>
              <w:jc w:val="left"/>
              <w:rPr>
                <w:rFonts w:ascii="Times New Roman" w:hAnsi="Times New Roman" w:cs="Times New Roman" w:eastAsia="Times New Roman" w:hint="default"/>
                <w:sz w:val="21"/>
                <w:szCs w:val="21"/>
              </w:rPr>
            </w:pPr>
            <w:r>
              <w:rPr>
                <w:rFonts w:ascii="Times New Roman"/>
                <w:sz w:val="21"/>
              </w:rPr>
              <w:t>43,276,280.49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20.27</w:t>
            </w:r>
          </w:p>
        </w:tc>
      </w:tr>
    </w:tbl>
    <w:p>
      <w:pPr>
        <w:pStyle w:val="Heading3"/>
        <w:spacing w:line="274" w:lineRule="exact"/>
        <w:ind w:left="218" w:right="0"/>
        <w:jc w:val="left"/>
      </w:pPr>
      <w:r>
        <w:rPr/>
        <w:t> </w:t>
      </w:r>
    </w:p>
    <w:p>
      <w:pPr>
        <w:pStyle w:val="Heading4"/>
        <w:spacing w:line="273" w:lineRule="auto" w:before="85"/>
        <w:ind w:left="638" w:right="0" w:hanging="42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r>
      <w:r>
        <w:rPr>
          <w:spacing w:val="-1"/>
        </w:rPr>
        <w:t>报告期内盈利且母公司可供普通股股东分配利润为正，但未提出普通股现金利润分配方案预</w:t>
      </w:r>
      <w:r>
        <w:rPr>
          <w:spacing w:val="-89"/>
        </w:rPr>
        <w:t> </w:t>
      </w:r>
      <w:r>
        <w:rPr>
          <w:spacing w:val="-89"/>
        </w:rPr>
      </w:r>
      <w:r>
        <w:rPr/>
        <w:t>案的，公司应当详细披露原因以及未分配利润的用途和使用计划</w:t>
      </w:r>
      <w:r>
        <w:rPr>
          <w:b w:val="0"/>
          <w:bCs w:val="0"/>
        </w:rPr>
      </w:r>
    </w:p>
    <w:p>
      <w:pPr>
        <w:pStyle w:val="BodyText"/>
        <w:spacing w:line="240" w:lineRule="auto" w:before="6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3" w:lineRule="exact" w:before="9"/>
        <w:ind w:left="218" w:right="0"/>
        <w:jc w:val="left"/>
      </w:pPr>
      <w:r>
        <w:rPr/>
        <w:t> </w:t>
      </w:r>
    </w:p>
    <w:p>
      <w:pPr>
        <w:pStyle w:val="Heading3"/>
        <w:spacing w:line="313" w:lineRule="exact"/>
        <w:ind w:left="218" w:right="0"/>
        <w:jc w:val="left"/>
      </w:pPr>
      <w:r>
        <w:rPr/>
        <w:t> </w:t>
      </w:r>
    </w:p>
    <w:p>
      <w:pPr>
        <w:spacing w:after="0" w:line="313" w:lineRule="exact"/>
        <w:jc w:val="left"/>
        <w:sectPr>
          <w:type w:val="continuous"/>
          <w:pgSz w:w="11910" w:h="16840"/>
          <w:pgMar w:top="1500" w:bottom="2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4"/>
        <w:spacing w:line="240" w:lineRule="auto" w:before="0"/>
        <w:ind w:left="900" w:right="0"/>
        <w:jc w:val="left"/>
        <w:rPr>
          <w:b w:val="0"/>
          <w:bCs w:val="0"/>
        </w:rPr>
      </w:pPr>
      <w:r>
        <w:rPr/>
        <w:t>二、承诺事项履行情况</w:t>
      </w:r>
      <w:r>
        <w:rPr>
          <w:b w:val="0"/>
          <w:bCs w:val="0"/>
        </w:rPr>
      </w:r>
    </w:p>
    <w:p>
      <w:pPr>
        <w:pStyle w:val="Heading4"/>
        <w:spacing w:line="240" w:lineRule="auto" w:before="97"/>
        <w:ind w:left="900" w:right="0"/>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1"/>
        </w:rPr>
        <w:t> </w:t>
      </w:r>
      <w:r>
        <w:rPr/>
        <w:t>公司实际控制人、股东、关联方、收购人以及公司等承诺相关方在报告期内或持续到报告期内的承诺事项</w:t>
      </w:r>
      <w:r>
        <w:rPr>
          <w:b w:val="0"/>
          <w:bCs w:val="0"/>
        </w:rPr>
      </w:r>
    </w:p>
    <w:p>
      <w:pPr>
        <w:pStyle w:val="BodyText"/>
        <w:spacing w:line="240" w:lineRule="auto" w:before="97"/>
        <w:ind w:left="90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734"/>
        <w:gridCol w:w="718"/>
        <w:gridCol w:w="864"/>
        <w:gridCol w:w="6467"/>
        <w:gridCol w:w="1178"/>
        <w:gridCol w:w="1154"/>
        <w:gridCol w:w="1155"/>
        <w:gridCol w:w="1728"/>
        <w:gridCol w:w="1431"/>
      </w:tblGrid>
      <w:tr>
        <w:trPr>
          <w:trHeight w:val="94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51" w:right="47"/>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43" w:right="3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承诺方</w:t>
            </w:r>
            <w:r>
              <w:rPr>
                <w:rFonts w:ascii="宋体" w:hAnsi="宋体" w:cs="宋体" w:eastAsia="宋体" w:hint="default"/>
                <w:sz w:val="21"/>
                <w:szCs w:val="21"/>
              </w:rPr>
              <w:t> </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017" w:right="2913"/>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68" w:right="161" w:hanging="106"/>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r>
              <w:rPr>
                <w:rFonts w:ascii="宋体" w:hAnsi="宋体" w:cs="宋体" w:eastAsia="宋体" w:hint="default"/>
                <w:sz w:val="21"/>
                <w:szCs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56" w:right="149" w:hanging="106"/>
              <w:jc w:val="left"/>
              <w:rPr>
                <w:rFonts w:ascii="宋体" w:hAnsi="宋体" w:cs="宋体" w:eastAsia="宋体" w:hint="default"/>
                <w:sz w:val="21"/>
                <w:szCs w:val="21"/>
              </w:rPr>
            </w:pPr>
            <w:r>
              <w:rPr>
                <w:rFonts w:ascii="宋体" w:hAnsi="宋体" w:cs="宋体" w:eastAsia="宋体" w:hint="default"/>
                <w:sz w:val="21"/>
                <w:szCs w:val="21"/>
              </w:rPr>
              <w:t>是否有履</w:t>
            </w:r>
            <w:r>
              <w:rPr>
                <w:rFonts w:ascii="宋体" w:hAnsi="宋体" w:cs="宋体" w:eastAsia="宋体" w:hint="default"/>
                <w:w w:val="100"/>
                <w:sz w:val="21"/>
                <w:szCs w:val="21"/>
              </w:rPr>
              <w:t> </w:t>
            </w:r>
            <w:r>
              <w:rPr>
                <w:rFonts w:ascii="宋体" w:hAnsi="宋体" w:cs="宋体" w:eastAsia="宋体" w:hint="default"/>
                <w:sz w:val="21"/>
                <w:szCs w:val="21"/>
              </w:rPr>
              <w:t>行期限</w:t>
            </w:r>
            <w:r>
              <w:rPr>
                <w:rFonts w:ascii="宋体" w:hAnsi="宋体" w:cs="宋体" w:eastAsia="宋体" w:hint="default"/>
                <w:sz w:val="21"/>
                <w:szCs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51" w:right="47"/>
              <w:jc w:val="left"/>
              <w:rPr>
                <w:rFonts w:ascii="宋体" w:hAnsi="宋体" w:cs="宋体" w:eastAsia="宋体" w:hint="default"/>
                <w:sz w:val="21"/>
                <w:szCs w:val="21"/>
              </w:rPr>
            </w:pPr>
            <w:r>
              <w:rPr>
                <w:rFonts w:ascii="宋体" w:hAnsi="宋体" w:cs="宋体" w:eastAsia="宋体" w:hint="default"/>
                <w:sz w:val="21"/>
                <w:szCs w:val="21"/>
              </w:rPr>
              <w:t>是否及时</w:t>
            </w:r>
            <w:r>
              <w:rPr>
                <w:rFonts w:ascii="宋体" w:hAnsi="宋体" w:cs="宋体" w:eastAsia="宋体" w:hint="default"/>
                <w:w w:val="100"/>
                <w:sz w:val="21"/>
                <w:szCs w:val="21"/>
              </w:rPr>
              <w:t> </w:t>
            </w:r>
            <w:r>
              <w:rPr>
                <w:rFonts w:ascii="宋体" w:hAnsi="宋体" w:cs="宋体" w:eastAsia="宋体" w:hint="default"/>
                <w:sz w:val="21"/>
                <w:szCs w:val="21"/>
              </w:rPr>
              <w:t>严格履行</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0" w:right="122"/>
              <w:jc w:val="both"/>
              <w:rPr>
                <w:rFonts w:ascii="宋体" w:hAnsi="宋体" w:cs="宋体" w:eastAsia="宋体" w:hint="default"/>
                <w:sz w:val="21"/>
                <w:szCs w:val="21"/>
              </w:rPr>
            </w:pPr>
            <w:r>
              <w:rPr>
                <w:rFonts w:ascii="宋体" w:hAnsi="宋体" w:cs="宋体" w:eastAsia="宋体" w:hint="default"/>
                <w:sz w:val="21"/>
                <w:szCs w:val="21"/>
              </w:rPr>
              <w:t>如未能及时履行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应说明未完成履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行的具体原因</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79"/>
              <w:jc w:val="both"/>
              <w:rPr>
                <w:rFonts w:ascii="宋体" w:hAnsi="宋体" w:cs="宋体" w:eastAsia="宋体" w:hint="default"/>
                <w:sz w:val="21"/>
                <w:szCs w:val="21"/>
              </w:rPr>
            </w:pPr>
            <w:r>
              <w:rPr>
                <w:rFonts w:ascii="宋体" w:hAnsi="宋体" w:cs="宋体" w:eastAsia="宋体" w:hint="default"/>
                <w:sz w:val="21"/>
                <w:szCs w:val="21"/>
              </w:rPr>
              <w:t>如未能及时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履行应说明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下一步计划</w:t>
            </w:r>
            <w:r>
              <w:rPr>
                <w:rFonts w:ascii="宋体" w:hAnsi="宋体" w:cs="宋体" w:eastAsia="宋体" w:hint="default"/>
                <w:sz w:val="21"/>
                <w:szCs w:val="21"/>
              </w:rPr>
              <w:t> </w:t>
            </w:r>
          </w:p>
        </w:tc>
      </w:tr>
      <w:tr>
        <w:trPr>
          <w:trHeight w:val="1882" w:hRule="exact"/>
        </w:trPr>
        <w:tc>
          <w:tcPr>
            <w:tcW w:w="7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73" w:lineRule="auto"/>
              <w:ind w:left="151" w:right="149"/>
              <w:jc w:val="both"/>
              <w:rPr>
                <w:rFonts w:ascii="宋体" w:hAnsi="宋体" w:cs="宋体" w:eastAsia="宋体" w:hint="default"/>
                <w:sz w:val="21"/>
                <w:szCs w:val="21"/>
              </w:rPr>
            </w:pPr>
            <w:r>
              <w:rPr>
                <w:rFonts w:ascii="宋体" w:hAnsi="宋体" w:cs="宋体" w:eastAsia="宋体" w:hint="default"/>
                <w:sz w:val="21"/>
                <w:szCs w:val="21"/>
              </w:rPr>
              <w:t>与首</w:t>
            </w:r>
            <w:r>
              <w:rPr>
                <w:rFonts w:ascii="宋体" w:hAnsi="宋体" w:cs="宋体" w:eastAsia="宋体" w:hint="default"/>
                <w:spacing w:val="-103"/>
                <w:sz w:val="21"/>
                <w:szCs w:val="21"/>
              </w:rPr>
              <w:t> </w:t>
            </w: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43" w:right="141"/>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1"/>
                <w:szCs w:val="21"/>
              </w:rPr>
            </w:pPr>
            <w:r>
              <w:rPr>
                <w:rFonts w:ascii="宋体" w:hAnsi="宋体" w:cs="宋体" w:eastAsia="宋体" w:hint="default"/>
                <w:sz w:val="21"/>
                <w:szCs w:val="21"/>
              </w:rPr>
              <w:t>在锁定期满后的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个月内，在不影响控股地位的前提下，本人减持</w:t>
            </w:r>
          </w:p>
          <w:p>
            <w:pPr>
              <w:pStyle w:val="TableParagraph"/>
              <w:spacing w:line="261" w:lineRule="auto" w:before="21"/>
              <w:ind w:left="103" w:right="29"/>
              <w:jc w:val="left"/>
              <w:rPr>
                <w:rFonts w:ascii="宋体" w:hAnsi="宋体" w:cs="宋体" w:eastAsia="宋体" w:hint="default"/>
                <w:sz w:val="21"/>
                <w:szCs w:val="21"/>
              </w:rPr>
            </w:pPr>
            <w:r>
              <w:rPr>
                <w:rFonts w:ascii="宋体" w:hAnsi="宋体" w:cs="宋体" w:eastAsia="宋体" w:hint="default"/>
                <w:sz w:val="21"/>
                <w:szCs w:val="21"/>
              </w:rPr>
              <w:t>股份数量不超过本人持有公司股份总数的 </w:t>
            </w:r>
            <w:r>
              <w:rPr>
                <w:rFonts w:ascii="Times New Roman" w:hAnsi="Times New Roman" w:cs="Times New Roman" w:eastAsia="Times New Roman" w:hint="default"/>
                <w:sz w:val="21"/>
                <w:szCs w:val="21"/>
              </w:rPr>
              <w:t>10%</w:t>
            </w:r>
            <w:r>
              <w:rPr>
                <w:rFonts w:ascii="宋体" w:hAnsi="宋体" w:cs="宋体" w:eastAsia="宋体" w:hint="default"/>
                <w:sz w:val="21"/>
                <w:szCs w:val="21"/>
              </w:rPr>
              <w:t>；在锁定期满后的</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个月内，本人减持股份数量累计不超过本人持有公司股份总数</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4"/>
                <w:sz w:val="21"/>
                <w:szCs w:val="21"/>
              </w:rPr>
              <w:t>本人在减持所持有的公司股份前，应提前三个交易日予以公告，并于</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个月内完成，并按照上海证券交易所的规则及时、准确、完整地履</w:t>
            </w:r>
            <w:r>
              <w:rPr>
                <w:rFonts w:ascii="宋体" w:hAnsi="宋体" w:cs="宋体" w:eastAsia="宋体" w:hint="default"/>
                <w:w w:val="100"/>
                <w:sz w:val="21"/>
                <w:szCs w:val="21"/>
              </w:rPr>
              <w:t> </w:t>
            </w:r>
            <w:r>
              <w:rPr>
                <w:rFonts w:ascii="宋体" w:hAnsi="宋体" w:cs="宋体" w:eastAsia="宋体" w:hint="default"/>
                <w:sz w:val="21"/>
                <w:szCs w:val="21"/>
              </w:rPr>
              <w:t>行信息披露义务。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0" w:right="108"/>
              <w:jc w:val="center"/>
              <w:rPr>
                <w:rFonts w:ascii="宋体" w:hAnsi="宋体" w:cs="宋体" w:eastAsia="宋体" w:hint="default"/>
                <w:sz w:val="21"/>
                <w:szCs w:val="21"/>
              </w:rPr>
            </w:pPr>
            <w:r>
              <w:rPr>
                <w:rFonts w:ascii="宋体" w:hAnsi="宋体" w:cs="宋体" w:eastAsia="宋体" w:hint="default"/>
                <w:sz w:val="21"/>
                <w:szCs w:val="21"/>
              </w:rPr>
              <w:t>锁定期满</w:t>
            </w:r>
            <w:r>
              <w:rPr>
                <w:rFonts w:ascii="宋体" w:hAnsi="宋体" w:cs="宋体" w:eastAsia="宋体" w:hint="default"/>
                <w:w w:val="100"/>
                <w:sz w:val="21"/>
                <w:szCs w:val="21"/>
              </w:rPr>
              <w:t> </w:t>
            </w:r>
            <w:r>
              <w:rPr>
                <w:rFonts w:ascii="宋体" w:hAnsi="宋体" w:cs="宋体" w:eastAsia="宋体" w:hint="default"/>
                <w:sz w:val="21"/>
                <w:szCs w:val="21"/>
              </w:rPr>
              <w:t>后</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内</w:t>
            </w:r>
            <w:r>
              <w:rPr>
                <w:rFonts w:ascii="宋体" w:hAnsi="宋体" w:cs="宋体" w:eastAsia="宋体" w:hint="default"/>
                <w:sz w:val="21"/>
                <w:szCs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w w:val="100"/>
                <w:sz w:val="21"/>
              </w:rPr>
              <w:t> </w:t>
            </w:r>
          </w:p>
        </w:tc>
      </w:tr>
      <w:tr>
        <w:trPr>
          <w:trHeight w:val="2194" w:hRule="exact"/>
        </w:trPr>
        <w:tc>
          <w:tcPr>
            <w:tcW w:w="734" w:type="dxa"/>
            <w:vMerge/>
            <w:tcBorders>
              <w:left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43" w:right="141"/>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10"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6"/>
              <w:jc w:val="both"/>
              <w:rPr>
                <w:rFonts w:ascii="宋体" w:hAnsi="宋体" w:cs="宋体" w:eastAsia="宋体" w:hint="default"/>
                <w:sz w:val="21"/>
                <w:szCs w:val="21"/>
              </w:rPr>
            </w:pPr>
            <w:r>
              <w:rPr>
                <w:rFonts w:ascii="宋体" w:hAnsi="宋体" w:cs="宋体" w:eastAsia="宋体" w:hint="default"/>
                <w:spacing w:val="-4"/>
                <w:sz w:val="21"/>
                <w:szCs w:val="21"/>
              </w:rPr>
              <w:t>在直接或间接控制南威软件期间，本人或本人控制的其他企业将不从</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事与南威软件构成竞争或可能构成竞争的业务；如南威软件将来拓展</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的业务范围与本人或本人控制的其他企业构成竞争或可能构成竞争，</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则本人或本人控制的其他企业将停止从事该等业务，或将该等业务纳</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入南威软件，或将该等业务转让给无关联的第三方；如本人或本人控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制的其他企业获得与南威软件构成竞争或可能构成竞争的商业机会，</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则将该商业机会让予南威软件。</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63" w:right="161"/>
              <w:jc w:val="both"/>
              <w:rPr>
                <w:rFonts w:ascii="宋体" w:hAnsi="宋体" w:cs="宋体" w:eastAsia="宋体" w:hint="default"/>
                <w:sz w:val="21"/>
                <w:szCs w:val="21"/>
              </w:rPr>
            </w:pPr>
            <w:r>
              <w:rPr>
                <w:rFonts w:ascii="宋体" w:hAnsi="宋体" w:cs="宋体" w:eastAsia="宋体" w:hint="default"/>
                <w:sz w:val="21"/>
                <w:szCs w:val="21"/>
              </w:rPr>
              <w:t>作为南威</w:t>
            </w:r>
            <w:r>
              <w:rPr>
                <w:rFonts w:ascii="宋体" w:hAnsi="宋体" w:cs="宋体" w:eastAsia="宋体" w:hint="default"/>
                <w:w w:val="100"/>
                <w:sz w:val="21"/>
                <w:szCs w:val="21"/>
              </w:rPr>
              <w:t> </w:t>
            </w:r>
            <w:r>
              <w:rPr>
                <w:rFonts w:ascii="宋体" w:hAnsi="宋体" w:cs="宋体" w:eastAsia="宋体" w:hint="default"/>
                <w:sz w:val="21"/>
                <w:szCs w:val="21"/>
              </w:rPr>
              <w:t>软件的控</w:t>
            </w:r>
            <w:r>
              <w:rPr>
                <w:rFonts w:ascii="宋体" w:hAnsi="宋体" w:cs="宋体" w:eastAsia="宋体" w:hint="default"/>
                <w:w w:val="100"/>
                <w:sz w:val="21"/>
                <w:szCs w:val="21"/>
              </w:rPr>
              <w:t> </w:t>
            </w:r>
            <w:r>
              <w:rPr>
                <w:rFonts w:ascii="宋体" w:hAnsi="宋体" w:cs="宋体" w:eastAsia="宋体" w:hint="default"/>
                <w:sz w:val="21"/>
                <w:szCs w:val="21"/>
              </w:rPr>
              <w:t>股股东或</w:t>
            </w:r>
            <w:r>
              <w:rPr>
                <w:rFonts w:ascii="宋体" w:hAnsi="宋体" w:cs="宋体" w:eastAsia="宋体" w:hint="default"/>
                <w:w w:val="100"/>
                <w:sz w:val="21"/>
                <w:szCs w:val="21"/>
              </w:rPr>
              <w:t> </w:t>
            </w:r>
            <w:r>
              <w:rPr>
                <w:rFonts w:ascii="宋体" w:hAnsi="宋体" w:cs="宋体" w:eastAsia="宋体" w:hint="default"/>
                <w:sz w:val="21"/>
                <w:szCs w:val="21"/>
              </w:rPr>
              <w:t>实际控制</w:t>
            </w:r>
            <w:r>
              <w:rPr>
                <w:rFonts w:ascii="宋体" w:hAnsi="宋体" w:cs="宋体" w:eastAsia="宋体" w:hint="default"/>
                <w:w w:val="100"/>
                <w:sz w:val="21"/>
                <w:szCs w:val="21"/>
              </w:rPr>
              <w:t> </w:t>
            </w:r>
            <w:r>
              <w:rPr>
                <w:rFonts w:ascii="宋体" w:hAnsi="宋体" w:cs="宋体" w:eastAsia="宋体" w:hint="default"/>
                <w:sz w:val="21"/>
                <w:szCs w:val="21"/>
              </w:rPr>
              <w:t>人期间</w:t>
            </w:r>
            <w:r>
              <w:rPr>
                <w:rFonts w:ascii="宋体" w:hAnsi="宋体" w:cs="宋体" w:eastAsia="宋体" w:hint="default"/>
                <w:sz w:val="21"/>
                <w:szCs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r>
      <w:tr>
        <w:trPr>
          <w:trHeight w:val="2509" w:hRule="exact"/>
        </w:trPr>
        <w:tc>
          <w:tcPr>
            <w:tcW w:w="734" w:type="dxa"/>
            <w:vMerge/>
            <w:tcBorders>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43" w:right="141"/>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7"/>
              <w:jc w:val="both"/>
              <w:rPr>
                <w:rFonts w:ascii="宋体" w:hAnsi="宋体" w:cs="宋体" w:eastAsia="宋体" w:hint="default"/>
                <w:sz w:val="21"/>
                <w:szCs w:val="21"/>
              </w:rPr>
            </w:pPr>
            <w:r>
              <w:rPr>
                <w:rFonts w:ascii="宋体" w:hAnsi="宋体" w:cs="宋体" w:eastAsia="宋体" w:hint="default"/>
                <w:spacing w:val="2"/>
                <w:sz w:val="21"/>
                <w:szCs w:val="21"/>
              </w:rPr>
              <w:t>将尽可能的避免和减少本人或本人控制的其他公司、企业或其他组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4"/>
                <w:sz w:val="21"/>
                <w:szCs w:val="21"/>
              </w:rPr>
              <w:t>织、机构与公司之间的关联交易；对于无法避免或者有合理原因而发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生的关联交易，将根据有关法律、法规，遵循平等、自愿、等价和有</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偿的一般商业原则，与公司签订关联交易协议，确保关联交易的价格</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原则上不偏离市场独立第三方的价格或收费的标准，以维护公司及其</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他股东的利益；不利用在公司中的地位和影响，通过关联交易损害股</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份公司及其他股东的合法权益；本人或本人控制的其他企业保证不利</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用本人在公司中的地位和影响，违规占用或转移公司的资金、资产及</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63" w:right="161"/>
              <w:jc w:val="both"/>
              <w:rPr>
                <w:rFonts w:ascii="宋体" w:hAnsi="宋体" w:cs="宋体" w:eastAsia="宋体" w:hint="default"/>
                <w:sz w:val="21"/>
                <w:szCs w:val="21"/>
              </w:rPr>
            </w:pPr>
            <w:r>
              <w:rPr>
                <w:rFonts w:ascii="宋体" w:hAnsi="宋体" w:cs="宋体" w:eastAsia="宋体" w:hint="default"/>
                <w:sz w:val="21"/>
                <w:szCs w:val="21"/>
              </w:rPr>
              <w:t>作为南威</w:t>
            </w:r>
            <w:r>
              <w:rPr>
                <w:rFonts w:ascii="宋体" w:hAnsi="宋体" w:cs="宋体" w:eastAsia="宋体" w:hint="default"/>
                <w:w w:val="100"/>
                <w:sz w:val="21"/>
                <w:szCs w:val="21"/>
              </w:rPr>
              <w:t> </w:t>
            </w:r>
            <w:r>
              <w:rPr>
                <w:rFonts w:ascii="宋体" w:hAnsi="宋体" w:cs="宋体" w:eastAsia="宋体" w:hint="default"/>
                <w:sz w:val="21"/>
                <w:szCs w:val="21"/>
              </w:rPr>
              <w:t>软件关联</w:t>
            </w:r>
            <w:r>
              <w:rPr>
                <w:rFonts w:ascii="宋体" w:hAnsi="宋体" w:cs="宋体" w:eastAsia="宋体" w:hint="default"/>
                <w:w w:val="100"/>
                <w:sz w:val="21"/>
                <w:szCs w:val="21"/>
              </w:rPr>
              <w:t> </w:t>
            </w:r>
            <w:r>
              <w:rPr>
                <w:rFonts w:ascii="宋体" w:hAnsi="宋体" w:cs="宋体" w:eastAsia="宋体" w:hint="default"/>
                <w:sz w:val="21"/>
                <w:szCs w:val="21"/>
              </w:rPr>
              <w:t>人期间</w:t>
            </w:r>
            <w:r>
              <w:rPr>
                <w:rFonts w:ascii="宋体" w:hAnsi="宋体" w:cs="宋体" w:eastAsia="宋体" w:hint="default"/>
                <w:sz w:val="21"/>
                <w:szCs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headerReference w:type="default" r:id="rId21"/>
          <w:footerReference w:type="default" r:id="rId22"/>
          <w:pgSz w:w="16840" w:h="11910" w:orient="landscape"/>
          <w:pgMar w:header="855" w:footer="980" w:top="1120" w:bottom="1160" w:left="540" w:right="620"/>
          <w:pgNumType w:start="3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734"/>
        <w:gridCol w:w="718"/>
        <w:gridCol w:w="864"/>
        <w:gridCol w:w="6467"/>
        <w:gridCol w:w="1178"/>
        <w:gridCol w:w="1154"/>
        <w:gridCol w:w="1155"/>
        <w:gridCol w:w="1728"/>
        <w:gridCol w:w="1431"/>
      </w:tblGrid>
      <w:tr>
        <w:trPr>
          <w:trHeight w:val="322" w:hRule="exact"/>
        </w:trPr>
        <w:tc>
          <w:tcPr>
            <w:tcW w:w="734" w:type="dxa"/>
            <w:vMerge w:val="restart"/>
            <w:tcBorders>
              <w:top w:val="single" w:sz="4" w:space="0" w:color="000000"/>
              <w:left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其他资源，或要求公司违规提供担保。</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34" w:type="dxa"/>
            <w:vMerge/>
            <w:tcBorders>
              <w:left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3" w:right="141"/>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8"/>
              <w:jc w:val="right"/>
              <w:rPr>
                <w:rFonts w:ascii="宋体" w:hAnsi="宋体" w:cs="宋体" w:eastAsia="宋体" w:hint="default"/>
                <w:sz w:val="21"/>
                <w:szCs w:val="21"/>
              </w:rPr>
            </w:pPr>
            <w:r>
              <w:rPr>
                <w:rFonts w:ascii="宋体" w:hAnsi="宋体" w:cs="宋体" w:eastAsia="宋体" w:hint="default"/>
                <w:sz w:val="21"/>
                <w:szCs w:val="21"/>
              </w:rPr>
              <w:t>吴志雄</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所持股票在锁定期满后两年内减持的，其减持价格不低于发行价。</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8" w:right="161" w:hanging="106"/>
              <w:jc w:val="left"/>
              <w:rPr>
                <w:rFonts w:ascii="宋体" w:hAnsi="宋体" w:cs="宋体" w:eastAsia="宋体" w:hint="default"/>
                <w:sz w:val="21"/>
                <w:szCs w:val="21"/>
              </w:rPr>
            </w:pPr>
            <w:r>
              <w:rPr>
                <w:rFonts w:ascii="宋体" w:hAnsi="宋体" w:cs="宋体" w:eastAsia="宋体" w:hint="default"/>
                <w:sz w:val="21"/>
                <w:szCs w:val="21"/>
              </w:rPr>
              <w:t>锁定期满</w:t>
            </w:r>
            <w:r>
              <w:rPr>
                <w:rFonts w:ascii="宋体" w:hAnsi="宋体" w:cs="宋体" w:eastAsia="宋体" w:hint="default"/>
                <w:w w:val="100"/>
                <w:sz w:val="21"/>
                <w:szCs w:val="21"/>
              </w:rPr>
              <w:t> </w:t>
            </w:r>
            <w:r>
              <w:rPr>
                <w:rFonts w:ascii="宋体" w:hAnsi="宋体" w:cs="宋体" w:eastAsia="宋体" w:hint="default"/>
                <w:sz w:val="21"/>
                <w:szCs w:val="21"/>
              </w:rPr>
              <w:t>后两年</w:t>
            </w:r>
            <w:r>
              <w:rPr>
                <w:rFonts w:ascii="宋体" w:hAnsi="宋体" w:cs="宋体" w:eastAsia="宋体" w:hint="default"/>
                <w:sz w:val="21"/>
                <w:szCs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r>
      <w:tr>
        <w:trPr>
          <w:trHeight w:val="2506" w:hRule="exact"/>
        </w:trPr>
        <w:tc>
          <w:tcPr>
            <w:tcW w:w="734" w:type="dxa"/>
            <w:vMerge/>
            <w:tcBorders>
              <w:left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143" w:right="141"/>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108"/>
              <w:jc w:val="right"/>
              <w:rPr>
                <w:rFonts w:ascii="宋体" w:hAnsi="宋体" w:cs="宋体" w:eastAsia="宋体" w:hint="default"/>
                <w:sz w:val="21"/>
                <w:szCs w:val="21"/>
              </w:rPr>
            </w:pPr>
            <w:r>
              <w:rPr>
                <w:rFonts w:ascii="宋体" w:hAnsi="宋体" w:cs="宋体" w:eastAsia="宋体" w:hint="default"/>
                <w:sz w:val="21"/>
                <w:szCs w:val="21"/>
              </w:rPr>
              <w:t>吴志雄</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6"/>
              <w:jc w:val="both"/>
              <w:rPr>
                <w:rFonts w:ascii="宋体" w:hAnsi="宋体" w:cs="宋体" w:eastAsia="宋体" w:hint="default"/>
                <w:sz w:val="21"/>
                <w:szCs w:val="21"/>
              </w:rPr>
            </w:pPr>
            <w:r>
              <w:rPr>
                <w:rFonts w:ascii="宋体" w:hAnsi="宋体" w:cs="宋体" w:eastAsia="宋体" w:hint="default"/>
                <w:spacing w:val="-4"/>
                <w:sz w:val="21"/>
                <w:szCs w:val="21"/>
              </w:rPr>
              <w:t>在担任公司董事、监事或高级管理人员职务期间，每年转让的股份不</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超过所持有的公司股份总数的百分之二十五；在离职后六个月内，不</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转让持有的公司股份，离职六个月后的十二个月内通过证券交易所挂</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牌交易出售发行人股份不超过所持有发行人股份总数的百分之五十；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公司上市后</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个月内如公司股票连续</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个交易日的收盘价均低于发</w:t>
            </w:r>
          </w:p>
          <w:p>
            <w:pPr>
              <w:pStyle w:val="TableParagraph"/>
              <w:spacing w:line="279"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行价，或者上市后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个月期末收盘价低于发行价，持有公司股票的锁</w:t>
            </w:r>
          </w:p>
          <w:p>
            <w:pPr>
              <w:pStyle w:val="TableParagraph"/>
              <w:spacing w:line="256" w:lineRule="auto" w:before="21"/>
              <w:ind w:left="103" w:right="99"/>
              <w:jc w:val="both"/>
              <w:rPr>
                <w:rFonts w:ascii="宋体" w:hAnsi="宋体" w:cs="宋体" w:eastAsia="宋体" w:hint="default"/>
                <w:sz w:val="21"/>
                <w:szCs w:val="21"/>
              </w:rPr>
            </w:pPr>
            <w:r>
              <w:rPr>
                <w:rFonts w:ascii="宋体" w:hAnsi="宋体" w:cs="宋体" w:eastAsia="宋体" w:hint="default"/>
                <w:sz w:val="21"/>
                <w:szCs w:val="21"/>
              </w:rPr>
              <w:t>定期限自动延长至少</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7"/>
                <w:sz w:val="21"/>
                <w:szCs w:val="21"/>
              </w:rPr>
              <w:t> </w:t>
            </w:r>
            <w:r>
              <w:rPr>
                <w:rFonts w:ascii="宋体" w:hAnsi="宋体" w:cs="宋体" w:eastAsia="宋体" w:hint="default"/>
                <w:spacing w:val="-5"/>
                <w:sz w:val="21"/>
                <w:szCs w:val="21"/>
              </w:rPr>
              <w:t>个月。上述承诺事项不因本人职务变更、离职</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等原因而放弃履行。</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3" w:right="98" w:hanging="3"/>
              <w:jc w:val="center"/>
              <w:rPr>
                <w:rFonts w:ascii="宋体" w:hAnsi="宋体" w:cs="宋体" w:eastAsia="宋体" w:hint="default"/>
                <w:sz w:val="21"/>
                <w:szCs w:val="21"/>
              </w:rPr>
            </w:pPr>
            <w:r>
              <w:rPr>
                <w:rFonts w:ascii="宋体" w:hAnsi="宋体" w:cs="宋体" w:eastAsia="宋体" w:hint="default"/>
                <w:sz w:val="21"/>
                <w:szCs w:val="21"/>
              </w:rPr>
              <w:t>作为公司</w:t>
            </w:r>
            <w:r>
              <w:rPr>
                <w:rFonts w:ascii="宋体" w:hAnsi="宋体" w:cs="宋体" w:eastAsia="宋体" w:hint="default"/>
                <w:w w:val="100"/>
                <w:sz w:val="21"/>
                <w:szCs w:val="21"/>
              </w:rPr>
              <w:t> </w:t>
            </w:r>
            <w:r>
              <w:rPr>
                <w:rFonts w:ascii="宋体" w:hAnsi="宋体" w:cs="宋体" w:eastAsia="宋体" w:hint="default"/>
                <w:sz w:val="21"/>
                <w:szCs w:val="21"/>
              </w:rPr>
              <w:t>董事、监</w:t>
            </w:r>
            <w:r>
              <w:rPr>
                <w:rFonts w:ascii="宋体" w:hAnsi="宋体" w:cs="宋体" w:eastAsia="宋体" w:hint="default"/>
                <w:w w:val="100"/>
                <w:sz w:val="21"/>
                <w:szCs w:val="21"/>
              </w:rPr>
              <w:t> </w:t>
            </w:r>
            <w:r>
              <w:rPr>
                <w:rFonts w:ascii="宋体" w:hAnsi="宋体" w:cs="宋体" w:eastAsia="宋体" w:hint="default"/>
                <w:spacing w:val="-19"/>
                <w:w w:val="100"/>
                <w:sz w:val="21"/>
                <w:szCs w:val="21"/>
              </w:rPr>
              <w:t>事、高级管</w:t>
            </w:r>
            <w:r>
              <w:rPr>
                <w:rFonts w:ascii="宋体" w:hAnsi="宋体" w:cs="宋体" w:eastAsia="宋体" w:hint="default"/>
                <w:w w:val="100"/>
                <w:sz w:val="21"/>
                <w:szCs w:val="21"/>
              </w:rPr>
              <w:t> </w:t>
            </w:r>
            <w:r>
              <w:rPr>
                <w:rFonts w:ascii="宋体" w:hAnsi="宋体" w:cs="宋体" w:eastAsia="宋体" w:hint="default"/>
                <w:sz w:val="21"/>
                <w:szCs w:val="21"/>
              </w:rPr>
              <w:t>理人员期</w:t>
            </w:r>
            <w:r>
              <w:rPr>
                <w:rFonts w:ascii="宋体" w:hAnsi="宋体" w:cs="宋体" w:eastAsia="宋体" w:hint="default"/>
                <w:w w:val="100"/>
                <w:sz w:val="21"/>
                <w:szCs w:val="21"/>
              </w:rPr>
              <w:t> </w:t>
            </w:r>
            <w:r>
              <w:rPr>
                <w:rFonts w:ascii="宋体" w:hAnsi="宋体" w:cs="宋体" w:eastAsia="宋体" w:hint="default"/>
                <w:sz w:val="21"/>
                <w:szCs w:val="21"/>
              </w:rPr>
              <w:t>间</w:t>
            </w:r>
            <w:r>
              <w:rPr>
                <w:rFonts w:ascii="宋体" w:hAnsi="宋体" w:cs="宋体" w:eastAsia="宋体" w:hint="default"/>
                <w:sz w:val="21"/>
                <w:szCs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r>
      <w:tr>
        <w:trPr>
          <w:trHeight w:val="3754" w:hRule="exact"/>
        </w:trPr>
        <w:tc>
          <w:tcPr>
            <w:tcW w:w="734" w:type="dxa"/>
            <w:vMerge/>
            <w:tcBorders>
              <w:left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141"/>
              <w:jc w:val="right"/>
              <w:rPr>
                <w:rFonts w:ascii="宋体" w:hAnsi="宋体" w:cs="宋体" w:eastAsia="宋体" w:hint="default"/>
                <w:sz w:val="21"/>
                <w:szCs w:val="21"/>
              </w:rPr>
            </w:pPr>
            <w:r>
              <w:rPr>
                <w:rFonts w:ascii="宋体" w:hAnsi="宋体" w:cs="宋体" w:eastAsia="宋体" w:hint="default"/>
                <w:sz w:val="21"/>
                <w:szCs w:val="21"/>
              </w:rPr>
              <w:t>其他</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8"/>
              <w:ind w:left="321" w:right="108" w:hanging="212"/>
              <w:jc w:val="left"/>
              <w:rPr>
                <w:rFonts w:ascii="宋体" w:hAnsi="宋体" w:cs="宋体" w:eastAsia="宋体" w:hint="default"/>
                <w:sz w:val="21"/>
                <w:szCs w:val="21"/>
              </w:rPr>
            </w:pPr>
            <w:r>
              <w:rPr>
                <w:rFonts w:ascii="宋体" w:hAnsi="宋体" w:cs="宋体" w:eastAsia="宋体" w:hint="default"/>
                <w:sz w:val="21"/>
                <w:szCs w:val="21"/>
              </w:rPr>
              <w:t>南威软</w:t>
            </w:r>
            <w:r>
              <w:rPr>
                <w:rFonts w:ascii="宋体" w:hAnsi="宋体" w:cs="宋体" w:eastAsia="宋体" w:hint="default"/>
                <w:spacing w:val="-102"/>
                <w:sz w:val="21"/>
                <w:szCs w:val="21"/>
              </w:rPr>
              <w:t> </w:t>
            </w:r>
            <w:r>
              <w:rPr>
                <w:rFonts w:ascii="宋体" w:hAnsi="宋体" w:cs="宋体" w:eastAsia="宋体" w:hint="default"/>
                <w:sz w:val="21"/>
                <w:szCs w:val="21"/>
              </w:rPr>
              <w:t>件</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98"/>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、公司招股说明书有虚假记载、误导性陈述或者重大遗漏，对判断</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sz w:val="21"/>
                <w:szCs w:val="21"/>
              </w:rPr>
              <w:t>公司是否符合法律规定的发行条件构成重大、实质影响的，公司董事</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会将在证券监管部门做出认定或处罚决定后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天内，制订股份回购</w:t>
            </w:r>
            <w:r>
              <w:rPr>
                <w:rFonts w:ascii="宋体" w:hAnsi="宋体" w:cs="宋体" w:eastAsia="宋体" w:hint="default"/>
                <w:w w:val="100"/>
                <w:sz w:val="21"/>
                <w:szCs w:val="21"/>
              </w:rPr>
              <w:t> </w:t>
            </w:r>
            <w:r>
              <w:rPr>
                <w:rFonts w:ascii="宋体" w:hAnsi="宋体" w:cs="宋体" w:eastAsia="宋体" w:hint="default"/>
                <w:spacing w:val="-4"/>
                <w:sz w:val="21"/>
                <w:szCs w:val="21"/>
              </w:rPr>
              <w:t>方案并提交股东大会审议批准，公司将依法回购首次公开发行的全部</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新股，回购价格根据发行价格加上同期银行存款利息与回购义务触发</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时二级市场价格孰高来确定（公司上市后发生除权除息事项的，上述</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发行价格及回购股份数量做相应调整）。</w:t>
            </w:r>
            <w:r>
              <w:rPr>
                <w:rFonts w:ascii="Times New Roman" w:hAnsi="Times New Roman" w:cs="Times New Roman" w:eastAsia="Times New Roman" w:hint="default"/>
                <w:sz w:val="21"/>
                <w:szCs w:val="21"/>
              </w:rPr>
              <w:t>2</w:t>
            </w:r>
            <w:r>
              <w:rPr>
                <w:rFonts w:ascii="宋体" w:hAnsi="宋体" w:cs="宋体" w:eastAsia="宋体" w:hint="default"/>
                <w:sz w:val="21"/>
                <w:szCs w:val="21"/>
              </w:rPr>
              <w:t>、公司招股说明书有虚假</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4"/>
                <w:sz w:val="21"/>
                <w:szCs w:val="21"/>
              </w:rPr>
              <w:t>记载、误导性陈述或者重大遗漏，致使投资者在证券交易中遭受损失</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5"/>
                <w:w w:val="100"/>
                <w:sz w:val="21"/>
                <w:szCs w:val="21"/>
              </w:rPr>
              <w:t>的，公司将在该等违法事实被证券监管部门做出认定或处罚决定后</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3"/>
                <w:w w:val="100"/>
                <w:sz w:val="21"/>
                <w:szCs w:val="21"/>
              </w:rPr>
              <w:t>30 </w:t>
            </w:r>
            <w:r>
              <w:rPr>
                <w:rFonts w:ascii="宋体" w:hAnsi="宋体" w:cs="宋体" w:eastAsia="宋体" w:hint="default"/>
                <w:sz w:val="21"/>
                <w:szCs w:val="21"/>
              </w:rPr>
              <w:t>天内依法赔偿投资者损失。</w:t>
            </w:r>
            <w:r>
              <w:rPr>
                <w:rFonts w:ascii="Times New Roman" w:hAnsi="Times New Roman" w:cs="Times New Roman" w:eastAsia="Times New Roman" w:hint="default"/>
                <w:sz w:val="21"/>
                <w:szCs w:val="21"/>
              </w:rPr>
              <w:t>3</w:t>
            </w:r>
            <w:r>
              <w:rPr>
                <w:rFonts w:ascii="宋体" w:hAnsi="宋体" w:cs="宋体" w:eastAsia="宋体" w:hint="default"/>
                <w:sz w:val="21"/>
                <w:szCs w:val="21"/>
              </w:rPr>
              <w:t>、公司未能履行上述承诺时，应在证监</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4"/>
                <w:sz w:val="21"/>
                <w:szCs w:val="21"/>
              </w:rPr>
              <w:t>会指定报刊上公告相关情况，及时、充分披露其承诺未能履行、无法</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履行或无法按期履行的具体原因并向投资者道歉。</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266"/>
              <w:jc w:val="right"/>
              <w:rPr>
                <w:rFonts w:ascii="宋体" w:hAnsi="宋体" w:cs="宋体" w:eastAsia="宋体" w:hint="default"/>
                <w:sz w:val="21"/>
                <w:szCs w:val="21"/>
              </w:rPr>
            </w:pPr>
            <w:r>
              <w:rPr>
                <w:rFonts w:ascii="宋体" w:hAnsi="宋体" w:cs="宋体" w:eastAsia="宋体" w:hint="default"/>
                <w:spacing w:val="-2"/>
                <w:sz w:val="21"/>
                <w:szCs w:val="21"/>
              </w:rPr>
              <w:t>长期</w:t>
            </w:r>
            <w:r>
              <w:rPr>
                <w:rFonts w:ascii="宋体" w:hAnsi="宋体" w:cs="宋体" w:eastAsia="宋体" w:hint="default"/>
                <w:sz w:val="21"/>
                <w:szCs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36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r>
      <w:tr>
        <w:trPr>
          <w:trHeight w:val="1573" w:hRule="exact"/>
        </w:trPr>
        <w:tc>
          <w:tcPr>
            <w:tcW w:w="734" w:type="dxa"/>
            <w:vMerge/>
            <w:tcBorders>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right="141"/>
              <w:jc w:val="right"/>
              <w:rPr>
                <w:rFonts w:ascii="宋体" w:hAnsi="宋体" w:cs="宋体" w:eastAsia="宋体" w:hint="default"/>
                <w:sz w:val="21"/>
                <w:szCs w:val="21"/>
              </w:rPr>
            </w:pPr>
            <w:r>
              <w:rPr>
                <w:rFonts w:ascii="宋体" w:hAnsi="宋体" w:cs="宋体" w:eastAsia="宋体" w:hint="default"/>
                <w:sz w:val="21"/>
                <w:szCs w:val="21"/>
              </w:rPr>
              <w:t>其他</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right="108"/>
              <w:jc w:val="right"/>
              <w:rPr>
                <w:rFonts w:ascii="宋体" w:hAnsi="宋体" w:cs="宋体" w:eastAsia="宋体" w:hint="default"/>
                <w:sz w:val="21"/>
                <w:szCs w:val="21"/>
              </w:rPr>
            </w:pPr>
            <w:r>
              <w:rPr>
                <w:rFonts w:ascii="宋体" w:hAnsi="宋体" w:cs="宋体" w:eastAsia="宋体" w:hint="default"/>
                <w:sz w:val="21"/>
                <w:szCs w:val="21"/>
              </w:rPr>
              <w:t>吴志雄</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46"/>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、南威软件招股说明书有虚假记载、误导性陈述或者重大遗漏，对</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2"/>
                <w:sz w:val="21"/>
                <w:szCs w:val="21"/>
              </w:rPr>
              <w:t>判断南威软件是否符合法律规定的发行条件构成重大、实质影响的，</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本人将利用南威软件的控股股东地位促成南威软件在证券监管部门</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做出认定或处罚决定后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天内启动依法回购南威软件首次公开发行</w:t>
            </w:r>
            <w:r>
              <w:rPr>
                <w:rFonts w:ascii="宋体" w:hAnsi="宋体" w:cs="宋体" w:eastAsia="宋体" w:hint="default"/>
                <w:w w:val="100"/>
                <w:sz w:val="21"/>
                <w:szCs w:val="21"/>
              </w:rPr>
              <w:t> </w:t>
            </w:r>
            <w:r>
              <w:rPr>
                <w:rFonts w:ascii="宋体" w:hAnsi="宋体" w:cs="宋体" w:eastAsia="宋体" w:hint="default"/>
                <w:spacing w:val="-4"/>
                <w:sz w:val="21"/>
                <w:szCs w:val="21"/>
              </w:rPr>
              <w:t>的全部新股工作，并在前述期限内制定股份回购方案，依法回购公司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right="266"/>
              <w:jc w:val="right"/>
              <w:rPr>
                <w:rFonts w:ascii="宋体" w:hAnsi="宋体" w:cs="宋体" w:eastAsia="宋体" w:hint="default"/>
                <w:sz w:val="21"/>
                <w:szCs w:val="21"/>
              </w:rPr>
            </w:pPr>
            <w:r>
              <w:rPr>
                <w:rFonts w:ascii="宋体" w:hAnsi="宋体" w:cs="宋体" w:eastAsia="宋体" w:hint="default"/>
                <w:spacing w:val="-2"/>
                <w:sz w:val="21"/>
                <w:szCs w:val="21"/>
              </w:rPr>
              <w:t>长期</w:t>
            </w:r>
            <w:r>
              <w:rPr>
                <w:rFonts w:ascii="宋体" w:hAnsi="宋体" w:cs="宋体" w:eastAsia="宋体" w:hint="default"/>
                <w:sz w:val="21"/>
                <w:szCs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right="36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4"/>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w w:val="100"/>
                <w:sz w:val="21"/>
              </w:rPr>
              <w:t> </w:t>
            </w:r>
          </w:p>
        </w:tc>
      </w:tr>
    </w:tbl>
    <w:p>
      <w:pPr>
        <w:spacing w:after="0" w:line="265" w:lineRule="exact"/>
        <w:jc w:val="left"/>
        <w:rPr>
          <w:rFonts w:ascii="宋体" w:hAnsi="宋体" w:cs="宋体" w:eastAsia="宋体" w:hint="default"/>
          <w:sz w:val="21"/>
          <w:szCs w:val="21"/>
        </w:rPr>
        <w:sectPr>
          <w:pgSz w:w="16840" w:h="11910" w:orient="landscape"/>
          <w:pgMar w:header="855" w:footer="980" w:top="1120" w:bottom="1160" w:left="540" w:right="6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734"/>
        <w:gridCol w:w="718"/>
        <w:gridCol w:w="864"/>
        <w:gridCol w:w="6467"/>
        <w:gridCol w:w="1178"/>
        <w:gridCol w:w="1154"/>
        <w:gridCol w:w="1155"/>
        <w:gridCol w:w="1728"/>
        <w:gridCol w:w="1431"/>
      </w:tblGrid>
      <w:tr>
        <w:trPr>
          <w:trHeight w:val="1882" w:hRule="exact"/>
        </w:trPr>
        <w:tc>
          <w:tcPr>
            <w:tcW w:w="734" w:type="dxa"/>
            <w:vMerge w:val="restart"/>
            <w:tcBorders>
              <w:top w:val="single" w:sz="4" w:space="0" w:color="000000"/>
              <w:left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5"/>
              <w:jc w:val="left"/>
              <w:rPr>
                <w:rFonts w:ascii="宋体" w:hAnsi="宋体" w:cs="宋体" w:eastAsia="宋体" w:hint="default"/>
                <w:sz w:val="21"/>
                <w:szCs w:val="21"/>
              </w:rPr>
            </w:pPr>
            <w:r>
              <w:rPr>
                <w:rFonts w:ascii="宋体" w:hAnsi="宋体" w:cs="宋体" w:eastAsia="宋体" w:hint="default"/>
                <w:spacing w:val="-4"/>
                <w:sz w:val="21"/>
                <w:szCs w:val="21"/>
              </w:rPr>
              <w:t>股东已转让的原限售股份，回购价格根据发行价格加上同期银行存款</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利息与回购义务触发时二级市场价格孰高来确定（南威软件上市后发</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3"/>
                <w:sz w:val="21"/>
                <w:szCs w:val="21"/>
              </w:rPr>
              <w:t>生除权除息事项的，上述发行价格及回购股份数量做相应调整）。</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pacing w:val="-69"/>
                <w:sz w:val="21"/>
                <w:szCs w:val="21"/>
              </w:rPr>
              <w:t> </w:t>
            </w:r>
            <w:r>
              <w:rPr>
                <w:rFonts w:ascii="宋体" w:hAnsi="宋体" w:cs="宋体" w:eastAsia="宋体" w:hint="default"/>
                <w:spacing w:val="-4"/>
                <w:sz w:val="21"/>
                <w:szCs w:val="21"/>
              </w:rPr>
              <w:t>南威软件招股说明书有虚假记载、误导性陈述或者重大遗漏，致使投</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资者在证券交易中遭受损失的，本人将在该等违法事实被证券监管部</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门做出认定或处罚决定后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天内依法赔偿投资者损失。</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34" w:type="dxa"/>
            <w:vMerge/>
            <w:tcBorders>
              <w:left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41"/>
              <w:jc w:val="right"/>
              <w:rPr>
                <w:rFonts w:ascii="宋体" w:hAnsi="宋体" w:cs="宋体" w:eastAsia="宋体" w:hint="default"/>
                <w:sz w:val="21"/>
                <w:szCs w:val="21"/>
              </w:rPr>
            </w:pPr>
            <w:r>
              <w:rPr>
                <w:rFonts w:ascii="宋体" w:hAnsi="宋体" w:cs="宋体" w:eastAsia="宋体" w:hint="default"/>
                <w:sz w:val="21"/>
                <w:szCs w:val="21"/>
              </w:rPr>
              <w:t>其他</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z w:val="21"/>
                <w:szCs w:val="21"/>
              </w:rPr>
              <w:t>吴志雄</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4"/>
                <w:sz w:val="21"/>
                <w:szCs w:val="21"/>
              </w:rPr>
              <w:t>如公司存续期内应有权部门要求或决定，公司需要为公司员工补缴社</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保、住房公积金或因未缴纳社保、住房公积金而承担罚款或损失，本</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人不可撤销地承诺无条件代公司承担上述所有补缴金额、承担任何相</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关罚款或损失赔偿的责任，保证公司不因此受到损失。</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374" w:right="161" w:hanging="212"/>
              <w:jc w:val="left"/>
              <w:rPr>
                <w:rFonts w:ascii="宋体" w:hAnsi="宋体" w:cs="宋体" w:eastAsia="宋体" w:hint="default"/>
                <w:sz w:val="21"/>
                <w:szCs w:val="21"/>
              </w:rPr>
            </w:pPr>
            <w:r>
              <w:rPr>
                <w:rFonts w:ascii="宋体" w:hAnsi="宋体" w:cs="宋体" w:eastAsia="宋体" w:hint="default"/>
                <w:sz w:val="21"/>
                <w:szCs w:val="21"/>
              </w:rPr>
              <w:t>公司存续</w:t>
            </w:r>
            <w:r>
              <w:rPr>
                <w:rFonts w:ascii="宋体" w:hAnsi="宋体" w:cs="宋体" w:eastAsia="宋体" w:hint="default"/>
                <w:w w:val="100"/>
                <w:sz w:val="21"/>
                <w:szCs w:val="21"/>
              </w:rPr>
              <w:t> </w:t>
            </w:r>
            <w:r>
              <w:rPr>
                <w:rFonts w:ascii="宋体" w:hAnsi="宋体" w:cs="宋体" w:eastAsia="宋体" w:hint="default"/>
                <w:sz w:val="21"/>
                <w:szCs w:val="21"/>
              </w:rPr>
              <w:t>期内</w:t>
            </w:r>
            <w:r>
              <w:rPr>
                <w:rFonts w:ascii="宋体" w:hAnsi="宋体" w:cs="宋体" w:eastAsia="宋体" w:hint="default"/>
                <w:sz w:val="21"/>
                <w:szCs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36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w w:val="100"/>
                <w:sz w:val="21"/>
              </w:rPr>
              <w:t> </w:t>
            </w:r>
          </w:p>
        </w:tc>
      </w:tr>
      <w:tr>
        <w:trPr>
          <w:trHeight w:val="946" w:hRule="exact"/>
        </w:trPr>
        <w:tc>
          <w:tcPr>
            <w:tcW w:w="734" w:type="dxa"/>
            <w:vMerge/>
            <w:tcBorders>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1"/>
              <w:jc w:val="right"/>
              <w:rPr>
                <w:rFonts w:ascii="宋体" w:hAnsi="宋体" w:cs="宋体" w:eastAsia="宋体" w:hint="default"/>
                <w:sz w:val="21"/>
                <w:szCs w:val="21"/>
              </w:rPr>
            </w:pPr>
            <w:r>
              <w:rPr>
                <w:rFonts w:ascii="宋体" w:hAnsi="宋体" w:cs="宋体" w:eastAsia="宋体" w:hint="default"/>
                <w:sz w:val="21"/>
                <w:szCs w:val="21"/>
              </w:rPr>
              <w:t>其他</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21" w:right="108" w:hanging="212"/>
              <w:jc w:val="left"/>
              <w:rPr>
                <w:rFonts w:ascii="宋体" w:hAnsi="宋体" w:cs="宋体" w:eastAsia="宋体" w:hint="default"/>
                <w:sz w:val="21"/>
                <w:szCs w:val="21"/>
              </w:rPr>
            </w:pPr>
            <w:r>
              <w:rPr>
                <w:rFonts w:ascii="宋体" w:hAnsi="宋体" w:cs="宋体" w:eastAsia="宋体" w:hint="default"/>
                <w:sz w:val="21"/>
                <w:szCs w:val="21"/>
              </w:rPr>
              <w:t>凯信金</w:t>
            </w:r>
            <w:r>
              <w:rPr>
                <w:rFonts w:ascii="宋体" w:hAnsi="宋体" w:cs="宋体" w:eastAsia="宋体" w:hint="default"/>
                <w:spacing w:val="-102"/>
                <w:sz w:val="21"/>
                <w:szCs w:val="21"/>
              </w:rPr>
              <w:t> </w:t>
            </w:r>
            <w:r>
              <w:rPr>
                <w:rFonts w:ascii="宋体" w:hAnsi="宋体" w:cs="宋体" w:eastAsia="宋体" w:hint="default"/>
                <w:sz w:val="21"/>
                <w:szCs w:val="21"/>
              </w:rPr>
              <w:t>鹏</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46"/>
              <w:jc w:val="both"/>
              <w:rPr>
                <w:rFonts w:ascii="宋体" w:hAnsi="宋体" w:cs="宋体" w:eastAsia="宋体" w:hint="default"/>
                <w:sz w:val="21"/>
                <w:szCs w:val="21"/>
              </w:rPr>
            </w:pPr>
            <w:r>
              <w:rPr>
                <w:rFonts w:ascii="宋体" w:hAnsi="宋体" w:cs="宋体" w:eastAsia="宋体" w:hint="default"/>
                <w:spacing w:val="2"/>
                <w:sz w:val="21"/>
                <w:szCs w:val="21"/>
              </w:rPr>
              <w:t>本合伙企业在减持所持有的公司股份前，应提前三个交易日予以公</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告，并在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个月内完成，并按照上海证券交易所的规则及时、准确、</w:t>
            </w:r>
            <w:r>
              <w:rPr>
                <w:rFonts w:ascii="宋体" w:hAnsi="宋体" w:cs="宋体" w:eastAsia="宋体" w:hint="default"/>
                <w:w w:val="100"/>
                <w:sz w:val="21"/>
                <w:szCs w:val="21"/>
              </w:rPr>
              <w:t> </w:t>
            </w:r>
            <w:r>
              <w:rPr>
                <w:rFonts w:ascii="宋体" w:hAnsi="宋体" w:cs="宋体" w:eastAsia="宋体" w:hint="default"/>
                <w:sz w:val="21"/>
                <w:szCs w:val="21"/>
              </w:rPr>
              <w:t>完整地履行信息披露义务。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477" w:right="161" w:hanging="315"/>
              <w:jc w:val="left"/>
              <w:rPr>
                <w:rFonts w:ascii="宋体" w:hAnsi="宋体" w:cs="宋体" w:eastAsia="宋体" w:hint="default"/>
                <w:sz w:val="21"/>
                <w:szCs w:val="21"/>
              </w:rPr>
            </w:pPr>
            <w:r>
              <w:rPr>
                <w:rFonts w:ascii="宋体" w:hAnsi="宋体" w:cs="宋体" w:eastAsia="宋体" w:hint="default"/>
                <w:sz w:val="21"/>
                <w:szCs w:val="21"/>
              </w:rPr>
              <w:t>减持完毕</w:t>
            </w:r>
            <w:r>
              <w:rPr>
                <w:rFonts w:ascii="宋体" w:hAnsi="宋体" w:cs="宋体" w:eastAsia="宋体" w:hint="default"/>
                <w:w w:val="100"/>
                <w:sz w:val="21"/>
                <w:szCs w:val="21"/>
              </w:rPr>
              <w:t> </w:t>
            </w:r>
            <w:r>
              <w:rPr>
                <w:rFonts w:ascii="宋体" w:hAnsi="宋体" w:cs="宋体" w:eastAsia="宋体" w:hint="default"/>
                <w:sz w:val="21"/>
                <w:szCs w:val="21"/>
              </w:rPr>
              <w:t>前</w:t>
            </w:r>
            <w:r>
              <w:rPr>
                <w:rFonts w:ascii="宋体" w:hAnsi="宋体" w:cs="宋体" w:eastAsia="宋体" w:hint="default"/>
                <w:sz w:val="21"/>
                <w:szCs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6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r>
      <w:tr>
        <w:trPr>
          <w:trHeight w:val="4379" w:hRule="exact"/>
        </w:trPr>
        <w:tc>
          <w:tcPr>
            <w:tcW w:w="7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3"/>
              <w:ind w:left="151" w:right="149"/>
              <w:jc w:val="both"/>
              <w:rPr>
                <w:rFonts w:ascii="宋体" w:hAnsi="宋体" w:cs="宋体" w:eastAsia="宋体" w:hint="default"/>
                <w:sz w:val="21"/>
                <w:szCs w:val="21"/>
              </w:rPr>
            </w:pPr>
            <w:r>
              <w:rPr>
                <w:rFonts w:ascii="宋体" w:hAnsi="宋体" w:cs="宋体" w:eastAsia="宋体" w:hint="default"/>
                <w:sz w:val="21"/>
                <w:szCs w:val="21"/>
              </w:rPr>
              <w:t>与再</w:t>
            </w:r>
            <w:r>
              <w:rPr>
                <w:rFonts w:ascii="宋体" w:hAnsi="宋体" w:cs="宋体" w:eastAsia="宋体" w:hint="default"/>
                <w:spacing w:val="-103"/>
                <w:sz w:val="21"/>
                <w:szCs w:val="21"/>
              </w:rPr>
              <w:t> </w:t>
            </w:r>
            <w:r>
              <w:rPr>
                <w:rFonts w:ascii="宋体" w:hAnsi="宋体" w:cs="宋体" w:eastAsia="宋体" w:hint="default"/>
                <w:sz w:val="21"/>
                <w:szCs w:val="21"/>
              </w:rPr>
              <w:t>融资</w:t>
            </w:r>
            <w:r>
              <w:rPr>
                <w:rFonts w:ascii="宋体" w:hAnsi="宋体" w:cs="宋体" w:eastAsia="宋体" w:hint="default"/>
                <w:spacing w:val="-103"/>
                <w:sz w:val="21"/>
                <w:szCs w:val="21"/>
              </w:rPr>
              <w:t> </w:t>
            </w:r>
            <w:r>
              <w:rPr>
                <w:rFonts w:ascii="宋体" w:hAnsi="宋体" w:cs="宋体" w:eastAsia="宋体" w:hint="default"/>
                <w:sz w:val="21"/>
                <w:szCs w:val="21"/>
              </w:rPr>
              <w:t>相关</w:t>
            </w:r>
            <w:r>
              <w:rPr>
                <w:rFonts w:ascii="宋体" w:hAnsi="宋体" w:cs="宋体" w:eastAsia="宋体" w:hint="default"/>
                <w:spacing w:val="-103"/>
                <w:sz w:val="21"/>
                <w:szCs w:val="21"/>
              </w:rPr>
              <w:t> </w:t>
            </w:r>
            <w:r>
              <w:rPr>
                <w:rFonts w:ascii="宋体" w:hAnsi="宋体" w:cs="宋体" w:eastAsia="宋体" w:hint="default"/>
                <w:sz w:val="21"/>
                <w:szCs w:val="21"/>
              </w:rPr>
              <w:t>的承</w:t>
            </w:r>
            <w:r>
              <w:rPr>
                <w:rFonts w:ascii="宋体" w:hAnsi="宋体" w:cs="宋体" w:eastAsia="宋体" w:hint="default"/>
                <w:spacing w:val="-103"/>
                <w:sz w:val="21"/>
                <w:szCs w:val="21"/>
              </w:rPr>
              <w:t> </w:t>
            </w:r>
            <w:r>
              <w:rPr>
                <w:rFonts w:ascii="宋体" w:hAnsi="宋体" w:cs="宋体" w:eastAsia="宋体" w:hint="default"/>
                <w:sz w:val="21"/>
                <w:szCs w:val="21"/>
              </w:rPr>
              <w:t>诺</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141"/>
              <w:jc w:val="right"/>
              <w:rPr>
                <w:rFonts w:ascii="宋体" w:hAnsi="宋体" w:cs="宋体" w:eastAsia="宋体" w:hint="default"/>
                <w:sz w:val="21"/>
                <w:szCs w:val="21"/>
              </w:rPr>
            </w:pPr>
            <w:r>
              <w:rPr>
                <w:rFonts w:ascii="宋体" w:hAnsi="宋体" w:cs="宋体" w:eastAsia="宋体" w:hint="default"/>
                <w:sz w:val="21"/>
                <w:szCs w:val="21"/>
              </w:rPr>
              <w:t>其他</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8"/>
              <w:ind w:left="110" w:right="108"/>
              <w:jc w:val="both"/>
              <w:rPr>
                <w:rFonts w:ascii="宋体" w:hAnsi="宋体" w:cs="宋体" w:eastAsia="宋体" w:hint="default"/>
                <w:sz w:val="21"/>
                <w:szCs w:val="21"/>
              </w:rPr>
            </w:pPr>
            <w:r>
              <w:rPr>
                <w:rFonts w:ascii="宋体" w:hAnsi="宋体" w:cs="宋体" w:eastAsia="宋体" w:hint="default"/>
                <w:sz w:val="21"/>
                <w:szCs w:val="21"/>
              </w:rPr>
              <w:t>全体董</w:t>
            </w:r>
            <w:r>
              <w:rPr>
                <w:rFonts w:ascii="宋体" w:hAnsi="宋体" w:cs="宋体" w:eastAsia="宋体" w:hint="default"/>
                <w:spacing w:val="-102"/>
                <w:sz w:val="21"/>
                <w:szCs w:val="21"/>
              </w:rPr>
              <w:t> </w:t>
            </w:r>
            <w:r>
              <w:rPr>
                <w:rFonts w:ascii="宋体" w:hAnsi="宋体" w:cs="宋体" w:eastAsia="宋体" w:hint="default"/>
                <w:sz w:val="21"/>
                <w:szCs w:val="21"/>
              </w:rPr>
              <w:t>事、高</w:t>
            </w:r>
            <w:r>
              <w:rPr>
                <w:rFonts w:ascii="宋体" w:hAnsi="宋体" w:cs="宋体" w:eastAsia="宋体" w:hint="default"/>
                <w:spacing w:val="-102"/>
                <w:sz w:val="21"/>
                <w:szCs w:val="21"/>
              </w:rPr>
              <w:t> </w:t>
            </w:r>
            <w:r>
              <w:rPr>
                <w:rFonts w:ascii="宋体" w:hAnsi="宋体" w:cs="宋体" w:eastAsia="宋体" w:hint="default"/>
                <w:sz w:val="21"/>
                <w:szCs w:val="21"/>
              </w:rPr>
              <w:t>级管理</w:t>
            </w:r>
            <w:r>
              <w:rPr>
                <w:rFonts w:ascii="宋体" w:hAnsi="宋体" w:cs="宋体" w:eastAsia="宋体" w:hint="default"/>
                <w:spacing w:val="-102"/>
                <w:sz w:val="21"/>
                <w:szCs w:val="21"/>
              </w:rPr>
              <w:t> </w:t>
            </w:r>
            <w:r>
              <w:rPr>
                <w:rFonts w:ascii="宋体" w:hAnsi="宋体" w:cs="宋体" w:eastAsia="宋体" w:hint="default"/>
                <w:sz w:val="21"/>
                <w:szCs w:val="21"/>
              </w:rPr>
              <w:t>人员</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7"/>
              <w:jc w:val="both"/>
              <w:rPr>
                <w:rFonts w:ascii="宋体" w:hAnsi="宋体" w:cs="宋体" w:eastAsia="宋体" w:hint="default"/>
                <w:sz w:val="21"/>
                <w:szCs w:val="21"/>
              </w:rPr>
            </w:pPr>
            <w:r>
              <w:rPr>
                <w:rFonts w:ascii="宋体" w:hAnsi="宋体" w:cs="宋体" w:eastAsia="宋体" w:hint="default"/>
                <w:spacing w:val="-4"/>
                <w:sz w:val="21"/>
                <w:szCs w:val="21"/>
              </w:rPr>
              <w:t>全体董事、高级管理人员对公司公开发行可转换公司债券摊薄即期回</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报采取填补措施作出以下承诺：</w:t>
            </w:r>
            <w:r>
              <w:rPr>
                <w:rFonts w:ascii="Times New Roman" w:hAnsi="Times New Roman" w:cs="Times New Roman" w:eastAsia="Times New Roman" w:hint="default"/>
                <w:sz w:val="21"/>
                <w:szCs w:val="21"/>
              </w:rPr>
              <w:t>1</w:t>
            </w:r>
            <w:r>
              <w:rPr>
                <w:rFonts w:ascii="宋体" w:hAnsi="宋体" w:cs="宋体" w:eastAsia="宋体" w:hint="default"/>
                <w:sz w:val="21"/>
                <w:szCs w:val="21"/>
              </w:rPr>
              <w:t>、不无偿或以不公平条件向其他单</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位或者个人输送利益，也不采用其他方</w:t>
            </w:r>
            <w:r>
              <w:rPr>
                <w:rFonts w:ascii="宋体" w:hAnsi="宋体" w:cs="宋体" w:eastAsia="宋体" w:hint="default"/>
                <w:spacing w:val="43"/>
                <w:sz w:val="21"/>
                <w:szCs w:val="21"/>
              </w:rPr>
              <w:t> </w:t>
            </w:r>
            <w:r>
              <w:rPr>
                <w:rFonts w:ascii="宋体" w:hAnsi="宋体" w:cs="宋体" w:eastAsia="宋体" w:hint="default"/>
                <w:spacing w:val="-5"/>
                <w:sz w:val="21"/>
                <w:szCs w:val="21"/>
              </w:rPr>
              <w:t>式损害公司利益；</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、对本人</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的职务消费行为进行约束；</w:t>
            </w:r>
            <w:r>
              <w:rPr>
                <w:rFonts w:ascii="Times New Roman" w:hAnsi="Times New Roman" w:cs="Times New Roman" w:eastAsia="Times New Roman" w:hint="default"/>
                <w:sz w:val="21"/>
                <w:szCs w:val="21"/>
              </w:rPr>
              <w:t>3</w:t>
            </w:r>
            <w:r>
              <w:rPr>
                <w:rFonts w:ascii="宋体" w:hAnsi="宋体" w:cs="宋体" w:eastAsia="宋体" w:hint="default"/>
                <w:sz w:val="21"/>
                <w:szCs w:val="21"/>
              </w:rPr>
              <w:t>、不动用公司资产从事与本人履行职责</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无关的投资、消费活动；</w:t>
            </w:r>
            <w:r>
              <w:rPr>
                <w:rFonts w:ascii="Times New Roman" w:hAnsi="Times New Roman" w:cs="Times New Roman" w:eastAsia="Times New Roman" w:hint="default"/>
                <w:sz w:val="21"/>
                <w:szCs w:val="21"/>
              </w:rPr>
              <w:t>4</w:t>
            </w:r>
            <w:r>
              <w:rPr>
                <w:rFonts w:ascii="宋体" w:hAnsi="宋体" w:cs="宋体" w:eastAsia="宋体" w:hint="default"/>
                <w:sz w:val="21"/>
                <w:szCs w:val="21"/>
              </w:rPr>
              <w:t>、由董事会或薪酬考核委员会制定的薪酬</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制度与公司填补回报措施的执行情况相挂钩；</w:t>
            </w:r>
            <w:r>
              <w:rPr>
                <w:rFonts w:ascii="Times New Roman" w:hAnsi="Times New Roman" w:cs="Times New Roman" w:eastAsia="Times New Roman" w:hint="default"/>
                <w:sz w:val="21"/>
                <w:szCs w:val="21"/>
              </w:rPr>
              <w:t>5</w:t>
            </w:r>
            <w:r>
              <w:rPr>
                <w:rFonts w:ascii="宋体" w:hAnsi="宋体" w:cs="宋体" w:eastAsia="宋体" w:hint="default"/>
                <w:sz w:val="21"/>
                <w:szCs w:val="21"/>
              </w:rPr>
              <w:t>、未来公司如实施股</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4"/>
                <w:sz w:val="21"/>
                <w:szCs w:val="21"/>
              </w:rPr>
              <w:t>权激励，则拟公布的公司股权激励的行权条件与公司填补回报措施的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执行情况相挂钩；</w:t>
            </w:r>
            <w:r>
              <w:rPr>
                <w:rFonts w:ascii="Times New Roman" w:hAnsi="Times New Roman" w:cs="Times New Roman" w:eastAsia="Times New Roman" w:hint="default"/>
                <w:sz w:val="21"/>
                <w:szCs w:val="21"/>
              </w:rPr>
              <w:t>6</w:t>
            </w:r>
            <w:r>
              <w:rPr>
                <w:rFonts w:ascii="宋体" w:hAnsi="宋体" w:cs="宋体" w:eastAsia="宋体" w:hint="default"/>
                <w:sz w:val="21"/>
                <w:szCs w:val="21"/>
              </w:rPr>
              <w:t>、自本承诺出具日至公司本次公开发行可转债实</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sz w:val="21"/>
                <w:szCs w:val="21"/>
              </w:rPr>
              <w:t>施完毕前，若中国证监会作出关于填补回报措施及其承诺的其他新的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监管规定，且上述承诺不能满足中国证监会该等规定时，本人承诺届</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时将按照中国证监会的最新规定出具补充承诺；</w:t>
            </w:r>
            <w:r>
              <w:rPr>
                <w:rFonts w:ascii="Times New Roman" w:hAnsi="Times New Roman" w:cs="Times New Roman" w:eastAsia="Times New Roman" w:hint="default"/>
                <w:sz w:val="21"/>
                <w:szCs w:val="21"/>
              </w:rPr>
              <w:t>7</w:t>
            </w:r>
            <w:r>
              <w:rPr>
                <w:rFonts w:ascii="宋体" w:hAnsi="宋体" w:cs="宋体" w:eastAsia="宋体" w:hint="default"/>
                <w:sz w:val="21"/>
                <w:szCs w:val="21"/>
              </w:rPr>
              <w:t>、本人承诺切实履</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行公司制定的有关填补回报措施以及对此作出的任何有关填补回报</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4"/>
                <w:sz w:val="21"/>
                <w:szCs w:val="21"/>
              </w:rPr>
              <w:t>措施的承诺，若违反该等承诺并给公司或者投资者造成损失的，本人</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愿意依法承担对公司或者投资者的补偿责任。</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3" w:lineRule="auto"/>
              <w:ind w:left="163" w:right="59"/>
              <w:jc w:val="both"/>
              <w:rPr>
                <w:rFonts w:ascii="宋体" w:hAnsi="宋体" w:cs="宋体" w:eastAsia="宋体" w:hint="default"/>
                <w:sz w:val="21"/>
                <w:szCs w:val="21"/>
              </w:rPr>
            </w:pPr>
            <w:r>
              <w:rPr>
                <w:rFonts w:ascii="宋体" w:hAnsi="宋体" w:cs="宋体" w:eastAsia="宋体" w:hint="default"/>
                <w:sz w:val="21"/>
                <w:szCs w:val="21"/>
              </w:rPr>
              <w:t>公开发行</w:t>
            </w:r>
            <w:r>
              <w:rPr>
                <w:rFonts w:ascii="宋体" w:hAnsi="宋体" w:cs="宋体" w:eastAsia="宋体" w:hint="default"/>
                <w:w w:val="100"/>
                <w:sz w:val="21"/>
                <w:szCs w:val="21"/>
              </w:rPr>
              <w:t> </w:t>
            </w:r>
            <w:r>
              <w:rPr>
                <w:rFonts w:ascii="宋体" w:hAnsi="宋体" w:cs="宋体" w:eastAsia="宋体" w:hint="default"/>
                <w:sz w:val="21"/>
                <w:szCs w:val="21"/>
              </w:rPr>
              <w:t>可转债实</w:t>
            </w:r>
            <w:r>
              <w:rPr>
                <w:rFonts w:ascii="宋体" w:hAnsi="宋体" w:cs="宋体" w:eastAsia="宋体" w:hint="default"/>
                <w:w w:val="100"/>
                <w:sz w:val="21"/>
                <w:szCs w:val="21"/>
              </w:rPr>
              <w:t> </w:t>
            </w:r>
            <w:r>
              <w:rPr>
                <w:rFonts w:ascii="宋体" w:hAnsi="宋体" w:cs="宋体" w:eastAsia="宋体" w:hint="default"/>
                <w:sz w:val="21"/>
                <w:szCs w:val="21"/>
              </w:rPr>
              <w:t>施完毕前</w:t>
            </w:r>
            <w:r>
              <w:rPr>
                <w:rFonts w:ascii="宋体" w:hAnsi="宋体" w:cs="宋体" w:eastAsia="宋体" w:hint="default"/>
                <w:sz w:val="21"/>
                <w:szCs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r>
      <w:tr>
        <w:trPr>
          <w:trHeight w:val="324" w:hRule="exact"/>
        </w:trPr>
        <w:tc>
          <w:tcPr>
            <w:tcW w:w="734" w:type="dxa"/>
            <w:vMerge/>
            <w:tcBorders>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41"/>
              <w:jc w:val="right"/>
              <w:rPr>
                <w:rFonts w:ascii="宋体" w:hAnsi="宋体" w:cs="宋体" w:eastAsia="宋体" w:hint="default"/>
                <w:sz w:val="21"/>
                <w:szCs w:val="21"/>
              </w:rPr>
            </w:pPr>
            <w:r>
              <w:rPr>
                <w:rFonts w:ascii="宋体" w:hAnsi="宋体" w:cs="宋体" w:eastAsia="宋体" w:hint="default"/>
                <w:sz w:val="21"/>
                <w:szCs w:val="21"/>
              </w:rPr>
              <w:t>其他</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8"/>
              <w:jc w:val="right"/>
              <w:rPr>
                <w:rFonts w:ascii="宋体" w:hAnsi="宋体" w:cs="宋体" w:eastAsia="宋体" w:hint="default"/>
                <w:sz w:val="21"/>
                <w:szCs w:val="21"/>
              </w:rPr>
            </w:pPr>
            <w:r>
              <w:rPr>
                <w:rFonts w:ascii="宋体" w:hAnsi="宋体" w:cs="宋体" w:eastAsia="宋体" w:hint="default"/>
                <w:sz w:val="21"/>
                <w:szCs w:val="21"/>
              </w:rPr>
              <w:t>吴志雄</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本人对公司公开发行可转换公司债券摊薄即期回报采取填补措施作</w:t>
            </w:r>
            <w:r>
              <w:rPr>
                <w:rFonts w:ascii="宋体" w:hAnsi="宋体" w:cs="宋体" w:eastAsia="宋体" w:hint="default"/>
                <w:sz w:val="21"/>
                <w:szCs w:val="21"/>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3" w:right="0"/>
              <w:jc w:val="left"/>
              <w:rPr>
                <w:rFonts w:ascii="宋体" w:hAnsi="宋体" w:cs="宋体" w:eastAsia="宋体" w:hint="default"/>
                <w:sz w:val="21"/>
                <w:szCs w:val="21"/>
              </w:rPr>
            </w:pPr>
            <w:r>
              <w:rPr>
                <w:rFonts w:ascii="宋体" w:hAnsi="宋体" w:cs="宋体" w:eastAsia="宋体" w:hint="default"/>
                <w:sz w:val="21"/>
                <w:szCs w:val="21"/>
              </w:rPr>
              <w:t>公开发行</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w w:val="100"/>
                <w:sz w:val="21"/>
              </w:rPr>
              <w:t> </w:t>
            </w:r>
          </w:p>
        </w:tc>
      </w:tr>
    </w:tbl>
    <w:p>
      <w:pPr>
        <w:spacing w:after="0" w:line="265" w:lineRule="exact"/>
        <w:jc w:val="left"/>
        <w:rPr>
          <w:rFonts w:ascii="宋体" w:hAnsi="宋体" w:cs="宋体" w:eastAsia="宋体" w:hint="default"/>
          <w:sz w:val="21"/>
          <w:szCs w:val="21"/>
        </w:rPr>
        <w:sectPr>
          <w:pgSz w:w="16840" w:h="11910" w:orient="landscape"/>
          <w:pgMar w:header="855" w:footer="980" w:top="1120" w:bottom="1160" w:left="540" w:right="6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734"/>
        <w:gridCol w:w="718"/>
        <w:gridCol w:w="864"/>
        <w:gridCol w:w="6467"/>
        <w:gridCol w:w="1178"/>
        <w:gridCol w:w="1154"/>
        <w:gridCol w:w="1155"/>
        <w:gridCol w:w="1728"/>
        <w:gridCol w:w="1431"/>
      </w:tblGrid>
      <w:tr>
        <w:trPr>
          <w:trHeight w:val="1570" w:hRule="exact"/>
        </w:trPr>
        <w:tc>
          <w:tcPr>
            <w:tcW w:w="73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5"/>
              <w:jc w:val="left"/>
              <w:rPr>
                <w:rFonts w:ascii="宋体" w:hAnsi="宋体" w:cs="宋体" w:eastAsia="宋体" w:hint="default"/>
                <w:sz w:val="21"/>
                <w:szCs w:val="21"/>
              </w:rPr>
            </w:pPr>
            <w:r>
              <w:rPr>
                <w:rFonts w:ascii="宋体" w:hAnsi="宋体" w:cs="宋体" w:eastAsia="宋体" w:hint="default"/>
                <w:spacing w:val="-7"/>
                <w:sz w:val="21"/>
                <w:szCs w:val="21"/>
              </w:rPr>
              <w:t>出以下承诺：</w:t>
            </w: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、不越权干预公司经营管理活动；</w:t>
            </w: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、不侵占公司利益；</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Times New Roman" w:hAnsi="Times New Roman" w:cs="Times New Roman" w:eastAsia="Times New Roman" w:hint="default"/>
                <w:sz w:val="21"/>
                <w:szCs w:val="21"/>
              </w:rPr>
              <w:t>3</w:t>
            </w:r>
            <w:r>
              <w:rPr>
                <w:rFonts w:ascii="宋体" w:hAnsi="宋体" w:cs="宋体" w:eastAsia="宋体" w:hint="default"/>
                <w:sz w:val="21"/>
                <w:szCs w:val="21"/>
              </w:rPr>
              <w:t>、自承诺出具日至公司本次公开发行可转换公司债券实施完毕前，</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2"/>
                <w:sz w:val="21"/>
                <w:szCs w:val="21"/>
              </w:rPr>
              <w:t>若中国证监会作出关于填补回报措施及其承诺的其他新的监管规定</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的，且上述承诺不能 满足中国证监会该等规定时，本人承诺届时将</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按照中国证监会的最新规定出具补充承诺。</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3" w:right="59"/>
              <w:jc w:val="left"/>
              <w:rPr>
                <w:rFonts w:ascii="宋体" w:hAnsi="宋体" w:cs="宋体" w:eastAsia="宋体" w:hint="default"/>
                <w:sz w:val="21"/>
                <w:szCs w:val="21"/>
              </w:rPr>
            </w:pPr>
            <w:r>
              <w:rPr>
                <w:rFonts w:ascii="宋体" w:hAnsi="宋体" w:cs="宋体" w:eastAsia="宋体" w:hint="default"/>
                <w:sz w:val="21"/>
                <w:szCs w:val="21"/>
              </w:rPr>
              <w:t>可转债实</w:t>
            </w:r>
            <w:r>
              <w:rPr>
                <w:rFonts w:ascii="宋体" w:hAnsi="宋体" w:cs="宋体" w:eastAsia="宋体" w:hint="default"/>
                <w:w w:val="100"/>
                <w:sz w:val="21"/>
                <w:szCs w:val="21"/>
              </w:rPr>
              <w:t> </w:t>
            </w:r>
            <w:r>
              <w:rPr>
                <w:rFonts w:ascii="宋体" w:hAnsi="宋体" w:cs="宋体" w:eastAsia="宋体" w:hint="default"/>
                <w:sz w:val="21"/>
                <w:szCs w:val="21"/>
              </w:rPr>
              <w:t>施完毕前</w:t>
            </w:r>
            <w:r>
              <w:rPr>
                <w:rFonts w:ascii="宋体" w:hAnsi="宋体" w:cs="宋体" w:eastAsia="宋体" w:hint="default"/>
                <w:sz w:val="21"/>
                <w:szCs w:val="21"/>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1" w:right="149"/>
              <w:jc w:val="both"/>
              <w:rPr>
                <w:rFonts w:ascii="宋体" w:hAnsi="宋体" w:cs="宋体" w:eastAsia="宋体" w:hint="default"/>
                <w:sz w:val="21"/>
                <w:szCs w:val="21"/>
              </w:rPr>
            </w:pPr>
            <w:r>
              <w:rPr>
                <w:rFonts w:ascii="宋体" w:hAnsi="宋体" w:cs="宋体" w:eastAsia="宋体" w:hint="default"/>
                <w:sz w:val="21"/>
                <w:szCs w:val="21"/>
              </w:rPr>
              <w:t>与股</w:t>
            </w:r>
            <w:r>
              <w:rPr>
                <w:rFonts w:ascii="宋体" w:hAnsi="宋体" w:cs="宋体" w:eastAsia="宋体" w:hint="default"/>
                <w:spacing w:val="-103"/>
                <w:sz w:val="21"/>
                <w:szCs w:val="21"/>
              </w:rPr>
              <w:t> </w:t>
            </w:r>
            <w:r>
              <w:rPr>
                <w:rFonts w:ascii="宋体" w:hAnsi="宋体" w:cs="宋体" w:eastAsia="宋体" w:hint="default"/>
                <w:sz w:val="21"/>
                <w:szCs w:val="21"/>
              </w:rPr>
              <w:t>权激</w:t>
            </w:r>
            <w:r>
              <w:rPr>
                <w:rFonts w:ascii="宋体" w:hAnsi="宋体" w:cs="宋体" w:eastAsia="宋体" w:hint="default"/>
                <w:spacing w:val="-103"/>
                <w:sz w:val="21"/>
                <w:szCs w:val="21"/>
              </w:rPr>
              <w:t> </w:t>
            </w:r>
            <w:r>
              <w:rPr>
                <w:rFonts w:ascii="宋体" w:hAnsi="宋体" w:cs="宋体" w:eastAsia="宋体" w:hint="default"/>
                <w:sz w:val="21"/>
                <w:szCs w:val="21"/>
              </w:rPr>
              <w:t>励相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1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73" w:lineRule="auto"/>
              <w:ind w:left="321" w:right="108" w:hanging="212"/>
              <w:jc w:val="left"/>
              <w:rPr>
                <w:rFonts w:ascii="宋体" w:hAnsi="宋体" w:cs="宋体" w:eastAsia="宋体" w:hint="default"/>
                <w:sz w:val="21"/>
                <w:szCs w:val="21"/>
              </w:rPr>
            </w:pPr>
            <w:r>
              <w:rPr>
                <w:rFonts w:ascii="宋体" w:hAnsi="宋体" w:cs="宋体" w:eastAsia="宋体" w:hint="default"/>
                <w:sz w:val="21"/>
                <w:szCs w:val="21"/>
              </w:rPr>
              <w:t>南威软</w:t>
            </w:r>
            <w:r>
              <w:rPr>
                <w:rFonts w:ascii="宋体" w:hAnsi="宋体" w:cs="宋体" w:eastAsia="宋体" w:hint="default"/>
                <w:spacing w:val="-102"/>
                <w:sz w:val="21"/>
                <w:szCs w:val="21"/>
              </w:rPr>
              <w:t> </w:t>
            </w:r>
            <w:r>
              <w:rPr>
                <w:rFonts w:ascii="宋体" w:hAnsi="宋体" w:cs="宋体" w:eastAsia="宋体" w:hint="default"/>
                <w:sz w:val="21"/>
                <w:szCs w:val="21"/>
              </w:rPr>
              <w:t>件</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4"/>
                <w:sz w:val="21"/>
                <w:szCs w:val="21"/>
              </w:rPr>
              <w:t>已核实并保证本次回购注销限制性股票涉及的对象、股份数量、注销</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日期等信息真实、准确、完整，已充分告知相关激励对象本次回购注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销事宜，且相关激励对象未就回购注销事宜表示异议。如因本次回购</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注销与有关激励对象产生纠纷，公司将自行承担由此产生的相关法律</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责任。</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p>
            <w:pPr>
              <w:pStyle w:val="TableParagraph"/>
              <w:spacing w:line="240" w:lineRule="auto" w:before="2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p>
            <w:pPr>
              <w:pStyle w:val="TableParagraph"/>
              <w:spacing w:line="240" w:lineRule="auto" w:before="2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起至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p>
          <w:p>
            <w:pPr>
              <w:pStyle w:val="TableParagraph"/>
              <w:spacing w:line="240" w:lineRule="auto" w:before="2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pacing w:val="-3"/>
                <w:sz w:val="21"/>
                <w:szCs w:val="21"/>
              </w:rPr>
              <w:t>27</w:t>
            </w:r>
            <w:r>
              <w:rPr>
                <w:rFonts w:ascii="Times New Roman" w:hAnsi="Times New Roman" w:cs="Times New Roman" w:eastAsia="Times New Roman" w:hint="default"/>
                <w:sz w:val="21"/>
                <w:szCs w:val="21"/>
              </w:rPr>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r>
      <w:tr>
        <w:trPr>
          <w:trHeight w:val="157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51" w:right="149"/>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43" w:right="141"/>
              <w:jc w:val="both"/>
              <w:rPr>
                <w:rFonts w:ascii="宋体" w:hAnsi="宋体" w:cs="宋体" w:eastAsia="宋体" w:hint="default"/>
                <w:sz w:val="21"/>
                <w:szCs w:val="21"/>
              </w:rPr>
            </w:pPr>
            <w:r>
              <w:rPr>
                <w:rFonts w:ascii="宋体" w:hAnsi="宋体" w:cs="宋体" w:eastAsia="宋体" w:hint="default"/>
                <w:sz w:val="21"/>
                <w:szCs w:val="21"/>
              </w:rPr>
              <w:t>盈利</w:t>
            </w:r>
            <w:r>
              <w:rPr>
                <w:rFonts w:ascii="宋体" w:hAnsi="宋体" w:cs="宋体" w:eastAsia="宋体" w:hint="default"/>
                <w:spacing w:val="-103"/>
                <w:sz w:val="21"/>
                <w:szCs w:val="21"/>
              </w:rPr>
              <w:t> </w:t>
            </w:r>
            <w:r>
              <w:rPr>
                <w:rFonts w:ascii="宋体" w:hAnsi="宋体" w:cs="宋体" w:eastAsia="宋体" w:hint="default"/>
                <w:sz w:val="21"/>
                <w:szCs w:val="21"/>
              </w:rPr>
              <w:t>预测</w:t>
            </w:r>
            <w:r>
              <w:rPr>
                <w:rFonts w:ascii="宋体" w:hAnsi="宋体" w:cs="宋体" w:eastAsia="宋体" w:hint="default"/>
                <w:spacing w:val="-103"/>
                <w:sz w:val="21"/>
                <w:szCs w:val="21"/>
              </w:rPr>
              <w:t> </w:t>
            </w:r>
            <w:r>
              <w:rPr>
                <w:rFonts w:ascii="宋体" w:hAnsi="宋体" w:cs="宋体" w:eastAsia="宋体" w:hint="default"/>
                <w:sz w:val="21"/>
                <w:szCs w:val="21"/>
              </w:rPr>
              <w:t>及补</w:t>
            </w:r>
            <w:r>
              <w:rPr>
                <w:rFonts w:ascii="宋体" w:hAnsi="宋体" w:cs="宋体" w:eastAsia="宋体" w:hint="default"/>
                <w:spacing w:val="-103"/>
                <w:sz w:val="21"/>
                <w:szCs w:val="21"/>
              </w:rPr>
              <w:t> </w:t>
            </w:r>
            <w:r>
              <w:rPr>
                <w:rFonts w:ascii="宋体" w:hAnsi="宋体" w:cs="宋体" w:eastAsia="宋体" w:hint="default"/>
                <w:sz w:val="21"/>
                <w:szCs w:val="21"/>
              </w:rPr>
              <w:t>偿</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321" w:right="108" w:hanging="212"/>
              <w:jc w:val="left"/>
              <w:rPr>
                <w:rFonts w:ascii="宋体" w:hAnsi="宋体" w:cs="宋体" w:eastAsia="宋体" w:hint="default"/>
                <w:sz w:val="21"/>
                <w:szCs w:val="21"/>
              </w:rPr>
            </w:pPr>
            <w:r>
              <w:rPr>
                <w:rFonts w:ascii="宋体" w:hAnsi="宋体" w:cs="宋体" w:eastAsia="宋体" w:hint="default"/>
                <w:sz w:val="21"/>
                <w:szCs w:val="21"/>
              </w:rPr>
              <w:t>福建南</w:t>
            </w:r>
            <w:r>
              <w:rPr>
                <w:rFonts w:ascii="宋体" w:hAnsi="宋体" w:cs="宋体" w:eastAsia="宋体" w:hint="default"/>
                <w:spacing w:val="-102"/>
                <w:sz w:val="21"/>
                <w:szCs w:val="21"/>
              </w:rPr>
              <w:t> </w:t>
            </w:r>
            <w:r>
              <w:rPr>
                <w:rFonts w:ascii="宋体" w:hAnsi="宋体" w:cs="宋体" w:eastAsia="宋体" w:hint="default"/>
                <w:sz w:val="21"/>
                <w:szCs w:val="21"/>
              </w:rPr>
              <w:t>威</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年度福建南威完成扣非后净利润不低于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年度福建南威完成扣非后净利润不低于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年度福建南威完成扣非后净利润不低于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p>
            <w:pPr>
              <w:pStyle w:val="TableParagraph"/>
              <w:spacing w:line="240" w:lineRule="auto" w:before="2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p>
            <w:pPr>
              <w:pStyle w:val="TableParagraph"/>
              <w:spacing w:line="240" w:lineRule="auto" w:before="2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起至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p>
          <w:p>
            <w:pPr>
              <w:pStyle w:val="TableParagraph"/>
              <w:spacing w:line="240" w:lineRule="auto" w:before="2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pacing w:val="-3"/>
                <w:sz w:val="21"/>
                <w:szCs w:val="21"/>
              </w:rPr>
              <w:t>31</w:t>
            </w:r>
            <w:r>
              <w:rPr>
                <w:rFonts w:ascii="Times New Roman" w:hAnsi="Times New Roman" w:cs="Times New Roman" w:eastAsia="Times New Roman" w:hint="default"/>
                <w:sz w:val="21"/>
                <w:szCs w:val="21"/>
              </w:rPr>
            </w:r>
          </w:p>
          <w:p>
            <w:pPr>
              <w:pStyle w:val="TableParagraph"/>
              <w:spacing w:line="240" w:lineRule="auto" w:before="21"/>
              <w:ind w:left="103" w:right="0"/>
              <w:jc w:val="center"/>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360"/>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r>
    </w:tbl>
    <w:p>
      <w:pPr>
        <w:pStyle w:val="BodyText"/>
        <w:spacing w:line="262" w:lineRule="exact"/>
        <w:ind w:left="900" w:right="0"/>
        <w:jc w:val="left"/>
        <w:rPr>
          <w:rFonts w:ascii="宋体" w:hAnsi="宋体" w:cs="宋体" w:eastAsia="宋体" w:hint="default"/>
        </w:rPr>
      </w:pPr>
      <w:r>
        <w:rPr>
          <w:rFonts w:ascii="宋体"/>
          <w:w w:val="100"/>
        </w:rPr>
        <w:t> </w:t>
      </w:r>
    </w:p>
    <w:p>
      <w:pPr>
        <w:spacing w:after="0" w:line="262" w:lineRule="exact"/>
        <w:jc w:val="left"/>
        <w:rPr>
          <w:rFonts w:ascii="宋体" w:hAnsi="宋体" w:cs="宋体" w:eastAsia="宋体" w:hint="default"/>
        </w:rPr>
        <w:sectPr>
          <w:pgSz w:w="16840" w:h="11910" w:orient="landscape"/>
          <w:pgMar w:header="855" w:footer="980" w:top="1120" w:bottom="1160" w:left="540" w:right="620"/>
        </w:sectPr>
      </w:pPr>
    </w:p>
    <w:p>
      <w:pPr>
        <w:spacing w:line="240" w:lineRule="auto" w:before="10"/>
        <w:rPr>
          <w:rFonts w:ascii="宋体" w:hAnsi="宋体" w:cs="宋体" w:eastAsia="宋体" w:hint="default"/>
          <w:sz w:val="26"/>
          <w:szCs w:val="26"/>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4"/>
        <w:spacing w:line="273" w:lineRule="auto" w:before="97"/>
        <w:ind w:left="704" w:right="200" w:hanging="567"/>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79"/>
        </w:rPr>
        <w:t> </w:t>
      </w:r>
      <w:r>
        <w:rPr/>
        <w:t>公司资产或项目存在盈利预测，且报告期仍处在盈利预测期间，公司就资产或项目是否达</w:t>
      </w:r>
      <w:r>
        <w:rPr>
          <w:spacing w:val="-103"/>
        </w:rPr>
        <w:t> </w:t>
      </w:r>
      <w:r>
        <w:rPr>
          <w:spacing w:val="-103"/>
        </w:rPr>
      </w:r>
      <w:r>
        <w:rPr/>
        <w:t>到原盈利预测及其原因作出说明</w:t>
      </w:r>
      <w:r>
        <w:rPr>
          <w:b w:val="0"/>
          <w:bCs w:val="0"/>
        </w:rPr>
      </w:r>
    </w:p>
    <w:p>
      <w:pPr>
        <w:pStyle w:val="BodyText"/>
        <w:spacing w:line="240" w:lineRule="auto" w:before="67"/>
        <w:ind w:left="138" w:right="2819"/>
        <w:jc w:val="left"/>
        <w:rPr>
          <w:rFonts w:ascii="宋体" w:hAnsi="宋体" w:cs="宋体" w:eastAsia="宋体" w:hint="default"/>
          <w:sz w:val="24"/>
          <w:szCs w:val="24"/>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spacing w:line="240" w:lineRule="auto" w:before="97"/>
        <w:ind w:left="138" w:right="2819"/>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5"/>
        </w:rPr>
        <w:t> </w:t>
      </w:r>
      <w:r>
        <w:rPr/>
        <w:t>业绩承诺的完成情况及其对商誉减值测试的影响</w:t>
      </w:r>
      <w:r>
        <w:rPr>
          <w:b w:val="0"/>
          <w:bCs w:val="0"/>
        </w:rPr>
      </w:r>
    </w:p>
    <w:p>
      <w:pPr>
        <w:pStyle w:val="BodyText"/>
        <w:spacing w:line="240" w:lineRule="auto" w:before="97"/>
        <w:ind w:left="138" w:right="2819"/>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37"/>
        <w:ind w:left="558"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日，公司与深圳太极云软股权投资管理合伙企业（普通合伙）、深圳潇湘君</w:t>
      </w:r>
    </w:p>
    <w:p>
      <w:pPr>
        <w:pStyle w:val="BodyText"/>
        <w:spacing w:line="256" w:lineRule="auto" w:before="21"/>
        <w:ind w:left="138" w:right="203"/>
        <w:jc w:val="left"/>
      </w:pPr>
      <w:r>
        <w:rPr/>
        <w:t>辰企业（有限合伙）、深圳得壹卓投资企业（有限合伙）、邱德强、巩福、曾崛等</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名交易对方</w:t>
      </w:r>
      <w:r>
        <w:rPr>
          <w:w w:val="100"/>
        </w:rPr>
        <w:t> </w:t>
      </w:r>
      <w:r>
        <w:rPr>
          <w:spacing w:val="-2"/>
        </w:rPr>
        <w:t>签署《资产购买框架协议》，收购上述交易对方所持有太极云软</w:t>
      </w:r>
      <w:r>
        <w:rPr>
          <w:spacing w:val="11"/>
        </w:rPr>
        <w:t> </w:t>
      </w:r>
      <w:r>
        <w:rPr>
          <w:rFonts w:ascii="Times New Roman" w:hAnsi="Times New Roman" w:cs="Times New Roman" w:eastAsia="Times New Roman" w:hint="default"/>
          <w:spacing w:val="-2"/>
        </w:rPr>
        <w:t>61%</w:t>
      </w:r>
      <w:r>
        <w:rPr>
          <w:spacing w:val="-2"/>
        </w:rPr>
        <w:t>的股份。</w:t>
      </w:r>
    </w:p>
    <w:p>
      <w:pPr>
        <w:pStyle w:val="BodyText"/>
        <w:spacing w:line="256" w:lineRule="auto" w:before="5"/>
        <w:ind w:left="138" w:right="209" w:firstLine="419"/>
        <w:jc w:val="both"/>
      </w:pPr>
      <w:r>
        <w:rPr/>
        <w:t>上述交易对方承诺，太极云软于</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年实现的实际净利润应分别不低于</w:t>
      </w:r>
      <w:r>
        <w:rPr>
          <w:w w:val="100"/>
        </w:rPr>
        <w:t> </w:t>
      </w:r>
      <w:r>
        <w:rPr>
          <w:rFonts w:ascii="Times New Roman" w:hAnsi="Times New Roman" w:cs="Times New Roman" w:eastAsia="Times New Roman" w:hint="default"/>
        </w:rPr>
        <w:t>2,500</w:t>
      </w:r>
      <w:r>
        <w:rPr>
          <w:rFonts w:ascii="Times New Roman" w:hAnsi="Times New Roman" w:cs="Times New Roman" w:eastAsia="Times New Roman" w:hint="default"/>
          <w:spacing w:val="17"/>
        </w:rPr>
        <w:t> </w:t>
      </w:r>
      <w:r>
        <w:rPr>
          <w:spacing w:val="-5"/>
        </w:rPr>
        <w:t>万元、</w:t>
      </w:r>
      <w:r>
        <w:rPr>
          <w:rFonts w:ascii="Times New Roman" w:hAnsi="Times New Roman" w:cs="Times New Roman" w:eastAsia="Times New Roman" w:hint="default"/>
          <w:spacing w:val="-5"/>
        </w:rPr>
        <w:t>3,250</w:t>
      </w:r>
      <w:r>
        <w:rPr>
          <w:rFonts w:ascii="Times New Roman" w:hAnsi="Times New Roman" w:cs="Times New Roman" w:eastAsia="Times New Roman" w:hint="default"/>
          <w:spacing w:val="21"/>
        </w:rPr>
        <w:t> </w:t>
      </w:r>
      <w:r>
        <w:rPr>
          <w:spacing w:val="-5"/>
        </w:rPr>
        <w:t>万元、</w:t>
      </w:r>
      <w:r>
        <w:rPr>
          <w:rFonts w:ascii="Times New Roman" w:hAnsi="Times New Roman" w:cs="Times New Roman" w:eastAsia="Times New Roman" w:hint="default"/>
          <w:spacing w:val="-5"/>
        </w:rPr>
        <w:t>4,225</w:t>
      </w:r>
      <w:r>
        <w:rPr>
          <w:rFonts w:ascii="Times New Roman" w:hAnsi="Times New Roman" w:cs="Times New Roman" w:eastAsia="Times New Roman" w:hint="default"/>
          <w:spacing w:val="21"/>
        </w:rPr>
        <w:t> </w:t>
      </w:r>
      <w:r>
        <w:rPr>
          <w:spacing w:val="-3"/>
        </w:rPr>
        <w:t>万元。实际净利润指扣除非经常性损益前后归属于母公司所有者的</w:t>
      </w:r>
      <w:r>
        <w:rPr>
          <w:spacing w:val="-98"/>
        </w:rPr>
        <w:t> </w:t>
      </w:r>
      <w:r>
        <w:rPr>
          <w:spacing w:val="-98"/>
        </w:rPr>
      </w:r>
      <w:r>
        <w:rPr/>
        <w:t>净利润孰低的金额。</w:t>
      </w:r>
    </w:p>
    <w:p>
      <w:pPr>
        <w:pStyle w:val="BodyText"/>
        <w:spacing w:line="240" w:lineRule="auto" w:before="22"/>
        <w:ind w:left="558" w:right="0"/>
        <w:jc w:val="left"/>
      </w:pPr>
      <w:r>
        <w:rPr>
          <w:w w:val="100"/>
        </w:rPr>
        <w:t>深圳</w:t>
      </w:r>
      <w:r>
        <w:rPr>
          <w:spacing w:val="-3"/>
          <w:w w:val="100"/>
        </w:rPr>
        <w:t>太</w:t>
      </w:r>
      <w:r>
        <w:rPr>
          <w:w w:val="100"/>
        </w:rPr>
        <w:t>极</w:t>
      </w:r>
      <w:r>
        <w:rPr>
          <w:spacing w:val="-3"/>
          <w:w w:val="100"/>
        </w:rPr>
        <w:t>云</w:t>
      </w:r>
      <w:r>
        <w:rPr>
          <w:w w:val="100"/>
        </w:rPr>
        <w:t>软</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2"/>
        </w:rPr>
        <w:t> </w:t>
      </w:r>
      <w:r>
        <w:rPr>
          <w:w w:val="100"/>
        </w:rPr>
        <w:t>年</w:t>
      </w:r>
      <w:r>
        <w:rPr>
          <w:spacing w:val="-3"/>
          <w:w w:val="100"/>
        </w:rPr>
        <w:t>度实</w:t>
      </w:r>
      <w:r>
        <w:rPr>
          <w:w w:val="100"/>
        </w:rPr>
        <w:t>现归</w:t>
      </w:r>
      <w:r>
        <w:rPr>
          <w:spacing w:val="-3"/>
          <w:w w:val="100"/>
        </w:rPr>
        <w:t>属</w:t>
      </w:r>
      <w:r>
        <w:rPr>
          <w:w w:val="100"/>
        </w:rPr>
        <w:t>于</w:t>
      </w:r>
      <w:r>
        <w:rPr>
          <w:spacing w:val="-3"/>
          <w:w w:val="100"/>
        </w:rPr>
        <w:t>母</w:t>
      </w:r>
      <w:r>
        <w:rPr>
          <w:w w:val="100"/>
        </w:rPr>
        <w:t>公</w:t>
      </w:r>
      <w:r>
        <w:rPr>
          <w:spacing w:val="-3"/>
          <w:w w:val="100"/>
        </w:rPr>
        <w:t>司</w:t>
      </w:r>
      <w:r>
        <w:rPr>
          <w:w w:val="100"/>
        </w:rPr>
        <w:t>所</w:t>
      </w:r>
      <w:r>
        <w:rPr>
          <w:spacing w:val="-3"/>
          <w:w w:val="100"/>
        </w:rPr>
        <w:t>有</w:t>
      </w:r>
      <w:r>
        <w:rPr>
          <w:w w:val="100"/>
        </w:rPr>
        <w:t>者</w:t>
      </w:r>
      <w:r>
        <w:rPr>
          <w:spacing w:val="-3"/>
          <w:w w:val="100"/>
        </w:rPr>
        <w:t>的</w:t>
      </w:r>
      <w:r>
        <w:rPr>
          <w:w w:val="100"/>
        </w:rPr>
        <w:t>净利</w:t>
      </w:r>
      <w:r>
        <w:rPr>
          <w:spacing w:val="-3"/>
          <w:w w:val="100"/>
        </w:rPr>
        <w:t>润</w:t>
      </w:r>
      <w:r>
        <w:rPr>
          <w:w w:val="100"/>
        </w:rPr>
        <w:t>为</w:t>
      </w:r>
      <w:r>
        <w:rPr>
          <w:spacing w:val="-53"/>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349</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98</w:t>
      </w:r>
      <w:r>
        <w:rPr>
          <w:rFonts w:ascii="Times New Roman" w:hAnsi="Times New Roman" w:cs="Times New Roman" w:eastAsia="Times New Roman" w:hint="default"/>
        </w:rPr>
        <w:t> </w:t>
      </w:r>
      <w:r>
        <w:rPr>
          <w:spacing w:val="-3"/>
          <w:w w:val="100"/>
        </w:rPr>
        <w:t>万元</w:t>
      </w:r>
      <w:r>
        <w:rPr>
          <w:spacing w:val="-92"/>
          <w:w w:val="100"/>
        </w:rPr>
        <w:t>，</w:t>
      </w:r>
      <w:r>
        <w:rPr>
          <w:spacing w:val="-3"/>
          <w:w w:val="100"/>
        </w:rPr>
        <w:t>实</w:t>
      </w:r>
      <w:r>
        <w:rPr>
          <w:w w:val="100"/>
        </w:rPr>
        <w:t>现扣</w:t>
      </w:r>
      <w:r>
        <w:rPr>
          <w:spacing w:val="-3"/>
          <w:w w:val="100"/>
        </w:rPr>
        <w:t>除</w:t>
      </w:r>
      <w:r>
        <w:rPr>
          <w:w w:val="100"/>
        </w:rPr>
        <w:t>非</w:t>
      </w:r>
      <w:r>
        <w:rPr>
          <w:spacing w:val="-3"/>
          <w:w w:val="100"/>
        </w:rPr>
        <w:t>经</w:t>
      </w:r>
      <w:r>
        <w:rPr>
          <w:w w:val="100"/>
        </w:rPr>
        <w:t>常</w:t>
      </w:r>
    </w:p>
    <w:p>
      <w:pPr>
        <w:pStyle w:val="BodyText"/>
        <w:spacing w:line="256" w:lineRule="auto" w:before="21"/>
        <w:ind w:left="138" w:right="97"/>
        <w:jc w:val="left"/>
        <w:rPr>
          <w:rFonts w:ascii="宋体" w:hAnsi="宋体" w:cs="宋体" w:eastAsia="宋体" w:hint="default"/>
        </w:rPr>
      </w:pPr>
      <w:r>
        <w:rPr/>
        <w:t>性损益后归属于母公司所有者的净利润</w:t>
      </w:r>
      <w:r>
        <w:rPr>
          <w:spacing w:val="-49"/>
        </w:rPr>
        <w:t> </w:t>
      </w:r>
      <w:r>
        <w:rPr>
          <w:rFonts w:ascii="Times New Roman" w:hAnsi="Times New Roman" w:cs="Times New Roman" w:eastAsia="Times New Roman" w:hint="default"/>
        </w:rPr>
        <w:t>4,193.44</w:t>
      </w:r>
      <w:r>
        <w:rPr>
          <w:rFonts w:ascii="Times New Roman" w:hAnsi="Times New Roman" w:cs="Times New Roman" w:eastAsia="Times New Roman" w:hint="default"/>
          <w:spacing w:val="4"/>
        </w:rPr>
        <w:t> </w:t>
      </w:r>
      <w:r>
        <w:rPr>
          <w:spacing w:val="-9"/>
        </w:rPr>
        <w:t>万元，已完成</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spacing w:val="-6"/>
        </w:rPr>
        <w:t>年度业绩承诺。根据公司聘请</w:t>
      </w:r>
      <w:r>
        <w:rPr>
          <w:spacing w:val="-94"/>
        </w:rPr>
        <w:t> </w:t>
      </w:r>
      <w:r>
        <w:rPr>
          <w:spacing w:val="-94"/>
        </w:rPr>
      </w:r>
      <w:r>
        <w:rPr/>
        <w:t>的北京亚超资产评估有限公司出具的《评估报告》（北京亚超评报字（</w:t>
      </w:r>
      <w:r>
        <w:rPr>
          <w:rFonts w:ascii="Times New Roman" w:hAnsi="Times New Roman" w:cs="Times New Roman" w:eastAsia="Times New Roman" w:hint="default"/>
        </w:rPr>
        <w:t>2020</w:t>
      </w:r>
      <w:r>
        <w:rPr/>
        <w:t>）第 </w:t>
      </w:r>
      <w:r>
        <w:rPr>
          <w:rFonts w:ascii="Times New Roman" w:hAnsi="Times New Roman" w:cs="Times New Roman" w:eastAsia="Times New Roman" w:hint="default"/>
        </w:rPr>
        <w:t>A061</w:t>
      </w:r>
      <w:r>
        <w:rPr>
          <w:rFonts w:ascii="Times New Roman" w:hAnsi="Times New Roman" w:cs="Times New Roman" w:eastAsia="Times New Roman" w:hint="default"/>
          <w:spacing w:val="18"/>
        </w:rPr>
        <w:t> </w:t>
      </w:r>
      <w:r>
        <w:rPr>
          <w:spacing w:val="-3"/>
        </w:rPr>
        <w:t>号），包</w:t>
      </w:r>
      <w:r>
        <w:rPr>
          <w:spacing w:val="-3"/>
          <w:w w:val="100"/>
        </w:rPr>
        <w:t> </w:t>
      </w:r>
      <w:r>
        <w:rPr/>
        <w:t>含商誉的太极云软资产组可收回金额为</w:t>
      </w:r>
      <w:r>
        <w:rPr>
          <w:spacing w:val="-51"/>
        </w:rPr>
        <w:t> </w:t>
      </w:r>
      <w:r>
        <w:rPr>
          <w:rFonts w:ascii="Times New Roman" w:hAnsi="Times New Roman" w:cs="Times New Roman" w:eastAsia="Times New Roman" w:hint="default"/>
        </w:rPr>
        <w:t>40,757.89</w:t>
      </w:r>
      <w:r>
        <w:rPr>
          <w:rFonts w:ascii="Times New Roman" w:hAnsi="Times New Roman" w:cs="Times New Roman" w:eastAsia="Times New Roman" w:hint="default"/>
          <w:spacing w:val="4"/>
        </w:rPr>
        <w:t> </w:t>
      </w:r>
      <w:r>
        <w:rPr/>
        <w:t>万元，高于以公允价值计量的净资产账面价值，</w:t>
      </w:r>
      <w:r>
        <w:rPr>
          <w:w w:val="100"/>
        </w:rPr>
        <w:t> </w:t>
      </w:r>
      <w:r>
        <w:rPr/>
        <w:t>无需确认商誉减值损失。</w:t>
      </w:r>
      <w:r>
        <w:rPr>
          <w:rFonts w:ascii="宋体" w:hAnsi="宋体" w:cs="宋体" w:eastAsia="宋体" w:hint="default"/>
        </w:rPr>
        <w:t> </w:t>
      </w:r>
    </w:p>
    <w:p>
      <w:pPr>
        <w:pStyle w:val="Heading4"/>
        <w:spacing w:line="324" w:lineRule="auto" w:before="22"/>
        <w:ind w:left="138" w:right="4705"/>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报告期内资金被占</w:t>
      </w:r>
      <w:r>
        <w:rPr>
          <w:spacing w:val="-3"/>
          <w:w w:val="100"/>
        </w:rPr>
        <w:t>用</w:t>
      </w:r>
      <w:r>
        <w:rPr>
          <w:w w:val="100"/>
        </w:rPr>
        <w:t>情</w:t>
      </w:r>
      <w:r>
        <w:rPr>
          <w:spacing w:val="-3"/>
          <w:w w:val="100"/>
        </w:rPr>
        <w:t>况</w:t>
      </w:r>
      <w:r>
        <w:rPr>
          <w:w w:val="100"/>
        </w:rPr>
        <w:t>及清欠进展情况</w:t>
      </w:r>
      <w:r>
        <w:rPr>
          <w:b w:val="0"/>
          <w:bCs w:val="0"/>
          <w:w w:val="100"/>
        </w:rPr>
      </w:r>
    </w:p>
    <w:p>
      <w:pPr>
        <w:spacing w:line="324" w:lineRule="auto" w:before="23"/>
        <w:ind w:left="138" w:right="281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24"/>
        <w:ind w:left="138" w:right="28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left="138" w:right="1127" w:firstLine="419"/>
        <w:jc w:val="left"/>
        <w:rPr>
          <w:b w:val="0"/>
          <w:bCs w:val="0"/>
        </w:rPr>
      </w:pPr>
      <w:r>
        <w:rPr>
          <w:rFonts w:ascii="宋体" w:hAnsi="宋体" w:cs="宋体" w:eastAsia="宋体" w:hint="default"/>
          <w:b w:val="0"/>
          <w:bCs w:val="0"/>
          <w:w w:val="100"/>
        </w:rPr>
        <w:t> </w:t>
      </w:r>
      <w:r>
        <w:rPr>
          <w:w w:val="100"/>
        </w:rPr>
        <w:t>五</w:t>
      </w:r>
      <w:r>
        <w:rPr>
          <w:spacing w:val="-1"/>
          <w:w w:val="100"/>
        </w:rPr>
        <w:t>、</w:t>
      </w:r>
      <w:r>
        <w:rPr>
          <w:w w:val="100"/>
        </w:rPr>
        <w:t>公司对会计政策、</w:t>
      </w:r>
      <w:r>
        <w:rPr>
          <w:spacing w:val="-3"/>
          <w:w w:val="100"/>
        </w:rPr>
        <w:t>会</w:t>
      </w:r>
      <w:r>
        <w:rPr>
          <w:w w:val="100"/>
        </w:rPr>
        <w:t>计</w:t>
      </w:r>
      <w:r>
        <w:rPr>
          <w:spacing w:val="-3"/>
          <w:w w:val="100"/>
        </w:rPr>
        <w:t>估</w:t>
      </w:r>
      <w:r>
        <w:rPr>
          <w:w w:val="100"/>
        </w:rPr>
        <w:t>计变更或重大会计</w:t>
      </w:r>
      <w:r>
        <w:rPr>
          <w:spacing w:val="-3"/>
          <w:w w:val="100"/>
        </w:rPr>
        <w:t>差</w:t>
      </w:r>
      <w:r>
        <w:rPr>
          <w:w w:val="100"/>
        </w:rPr>
        <w:t>错</w:t>
      </w:r>
      <w:r>
        <w:rPr>
          <w:spacing w:val="-3"/>
          <w:w w:val="100"/>
        </w:rPr>
        <w:t>更</w:t>
      </w:r>
      <w:r>
        <w:rPr>
          <w:w w:val="100"/>
        </w:rPr>
        <w:t>正原因和影响的分</w:t>
      </w:r>
      <w:r>
        <w:rPr>
          <w:spacing w:val="-3"/>
          <w:w w:val="100"/>
        </w:rPr>
        <w:t>析</w:t>
      </w:r>
      <w:r>
        <w:rPr>
          <w:w w:val="100"/>
        </w:rPr>
        <w:t>说明</w:t>
      </w:r>
      <w:r>
        <w:rPr>
          <w:b w:val="0"/>
          <w:bCs w:val="0"/>
          <w:w w:val="100"/>
        </w:rPr>
      </w:r>
    </w:p>
    <w:p>
      <w:pPr>
        <w:pStyle w:val="Heading4"/>
        <w:spacing w:line="240" w:lineRule="auto" w:before="23"/>
        <w:ind w:left="138" w:right="2819"/>
        <w:jc w:val="left"/>
        <w:rPr>
          <w:b w:val="0"/>
          <w:bCs w:val="0"/>
        </w:rPr>
      </w:pPr>
      <w:r>
        <w:rPr/>
        <w:t>（一）公司对会计政策、会计估计变更原因及影响的分析说明</w:t>
      </w:r>
      <w:r>
        <w:rPr>
          <w:b w:val="0"/>
          <w:bCs w:val="0"/>
        </w:rPr>
      </w:r>
    </w:p>
    <w:p>
      <w:pPr>
        <w:pStyle w:val="BodyText"/>
        <w:spacing w:line="273" w:lineRule="auto" w:before="97"/>
        <w:ind w:left="618" w:right="2819" w:hanging="480"/>
        <w:jc w:val="left"/>
        <w:rPr>
          <w:rFonts w:ascii="宋体" w:hAnsi="宋体" w:cs="宋体" w:eastAsia="宋体" w:hint="default"/>
          <w:sz w:val="24"/>
          <w:szCs w:val="24"/>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t>详见第十一节</w:t>
      </w:r>
      <w:r>
        <w:rPr>
          <w:rFonts w:ascii="宋体" w:hAnsi="宋体" w:cs="宋体" w:eastAsia="宋体" w:hint="default"/>
        </w:rPr>
        <w:t>\</w:t>
      </w:r>
      <w:r>
        <w:rPr/>
        <w:t>五</w:t>
      </w:r>
      <w:r>
        <w:rPr>
          <w:rFonts w:ascii="宋体" w:hAnsi="宋体" w:cs="宋体" w:eastAsia="宋体" w:hint="default"/>
        </w:rPr>
        <w:t>\</w:t>
      </w:r>
      <w:r>
        <w:rPr>
          <w:rFonts w:ascii="Times New Roman" w:hAnsi="Times New Roman" w:cs="Times New Roman" w:eastAsia="Times New Roman" w:hint="default"/>
        </w:rPr>
        <w:t>41.</w:t>
      </w:r>
      <w:r>
        <w:rPr/>
        <w:t>重要会计政策会计估计变更。</w:t>
      </w:r>
      <w:r>
        <w:rPr>
          <w:rFonts w:ascii="宋体" w:hAnsi="宋体" w:cs="宋体" w:eastAsia="宋体" w:hint="default"/>
          <w:sz w:val="24"/>
          <w:szCs w:val="24"/>
        </w:rPr>
        <w:t> </w:t>
      </w:r>
    </w:p>
    <w:p>
      <w:pPr>
        <w:pStyle w:val="BodyText"/>
        <w:spacing w:line="264" w:lineRule="exact"/>
        <w:ind w:left="138" w:right="0"/>
        <w:jc w:val="left"/>
        <w:rPr>
          <w:rFonts w:ascii="宋体" w:hAnsi="宋体" w:cs="宋体" w:eastAsia="宋体" w:hint="default"/>
        </w:rPr>
      </w:pPr>
      <w:r>
        <w:rPr>
          <w:rFonts w:ascii="宋体"/>
          <w:w w:val="100"/>
        </w:rPr>
        <w:t> </w:t>
      </w:r>
    </w:p>
    <w:p>
      <w:pPr>
        <w:pStyle w:val="Heading4"/>
        <w:spacing w:line="240" w:lineRule="auto" w:before="97"/>
        <w:ind w:left="138" w:right="2819"/>
        <w:jc w:val="left"/>
        <w:rPr>
          <w:b w:val="0"/>
          <w:bCs w:val="0"/>
        </w:rPr>
      </w:pPr>
      <w:r>
        <w:rPr/>
        <w:t>（二）公司对重大会计差错更正原因及影响的分析说明</w:t>
      </w:r>
      <w:r>
        <w:rPr>
          <w:b w:val="0"/>
          <w:bCs w:val="0"/>
        </w:rPr>
      </w:r>
    </w:p>
    <w:p>
      <w:pPr>
        <w:pStyle w:val="BodyText"/>
        <w:spacing w:line="240" w:lineRule="auto" w:before="97"/>
        <w:ind w:left="138" w:right="2819"/>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spacing w:line="240" w:lineRule="auto" w:before="97"/>
        <w:ind w:left="138" w:right="2819"/>
        <w:jc w:val="left"/>
        <w:rPr>
          <w:b w:val="0"/>
          <w:bCs w:val="0"/>
        </w:rPr>
      </w:pPr>
      <w:r>
        <w:rPr/>
        <w:t>（三）与前任会计师事务所进行的沟通情况</w:t>
      </w:r>
      <w:r>
        <w:rPr>
          <w:b w:val="0"/>
          <w:bCs w:val="0"/>
        </w:rPr>
      </w:r>
    </w:p>
    <w:p>
      <w:pPr>
        <w:pStyle w:val="BodyText"/>
        <w:spacing w:line="240" w:lineRule="auto" w:before="97"/>
        <w:ind w:left="138" w:right="281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56" w:lineRule="auto" w:before="37"/>
        <w:ind w:left="138" w:right="0" w:firstLine="419"/>
        <w:jc w:val="left"/>
        <w:rPr>
          <w:rFonts w:ascii="宋体" w:hAnsi="宋体" w:cs="宋体" w:eastAsia="宋体" w:hint="default"/>
        </w:rPr>
      </w:pPr>
      <w:r>
        <w:rPr/>
        <w:t>公司已就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spacing w:val="-5"/>
        </w:rPr>
        <w:t>年度不再续聘事项事先与华兴会计师事务所（特殊普通合伙）进行了沟通，并</w:t>
      </w:r>
      <w:r>
        <w:rPr>
          <w:w w:val="100"/>
        </w:rPr>
        <w:t> </w:t>
      </w:r>
      <w:r>
        <w:rPr/>
        <w:t>取得了理解与支持。</w:t>
      </w:r>
      <w:r>
        <w:rPr>
          <w:rFonts w:ascii="宋体" w:hAnsi="宋体" w:cs="宋体" w:eastAsia="宋体" w:hint="default"/>
        </w:rPr>
        <w:t> </w:t>
      </w:r>
    </w:p>
    <w:p>
      <w:pPr>
        <w:pStyle w:val="BodyText"/>
        <w:spacing w:line="240" w:lineRule="auto" w:before="22"/>
        <w:ind w:left="138" w:right="0"/>
        <w:jc w:val="left"/>
        <w:rPr>
          <w:rFonts w:ascii="宋体" w:hAnsi="宋体" w:cs="宋体" w:eastAsia="宋体" w:hint="default"/>
        </w:rPr>
      </w:pPr>
      <w:r>
        <w:rPr>
          <w:rFonts w:ascii="宋体"/>
          <w:w w:val="100"/>
        </w:rPr>
        <w:t> </w:t>
      </w:r>
    </w:p>
    <w:p>
      <w:pPr>
        <w:pStyle w:val="Heading4"/>
        <w:spacing w:line="240" w:lineRule="auto" w:before="97"/>
        <w:ind w:left="138" w:right="2819"/>
        <w:jc w:val="left"/>
        <w:rPr>
          <w:b w:val="0"/>
          <w:bCs w:val="0"/>
        </w:rPr>
      </w:pPr>
      <w:r>
        <w:rPr/>
        <w:t>（四）其他说明</w:t>
      </w:r>
      <w:r>
        <w:rPr>
          <w:b w:val="0"/>
          <w:bCs w:val="0"/>
        </w:rPr>
      </w:r>
    </w:p>
    <w:p>
      <w:pPr>
        <w:pStyle w:val="BodyText"/>
        <w:spacing w:line="240" w:lineRule="auto" w:before="97"/>
        <w:ind w:left="138" w:right="281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headerReference w:type="default" r:id="rId23"/>
          <w:footerReference w:type="default" r:id="rId24"/>
          <w:pgSz w:w="11910" w:h="16840"/>
          <w:pgMar w:header="855" w:footer="979" w:top="1120" w:bottom="1160" w:left="1660" w:right="1060"/>
          <w:pgNumType w:start="40"/>
        </w:sectPr>
      </w:pPr>
    </w:p>
    <w:p>
      <w:pPr>
        <w:spacing w:line="240" w:lineRule="auto" w:before="10"/>
        <w:rPr>
          <w:rFonts w:ascii="宋体" w:hAnsi="宋体" w:cs="宋体" w:eastAsia="宋体" w:hint="default"/>
          <w:sz w:val="26"/>
          <w:szCs w:val="26"/>
        </w:rPr>
      </w:pPr>
    </w:p>
    <w:p>
      <w:pPr>
        <w:pStyle w:val="Heading4"/>
        <w:spacing w:line="240" w:lineRule="auto" w:before="36"/>
        <w:ind w:right="2005"/>
        <w:jc w:val="left"/>
        <w:rPr>
          <w:b w:val="0"/>
          <w:bCs w:val="0"/>
        </w:rPr>
      </w:pPr>
      <w:r>
        <w:rPr/>
        <w:t>六、聘任、解聘会计师事务所情况</w:t>
      </w:r>
      <w:r>
        <w:rPr>
          <w:b w:val="0"/>
          <w:bCs w:val="0"/>
        </w:rPr>
      </w:r>
    </w:p>
    <w:p>
      <w:pPr>
        <w:pStyle w:val="BodyText"/>
        <w:spacing w:line="240" w:lineRule="auto" w:before="97"/>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08"/>
        <w:gridCol w:w="2907"/>
        <w:gridCol w:w="2909"/>
      </w:tblGrid>
      <w:tr>
        <w:trPr>
          <w:trHeight w:val="32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原聘任</w:t>
            </w:r>
            <w:r>
              <w:rPr>
                <w:rFonts w:ascii="宋体" w:hAnsi="宋体" w:cs="宋体" w:eastAsia="宋体" w:hint="default"/>
                <w:sz w:val="21"/>
                <w:szCs w:val="21"/>
              </w:rPr>
              <w:t>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63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5"/>
                <w:sz w:val="21"/>
                <w:szCs w:val="21"/>
              </w:rPr>
              <w:t>福建华兴会计师事务所（特殊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普通合伙</w:t>
            </w:r>
            <w:r>
              <w:rPr>
                <w:rFonts w:ascii="宋体" w:hAnsi="宋体" w:cs="宋体" w:eastAsia="宋体" w:hint="default"/>
                <w:sz w:val="21"/>
                <w:szCs w:val="21"/>
              </w:rPr>
              <w:t>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4"/>
                <w:sz w:val="21"/>
                <w:szCs w:val="21"/>
              </w:rPr>
              <w:t>大华会计师事务所（特殊普通</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合伙）</w:t>
            </w:r>
            <w:r>
              <w:rPr>
                <w:rFonts w:ascii="宋体" w:hAnsi="宋体" w:cs="宋体" w:eastAsia="宋体" w:hint="default"/>
                <w:sz w:val="21"/>
                <w:szCs w:val="21"/>
              </w:rPr>
              <w:t> </w:t>
            </w:r>
          </w:p>
        </w:tc>
      </w:tr>
      <w:tr>
        <w:trPr>
          <w:trHeight w:val="32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800,000</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800,000</w:t>
            </w:r>
          </w:p>
        </w:tc>
      </w:tr>
      <w:tr>
        <w:trPr>
          <w:trHeight w:val="32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w w:val="100"/>
                <w:sz w:val="21"/>
              </w:rPr>
              <w:t>8</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1</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08"/>
        <w:gridCol w:w="3651"/>
        <w:gridCol w:w="2165"/>
      </w:tblGrid>
      <w:tr>
        <w:trPr>
          <w:trHeight w:val="322" w:hRule="exact"/>
        </w:trPr>
        <w:tc>
          <w:tcPr>
            <w:tcW w:w="3008" w:type="dxa"/>
            <w:tcBorders>
              <w:top w:val="single" w:sz="4" w:space="0" w:color="000000"/>
              <w:left w:val="single" w:sz="4" w:space="0" w:color="000000"/>
              <w:bottom w:val="single" w:sz="4" w:space="0" w:color="000000"/>
              <w:right w:val="single" w:sz="4" w:space="0" w:color="000000"/>
            </w:tcBorders>
          </w:tcPr>
          <w:p>
            <w:pP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32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2"/>
              <w:jc w:val="center"/>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371" w:right="0"/>
              <w:jc w:val="left"/>
              <w:rPr>
                <w:rFonts w:ascii="Times New Roman" w:hAnsi="Times New Roman" w:cs="Times New Roman" w:eastAsia="Times New Roman" w:hint="default"/>
                <w:sz w:val="21"/>
                <w:szCs w:val="21"/>
              </w:rPr>
            </w:pPr>
            <w:r>
              <w:rPr>
                <w:rFonts w:ascii="Times New Roman"/>
                <w:sz w:val="21"/>
              </w:rPr>
              <w:t>400,000</w:t>
            </w:r>
          </w:p>
        </w:tc>
      </w:tr>
    </w:tbl>
    <w:p>
      <w:pPr>
        <w:pStyle w:val="BodyText"/>
        <w:spacing w:line="273" w:lineRule="auto"/>
        <w:ind w:right="2005"/>
        <w:jc w:val="left"/>
        <w:rPr>
          <w:rFonts w:ascii="宋体" w:hAnsi="宋体" w:cs="宋体" w:eastAsia="宋体" w:hint="default"/>
        </w:rPr>
      </w:pPr>
      <w:r>
        <w:rPr>
          <w:rFonts w:ascii="宋体" w:hAnsi="宋体" w:cs="宋体" w:eastAsia="宋体" w:hint="default"/>
          <w:w w:val="100"/>
        </w:rPr>
        <w:t>  </w:t>
      </w:r>
      <w:r>
        <w:rPr>
          <w:w w:val="100"/>
        </w:rPr>
        <w:t>聘任</w:t>
      </w:r>
      <w:r>
        <w:rPr>
          <w:spacing w:val="-3"/>
          <w:w w:val="100"/>
        </w:rPr>
        <w:t>、</w:t>
      </w:r>
      <w:r>
        <w:rPr>
          <w:w w:val="100"/>
        </w:rPr>
        <w:t>解</w:t>
      </w:r>
      <w:r>
        <w:rPr>
          <w:spacing w:val="-3"/>
          <w:w w:val="100"/>
        </w:rPr>
        <w:t>聘</w:t>
      </w:r>
      <w:r>
        <w:rPr>
          <w:w w:val="100"/>
        </w:rPr>
        <w:t>会</w:t>
      </w:r>
      <w:r>
        <w:rPr>
          <w:spacing w:val="-3"/>
          <w:w w:val="100"/>
        </w:rPr>
        <w:t>计</w:t>
      </w:r>
      <w:r>
        <w:rPr>
          <w:w w:val="100"/>
        </w:rPr>
        <w:t>师</w:t>
      </w:r>
      <w:r>
        <w:rPr>
          <w:spacing w:val="-3"/>
          <w:w w:val="100"/>
        </w:rPr>
        <w:t>事</w:t>
      </w:r>
      <w:r>
        <w:rPr>
          <w:w w:val="100"/>
        </w:rPr>
        <w:t>务</w:t>
      </w:r>
      <w:r>
        <w:rPr>
          <w:spacing w:val="-3"/>
          <w:w w:val="100"/>
        </w:rPr>
        <w:t>所</w:t>
      </w:r>
      <w:r>
        <w:rPr>
          <w:w w:val="100"/>
        </w:rPr>
        <w:t>的情</w:t>
      </w:r>
      <w:r>
        <w:rPr>
          <w:spacing w:val="-3"/>
          <w:w w:val="100"/>
        </w:rPr>
        <w:t>况</w:t>
      </w:r>
      <w:r>
        <w:rPr>
          <w:w w:val="100"/>
        </w:rPr>
        <w:t>说</w:t>
      </w:r>
      <w:r>
        <w:rPr>
          <w:spacing w:val="-3"/>
          <w:w w:val="100"/>
        </w:rPr>
        <w:t>明</w:t>
      </w:r>
      <w:r>
        <w:rPr>
          <w:rFonts w:ascii="宋体" w:hAnsi="宋体" w:cs="宋体" w:eastAsia="宋体" w:hint="default"/>
          <w:w w:val="100"/>
        </w:rPr>
        <w:t> </w:t>
      </w:r>
    </w:p>
    <w:p>
      <w:pPr>
        <w:pStyle w:val="BodyText"/>
        <w:spacing w:line="240" w:lineRule="auto" w:before="7"/>
        <w:ind w:right="200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38" w:right="0"/>
        <w:jc w:val="left"/>
      </w:pPr>
      <w:r>
        <w:rPr/>
        <w:t>经公司</w:t>
      </w:r>
      <w:r>
        <w:rPr>
          <w:spacing w:val="-5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年第一次临时股东大会审议通过，同意聘请大华会计师事务所（特殊普通合伙）</w:t>
      </w:r>
    </w:p>
    <w:p>
      <w:pPr>
        <w:pStyle w:val="BodyText"/>
        <w:spacing w:line="240" w:lineRule="auto" w:before="21"/>
        <w:ind w:right="2005"/>
        <w:jc w:val="left"/>
        <w:rPr>
          <w:rFonts w:ascii="宋体" w:hAnsi="宋体" w:cs="宋体" w:eastAsia="宋体" w:hint="default"/>
        </w:rPr>
      </w:pPr>
      <w:r>
        <w:rPr/>
        <w:t>为公司</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年度财务及内控报告审计机构。</w:t>
      </w:r>
      <w:r>
        <w:rPr>
          <w:rFonts w:ascii="宋体" w:hAnsi="宋体" w:cs="宋体" w:eastAsia="宋体" w:hint="default"/>
        </w:rPr>
        <w:t> </w:t>
      </w:r>
    </w:p>
    <w:p>
      <w:pPr>
        <w:pStyle w:val="BodyText"/>
        <w:spacing w:line="273" w:lineRule="auto" w:before="21"/>
        <w:ind w:right="2005"/>
        <w:jc w:val="left"/>
        <w:rPr>
          <w:rFonts w:ascii="宋体" w:hAnsi="宋体" w:cs="宋体" w:eastAsia="宋体" w:hint="default"/>
        </w:rPr>
      </w:pPr>
      <w:r>
        <w:rPr>
          <w:rFonts w:ascii="宋体" w:hAnsi="宋体" w:cs="宋体" w:eastAsia="宋体" w:hint="default"/>
          <w:w w:val="100"/>
        </w:rPr>
        <w:t>  </w:t>
      </w:r>
      <w:r>
        <w:rPr>
          <w:w w:val="100"/>
        </w:rPr>
        <w:t>审计</w:t>
      </w:r>
      <w:r>
        <w:rPr>
          <w:spacing w:val="-3"/>
          <w:w w:val="100"/>
        </w:rPr>
        <w:t>期</w:t>
      </w:r>
      <w:r>
        <w:rPr>
          <w:w w:val="100"/>
        </w:rPr>
        <w:t>间</w:t>
      </w:r>
      <w:r>
        <w:rPr>
          <w:spacing w:val="-3"/>
          <w:w w:val="100"/>
        </w:rPr>
        <w:t>改</w:t>
      </w:r>
      <w:r>
        <w:rPr>
          <w:w w:val="100"/>
        </w:rPr>
        <w:t>聘</w:t>
      </w:r>
      <w:r>
        <w:rPr>
          <w:spacing w:val="-3"/>
          <w:w w:val="100"/>
        </w:rPr>
        <w:t>会</w:t>
      </w:r>
      <w:r>
        <w:rPr>
          <w:w w:val="100"/>
        </w:rPr>
        <w:t>计</w:t>
      </w:r>
      <w:r>
        <w:rPr>
          <w:spacing w:val="-3"/>
          <w:w w:val="100"/>
        </w:rPr>
        <w:t>师</w:t>
      </w:r>
      <w:r>
        <w:rPr>
          <w:w w:val="100"/>
        </w:rPr>
        <w:t>事</w:t>
      </w:r>
      <w:r>
        <w:rPr>
          <w:spacing w:val="-3"/>
          <w:w w:val="100"/>
        </w:rPr>
        <w:t>务</w:t>
      </w:r>
      <w:r>
        <w:rPr>
          <w:w w:val="100"/>
        </w:rPr>
        <w:t>所的</w:t>
      </w:r>
      <w:r>
        <w:rPr>
          <w:spacing w:val="-3"/>
          <w:w w:val="100"/>
        </w:rPr>
        <w:t>情</w:t>
      </w:r>
      <w:r>
        <w:rPr>
          <w:w w:val="100"/>
        </w:rPr>
        <w:t>况</w:t>
      </w:r>
      <w:r>
        <w:rPr>
          <w:spacing w:val="-3"/>
          <w:w w:val="100"/>
        </w:rPr>
        <w:t>说明</w:t>
      </w:r>
      <w:r>
        <w:rPr>
          <w:rFonts w:ascii="宋体" w:hAnsi="宋体" w:cs="宋体" w:eastAsia="宋体" w:hint="default"/>
          <w:w w:val="100"/>
        </w:rPr>
        <w:t> </w:t>
      </w:r>
    </w:p>
    <w:p>
      <w:pPr>
        <w:spacing w:line="324" w:lineRule="auto" w:before="7"/>
        <w:ind w:left="218" w:right="628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七、面临暂停上市风险的情况</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导致暂停上市的原因</w:t>
      </w:r>
      <w:r>
        <w:rPr>
          <w:rFonts w:ascii="宋体" w:hAnsi="宋体" w:cs="宋体" w:eastAsia="宋体" w:hint="default"/>
          <w:sz w:val="21"/>
          <w:szCs w:val="21"/>
        </w:rPr>
      </w:r>
    </w:p>
    <w:p>
      <w:pPr>
        <w:pStyle w:val="BodyText"/>
        <w:spacing w:line="240" w:lineRule="auto" w:before="23"/>
        <w:ind w:right="200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6" w:lineRule="auto" w:before="37"/>
        <w:ind w:right="6392"/>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公司拟采取的应对</w:t>
      </w:r>
      <w:r>
        <w:rPr>
          <w:spacing w:val="-3"/>
          <w:w w:val="100"/>
        </w:rPr>
        <w:t>措</w:t>
      </w:r>
      <w:r>
        <w:rPr>
          <w:w w:val="100"/>
        </w:rPr>
        <w:t>施</w:t>
      </w:r>
      <w:r>
        <w:rPr>
          <w:b w:val="0"/>
          <w:bCs w:val="0"/>
          <w:w w:val="100"/>
        </w:rPr>
      </w:r>
    </w:p>
    <w:p>
      <w:pPr>
        <w:pStyle w:val="BodyText"/>
        <w:spacing w:line="240" w:lineRule="auto" w:before="21"/>
        <w:ind w:right="200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right="5973"/>
        <w:jc w:val="left"/>
        <w:rPr>
          <w:b w:val="0"/>
          <w:bCs w:val="0"/>
        </w:rPr>
      </w:pPr>
      <w:r>
        <w:rPr>
          <w:rFonts w:ascii="宋体" w:hAnsi="宋体" w:cs="宋体" w:eastAsia="宋体" w:hint="default"/>
          <w:b w:val="0"/>
          <w:bCs w:val="0"/>
          <w:w w:val="100"/>
        </w:rPr>
        <w:t> </w:t>
      </w:r>
      <w:r>
        <w:rPr>
          <w:w w:val="100"/>
        </w:rPr>
        <w:t>八</w:t>
      </w:r>
      <w:r>
        <w:rPr>
          <w:spacing w:val="-1"/>
          <w:w w:val="100"/>
        </w:rPr>
        <w:t>、</w:t>
      </w:r>
      <w:r>
        <w:rPr>
          <w:w w:val="100"/>
        </w:rPr>
        <w:t>面临终止上市的情</w:t>
      </w:r>
      <w:r>
        <w:rPr>
          <w:spacing w:val="-3"/>
          <w:w w:val="100"/>
        </w:rPr>
        <w:t>况</w:t>
      </w:r>
      <w:r>
        <w:rPr>
          <w:w w:val="100"/>
        </w:rPr>
        <w:t>和</w:t>
      </w:r>
      <w:r>
        <w:rPr>
          <w:spacing w:val="-3"/>
          <w:w w:val="100"/>
        </w:rPr>
        <w:t>原</w:t>
      </w:r>
      <w:r>
        <w:rPr>
          <w:w w:val="100"/>
        </w:rPr>
        <w:t>因</w:t>
      </w:r>
      <w:r>
        <w:rPr>
          <w:b w:val="0"/>
          <w:bCs w:val="0"/>
          <w:w w:val="100"/>
        </w:rPr>
      </w:r>
    </w:p>
    <w:p>
      <w:pPr>
        <w:pStyle w:val="BodyText"/>
        <w:spacing w:line="240" w:lineRule="auto" w:before="23"/>
        <w:ind w:right="200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right="6811"/>
        <w:jc w:val="left"/>
        <w:rPr>
          <w:b w:val="0"/>
          <w:bCs w:val="0"/>
        </w:rPr>
      </w:pPr>
      <w:r>
        <w:rPr>
          <w:rFonts w:ascii="宋体" w:hAnsi="宋体" w:cs="宋体" w:eastAsia="宋体" w:hint="default"/>
          <w:b w:val="0"/>
          <w:bCs w:val="0"/>
          <w:w w:val="100"/>
        </w:rPr>
        <w:t> </w:t>
      </w:r>
      <w:r>
        <w:rPr>
          <w:w w:val="100"/>
        </w:rPr>
        <w:t>九</w:t>
      </w:r>
      <w:r>
        <w:rPr>
          <w:spacing w:val="-1"/>
          <w:w w:val="100"/>
        </w:rPr>
        <w:t>、</w:t>
      </w:r>
      <w:r>
        <w:rPr>
          <w:w w:val="100"/>
        </w:rPr>
        <w:t>破产重整相关事项</w:t>
      </w:r>
      <w:r>
        <w:rPr>
          <w:b w:val="0"/>
          <w:bCs w:val="0"/>
          <w:w w:val="100"/>
        </w:rPr>
      </w:r>
    </w:p>
    <w:p>
      <w:pPr>
        <w:pStyle w:val="BodyText"/>
        <w:spacing w:line="240" w:lineRule="auto" w:before="23"/>
        <w:ind w:right="200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right="6600"/>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重大诉讼、仲裁事项</w:t>
      </w:r>
      <w:r>
        <w:rPr>
          <w:b w:val="0"/>
          <w:bCs w:val="0"/>
          <w:w w:val="100"/>
        </w:rPr>
      </w:r>
    </w:p>
    <w:p>
      <w:pPr>
        <w:pStyle w:val="BodyText"/>
        <w:spacing w:line="240" w:lineRule="auto" w:before="24"/>
        <w:ind w:right="2005"/>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right="87"/>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上市公司及其董事</w:t>
      </w:r>
      <w:r>
        <w:rPr>
          <w:spacing w:val="-5"/>
          <w:w w:val="100"/>
        </w:rPr>
        <w:t>、</w:t>
      </w:r>
      <w:r>
        <w:rPr>
          <w:w w:val="100"/>
        </w:rPr>
        <w:t>监</w:t>
      </w:r>
      <w:r>
        <w:rPr>
          <w:spacing w:val="-3"/>
          <w:w w:val="100"/>
        </w:rPr>
        <w:t>事</w:t>
      </w:r>
      <w:r>
        <w:rPr>
          <w:spacing w:val="-5"/>
          <w:w w:val="100"/>
        </w:rPr>
        <w:t>、</w:t>
      </w:r>
      <w:r>
        <w:rPr>
          <w:w w:val="100"/>
        </w:rPr>
        <w:t>高级管理人员</w:t>
      </w:r>
      <w:r>
        <w:rPr>
          <w:spacing w:val="-5"/>
          <w:w w:val="100"/>
        </w:rPr>
        <w:t>、</w:t>
      </w:r>
      <w:r>
        <w:rPr>
          <w:w w:val="100"/>
        </w:rPr>
        <w:t>控股</w:t>
      </w:r>
      <w:r>
        <w:rPr>
          <w:spacing w:val="-3"/>
          <w:w w:val="100"/>
        </w:rPr>
        <w:t>股</w:t>
      </w:r>
      <w:r>
        <w:rPr>
          <w:w w:val="100"/>
        </w:rPr>
        <w:t>东</w:t>
      </w:r>
      <w:r>
        <w:rPr>
          <w:spacing w:val="-5"/>
          <w:w w:val="100"/>
        </w:rPr>
        <w:t>、</w:t>
      </w:r>
      <w:r>
        <w:rPr>
          <w:w w:val="100"/>
        </w:rPr>
        <w:t>实际控制人</w:t>
      </w:r>
      <w:r>
        <w:rPr>
          <w:spacing w:val="-5"/>
          <w:w w:val="100"/>
        </w:rPr>
        <w:t>、</w:t>
      </w:r>
      <w:r>
        <w:rPr>
          <w:w w:val="100"/>
        </w:rPr>
        <w:t>收购</w:t>
      </w:r>
      <w:r>
        <w:rPr>
          <w:spacing w:val="-3"/>
          <w:w w:val="100"/>
        </w:rPr>
        <w:t>人</w:t>
      </w:r>
      <w:r>
        <w:rPr>
          <w:w w:val="100"/>
        </w:rPr>
        <w:t>处罚及整改情</w:t>
      </w:r>
      <w:r>
        <w:rPr>
          <w:b w:val="0"/>
          <w:bCs w:val="0"/>
          <w:w w:val="100"/>
        </w:rPr>
      </w:r>
    </w:p>
    <w:p>
      <w:pPr>
        <w:pStyle w:val="Heading4"/>
        <w:spacing w:line="239" w:lineRule="exact" w:before="0"/>
        <w:ind w:left="638" w:right="2005"/>
        <w:jc w:val="left"/>
        <w:rPr>
          <w:b w:val="0"/>
          <w:bCs w:val="0"/>
        </w:rPr>
      </w:pPr>
      <w:r>
        <w:rPr>
          <w:w w:val="100"/>
        </w:rPr>
        <w:t>况</w:t>
      </w:r>
      <w:r>
        <w:rPr>
          <w:b w:val="0"/>
          <w:bCs w:val="0"/>
          <w:w w:val="100"/>
        </w:rPr>
      </w:r>
    </w:p>
    <w:p>
      <w:pPr>
        <w:pStyle w:val="BodyText"/>
        <w:spacing w:line="240" w:lineRule="auto" w:before="97"/>
        <w:ind w:right="200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right="3022"/>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报告期内公司及其</w:t>
      </w:r>
      <w:r>
        <w:rPr>
          <w:spacing w:val="-3"/>
          <w:w w:val="100"/>
        </w:rPr>
        <w:t>控</w:t>
      </w:r>
      <w:r>
        <w:rPr>
          <w:w w:val="100"/>
        </w:rPr>
        <w:t>股</w:t>
      </w:r>
      <w:r>
        <w:rPr>
          <w:spacing w:val="-3"/>
          <w:w w:val="100"/>
        </w:rPr>
        <w:t>股</w:t>
      </w:r>
      <w:r>
        <w:rPr>
          <w:w w:val="100"/>
        </w:rPr>
        <w:t>东、实际控制人诚</w:t>
      </w:r>
      <w:r>
        <w:rPr>
          <w:spacing w:val="-3"/>
          <w:w w:val="100"/>
        </w:rPr>
        <w:t>信</w:t>
      </w:r>
      <w:r>
        <w:rPr>
          <w:w w:val="100"/>
        </w:rPr>
        <w:t>状</w:t>
      </w:r>
      <w:r>
        <w:rPr>
          <w:spacing w:val="-3"/>
          <w:w w:val="100"/>
        </w:rPr>
        <w:t>况</w:t>
      </w:r>
      <w:r>
        <w:rPr>
          <w:w w:val="100"/>
        </w:rPr>
        <w:t>的说明</w:t>
      </w:r>
      <w:r>
        <w:rPr>
          <w:b w:val="0"/>
          <w:bCs w:val="0"/>
          <w:w w:val="100"/>
        </w:rPr>
      </w:r>
    </w:p>
    <w:p>
      <w:pPr>
        <w:pStyle w:val="BodyText"/>
        <w:spacing w:line="240" w:lineRule="auto" w:before="23"/>
        <w:ind w:right="200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5" w:footer="979" w:top="1120" w:bottom="1160" w:left="1580" w:right="1060"/>
        </w:sectPr>
      </w:pPr>
    </w:p>
    <w:p>
      <w:pPr>
        <w:spacing w:line="240" w:lineRule="auto" w:before="1"/>
        <w:rPr>
          <w:rFonts w:ascii="宋体" w:hAnsi="宋体" w:cs="宋体" w:eastAsia="宋体" w:hint="default"/>
          <w:sz w:val="29"/>
          <w:szCs w:val="29"/>
        </w:rPr>
      </w:pPr>
    </w:p>
    <w:p>
      <w:pPr>
        <w:pStyle w:val="BodyText"/>
        <w:spacing w:line="240" w:lineRule="auto" w:before="61"/>
        <w:ind w:left="698" w:right="1452"/>
        <w:jc w:val="left"/>
        <w:rPr>
          <w:rFonts w:ascii="宋体" w:hAnsi="宋体" w:cs="宋体" w:eastAsia="宋体" w:hint="default"/>
          <w:sz w:val="24"/>
          <w:szCs w:val="24"/>
        </w:rPr>
      </w:pPr>
      <w:r>
        <w:rPr/>
        <w:t>报告期内，公司及控股股东、实际控制人吴志雄先生的诚信状况良好。</w:t>
      </w:r>
      <w:r>
        <w:rPr>
          <w:rFonts w:ascii="宋体" w:hAnsi="宋体" w:cs="宋体" w:eastAsia="宋体" w:hint="default"/>
          <w:sz w:val="24"/>
          <w:szCs w:val="24"/>
        </w:rPr>
        <w:t> </w:t>
      </w:r>
    </w:p>
    <w:p>
      <w:pPr>
        <w:spacing w:line="240" w:lineRule="auto" w:before="12"/>
        <w:rPr>
          <w:rFonts w:ascii="宋体" w:hAnsi="宋体" w:cs="宋体" w:eastAsia="宋体" w:hint="default"/>
          <w:sz w:val="27"/>
          <w:szCs w:val="27"/>
        </w:rPr>
      </w:pPr>
    </w:p>
    <w:p>
      <w:pPr>
        <w:pStyle w:val="Heading4"/>
        <w:spacing w:line="324" w:lineRule="auto" w:before="36"/>
        <w:ind w:right="145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23"/>
        <w:ind w:right="14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171"/>
        <w:gridCol w:w="5799"/>
      </w:tblGrid>
      <w:tr>
        <w:trPr>
          <w:trHeight w:val="32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94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110"/>
              <w:jc w:val="left"/>
              <w:rPr>
                <w:rFonts w:ascii="宋体" w:hAnsi="宋体" w:cs="宋体" w:eastAsia="宋体" w:hint="default"/>
                <w:sz w:val="21"/>
                <w:szCs w:val="21"/>
              </w:rPr>
            </w:pPr>
            <w:r>
              <w:rPr>
                <w:rFonts w:ascii="宋体" w:hAnsi="宋体" w:cs="宋体" w:eastAsia="宋体" w:hint="default"/>
                <w:spacing w:val="-2"/>
                <w:sz w:val="21"/>
                <w:szCs w:val="21"/>
              </w:rPr>
              <w:t>公司第二届董事会第二十七次会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议审议通过了实施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年限制</w:t>
            </w:r>
            <w:r>
              <w:rPr>
                <w:rFonts w:ascii="宋体" w:hAnsi="宋体" w:cs="宋体" w:eastAsia="宋体" w:hint="default"/>
                <w:w w:val="100"/>
                <w:sz w:val="21"/>
                <w:szCs w:val="21"/>
              </w:rPr>
              <w:t> </w:t>
            </w:r>
            <w:r>
              <w:rPr>
                <w:rFonts w:ascii="宋体" w:hAnsi="宋体" w:cs="宋体" w:eastAsia="宋体" w:hint="default"/>
                <w:sz w:val="21"/>
                <w:szCs w:val="21"/>
              </w:rPr>
              <w:t>性股票激励计划的有关事项</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详见公司于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2016 </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15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r>
              <w:rPr>
                <w:rFonts w:ascii="宋体" w:hAnsi="宋体" w:cs="宋体" w:eastAsia="宋体" w:hint="default"/>
                <w:spacing w:val="-65"/>
                <w:sz w:val="21"/>
                <w:szCs w:val="21"/>
              </w:rPr>
              <w:t> </w:t>
            </w:r>
            <w:r>
              <w:rPr>
                <w:rFonts w:ascii="宋体" w:hAnsi="宋体" w:cs="宋体" w:eastAsia="宋体" w:hint="default"/>
                <w:sz w:val="21"/>
                <w:szCs w:val="21"/>
              </w:rPr>
              <w:t>在</w:t>
            </w:r>
            <w:r>
              <w:rPr>
                <w:rFonts w:ascii="宋体" w:hAnsi="宋体" w:cs="宋体" w:eastAsia="宋体" w:hint="default"/>
                <w:spacing w:val="-65"/>
                <w:sz w:val="21"/>
                <w:szCs w:val="21"/>
              </w:rPr>
              <w:t> </w:t>
            </w:r>
            <w:r>
              <w:rPr>
                <w:rFonts w:ascii="宋体" w:hAnsi="宋体" w:cs="宋体" w:eastAsia="宋体" w:hint="default"/>
                <w:sz w:val="21"/>
                <w:szCs w:val="21"/>
              </w:rPr>
              <w:t>上</w:t>
            </w:r>
            <w:r>
              <w:rPr>
                <w:rFonts w:ascii="宋体" w:hAnsi="宋体" w:cs="宋体" w:eastAsia="宋体" w:hint="default"/>
                <w:spacing w:val="-65"/>
                <w:sz w:val="21"/>
                <w:szCs w:val="21"/>
              </w:rPr>
              <w:t> </w:t>
            </w:r>
            <w:r>
              <w:rPr>
                <w:rFonts w:ascii="宋体" w:hAnsi="宋体" w:cs="宋体" w:eastAsia="宋体" w:hint="default"/>
                <w:sz w:val="21"/>
                <w:szCs w:val="21"/>
              </w:rPr>
              <w:t>海</w:t>
            </w:r>
            <w:r>
              <w:rPr>
                <w:rFonts w:ascii="宋体" w:hAnsi="宋体" w:cs="宋体" w:eastAsia="宋体" w:hint="default"/>
                <w:spacing w:val="-65"/>
                <w:sz w:val="21"/>
                <w:szCs w:val="21"/>
              </w:rPr>
              <w:t> </w:t>
            </w:r>
            <w:r>
              <w:rPr>
                <w:rFonts w:ascii="宋体" w:hAnsi="宋体" w:cs="宋体" w:eastAsia="宋体" w:hint="default"/>
                <w:sz w:val="21"/>
                <w:szCs w:val="21"/>
              </w:rPr>
              <w:t>证</w:t>
            </w:r>
            <w:r>
              <w:rPr>
                <w:rFonts w:ascii="宋体" w:hAnsi="宋体" w:cs="宋体" w:eastAsia="宋体" w:hint="default"/>
                <w:spacing w:val="-67"/>
                <w:sz w:val="21"/>
                <w:szCs w:val="21"/>
              </w:rPr>
              <w:t> </w:t>
            </w:r>
            <w:r>
              <w:rPr>
                <w:rFonts w:ascii="宋体" w:hAnsi="宋体" w:cs="宋体" w:eastAsia="宋体" w:hint="default"/>
                <w:sz w:val="21"/>
                <w:szCs w:val="21"/>
              </w:rPr>
              <w:t>券</w:t>
            </w:r>
            <w:r>
              <w:rPr>
                <w:rFonts w:ascii="宋体" w:hAnsi="宋体" w:cs="宋体" w:eastAsia="宋体" w:hint="default"/>
                <w:spacing w:val="-65"/>
                <w:sz w:val="21"/>
                <w:szCs w:val="21"/>
              </w:rPr>
              <w:t> </w:t>
            </w:r>
            <w:r>
              <w:rPr>
                <w:rFonts w:ascii="宋体" w:hAnsi="宋体" w:cs="宋体" w:eastAsia="宋体" w:hint="default"/>
                <w:sz w:val="21"/>
                <w:szCs w:val="21"/>
              </w:rPr>
              <w:t>交</w:t>
            </w:r>
            <w:r>
              <w:rPr>
                <w:rFonts w:ascii="宋体" w:hAnsi="宋体" w:cs="宋体" w:eastAsia="宋体" w:hint="default"/>
                <w:spacing w:val="-65"/>
                <w:sz w:val="21"/>
                <w:szCs w:val="21"/>
              </w:rPr>
              <w:t> </w:t>
            </w:r>
            <w:r>
              <w:rPr>
                <w:rFonts w:ascii="宋体" w:hAnsi="宋体" w:cs="宋体" w:eastAsia="宋体" w:hint="default"/>
                <w:sz w:val="21"/>
                <w:szCs w:val="21"/>
              </w:rPr>
              <w:t>易</w:t>
            </w:r>
            <w:r>
              <w:rPr>
                <w:rFonts w:ascii="宋体" w:hAnsi="宋体" w:cs="宋体" w:eastAsia="宋体" w:hint="default"/>
                <w:spacing w:val="-65"/>
                <w:sz w:val="21"/>
                <w:szCs w:val="21"/>
              </w:rPr>
              <w:t> </w:t>
            </w:r>
            <w:r>
              <w:rPr>
                <w:rFonts w:ascii="宋体" w:hAnsi="宋体" w:cs="宋体" w:eastAsia="宋体" w:hint="default"/>
                <w:sz w:val="21"/>
                <w:szCs w:val="21"/>
              </w:rPr>
              <w:t>所</w:t>
            </w:r>
          </w:p>
          <w:p>
            <w:pPr>
              <w:pStyle w:val="TableParagraph"/>
              <w:spacing w:line="256" w:lineRule="auto" w:before="21"/>
              <w:ind w:left="103" w:right="98"/>
              <w:jc w:val="left"/>
              <w:rPr>
                <w:rFonts w:ascii="宋体" w:hAnsi="宋体" w:cs="宋体" w:eastAsia="宋体" w:hint="default"/>
                <w:sz w:val="21"/>
                <w:szCs w:val="21"/>
              </w:rPr>
            </w:pPr>
            <w:r>
              <w:rPr>
                <w:rFonts w:ascii="宋体" w:hAnsi="宋体" w:cs="宋体" w:eastAsia="宋体" w:hint="default"/>
                <w:spacing w:val="-3"/>
                <w:sz w:val="21"/>
                <w:szCs w:val="21"/>
              </w:rPr>
              <w:t>（</w:t>
            </w:r>
            <w:hyperlink r:id="rId13">
              <w:r>
                <w:rPr>
                  <w:rFonts w:ascii="Times New Roman" w:hAnsi="Times New Roman" w:cs="Times New Roman" w:eastAsia="Times New Roman" w:hint="default"/>
                  <w:spacing w:val="-3"/>
                  <w:sz w:val="21"/>
                  <w:szCs w:val="21"/>
                </w:rPr>
                <w:t>www.sse.com.cn</w:t>
              </w:r>
            </w:hyperlink>
            <w:r>
              <w:rPr>
                <w:rFonts w:ascii="宋体" w:hAnsi="宋体" w:cs="宋体" w:eastAsia="宋体" w:hint="default"/>
                <w:spacing w:val="-3"/>
                <w:sz w:val="21"/>
                <w:szCs w:val="21"/>
              </w:rPr>
              <w:t>）披露的《第二届董事会第二十七次会议决</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议公告》（公告编号：</w:t>
            </w:r>
            <w:r>
              <w:rPr>
                <w:rFonts w:ascii="Times New Roman" w:hAnsi="Times New Roman" w:cs="Times New Roman" w:eastAsia="Times New Roman" w:hint="default"/>
                <w:sz w:val="21"/>
                <w:szCs w:val="21"/>
              </w:rPr>
              <w:t>2016-065</w:t>
            </w:r>
            <w:r>
              <w:rPr>
                <w:rFonts w:ascii="宋体" w:hAnsi="宋体" w:cs="宋体" w:eastAsia="宋体" w:hint="default"/>
                <w:sz w:val="21"/>
                <w:szCs w:val="21"/>
              </w:rPr>
              <w:t>）</w:t>
            </w:r>
            <w:r>
              <w:rPr>
                <w:rFonts w:ascii="宋体" w:hAnsi="宋体" w:cs="宋体" w:eastAsia="宋体" w:hint="default"/>
                <w:sz w:val="21"/>
                <w:szCs w:val="21"/>
              </w:rPr>
              <w:t> </w:t>
            </w:r>
          </w:p>
        </w:tc>
      </w:tr>
      <w:tr>
        <w:trPr>
          <w:trHeight w:val="94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11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年第二次临时股东大</w:t>
            </w:r>
            <w:r>
              <w:rPr>
                <w:rFonts w:ascii="宋体" w:hAnsi="宋体" w:cs="宋体" w:eastAsia="宋体" w:hint="default"/>
                <w:w w:val="100"/>
                <w:sz w:val="21"/>
                <w:szCs w:val="21"/>
              </w:rPr>
              <w:t> </w:t>
            </w:r>
            <w:r>
              <w:rPr>
                <w:rFonts w:ascii="宋体" w:hAnsi="宋体" w:cs="宋体" w:eastAsia="宋体" w:hint="default"/>
                <w:spacing w:val="-2"/>
                <w:sz w:val="21"/>
                <w:szCs w:val="21"/>
              </w:rPr>
              <w:t>会决议通过了实施股权激励计划</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等事项</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58"/>
                <w:sz w:val="21"/>
                <w:szCs w:val="21"/>
              </w:rPr>
              <w:t> </w:t>
            </w:r>
            <w:r>
              <w:rPr>
                <w:rFonts w:ascii="宋体" w:hAnsi="宋体" w:cs="宋体" w:eastAsia="宋体" w:hint="default"/>
                <w:sz w:val="21"/>
                <w:szCs w:val="21"/>
              </w:rPr>
              <w:t>见</w:t>
            </w:r>
            <w:r>
              <w:rPr>
                <w:rFonts w:ascii="宋体" w:hAnsi="宋体" w:cs="宋体" w:eastAsia="宋体" w:hint="default"/>
                <w:spacing w:val="-60"/>
                <w:sz w:val="21"/>
                <w:szCs w:val="21"/>
              </w:rPr>
              <w:t> </w:t>
            </w:r>
            <w:r>
              <w:rPr>
                <w:rFonts w:ascii="宋体" w:hAnsi="宋体" w:cs="宋体" w:eastAsia="宋体" w:hint="default"/>
                <w:sz w:val="21"/>
                <w:szCs w:val="21"/>
              </w:rPr>
              <w:t>公</w:t>
            </w:r>
            <w:r>
              <w:rPr>
                <w:rFonts w:ascii="宋体" w:hAnsi="宋体" w:cs="宋体" w:eastAsia="宋体" w:hint="default"/>
                <w:spacing w:val="-60"/>
                <w:sz w:val="21"/>
                <w:szCs w:val="21"/>
              </w:rPr>
              <w:t> </w:t>
            </w:r>
            <w:r>
              <w:rPr>
                <w:rFonts w:ascii="宋体" w:hAnsi="宋体" w:cs="宋体" w:eastAsia="宋体" w:hint="default"/>
                <w:sz w:val="21"/>
                <w:szCs w:val="21"/>
              </w:rPr>
              <w:t>司</w:t>
            </w:r>
            <w:r>
              <w:rPr>
                <w:rFonts w:ascii="宋体" w:hAnsi="宋体" w:cs="宋体" w:eastAsia="宋体" w:hint="default"/>
                <w:spacing w:val="-60"/>
                <w:sz w:val="21"/>
                <w:szCs w:val="21"/>
              </w:rPr>
              <w:t> </w:t>
            </w:r>
            <w:r>
              <w:rPr>
                <w:rFonts w:ascii="宋体" w:hAnsi="宋体" w:cs="宋体" w:eastAsia="宋体" w:hint="default"/>
                <w:sz w:val="21"/>
                <w:szCs w:val="21"/>
              </w:rPr>
              <w:t>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2016 </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11 </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日</w:t>
            </w:r>
            <w:r>
              <w:rPr>
                <w:rFonts w:ascii="宋体" w:hAnsi="宋体" w:cs="宋体" w:eastAsia="宋体" w:hint="default"/>
                <w:spacing w:val="-60"/>
                <w:sz w:val="21"/>
                <w:szCs w:val="21"/>
              </w:rPr>
              <w:t> </w:t>
            </w:r>
            <w:r>
              <w:rPr>
                <w:rFonts w:ascii="宋体" w:hAnsi="宋体" w:cs="宋体" w:eastAsia="宋体" w:hint="default"/>
                <w:sz w:val="21"/>
                <w:szCs w:val="21"/>
              </w:rPr>
              <w:t>在</w:t>
            </w:r>
            <w:r>
              <w:rPr>
                <w:rFonts w:ascii="宋体" w:hAnsi="宋体" w:cs="宋体" w:eastAsia="宋体" w:hint="default"/>
                <w:spacing w:val="-58"/>
                <w:sz w:val="21"/>
                <w:szCs w:val="21"/>
              </w:rPr>
              <w:t> </w:t>
            </w:r>
            <w:r>
              <w:rPr>
                <w:rFonts w:ascii="宋体" w:hAnsi="宋体" w:cs="宋体" w:eastAsia="宋体" w:hint="default"/>
                <w:sz w:val="21"/>
                <w:szCs w:val="21"/>
              </w:rPr>
              <w:t>上</w:t>
            </w:r>
            <w:r>
              <w:rPr>
                <w:rFonts w:ascii="宋体" w:hAnsi="宋体" w:cs="宋体" w:eastAsia="宋体" w:hint="default"/>
                <w:spacing w:val="-60"/>
                <w:sz w:val="21"/>
                <w:szCs w:val="21"/>
              </w:rPr>
              <w:t> </w:t>
            </w:r>
            <w:r>
              <w:rPr>
                <w:rFonts w:ascii="宋体" w:hAnsi="宋体" w:cs="宋体" w:eastAsia="宋体" w:hint="default"/>
                <w:sz w:val="21"/>
                <w:szCs w:val="21"/>
              </w:rPr>
              <w:t>海</w:t>
            </w:r>
            <w:r>
              <w:rPr>
                <w:rFonts w:ascii="宋体" w:hAnsi="宋体" w:cs="宋体" w:eastAsia="宋体" w:hint="default"/>
                <w:spacing w:val="-58"/>
                <w:sz w:val="21"/>
                <w:szCs w:val="21"/>
              </w:rPr>
              <w:t> </w:t>
            </w:r>
            <w:r>
              <w:rPr>
                <w:rFonts w:ascii="宋体" w:hAnsi="宋体" w:cs="宋体" w:eastAsia="宋体" w:hint="default"/>
                <w:sz w:val="21"/>
                <w:szCs w:val="21"/>
              </w:rPr>
              <w:t>证</w:t>
            </w:r>
            <w:r>
              <w:rPr>
                <w:rFonts w:ascii="宋体" w:hAnsi="宋体" w:cs="宋体" w:eastAsia="宋体" w:hint="default"/>
                <w:spacing w:val="-60"/>
                <w:sz w:val="21"/>
                <w:szCs w:val="21"/>
              </w:rPr>
              <w:t> </w:t>
            </w:r>
            <w:r>
              <w:rPr>
                <w:rFonts w:ascii="宋体" w:hAnsi="宋体" w:cs="宋体" w:eastAsia="宋体" w:hint="default"/>
                <w:sz w:val="21"/>
                <w:szCs w:val="21"/>
              </w:rPr>
              <w:t>券</w:t>
            </w:r>
            <w:r>
              <w:rPr>
                <w:rFonts w:ascii="宋体" w:hAnsi="宋体" w:cs="宋体" w:eastAsia="宋体" w:hint="default"/>
                <w:spacing w:val="-60"/>
                <w:sz w:val="21"/>
                <w:szCs w:val="21"/>
              </w:rPr>
              <w:t> </w:t>
            </w:r>
            <w:r>
              <w:rPr>
                <w:rFonts w:ascii="宋体" w:hAnsi="宋体" w:cs="宋体" w:eastAsia="宋体" w:hint="default"/>
                <w:sz w:val="21"/>
                <w:szCs w:val="21"/>
              </w:rPr>
              <w:t>交</w:t>
            </w:r>
            <w:r>
              <w:rPr>
                <w:rFonts w:ascii="宋体" w:hAnsi="宋体" w:cs="宋体" w:eastAsia="宋体" w:hint="default"/>
                <w:spacing w:val="-58"/>
                <w:sz w:val="21"/>
                <w:szCs w:val="21"/>
              </w:rPr>
              <w:t> </w:t>
            </w:r>
            <w:r>
              <w:rPr>
                <w:rFonts w:ascii="宋体" w:hAnsi="宋体" w:cs="宋体" w:eastAsia="宋体" w:hint="default"/>
                <w:sz w:val="21"/>
                <w:szCs w:val="21"/>
              </w:rPr>
              <w:t>易</w:t>
            </w:r>
            <w:r>
              <w:rPr>
                <w:rFonts w:ascii="宋体" w:hAnsi="宋体" w:cs="宋体" w:eastAsia="宋体" w:hint="default"/>
                <w:spacing w:val="-60"/>
                <w:sz w:val="21"/>
                <w:szCs w:val="21"/>
              </w:rPr>
              <w:t> </w:t>
            </w:r>
            <w:r>
              <w:rPr>
                <w:rFonts w:ascii="宋体" w:hAnsi="宋体" w:cs="宋体" w:eastAsia="宋体" w:hint="default"/>
                <w:sz w:val="21"/>
                <w:szCs w:val="21"/>
              </w:rPr>
              <w:t>所</w:t>
            </w:r>
          </w:p>
          <w:p>
            <w:pPr>
              <w:pStyle w:val="TableParagraph"/>
              <w:spacing w:line="259" w:lineRule="auto" w:before="21"/>
              <w:ind w:left="103" w:right="99"/>
              <w:jc w:val="left"/>
              <w:rPr>
                <w:rFonts w:ascii="宋体" w:hAnsi="宋体" w:cs="宋体" w:eastAsia="宋体" w:hint="default"/>
                <w:sz w:val="21"/>
                <w:szCs w:val="21"/>
              </w:rPr>
            </w:pPr>
            <w:r>
              <w:rPr>
                <w:rFonts w:ascii="宋体" w:hAnsi="宋体" w:cs="宋体" w:eastAsia="宋体" w:hint="default"/>
                <w:spacing w:val="-5"/>
                <w:sz w:val="21"/>
                <w:szCs w:val="21"/>
              </w:rPr>
              <w:t>（</w:t>
            </w:r>
            <w:hyperlink r:id="rId13">
              <w:r>
                <w:rPr>
                  <w:rFonts w:ascii="Times New Roman" w:hAnsi="Times New Roman" w:cs="Times New Roman" w:eastAsia="Times New Roman" w:hint="default"/>
                  <w:spacing w:val="-5"/>
                  <w:sz w:val="21"/>
                  <w:szCs w:val="21"/>
                </w:rPr>
                <w:t>www.sse.com.cn</w:t>
              </w:r>
            </w:hyperlink>
            <w:r>
              <w:rPr>
                <w:rFonts w:ascii="宋体" w:hAnsi="宋体" w:cs="宋体" w:eastAsia="宋体" w:hint="default"/>
                <w:spacing w:val="-5"/>
                <w:sz w:val="21"/>
                <w:szCs w:val="21"/>
              </w:rPr>
              <w:t>）披露的《</w:t>
            </w:r>
            <w:r>
              <w:rPr>
                <w:rFonts w:ascii="Times New Roman" w:hAnsi="Times New Roman" w:cs="Times New Roman" w:eastAsia="Times New Roman" w:hint="default"/>
                <w:spacing w:val="-5"/>
                <w:sz w:val="21"/>
                <w:szCs w:val="21"/>
              </w:rPr>
              <w:t>2016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年第二次临时股东大会决议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公告》（公告编号：</w:t>
            </w:r>
            <w:r>
              <w:rPr>
                <w:rFonts w:ascii="Times New Roman" w:hAnsi="Times New Roman" w:cs="Times New Roman" w:eastAsia="Times New Roman" w:hint="default"/>
                <w:sz w:val="21"/>
                <w:szCs w:val="21"/>
              </w:rPr>
              <w:t>2016-076</w:t>
            </w:r>
            <w:r>
              <w:rPr>
                <w:rFonts w:ascii="宋体" w:hAnsi="宋体" w:cs="宋体" w:eastAsia="宋体" w:hint="default"/>
                <w:sz w:val="21"/>
                <w:szCs w:val="21"/>
              </w:rPr>
              <w:t>）</w:t>
            </w:r>
            <w:r>
              <w:rPr>
                <w:rFonts w:ascii="宋体" w:hAnsi="宋体" w:cs="宋体" w:eastAsia="宋体" w:hint="default"/>
                <w:sz w:val="21"/>
                <w:szCs w:val="21"/>
              </w:rPr>
              <w:t> </w:t>
            </w:r>
          </w:p>
        </w:tc>
      </w:tr>
      <w:tr>
        <w:trPr>
          <w:trHeight w:val="94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0"/>
              <w:jc w:val="both"/>
              <w:rPr>
                <w:rFonts w:ascii="宋体" w:hAnsi="宋体" w:cs="宋体" w:eastAsia="宋体" w:hint="default"/>
                <w:sz w:val="21"/>
                <w:szCs w:val="21"/>
              </w:rPr>
            </w:pPr>
            <w:r>
              <w:rPr>
                <w:rFonts w:ascii="宋体" w:hAnsi="宋体" w:cs="宋体" w:eastAsia="宋体" w:hint="default"/>
                <w:spacing w:val="-2"/>
                <w:sz w:val="21"/>
                <w:szCs w:val="21"/>
              </w:rPr>
              <w:t>公司第二届董事会第二十九次会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议决议通过了股权激励计划股份</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授予等事项</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详见公司于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2016 </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11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30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r>
              <w:rPr>
                <w:rFonts w:ascii="宋体" w:hAnsi="宋体" w:cs="宋体" w:eastAsia="宋体" w:hint="default"/>
                <w:spacing w:val="-65"/>
                <w:sz w:val="21"/>
                <w:szCs w:val="21"/>
              </w:rPr>
              <w:t> </w:t>
            </w:r>
            <w:r>
              <w:rPr>
                <w:rFonts w:ascii="宋体" w:hAnsi="宋体" w:cs="宋体" w:eastAsia="宋体" w:hint="default"/>
                <w:sz w:val="21"/>
                <w:szCs w:val="21"/>
              </w:rPr>
              <w:t>在</w:t>
            </w:r>
            <w:r>
              <w:rPr>
                <w:rFonts w:ascii="宋体" w:hAnsi="宋体" w:cs="宋体" w:eastAsia="宋体" w:hint="default"/>
                <w:spacing w:val="-65"/>
                <w:sz w:val="21"/>
                <w:szCs w:val="21"/>
              </w:rPr>
              <w:t> </w:t>
            </w:r>
            <w:r>
              <w:rPr>
                <w:rFonts w:ascii="宋体" w:hAnsi="宋体" w:cs="宋体" w:eastAsia="宋体" w:hint="default"/>
                <w:sz w:val="21"/>
                <w:szCs w:val="21"/>
              </w:rPr>
              <w:t>上</w:t>
            </w:r>
            <w:r>
              <w:rPr>
                <w:rFonts w:ascii="宋体" w:hAnsi="宋体" w:cs="宋体" w:eastAsia="宋体" w:hint="default"/>
                <w:spacing w:val="-65"/>
                <w:sz w:val="21"/>
                <w:szCs w:val="21"/>
              </w:rPr>
              <w:t> </w:t>
            </w:r>
            <w:r>
              <w:rPr>
                <w:rFonts w:ascii="宋体" w:hAnsi="宋体" w:cs="宋体" w:eastAsia="宋体" w:hint="default"/>
                <w:sz w:val="21"/>
                <w:szCs w:val="21"/>
              </w:rPr>
              <w:t>海</w:t>
            </w:r>
            <w:r>
              <w:rPr>
                <w:rFonts w:ascii="宋体" w:hAnsi="宋体" w:cs="宋体" w:eastAsia="宋体" w:hint="default"/>
                <w:spacing w:val="-65"/>
                <w:sz w:val="21"/>
                <w:szCs w:val="21"/>
              </w:rPr>
              <w:t> </w:t>
            </w:r>
            <w:r>
              <w:rPr>
                <w:rFonts w:ascii="宋体" w:hAnsi="宋体" w:cs="宋体" w:eastAsia="宋体" w:hint="default"/>
                <w:sz w:val="21"/>
                <w:szCs w:val="21"/>
              </w:rPr>
              <w:t>证</w:t>
            </w:r>
            <w:r>
              <w:rPr>
                <w:rFonts w:ascii="宋体" w:hAnsi="宋体" w:cs="宋体" w:eastAsia="宋体" w:hint="default"/>
                <w:spacing w:val="-67"/>
                <w:sz w:val="21"/>
                <w:szCs w:val="21"/>
              </w:rPr>
              <w:t> </w:t>
            </w:r>
            <w:r>
              <w:rPr>
                <w:rFonts w:ascii="宋体" w:hAnsi="宋体" w:cs="宋体" w:eastAsia="宋体" w:hint="default"/>
                <w:sz w:val="21"/>
                <w:szCs w:val="21"/>
              </w:rPr>
              <w:t>券</w:t>
            </w:r>
            <w:r>
              <w:rPr>
                <w:rFonts w:ascii="宋体" w:hAnsi="宋体" w:cs="宋体" w:eastAsia="宋体" w:hint="default"/>
                <w:spacing w:val="-65"/>
                <w:sz w:val="21"/>
                <w:szCs w:val="21"/>
              </w:rPr>
              <w:t> </w:t>
            </w:r>
            <w:r>
              <w:rPr>
                <w:rFonts w:ascii="宋体" w:hAnsi="宋体" w:cs="宋体" w:eastAsia="宋体" w:hint="default"/>
                <w:sz w:val="21"/>
                <w:szCs w:val="21"/>
              </w:rPr>
              <w:t>交</w:t>
            </w:r>
            <w:r>
              <w:rPr>
                <w:rFonts w:ascii="宋体" w:hAnsi="宋体" w:cs="宋体" w:eastAsia="宋体" w:hint="default"/>
                <w:spacing w:val="-65"/>
                <w:sz w:val="21"/>
                <w:szCs w:val="21"/>
              </w:rPr>
              <w:t> </w:t>
            </w:r>
            <w:r>
              <w:rPr>
                <w:rFonts w:ascii="宋体" w:hAnsi="宋体" w:cs="宋体" w:eastAsia="宋体" w:hint="default"/>
                <w:sz w:val="21"/>
                <w:szCs w:val="21"/>
              </w:rPr>
              <w:t>易</w:t>
            </w:r>
            <w:r>
              <w:rPr>
                <w:rFonts w:ascii="宋体" w:hAnsi="宋体" w:cs="宋体" w:eastAsia="宋体" w:hint="default"/>
                <w:spacing w:val="-65"/>
                <w:sz w:val="21"/>
                <w:szCs w:val="21"/>
              </w:rPr>
              <w:t> </w:t>
            </w:r>
            <w:r>
              <w:rPr>
                <w:rFonts w:ascii="宋体" w:hAnsi="宋体" w:cs="宋体" w:eastAsia="宋体" w:hint="default"/>
                <w:sz w:val="21"/>
                <w:szCs w:val="21"/>
              </w:rPr>
              <w:t>所</w:t>
            </w:r>
          </w:p>
          <w:p>
            <w:pPr>
              <w:pStyle w:val="TableParagraph"/>
              <w:spacing w:line="256" w:lineRule="auto" w:before="21"/>
              <w:ind w:left="103" w:right="98"/>
              <w:jc w:val="left"/>
              <w:rPr>
                <w:rFonts w:ascii="宋体" w:hAnsi="宋体" w:cs="宋体" w:eastAsia="宋体" w:hint="default"/>
                <w:sz w:val="21"/>
                <w:szCs w:val="21"/>
              </w:rPr>
            </w:pPr>
            <w:r>
              <w:rPr>
                <w:rFonts w:ascii="宋体" w:hAnsi="宋体" w:cs="宋体" w:eastAsia="宋体" w:hint="default"/>
                <w:spacing w:val="-3"/>
                <w:sz w:val="21"/>
                <w:szCs w:val="21"/>
              </w:rPr>
              <w:t>（</w:t>
            </w:r>
            <w:hyperlink r:id="rId13">
              <w:r>
                <w:rPr>
                  <w:rFonts w:ascii="Times New Roman" w:hAnsi="Times New Roman" w:cs="Times New Roman" w:eastAsia="Times New Roman" w:hint="default"/>
                  <w:spacing w:val="-3"/>
                  <w:sz w:val="21"/>
                  <w:szCs w:val="21"/>
                </w:rPr>
                <w:t>www.sse.com.cn</w:t>
              </w:r>
            </w:hyperlink>
            <w:r>
              <w:rPr>
                <w:rFonts w:ascii="宋体" w:hAnsi="宋体" w:cs="宋体" w:eastAsia="宋体" w:hint="default"/>
                <w:spacing w:val="-3"/>
                <w:sz w:val="21"/>
                <w:szCs w:val="21"/>
              </w:rPr>
              <w:t>）披露的《第二届董事会第二十九次会议决</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议公告》（公告编号：</w:t>
            </w:r>
            <w:r>
              <w:rPr>
                <w:rFonts w:ascii="Times New Roman" w:hAnsi="Times New Roman" w:cs="Times New Roman" w:eastAsia="Times New Roman" w:hint="default"/>
                <w:sz w:val="21"/>
                <w:szCs w:val="21"/>
              </w:rPr>
              <w:t>2016-080</w:t>
            </w:r>
            <w:r>
              <w:rPr>
                <w:rFonts w:ascii="宋体" w:hAnsi="宋体" w:cs="宋体" w:eastAsia="宋体" w:hint="default"/>
                <w:sz w:val="21"/>
                <w:szCs w:val="21"/>
              </w:rPr>
              <w:t>）</w:t>
            </w:r>
            <w:r>
              <w:rPr>
                <w:rFonts w:ascii="宋体" w:hAnsi="宋体" w:cs="宋体" w:eastAsia="宋体" w:hint="default"/>
                <w:sz w:val="21"/>
                <w:szCs w:val="21"/>
              </w:rPr>
              <w:t> </w:t>
            </w:r>
          </w:p>
        </w:tc>
      </w:tr>
      <w:tr>
        <w:trPr>
          <w:trHeight w:val="94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71"/>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年限制性股票激励计划首</w:t>
            </w:r>
            <w:r>
              <w:rPr>
                <w:rFonts w:ascii="宋体" w:hAnsi="宋体" w:cs="宋体" w:eastAsia="宋体" w:hint="default"/>
                <w:w w:val="100"/>
                <w:sz w:val="21"/>
                <w:szCs w:val="21"/>
              </w:rPr>
              <w:t> </w:t>
            </w:r>
            <w:r>
              <w:rPr>
                <w:rFonts w:ascii="宋体" w:hAnsi="宋体" w:cs="宋体" w:eastAsia="宋体" w:hint="default"/>
                <w:sz w:val="21"/>
                <w:szCs w:val="21"/>
              </w:rPr>
              <w:t>次授予部分完成授予登记</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详见公司于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2016 </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21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r>
              <w:rPr>
                <w:rFonts w:ascii="宋体" w:hAnsi="宋体" w:cs="宋体" w:eastAsia="宋体" w:hint="default"/>
                <w:spacing w:val="-65"/>
                <w:sz w:val="21"/>
                <w:szCs w:val="21"/>
              </w:rPr>
              <w:t> </w:t>
            </w:r>
            <w:r>
              <w:rPr>
                <w:rFonts w:ascii="宋体" w:hAnsi="宋体" w:cs="宋体" w:eastAsia="宋体" w:hint="default"/>
                <w:sz w:val="21"/>
                <w:szCs w:val="21"/>
              </w:rPr>
              <w:t>在</w:t>
            </w:r>
            <w:r>
              <w:rPr>
                <w:rFonts w:ascii="宋体" w:hAnsi="宋体" w:cs="宋体" w:eastAsia="宋体" w:hint="default"/>
                <w:spacing w:val="-65"/>
                <w:sz w:val="21"/>
                <w:szCs w:val="21"/>
              </w:rPr>
              <w:t> </w:t>
            </w:r>
            <w:r>
              <w:rPr>
                <w:rFonts w:ascii="宋体" w:hAnsi="宋体" w:cs="宋体" w:eastAsia="宋体" w:hint="default"/>
                <w:sz w:val="21"/>
                <w:szCs w:val="21"/>
              </w:rPr>
              <w:t>上</w:t>
            </w:r>
            <w:r>
              <w:rPr>
                <w:rFonts w:ascii="宋体" w:hAnsi="宋体" w:cs="宋体" w:eastAsia="宋体" w:hint="default"/>
                <w:spacing w:val="-65"/>
                <w:sz w:val="21"/>
                <w:szCs w:val="21"/>
              </w:rPr>
              <w:t> </w:t>
            </w:r>
            <w:r>
              <w:rPr>
                <w:rFonts w:ascii="宋体" w:hAnsi="宋体" w:cs="宋体" w:eastAsia="宋体" w:hint="default"/>
                <w:sz w:val="21"/>
                <w:szCs w:val="21"/>
              </w:rPr>
              <w:t>海</w:t>
            </w:r>
            <w:r>
              <w:rPr>
                <w:rFonts w:ascii="宋体" w:hAnsi="宋体" w:cs="宋体" w:eastAsia="宋体" w:hint="default"/>
                <w:spacing w:val="-65"/>
                <w:sz w:val="21"/>
                <w:szCs w:val="21"/>
              </w:rPr>
              <w:t> </w:t>
            </w:r>
            <w:r>
              <w:rPr>
                <w:rFonts w:ascii="宋体" w:hAnsi="宋体" w:cs="宋体" w:eastAsia="宋体" w:hint="default"/>
                <w:sz w:val="21"/>
                <w:szCs w:val="21"/>
              </w:rPr>
              <w:t>证</w:t>
            </w:r>
            <w:r>
              <w:rPr>
                <w:rFonts w:ascii="宋体" w:hAnsi="宋体" w:cs="宋体" w:eastAsia="宋体" w:hint="default"/>
                <w:spacing w:val="-67"/>
                <w:sz w:val="21"/>
                <w:szCs w:val="21"/>
              </w:rPr>
              <w:t> </w:t>
            </w:r>
            <w:r>
              <w:rPr>
                <w:rFonts w:ascii="宋体" w:hAnsi="宋体" w:cs="宋体" w:eastAsia="宋体" w:hint="default"/>
                <w:sz w:val="21"/>
                <w:szCs w:val="21"/>
              </w:rPr>
              <w:t>券</w:t>
            </w:r>
            <w:r>
              <w:rPr>
                <w:rFonts w:ascii="宋体" w:hAnsi="宋体" w:cs="宋体" w:eastAsia="宋体" w:hint="default"/>
                <w:spacing w:val="-65"/>
                <w:sz w:val="21"/>
                <w:szCs w:val="21"/>
              </w:rPr>
              <w:t> </w:t>
            </w:r>
            <w:r>
              <w:rPr>
                <w:rFonts w:ascii="宋体" w:hAnsi="宋体" w:cs="宋体" w:eastAsia="宋体" w:hint="default"/>
                <w:sz w:val="21"/>
                <w:szCs w:val="21"/>
              </w:rPr>
              <w:t>交</w:t>
            </w:r>
            <w:r>
              <w:rPr>
                <w:rFonts w:ascii="宋体" w:hAnsi="宋体" w:cs="宋体" w:eastAsia="宋体" w:hint="default"/>
                <w:spacing w:val="-65"/>
                <w:sz w:val="21"/>
                <w:szCs w:val="21"/>
              </w:rPr>
              <w:t> </w:t>
            </w:r>
            <w:r>
              <w:rPr>
                <w:rFonts w:ascii="宋体" w:hAnsi="宋体" w:cs="宋体" w:eastAsia="宋体" w:hint="default"/>
                <w:sz w:val="21"/>
                <w:szCs w:val="21"/>
              </w:rPr>
              <w:t>易</w:t>
            </w:r>
            <w:r>
              <w:rPr>
                <w:rFonts w:ascii="宋体" w:hAnsi="宋体" w:cs="宋体" w:eastAsia="宋体" w:hint="default"/>
                <w:spacing w:val="-65"/>
                <w:sz w:val="21"/>
                <w:szCs w:val="21"/>
              </w:rPr>
              <w:t> </w:t>
            </w:r>
            <w:r>
              <w:rPr>
                <w:rFonts w:ascii="宋体" w:hAnsi="宋体" w:cs="宋体" w:eastAsia="宋体" w:hint="default"/>
                <w:sz w:val="21"/>
                <w:szCs w:val="21"/>
              </w:rPr>
              <w:t>所</w:t>
            </w:r>
          </w:p>
          <w:p>
            <w:pPr>
              <w:pStyle w:val="TableParagraph"/>
              <w:spacing w:line="256" w:lineRule="auto" w:before="21"/>
              <w:ind w:left="103" w:right="98"/>
              <w:jc w:val="left"/>
              <w:rPr>
                <w:rFonts w:ascii="宋体" w:hAnsi="宋体" w:cs="宋体" w:eastAsia="宋体" w:hint="default"/>
                <w:sz w:val="21"/>
                <w:szCs w:val="21"/>
              </w:rPr>
            </w:pPr>
            <w:r>
              <w:rPr>
                <w:rFonts w:ascii="宋体" w:hAnsi="宋体" w:cs="宋体" w:eastAsia="宋体" w:hint="default"/>
                <w:spacing w:val="-3"/>
                <w:sz w:val="21"/>
                <w:szCs w:val="21"/>
              </w:rPr>
              <w:t>（</w:t>
            </w:r>
            <w:hyperlink r:id="rId13">
              <w:r>
                <w:rPr>
                  <w:rFonts w:ascii="Times New Roman" w:hAnsi="Times New Roman" w:cs="Times New Roman" w:eastAsia="Times New Roman" w:hint="default"/>
                  <w:spacing w:val="-3"/>
                  <w:sz w:val="21"/>
                  <w:szCs w:val="21"/>
                </w:rPr>
                <w:t>www.sse.com.cn</w:t>
              </w:r>
            </w:hyperlink>
            <w:r>
              <w:rPr>
                <w:rFonts w:ascii="宋体" w:hAnsi="宋体" w:cs="宋体" w:eastAsia="宋体" w:hint="default"/>
                <w:spacing w:val="-3"/>
                <w:sz w:val="21"/>
                <w:szCs w:val="21"/>
              </w:rPr>
              <w:t>）披露的《关于限制性股票激励计划首次授</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予登记完成的公告》（公告编号：</w:t>
            </w:r>
            <w:r>
              <w:rPr>
                <w:rFonts w:ascii="Times New Roman" w:hAnsi="Times New Roman" w:cs="Times New Roman" w:eastAsia="Times New Roman" w:hint="default"/>
                <w:sz w:val="21"/>
                <w:szCs w:val="21"/>
              </w:rPr>
              <w:t>2016-086</w:t>
            </w:r>
            <w:r>
              <w:rPr>
                <w:rFonts w:ascii="宋体" w:hAnsi="宋体" w:cs="宋体" w:eastAsia="宋体" w:hint="default"/>
                <w:sz w:val="21"/>
                <w:szCs w:val="21"/>
              </w:rPr>
              <w:t>）</w:t>
            </w:r>
            <w:r>
              <w:rPr>
                <w:rFonts w:ascii="宋体" w:hAnsi="宋体" w:cs="宋体" w:eastAsia="宋体" w:hint="default"/>
                <w:sz w:val="21"/>
                <w:szCs w:val="21"/>
              </w:rPr>
              <w:t> </w:t>
            </w:r>
          </w:p>
        </w:tc>
      </w:tr>
      <w:tr>
        <w:trPr>
          <w:trHeight w:val="94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143"/>
              <w:ind w:left="103" w:right="271"/>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年限制性股票激励计划预</w:t>
            </w:r>
            <w:r>
              <w:rPr>
                <w:rFonts w:ascii="宋体" w:hAnsi="宋体" w:cs="宋体" w:eastAsia="宋体" w:hint="default"/>
                <w:w w:val="100"/>
                <w:sz w:val="21"/>
                <w:szCs w:val="21"/>
              </w:rPr>
              <w:t> </w:t>
            </w:r>
            <w:r>
              <w:rPr>
                <w:rFonts w:ascii="宋体" w:hAnsi="宋体" w:cs="宋体" w:eastAsia="宋体" w:hint="default"/>
                <w:sz w:val="21"/>
                <w:szCs w:val="21"/>
              </w:rPr>
              <w:t>留部分完成授予登记</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详见公司于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2017 </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11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25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r>
              <w:rPr>
                <w:rFonts w:ascii="宋体" w:hAnsi="宋体" w:cs="宋体" w:eastAsia="宋体" w:hint="default"/>
                <w:spacing w:val="-65"/>
                <w:sz w:val="21"/>
                <w:szCs w:val="21"/>
              </w:rPr>
              <w:t> </w:t>
            </w:r>
            <w:r>
              <w:rPr>
                <w:rFonts w:ascii="宋体" w:hAnsi="宋体" w:cs="宋体" w:eastAsia="宋体" w:hint="default"/>
                <w:sz w:val="21"/>
                <w:szCs w:val="21"/>
              </w:rPr>
              <w:t>在</w:t>
            </w:r>
            <w:r>
              <w:rPr>
                <w:rFonts w:ascii="宋体" w:hAnsi="宋体" w:cs="宋体" w:eastAsia="宋体" w:hint="default"/>
                <w:spacing w:val="-65"/>
                <w:sz w:val="21"/>
                <w:szCs w:val="21"/>
              </w:rPr>
              <w:t> </w:t>
            </w:r>
            <w:r>
              <w:rPr>
                <w:rFonts w:ascii="宋体" w:hAnsi="宋体" w:cs="宋体" w:eastAsia="宋体" w:hint="default"/>
                <w:sz w:val="21"/>
                <w:szCs w:val="21"/>
              </w:rPr>
              <w:t>上</w:t>
            </w:r>
            <w:r>
              <w:rPr>
                <w:rFonts w:ascii="宋体" w:hAnsi="宋体" w:cs="宋体" w:eastAsia="宋体" w:hint="default"/>
                <w:spacing w:val="-65"/>
                <w:sz w:val="21"/>
                <w:szCs w:val="21"/>
              </w:rPr>
              <w:t> </w:t>
            </w:r>
            <w:r>
              <w:rPr>
                <w:rFonts w:ascii="宋体" w:hAnsi="宋体" w:cs="宋体" w:eastAsia="宋体" w:hint="default"/>
                <w:sz w:val="21"/>
                <w:szCs w:val="21"/>
              </w:rPr>
              <w:t>海</w:t>
            </w:r>
            <w:r>
              <w:rPr>
                <w:rFonts w:ascii="宋体" w:hAnsi="宋体" w:cs="宋体" w:eastAsia="宋体" w:hint="default"/>
                <w:spacing w:val="-65"/>
                <w:sz w:val="21"/>
                <w:szCs w:val="21"/>
              </w:rPr>
              <w:t> </w:t>
            </w:r>
            <w:r>
              <w:rPr>
                <w:rFonts w:ascii="宋体" w:hAnsi="宋体" w:cs="宋体" w:eastAsia="宋体" w:hint="default"/>
                <w:sz w:val="21"/>
                <w:szCs w:val="21"/>
              </w:rPr>
              <w:t>证</w:t>
            </w:r>
            <w:r>
              <w:rPr>
                <w:rFonts w:ascii="宋体" w:hAnsi="宋体" w:cs="宋体" w:eastAsia="宋体" w:hint="default"/>
                <w:spacing w:val="-67"/>
                <w:sz w:val="21"/>
                <w:szCs w:val="21"/>
              </w:rPr>
              <w:t> </w:t>
            </w:r>
            <w:r>
              <w:rPr>
                <w:rFonts w:ascii="宋体" w:hAnsi="宋体" w:cs="宋体" w:eastAsia="宋体" w:hint="default"/>
                <w:sz w:val="21"/>
                <w:szCs w:val="21"/>
              </w:rPr>
              <w:t>券</w:t>
            </w:r>
            <w:r>
              <w:rPr>
                <w:rFonts w:ascii="宋体" w:hAnsi="宋体" w:cs="宋体" w:eastAsia="宋体" w:hint="default"/>
                <w:spacing w:val="-65"/>
                <w:sz w:val="21"/>
                <w:szCs w:val="21"/>
              </w:rPr>
              <w:t> </w:t>
            </w:r>
            <w:r>
              <w:rPr>
                <w:rFonts w:ascii="宋体" w:hAnsi="宋体" w:cs="宋体" w:eastAsia="宋体" w:hint="default"/>
                <w:sz w:val="21"/>
                <w:szCs w:val="21"/>
              </w:rPr>
              <w:t>交</w:t>
            </w:r>
            <w:r>
              <w:rPr>
                <w:rFonts w:ascii="宋体" w:hAnsi="宋体" w:cs="宋体" w:eastAsia="宋体" w:hint="default"/>
                <w:spacing w:val="-65"/>
                <w:sz w:val="21"/>
                <w:szCs w:val="21"/>
              </w:rPr>
              <w:t> </w:t>
            </w:r>
            <w:r>
              <w:rPr>
                <w:rFonts w:ascii="宋体" w:hAnsi="宋体" w:cs="宋体" w:eastAsia="宋体" w:hint="default"/>
                <w:sz w:val="21"/>
                <w:szCs w:val="21"/>
              </w:rPr>
              <w:t>易</w:t>
            </w:r>
            <w:r>
              <w:rPr>
                <w:rFonts w:ascii="宋体" w:hAnsi="宋体" w:cs="宋体" w:eastAsia="宋体" w:hint="default"/>
                <w:spacing w:val="-65"/>
                <w:sz w:val="21"/>
                <w:szCs w:val="21"/>
              </w:rPr>
              <w:t> </w:t>
            </w:r>
            <w:r>
              <w:rPr>
                <w:rFonts w:ascii="宋体" w:hAnsi="宋体" w:cs="宋体" w:eastAsia="宋体" w:hint="default"/>
                <w:sz w:val="21"/>
                <w:szCs w:val="21"/>
              </w:rPr>
              <w:t>所</w:t>
            </w:r>
          </w:p>
          <w:p>
            <w:pPr>
              <w:pStyle w:val="TableParagraph"/>
              <w:spacing w:line="256" w:lineRule="auto" w:before="21"/>
              <w:ind w:left="103" w:right="98"/>
              <w:jc w:val="left"/>
              <w:rPr>
                <w:rFonts w:ascii="宋体" w:hAnsi="宋体" w:cs="宋体" w:eastAsia="宋体" w:hint="default"/>
                <w:sz w:val="21"/>
                <w:szCs w:val="21"/>
              </w:rPr>
            </w:pPr>
            <w:r>
              <w:rPr>
                <w:rFonts w:ascii="宋体" w:hAnsi="宋体" w:cs="宋体" w:eastAsia="宋体" w:hint="default"/>
                <w:spacing w:val="-3"/>
                <w:sz w:val="21"/>
                <w:szCs w:val="21"/>
              </w:rPr>
              <w:t>（</w:t>
            </w:r>
            <w:hyperlink r:id="rId13">
              <w:r>
                <w:rPr>
                  <w:rFonts w:ascii="Times New Roman" w:hAnsi="Times New Roman" w:cs="Times New Roman" w:eastAsia="Times New Roman" w:hint="default"/>
                  <w:spacing w:val="-3"/>
                  <w:sz w:val="21"/>
                  <w:szCs w:val="21"/>
                </w:rPr>
                <w:t>www.sse.com.cn</w:t>
              </w:r>
            </w:hyperlink>
            <w:r>
              <w:rPr>
                <w:rFonts w:ascii="宋体" w:hAnsi="宋体" w:cs="宋体" w:eastAsia="宋体" w:hint="default"/>
                <w:spacing w:val="-3"/>
                <w:sz w:val="21"/>
                <w:szCs w:val="21"/>
              </w:rPr>
              <w:t>）披露的《关于限制性股票激励计划预留部</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分授予登记完成的公告》（公告编号：</w:t>
            </w:r>
            <w:r>
              <w:rPr>
                <w:rFonts w:ascii="Times New Roman" w:hAnsi="Times New Roman" w:cs="Times New Roman" w:eastAsia="Times New Roman" w:hint="default"/>
                <w:sz w:val="21"/>
                <w:szCs w:val="21"/>
              </w:rPr>
              <w:t>2017-121</w:t>
            </w:r>
            <w:r>
              <w:rPr>
                <w:rFonts w:ascii="宋体" w:hAnsi="宋体" w:cs="宋体" w:eastAsia="宋体" w:hint="default"/>
                <w:sz w:val="21"/>
                <w:szCs w:val="21"/>
              </w:rPr>
              <w:t>）</w:t>
            </w:r>
            <w:r>
              <w:rPr>
                <w:rFonts w:ascii="宋体" w:hAnsi="宋体" w:cs="宋体" w:eastAsia="宋体" w:hint="default"/>
                <w:sz w:val="21"/>
                <w:szCs w:val="21"/>
              </w:rPr>
              <w:t> </w:t>
            </w:r>
          </w:p>
        </w:tc>
      </w:tr>
      <w:tr>
        <w:trPr>
          <w:trHeight w:val="1260"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11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年限制性股票激励计划首</w:t>
            </w:r>
            <w:r>
              <w:rPr>
                <w:rFonts w:ascii="宋体" w:hAnsi="宋体" w:cs="宋体" w:eastAsia="宋体" w:hint="default"/>
                <w:w w:val="100"/>
                <w:sz w:val="21"/>
                <w:szCs w:val="21"/>
              </w:rPr>
              <w:t> </w:t>
            </w:r>
            <w:r>
              <w:rPr>
                <w:rFonts w:ascii="宋体" w:hAnsi="宋体" w:cs="宋体" w:eastAsia="宋体" w:hint="default"/>
                <w:spacing w:val="-2"/>
                <w:sz w:val="21"/>
                <w:szCs w:val="21"/>
              </w:rPr>
              <w:t>次授予的部分激励对象由于离职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或绩效未达标，依据激励计划规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定回购注销相应股份</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pacing w:val="31"/>
                <w:sz w:val="21"/>
                <w:szCs w:val="21"/>
              </w:rPr>
              <w:t>详见公司于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2017 </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11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30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r>
              <w:rPr>
                <w:rFonts w:ascii="宋体" w:hAnsi="宋体" w:cs="宋体" w:eastAsia="宋体" w:hint="default"/>
                <w:spacing w:val="-65"/>
                <w:sz w:val="21"/>
                <w:szCs w:val="21"/>
              </w:rPr>
              <w:t> </w:t>
            </w:r>
            <w:r>
              <w:rPr>
                <w:rFonts w:ascii="宋体" w:hAnsi="宋体" w:cs="宋体" w:eastAsia="宋体" w:hint="default"/>
                <w:sz w:val="21"/>
                <w:szCs w:val="21"/>
              </w:rPr>
              <w:t>在</w:t>
            </w:r>
            <w:r>
              <w:rPr>
                <w:rFonts w:ascii="宋体" w:hAnsi="宋体" w:cs="宋体" w:eastAsia="宋体" w:hint="default"/>
                <w:spacing w:val="-65"/>
                <w:sz w:val="21"/>
                <w:szCs w:val="21"/>
              </w:rPr>
              <w:t> </w:t>
            </w:r>
            <w:r>
              <w:rPr>
                <w:rFonts w:ascii="宋体" w:hAnsi="宋体" w:cs="宋体" w:eastAsia="宋体" w:hint="default"/>
                <w:sz w:val="21"/>
                <w:szCs w:val="21"/>
              </w:rPr>
              <w:t>上</w:t>
            </w:r>
            <w:r>
              <w:rPr>
                <w:rFonts w:ascii="宋体" w:hAnsi="宋体" w:cs="宋体" w:eastAsia="宋体" w:hint="default"/>
                <w:spacing w:val="-65"/>
                <w:sz w:val="21"/>
                <w:szCs w:val="21"/>
              </w:rPr>
              <w:t> </w:t>
            </w:r>
            <w:r>
              <w:rPr>
                <w:rFonts w:ascii="宋体" w:hAnsi="宋体" w:cs="宋体" w:eastAsia="宋体" w:hint="default"/>
                <w:sz w:val="21"/>
                <w:szCs w:val="21"/>
              </w:rPr>
              <w:t>海</w:t>
            </w:r>
            <w:r>
              <w:rPr>
                <w:rFonts w:ascii="宋体" w:hAnsi="宋体" w:cs="宋体" w:eastAsia="宋体" w:hint="default"/>
                <w:spacing w:val="-65"/>
                <w:sz w:val="21"/>
                <w:szCs w:val="21"/>
              </w:rPr>
              <w:t> </w:t>
            </w:r>
            <w:r>
              <w:rPr>
                <w:rFonts w:ascii="宋体" w:hAnsi="宋体" w:cs="宋体" w:eastAsia="宋体" w:hint="default"/>
                <w:sz w:val="21"/>
                <w:szCs w:val="21"/>
              </w:rPr>
              <w:t>证</w:t>
            </w:r>
            <w:r>
              <w:rPr>
                <w:rFonts w:ascii="宋体" w:hAnsi="宋体" w:cs="宋体" w:eastAsia="宋体" w:hint="default"/>
                <w:spacing w:val="-67"/>
                <w:sz w:val="21"/>
                <w:szCs w:val="21"/>
              </w:rPr>
              <w:t> </w:t>
            </w:r>
            <w:r>
              <w:rPr>
                <w:rFonts w:ascii="宋体" w:hAnsi="宋体" w:cs="宋体" w:eastAsia="宋体" w:hint="default"/>
                <w:sz w:val="21"/>
                <w:szCs w:val="21"/>
              </w:rPr>
              <w:t>券</w:t>
            </w:r>
            <w:r>
              <w:rPr>
                <w:rFonts w:ascii="宋体" w:hAnsi="宋体" w:cs="宋体" w:eastAsia="宋体" w:hint="default"/>
                <w:spacing w:val="-65"/>
                <w:sz w:val="21"/>
                <w:szCs w:val="21"/>
              </w:rPr>
              <w:t> </w:t>
            </w:r>
            <w:r>
              <w:rPr>
                <w:rFonts w:ascii="宋体" w:hAnsi="宋体" w:cs="宋体" w:eastAsia="宋体" w:hint="default"/>
                <w:sz w:val="21"/>
                <w:szCs w:val="21"/>
              </w:rPr>
              <w:t>交</w:t>
            </w:r>
            <w:r>
              <w:rPr>
                <w:rFonts w:ascii="宋体" w:hAnsi="宋体" w:cs="宋体" w:eastAsia="宋体" w:hint="default"/>
                <w:spacing w:val="-65"/>
                <w:sz w:val="21"/>
                <w:szCs w:val="21"/>
              </w:rPr>
              <w:t> </w:t>
            </w:r>
            <w:r>
              <w:rPr>
                <w:rFonts w:ascii="宋体" w:hAnsi="宋体" w:cs="宋体" w:eastAsia="宋体" w:hint="default"/>
                <w:sz w:val="21"/>
                <w:szCs w:val="21"/>
              </w:rPr>
              <w:t>易</w:t>
            </w:r>
            <w:r>
              <w:rPr>
                <w:rFonts w:ascii="宋体" w:hAnsi="宋体" w:cs="宋体" w:eastAsia="宋体" w:hint="default"/>
                <w:spacing w:val="-65"/>
                <w:sz w:val="21"/>
                <w:szCs w:val="21"/>
              </w:rPr>
              <w:t> </w:t>
            </w:r>
            <w:r>
              <w:rPr>
                <w:rFonts w:ascii="宋体" w:hAnsi="宋体" w:cs="宋体" w:eastAsia="宋体" w:hint="default"/>
                <w:sz w:val="21"/>
                <w:szCs w:val="21"/>
              </w:rPr>
              <w:t>所</w:t>
            </w:r>
          </w:p>
          <w:p>
            <w:pPr>
              <w:pStyle w:val="TableParagraph"/>
              <w:spacing w:line="256" w:lineRule="auto" w:before="21"/>
              <w:ind w:left="103" w:right="98"/>
              <w:jc w:val="left"/>
              <w:rPr>
                <w:rFonts w:ascii="宋体" w:hAnsi="宋体" w:cs="宋体" w:eastAsia="宋体" w:hint="default"/>
                <w:sz w:val="21"/>
                <w:szCs w:val="21"/>
              </w:rPr>
            </w:pPr>
            <w:r>
              <w:rPr>
                <w:rFonts w:ascii="宋体" w:hAnsi="宋体" w:cs="宋体" w:eastAsia="宋体" w:hint="default"/>
                <w:spacing w:val="-3"/>
                <w:sz w:val="21"/>
                <w:szCs w:val="21"/>
              </w:rPr>
              <w:t>（</w:t>
            </w:r>
            <w:hyperlink r:id="rId13">
              <w:r>
                <w:rPr>
                  <w:rFonts w:ascii="Times New Roman" w:hAnsi="Times New Roman" w:cs="Times New Roman" w:eastAsia="Times New Roman" w:hint="default"/>
                  <w:spacing w:val="-3"/>
                  <w:sz w:val="21"/>
                  <w:szCs w:val="21"/>
                </w:rPr>
                <w:t>www.sse.com.cn</w:t>
              </w:r>
            </w:hyperlink>
            <w:r>
              <w:rPr>
                <w:rFonts w:ascii="宋体" w:hAnsi="宋体" w:cs="宋体" w:eastAsia="宋体" w:hint="default"/>
                <w:spacing w:val="-3"/>
                <w:sz w:val="21"/>
                <w:szCs w:val="21"/>
              </w:rPr>
              <w:t>）披露的《关于部分限制性股票回购注销完</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成的公告》（公告编号：</w:t>
            </w:r>
            <w:r>
              <w:rPr>
                <w:rFonts w:ascii="Times New Roman" w:hAnsi="Times New Roman" w:cs="Times New Roman" w:eastAsia="Times New Roman" w:hint="default"/>
                <w:sz w:val="21"/>
                <w:szCs w:val="21"/>
              </w:rPr>
              <w:t>2017-123</w:t>
            </w:r>
            <w:r>
              <w:rPr>
                <w:rFonts w:ascii="宋体" w:hAnsi="宋体" w:cs="宋体" w:eastAsia="宋体" w:hint="default"/>
                <w:sz w:val="21"/>
                <w:szCs w:val="21"/>
              </w:rPr>
              <w:t>）</w:t>
            </w:r>
            <w:r>
              <w:rPr>
                <w:rFonts w:ascii="宋体" w:hAnsi="宋体" w:cs="宋体" w:eastAsia="宋体" w:hint="default"/>
                <w:sz w:val="21"/>
                <w:szCs w:val="21"/>
              </w:rPr>
              <w:t> </w:t>
            </w:r>
          </w:p>
        </w:tc>
      </w:tr>
      <w:tr>
        <w:trPr>
          <w:trHeight w:val="1258"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1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年限制性股票激励计划首</w:t>
            </w:r>
            <w:r>
              <w:rPr>
                <w:rFonts w:ascii="宋体" w:hAnsi="宋体" w:cs="宋体" w:eastAsia="宋体" w:hint="default"/>
                <w:w w:val="100"/>
                <w:sz w:val="21"/>
                <w:szCs w:val="21"/>
              </w:rPr>
              <w:t> </w:t>
            </w:r>
            <w:r>
              <w:rPr>
                <w:rFonts w:ascii="宋体" w:hAnsi="宋体" w:cs="宋体" w:eastAsia="宋体" w:hint="default"/>
                <w:spacing w:val="-2"/>
                <w:sz w:val="21"/>
                <w:szCs w:val="21"/>
              </w:rPr>
              <w:t>次授予的限制性股票第一个解锁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期解锁并上市</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58"/>
                <w:sz w:val="21"/>
                <w:szCs w:val="21"/>
              </w:rPr>
              <w:t> </w:t>
            </w:r>
            <w:r>
              <w:rPr>
                <w:rFonts w:ascii="宋体" w:hAnsi="宋体" w:cs="宋体" w:eastAsia="宋体" w:hint="default"/>
                <w:sz w:val="21"/>
                <w:szCs w:val="21"/>
              </w:rPr>
              <w:t>见</w:t>
            </w:r>
            <w:r>
              <w:rPr>
                <w:rFonts w:ascii="宋体" w:hAnsi="宋体" w:cs="宋体" w:eastAsia="宋体" w:hint="default"/>
                <w:spacing w:val="-60"/>
                <w:sz w:val="21"/>
                <w:szCs w:val="21"/>
              </w:rPr>
              <w:t> </w:t>
            </w:r>
            <w:r>
              <w:rPr>
                <w:rFonts w:ascii="宋体" w:hAnsi="宋体" w:cs="宋体" w:eastAsia="宋体" w:hint="default"/>
                <w:sz w:val="21"/>
                <w:szCs w:val="21"/>
              </w:rPr>
              <w:t>公</w:t>
            </w:r>
            <w:r>
              <w:rPr>
                <w:rFonts w:ascii="宋体" w:hAnsi="宋体" w:cs="宋体" w:eastAsia="宋体" w:hint="default"/>
                <w:spacing w:val="-60"/>
                <w:sz w:val="21"/>
                <w:szCs w:val="21"/>
              </w:rPr>
              <w:t> </w:t>
            </w:r>
            <w:r>
              <w:rPr>
                <w:rFonts w:ascii="宋体" w:hAnsi="宋体" w:cs="宋体" w:eastAsia="宋体" w:hint="default"/>
                <w:sz w:val="21"/>
                <w:szCs w:val="21"/>
              </w:rPr>
              <w:t>司</w:t>
            </w:r>
            <w:r>
              <w:rPr>
                <w:rFonts w:ascii="宋体" w:hAnsi="宋体" w:cs="宋体" w:eastAsia="宋体" w:hint="default"/>
                <w:spacing w:val="-60"/>
                <w:sz w:val="21"/>
                <w:szCs w:val="21"/>
              </w:rPr>
              <w:t> </w:t>
            </w:r>
            <w:r>
              <w:rPr>
                <w:rFonts w:ascii="宋体" w:hAnsi="宋体" w:cs="宋体" w:eastAsia="宋体" w:hint="default"/>
                <w:sz w:val="21"/>
                <w:szCs w:val="21"/>
              </w:rPr>
              <w:t>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2017 </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 </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日</w:t>
            </w:r>
            <w:r>
              <w:rPr>
                <w:rFonts w:ascii="宋体" w:hAnsi="宋体" w:cs="宋体" w:eastAsia="宋体" w:hint="default"/>
                <w:spacing w:val="-60"/>
                <w:sz w:val="21"/>
                <w:szCs w:val="21"/>
              </w:rPr>
              <w:t> </w:t>
            </w:r>
            <w:r>
              <w:rPr>
                <w:rFonts w:ascii="宋体" w:hAnsi="宋体" w:cs="宋体" w:eastAsia="宋体" w:hint="default"/>
                <w:sz w:val="21"/>
                <w:szCs w:val="21"/>
              </w:rPr>
              <w:t>在</w:t>
            </w:r>
            <w:r>
              <w:rPr>
                <w:rFonts w:ascii="宋体" w:hAnsi="宋体" w:cs="宋体" w:eastAsia="宋体" w:hint="default"/>
                <w:spacing w:val="-58"/>
                <w:sz w:val="21"/>
                <w:szCs w:val="21"/>
              </w:rPr>
              <w:t> </w:t>
            </w:r>
            <w:r>
              <w:rPr>
                <w:rFonts w:ascii="宋体" w:hAnsi="宋体" w:cs="宋体" w:eastAsia="宋体" w:hint="default"/>
                <w:sz w:val="21"/>
                <w:szCs w:val="21"/>
              </w:rPr>
              <w:t>上</w:t>
            </w:r>
            <w:r>
              <w:rPr>
                <w:rFonts w:ascii="宋体" w:hAnsi="宋体" w:cs="宋体" w:eastAsia="宋体" w:hint="default"/>
                <w:spacing w:val="-60"/>
                <w:sz w:val="21"/>
                <w:szCs w:val="21"/>
              </w:rPr>
              <w:t> </w:t>
            </w:r>
            <w:r>
              <w:rPr>
                <w:rFonts w:ascii="宋体" w:hAnsi="宋体" w:cs="宋体" w:eastAsia="宋体" w:hint="default"/>
                <w:sz w:val="21"/>
                <w:szCs w:val="21"/>
              </w:rPr>
              <w:t>海</w:t>
            </w:r>
            <w:r>
              <w:rPr>
                <w:rFonts w:ascii="宋体" w:hAnsi="宋体" w:cs="宋体" w:eastAsia="宋体" w:hint="default"/>
                <w:spacing w:val="-58"/>
                <w:sz w:val="21"/>
                <w:szCs w:val="21"/>
              </w:rPr>
              <w:t> </w:t>
            </w:r>
            <w:r>
              <w:rPr>
                <w:rFonts w:ascii="宋体" w:hAnsi="宋体" w:cs="宋体" w:eastAsia="宋体" w:hint="default"/>
                <w:sz w:val="21"/>
                <w:szCs w:val="21"/>
              </w:rPr>
              <w:t>证</w:t>
            </w:r>
            <w:r>
              <w:rPr>
                <w:rFonts w:ascii="宋体" w:hAnsi="宋体" w:cs="宋体" w:eastAsia="宋体" w:hint="default"/>
                <w:spacing w:val="-60"/>
                <w:sz w:val="21"/>
                <w:szCs w:val="21"/>
              </w:rPr>
              <w:t> </w:t>
            </w:r>
            <w:r>
              <w:rPr>
                <w:rFonts w:ascii="宋体" w:hAnsi="宋体" w:cs="宋体" w:eastAsia="宋体" w:hint="default"/>
                <w:sz w:val="21"/>
                <w:szCs w:val="21"/>
              </w:rPr>
              <w:t>券</w:t>
            </w:r>
            <w:r>
              <w:rPr>
                <w:rFonts w:ascii="宋体" w:hAnsi="宋体" w:cs="宋体" w:eastAsia="宋体" w:hint="default"/>
                <w:spacing w:val="-60"/>
                <w:sz w:val="21"/>
                <w:szCs w:val="21"/>
              </w:rPr>
              <w:t> </w:t>
            </w:r>
            <w:r>
              <w:rPr>
                <w:rFonts w:ascii="宋体" w:hAnsi="宋体" w:cs="宋体" w:eastAsia="宋体" w:hint="default"/>
                <w:sz w:val="21"/>
                <w:szCs w:val="21"/>
              </w:rPr>
              <w:t>交</w:t>
            </w:r>
            <w:r>
              <w:rPr>
                <w:rFonts w:ascii="宋体" w:hAnsi="宋体" w:cs="宋体" w:eastAsia="宋体" w:hint="default"/>
                <w:spacing w:val="-58"/>
                <w:sz w:val="21"/>
                <w:szCs w:val="21"/>
              </w:rPr>
              <w:t> </w:t>
            </w:r>
            <w:r>
              <w:rPr>
                <w:rFonts w:ascii="宋体" w:hAnsi="宋体" w:cs="宋体" w:eastAsia="宋体" w:hint="default"/>
                <w:sz w:val="21"/>
                <w:szCs w:val="21"/>
              </w:rPr>
              <w:t>易</w:t>
            </w:r>
            <w:r>
              <w:rPr>
                <w:rFonts w:ascii="宋体" w:hAnsi="宋体" w:cs="宋体" w:eastAsia="宋体" w:hint="default"/>
                <w:spacing w:val="-60"/>
                <w:sz w:val="21"/>
                <w:szCs w:val="21"/>
              </w:rPr>
              <w:t> </w:t>
            </w:r>
            <w:r>
              <w:rPr>
                <w:rFonts w:ascii="宋体" w:hAnsi="宋体" w:cs="宋体" w:eastAsia="宋体" w:hint="default"/>
                <w:sz w:val="21"/>
                <w:szCs w:val="21"/>
              </w:rPr>
              <w:t>所</w:t>
            </w:r>
          </w:p>
          <w:p>
            <w:pPr>
              <w:pStyle w:val="TableParagraph"/>
              <w:spacing w:line="264" w:lineRule="auto" w:before="21"/>
              <w:ind w:left="103" w:right="-8"/>
              <w:jc w:val="left"/>
              <w:rPr>
                <w:rFonts w:ascii="宋体" w:hAnsi="宋体" w:cs="宋体" w:eastAsia="宋体" w:hint="default"/>
                <w:sz w:val="21"/>
                <w:szCs w:val="21"/>
              </w:rPr>
            </w:pPr>
            <w:r>
              <w:rPr>
                <w:rFonts w:ascii="宋体" w:hAnsi="宋体" w:cs="宋体" w:eastAsia="宋体" w:hint="default"/>
                <w:spacing w:val="-3"/>
                <w:sz w:val="21"/>
                <w:szCs w:val="21"/>
              </w:rPr>
              <w:t>（</w:t>
            </w:r>
            <w:hyperlink r:id="rId13">
              <w:r>
                <w:rPr>
                  <w:rFonts w:ascii="Times New Roman" w:hAnsi="Times New Roman" w:cs="Times New Roman" w:eastAsia="Times New Roman" w:hint="default"/>
                  <w:spacing w:val="-3"/>
                  <w:sz w:val="21"/>
                  <w:szCs w:val="21"/>
                </w:rPr>
                <w:t>www.sse.com.cn</w:t>
              </w:r>
            </w:hyperlink>
            <w:r>
              <w:rPr>
                <w:rFonts w:ascii="宋体" w:hAnsi="宋体" w:cs="宋体" w:eastAsia="宋体" w:hint="default"/>
                <w:spacing w:val="-3"/>
                <w:sz w:val="21"/>
                <w:szCs w:val="21"/>
              </w:rPr>
              <w:t>）披露的《关于限制性股票激励计划首次授</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9"/>
                <w:w w:val="100"/>
                <w:sz w:val="21"/>
                <w:szCs w:val="21"/>
              </w:rPr>
              <w:t>予的限制性股票第一个解锁期解锁暨上市的公告》（公告编号：</w:t>
            </w:r>
            <w:r>
              <w:rPr>
                <w:rFonts w:ascii="宋体" w:hAnsi="宋体" w:cs="宋体" w:eastAsia="宋体" w:hint="default"/>
                <w:spacing w:val="-82"/>
                <w:w w:val="100"/>
                <w:sz w:val="21"/>
                <w:szCs w:val="21"/>
              </w:rPr>
              <w:t> </w:t>
            </w:r>
            <w:r>
              <w:rPr>
                <w:rFonts w:ascii="宋体" w:hAnsi="宋体" w:cs="宋体" w:eastAsia="宋体" w:hint="default"/>
                <w:spacing w:val="-82"/>
                <w:w w:val="100"/>
                <w:sz w:val="21"/>
                <w:szCs w:val="21"/>
              </w:rPr>
            </w:r>
            <w:r>
              <w:rPr>
                <w:rFonts w:ascii="Times New Roman" w:hAnsi="Times New Roman" w:cs="Times New Roman" w:eastAsia="Times New Roman" w:hint="default"/>
                <w:sz w:val="21"/>
                <w:szCs w:val="21"/>
              </w:rPr>
              <w:t>2017-127</w:t>
            </w:r>
            <w:r>
              <w:rPr>
                <w:rFonts w:ascii="宋体" w:hAnsi="宋体" w:cs="宋体" w:eastAsia="宋体" w:hint="default"/>
                <w:sz w:val="21"/>
                <w:szCs w:val="21"/>
              </w:rPr>
              <w:t>）</w:t>
            </w:r>
            <w:r>
              <w:rPr>
                <w:rFonts w:ascii="宋体" w:hAnsi="宋体" w:cs="宋体" w:eastAsia="宋体" w:hint="default"/>
                <w:sz w:val="21"/>
                <w:szCs w:val="21"/>
              </w:rPr>
              <w:t> </w:t>
            </w:r>
          </w:p>
        </w:tc>
      </w:tr>
      <w:tr>
        <w:trPr>
          <w:trHeight w:val="1570"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0"/>
              <w:jc w:val="both"/>
              <w:rPr>
                <w:rFonts w:ascii="宋体" w:hAnsi="宋体" w:cs="宋体" w:eastAsia="宋体" w:hint="default"/>
                <w:sz w:val="21"/>
                <w:szCs w:val="21"/>
              </w:rPr>
            </w:pPr>
            <w:r>
              <w:rPr>
                <w:rFonts w:ascii="宋体" w:hAnsi="宋体" w:cs="宋体" w:eastAsia="宋体" w:hint="default"/>
                <w:spacing w:val="-2"/>
                <w:sz w:val="21"/>
                <w:szCs w:val="21"/>
              </w:rPr>
              <w:t>公司第三届董事会第二十八次会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议审议通过了关于回购注销部分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激励对象已获授但尚未解除限售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的限制性股票及调整回购价格的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有关事项</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both"/>
              <w:rPr>
                <w:rFonts w:ascii="宋体" w:hAnsi="宋体" w:cs="宋体" w:eastAsia="宋体" w:hint="default"/>
                <w:sz w:val="21"/>
                <w:szCs w:val="21"/>
              </w:rPr>
            </w:pPr>
            <w:r>
              <w:rPr>
                <w:rFonts w:ascii="宋体" w:hAnsi="宋体" w:cs="宋体" w:eastAsia="宋体" w:hint="default"/>
                <w:spacing w:val="31"/>
                <w:sz w:val="21"/>
                <w:szCs w:val="21"/>
              </w:rPr>
              <w:t>详见公司于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2018 </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13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r>
              <w:rPr>
                <w:rFonts w:ascii="宋体" w:hAnsi="宋体" w:cs="宋体" w:eastAsia="宋体" w:hint="default"/>
                <w:spacing w:val="-65"/>
                <w:sz w:val="21"/>
                <w:szCs w:val="21"/>
              </w:rPr>
              <w:t> </w:t>
            </w:r>
            <w:r>
              <w:rPr>
                <w:rFonts w:ascii="宋体" w:hAnsi="宋体" w:cs="宋体" w:eastAsia="宋体" w:hint="default"/>
                <w:sz w:val="21"/>
                <w:szCs w:val="21"/>
              </w:rPr>
              <w:t>在</w:t>
            </w:r>
            <w:r>
              <w:rPr>
                <w:rFonts w:ascii="宋体" w:hAnsi="宋体" w:cs="宋体" w:eastAsia="宋体" w:hint="default"/>
                <w:spacing w:val="-65"/>
                <w:sz w:val="21"/>
                <w:szCs w:val="21"/>
              </w:rPr>
              <w:t> </w:t>
            </w:r>
            <w:r>
              <w:rPr>
                <w:rFonts w:ascii="宋体" w:hAnsi="宋体" w:cs="宋体" w:eastAsia="宋体" w:hint="default"/>
                <w:sz w:val="21"/>
                <w:szCs w:val="21"/>
              </w:rPr>
              <w:t>上</w:t>
            </w:r>
            <w:r>
              <w:rPr>
                <w:rFonts w:ascii="宋体" w:hAnsi="宋体" w:cs="宋体" w:eastAsia="宋体" w:hint="default"/>
                <w:spacing w:val="-65"/>
                <w:sz w:val="21"/>
                <w:szCs w:val="21"/>
              </w:rPr>
              <w:t> </w:t>
            </w:r>
            <w:r>
              <w:rPr>
                <w:rFonts w:ascii="宋体" w:hAnsi="宋体" w:cs="宋体" w:eastAsia="宋体" w:hint="default"/>
                <w:sz w:val="21"/>
                <w:szCs w:val="21"/>
              </w:rPr>
              <w:t>海</w:t>
            </w:r>
            <w:r>
              <w:rPr>
                <w:rFonts w:ascii="宋体" w:hAnsi="宋体" w:cs="宋体" w:eastAsia="宋体" w:hint="default"/>
                <w:spacing w:val="-65"/>
                <w:sz w:val="21"/>
                <w:szCs w:val="21"/>
              </w:rPr>
              <w:t> </w:t>
            </w:r>
            <w:r>
              <w:rPr>
                <w:rFonts w:ascii="宋体" w:hAnsi="宋体" w:cs="宋体" w:eastAsia="宋体" w:hint="default"/>
                <w:sz w:val="21"/>
                <w:szCs w:val="21"/>
              </w:rPr>
              <w:t>证</w:t>
            </w:r>
            <w:r>
              <w:rPr>
                <w:rFonts w:ascii="宋体" w:hAnsi="宋体" w:cs="宋体" w:eastAsia="宋体" w:hint="default"/>
                <w:spacing w:val="-67"/>
                <w:sz w:val="21"/>
                <w:szCs w:val="21"/>
              </w:rPr>
              <w:t> </w:t>
            </w:r>
            <w:r>
              <w:rPr>
                <w:rFonts w:ascii="宋体" w:hAnsi="宋体" w:cs="宋体" w:eastAsia="宋体" w:hint="default"/>
                <w:sz w:val="21"/>
                <w:szCs w:val="21"/>
              </w:rPr>
              <w:t>券</w:t>
            </w:r>
            <w:r>
              <w:rPr>
                <w:rFonts w:ascii="宋体" w:hAnsi="宋体" w:cs="宋体" w:eastAsia="宋体" w:hint="default"/>
                <w:spacing w:val="-65"/>
                <w:sz w:val="21"/>
                <w:szCs w:val="21"/>
              </w:rPr>
              <w:t> </w:t>
            </w:r>
            <w:r>
              <w:rPr>
                <w:rFonts w:ascii="宋体" w:hAnsi="宋体" w:cs="宋体" w:eastAsia="宋体" w:hint="default"/>
                <w:sz w:val="21"/>
                <w:szCs w:val="21"/>
              </w:rPr>
              <w:t>交</w:t>
            </w:r>
            <w:r>
              <w:rPr>
                <w:rFonts w:ascii="宋体" w:hAnsi="宋体" w:cs="宋体" w:eastAsia="宋体" w:hint="default"/>
                <w:spacing w:val="-65"/>
                <w:sz w:val="21"/>
                <w:szCs w:val="21"/>
              </w:rPr>
              <w:t> </w:t>
            </w:r>
            <w:r>
              <w:rPr>
                <w:rFonts w:ascii="宋体" w:hAnsi="宋体" w:cs="宋体" w:eastAsia="宋体" w:hint="default"/>
                <w:sz w:val="21"/>
                <w:szCs w:val="21"/>
              </w:rPr>
              <w:t>易</w:t>
            </w:r>
            <w:r>
              <w:rPr>
                <w:rFonts w:ascii="宋体" w:hAnsi="宋体" w:cs="宋体" w:eastAsia="宋体" w:hint="default"/>
                <w:spacing w:val="-65"/>
                <w:sz w:val="21"/>
                <w:szCs w:val="21"/>
              </w:rPr>
              <w:t> </w:t>
            </w:r>
            <w:r>
              <w:rPr>
                <w:rFonts w:ascii="宋体" w:hAnsi="宋体" w:cs="宋体" w:eastAsia="宋体" w:hint="default"/>
                <w:sz w:val="21"/>
                <w:szCs w:val="21"/>
              </w:rPr>
              <w:t>所</w:t>
            </w:r>
          </w:p>
          <w:p>
            <w:pPr>
              <w:pStyle w:val="TableParagraph"/>
              <w:spacing w:line="264" w:lineRule="auto" w:before="21"/>
              <w:ind w:left="103" w:right="96"/>
              <w:jc w:val="both"/>
              <w:rPr>
                <w:rFonts w:ascii="宋体" w:hAnsi="宋体" w:cs="宋体" w:eastAsia="宋体" w:hint="default"/>
                <w:sz w:val="21"/>
                <w:szCs w:val="21"/>
              </w:rPr>
            </w:pPr>
            <w:r>
              <w:rPr>
                <w:rFonts w:ascii="宋体" w:hAnsi="宋体" w:cs="宋体" w:eastAsia="宋体" w:hint="default"/>
                <w:spacing w:val="-3"/>
                <w:sz w:val="21"/>
                <w:szCs w:val="21"/>
              </w:rPr>
              <w:t>（</w:t>
            </w:r>
            <w:hyperlink r:id="rId13">
              <w:r>
                <w:rPr>
                  <w:rFonts w:ascii="Times New Roman" w:hAnsi="Times New Roman" w:cs="Times New Roman" w:eastAsia="Times New Roman" w:hint="default"/>
                  <w:spacing w:val="-3"/>
                  <w:sz w:val="21"/>
                  <w:szCs w:val="21"/>
                </w:rPr>
                <w:t>www.sse.com.cn</w:t>
              </w:r>
            </w:hyperlink>
            <w:r>
              <w:rPr>
                <w:rFonts w:ascii="宋体" w:hAnsi="宋体" w:cs="宋体" w:eastAsia="宋体" w:hint="default"/>
                <w:spacing w:val="-3"/>
                <w:sz w:val="21"/>
                <w:szCs w:val="21"/>
              </w:rPr>
              <w:t>）披露的《关于回购注销部分激励对象已获</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w w:val="100"/>
                <w:sz w:val="21"/>
                <w:szCs w:val="21"/>
              </w:rPr>
              <w:t>授但尚未解除限售的限制性股票及调整回购价格的公告》（公</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2018-115</w:t>
            </w:r>
            <w:r>
              <w:rPr>
                <w:rFonts w:ascii="宋体" w:hAnsi="宋体" w:cs="宋体" w:eastAsia="宋体" w:hint="default"/>
                <w:sz w:val="21"/>
                <w:szCs w:val="21"/>
              </w:rPr>
              <w:t>）</w:t>
            </w:r>
            <w:r>
              <w:rPr>
                <w:rFonts w:ascii="宋体" w:hAnsi="宋体" w:cs="宋体" w:eastAsia="宋体" w:hint="default"/>
                <w:sz w:val="21"/>
                <w:szCs w:val="21"/>
              </w:rPr>
              <w:t> </w:t>
            </w:r>
          </w:p>
        </w:tc>
      </w:tr>
      <w:tr>
        <w:trPr>
          <w:trHeight w:val="1570"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0"/>
              <w:jc w:val="both"/>
              <w:rPr>
                <w:rFonts w:ascii="宋体" w:hAnsi="宋体" w:cs="宋体" w:eastAsia="宋体" w:hint="default"/>
                <w:sz w:val="21"/>
                <w:szCs w:val="21"/>
              </w:rPr>
            </w:pPr>
            <w:r>
              <w:rPr>
                <w:rFonts w:ascii="宋体" w:hAnsi="宋体" w:cs="宋体" w:eastAsia="宋体" w:hint="default"/>
                <w:spacing w:val="-2"/>
                <w:sz w:val="21"/>
                <w:szCs w:val="21"/>
              </w:rPr>
              <w:t>公司第三届董事会第三十次会议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审议通过了关于限制性股票激励</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计划首次授予股票第二期解锁及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预留授予股票第一期解锁的相关</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事项</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pacing w:val="31"/>
                <w:sz w:val="21"/>
                <w:szCs w:val="21"/>
              </w:rPr>
              <w:t>详见公司于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2018 </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21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r>
              <w:rPr>
                <w:rFonts w:ascii="宋体" w:hAnsi="宋体" w:cs="宋体" w:eastAsia="宋体" w:hint="default"/>
                <w:spacing w:val="-65"/>
                <w:sz w:val="21"/>
                <w:szCs w:val="21"/>
              </w:rPr>
              <w:t> </w:t>
            </w:r>
            <w:r>
              <w:rPr>
                <w:rFonts w:ascii="宋体" w:hAnsi="宋体" w:cs="宋体" w:eastAsia="宋体" w:hint="default"/>
                <w:sz w:val="21"/>
                <w:szCs w:val="21"/>
              </w:rPr>
              <w:t>在</w:t>
            </w:r>
            <w:r>
              <w:rPr>
                <w:rFonts w:ascii="宋体" w:hAnsi="宋体" w:cs="宋体" w:eastAsia="宋体" w:hint="default"/>
                <w:spacing w:val="-65"/>
                <w:sz w:val="21"/>
                <w:szCs w:val="21"/>
              </w:rPr>
              <w:t> </w:t>
            </w:r>
            <w:r>
              <w:rPr>
                <w:rFonts w:ascii="宋体" w:hAnsi="宋体" w:cs="宋体" w:eastAsia="宋体" w:hint="default"/>
                <w:sz w:val="21"/>
                <w:szCs w:val="21"/>
              </w:rPr>
              <w:t>上</w:t>
            </w:r>
            <w:r>
              <w:rPr>
                <w:rFonts w:ascii="宋体" w:hAnsi="宋体" w:cs="宋体" w:eastAsia="宋体" w:hint="default"/>
                <w:spacing w:val="-65"/>
                <w:sz w:val="21"/>
                <w:szCs w:val="21"/>
              </w:rPr>
              <w:t> </w:t>
            </w:r>
            <w:r>
              <w:rPr>
                <w:rFonts w:ascii="宋体" w:hAnsi="宋体" w:cs="宋体" w:eastAsia="宋体" w:hint="default"/>
                <w:sz w:val="21"/>
                <w:szCs w:val="21"/>
              </w:rPr>
              <w:t>海</w:t>
            </w:r>
            <w:r>
              <w:rPr>
                <w:rFonts w:ascii="宋体" w:hAnsi="宋体" w:cs="宋体" w:eastAsia="宋体" w:hint="default"/>
                <w:spacing w:val="-65"/>
                <w:sz w:val="21"/>
                <w:szCs w:val="21"/>
              </w:rPr>
              <w:t> </w:t>
            </w:r>
            <w:r>
              <w:rPr>
                <w:rFonts w:ascii="宋体" w:hAnsi="宋体" w:cs="宋体" w:eastAsia="宋体" w:hint="default"/>
                <w:sz w:val="21"/>
                <w:szCs w:val="21"/>
              </w:rPr>
              <w:t>证</w:t>
            </w:r>
            <w:r>
              <w:rPr>
                <w:rFonts w:ascii="宋体" w:hAnsi="宋体" w:cs="宋体" w:eastAsia="宋体" w:hint="default"/>
                <w:spacing w:val="-67"/>
                <w:sz w:val="21"/>
                <w:szCs w:val="21"/>
              </w:rPr>
              <w:t> </w:t>
            </w:r>
            <w:r>
              <w:rPr>
                <w:rFonts w:ascii="宋体" w:hAnsi="宋体" w:cs="宋体" w:eastAsia="宋体" w:hint="default"/>
                <w:sz w:val="21"/>
                <w:szCs w:val="21"/>
              </w:rPr>
              <w:t>券</w:t>
            </w:r>
            <w:r>
              <w:rPr>
                <w:rFonts w:ascii="宋体" w:hAnsi="宋体" w:cs="宋体" w:eastAsia="宋体" w:hint="default"/>
                <w:spacing w:val="-65"/>
                <w:sz w:val="21"/>
                <w:szCs w:val="21"/>
              </w:rPr>
              <w:t> </w:t>
            </w:r>
            <w:r>
              <w:rPr>
                <w:rFonts w:ascii="宋体" w:hAnsi="宋体" w:cs="宋体" w:eastAsia="宋体" w:hint="default"/>
                <w:sz w:val="21"/>
                <w:szCs w:val="21"/>
              </w:rPr>
              <w:t>交</w:t>
            </w:r>
            <w:r>
              <w:rPr>
                <w:rFonts w:ascii="宋体" w:hAnsi="宋体" w:cs="宋体" w:eastAsia="宋体" w:hint="default"/>
                <w:spacing w:val="-65"/>
                <w:sz w:val="21"/>
                <w:szCs w:val="21"/>
              </w:rPr>
              <w:t> </w:t>
            </w:r>
            <w:r>
              <w:rPr>
                <w:rFonts w:ascii="宋体" w:hAnsi="宋体" w:cs="宋体" w:eastAsia="宋体" w:hint="default"/>
                <w:sz w:val="21"/>
                <w:szCs w:val="21"/>
              </w:rPr>
              <w:t>易</w:t>
            </w:r>
            <w:r>
              <w:rPr>
                <w:rFonts w:ascii="宋体" w:hAnsi="宋体" w:cs="宋体" w:eastAsia="宋体" w:hint="default"/>
                <w:spacing w:val="-65"/>
                <w:sz w:val="21"/>
                <w:szCs w:val="21"/>
              </w:rPr>
              <w:t> </w:t>
            </w:r>
            <w:r>
              <w:rPr>
                <w:rFonts w:ascii="宋体" w:hAnsi="宋体" w:cs="宋体" w:eastAsia="宋体" w:hint="default"/>
                <w:sz w:val="21"/>
                <w:szCs w:val="21"/>
              </w:rPr>
              <w:t>所</w:t>
            </w:r>
          </w:p>
          <w:p>
            <w:pPr>
              <w:pStyle w:val="TableParagraph"/>
              <w:spacing w:line="256" w:lineRule="auto" w:before="21"/>
              <w:ind w:left="103" w:right="7"/>
              <w:jc w:val="left"/>
              <w:rPr>
                <w:rFonts w:ascii="宋体" w:hAnsi="宋体" w:cs="宋体" w:eastAsia="宋体" w:hint="default"/>
                <w:sz w:val="21"/>
                <w:szCs w:val="21"/>
              </w:rPr>
            </w:pPr>
            <w:r>
              <w:rPr>
                <w:rFonts w:ascii="宋体" w:hAnsi="宋体" w:cs="宋体" w:eastAsia="宋体" w:hint="default"/>
                <w:spacing w:val="-3"/>
                <w:sz w:val="21"/>
                <w:szCs w:val="21"/>
              </w:rPr>
              <w:t>（</w:t>
            </w:r>
            <w:hyperlink r:id="rId13">
              <w:r>
                <w:rPr>
                  <w:rFonts w:ascii="Times New Roman" w:hAnsi="Times New Roman" w:cs="Times New Roman" w:eastAsia="Times New Roman" w:hint="default"/>
                  <w:spacing w:val="-3"/>
                  <w:sz w:val="21"/>
                  <w:szCs w:val="21"/>
                </w:rPr>
                <w:t>www.sse.com.cn</w:t>
              </w:r>
            </w:hyperlink>
            <w:r>
              <w:rPr>
                <w:rFonts w:ascii="宋体" w:hAnsi="宋体" w:cs="宋体" w:eastAsia="宋体" w:hint="default"/>
                <w:spacing w:val="-3"/>
                <w:sz w:val="21"/>
                <w:szCs w:val="21"/>
              </w:rPr>
              <w:t>）披露的《关于限制性股票激励计划首次授</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予股票第二期解锁及预留授予股票第一期解锁暨上市的公告》</w:t>
            </w:r>
          </w:p>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Times New Roman" w:hAnsi="Times New Roman" w:cs="Times New Roman" w:eastAsia="Times New Roman" w:hint="default"/>
                <w:sz w:val="21"/>
                <w:szCs w:val="21"/>
              </w:rPr>
              <w:t>2018-144</w:t>
            </w:r>
            <w:r>
              <w:rPr>
                <w:rFonts w:ascii="宋体" w:hAnsi="宋体" w:cs="宋体" w:eastAsia="宋体" w:hint="default"/>
                <w:sz w:val="21"/>
                <w:szCs w:val="21"/>
              </w:rPr>
              <w:t>）</w:t>
            </w:r>
            <w:r>
              <w:rPr>
                <w:rFonts w:ascii="宋体" w:hAnsi="宋体" w:cs="宋体" w:eastAsia="宋体" w:hint="default"/>
                <w:sz w:val="21"/>
                <w:szCs w:val="21"/>
              </w:rPr>
              <w:t> </w:t>
            </w:r>
          </w:p>
        </w:tc>
      </w:tr>
      <w:tr>
        <w:trPr>
          <w:trHeight w:val="1258"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0"/>
              <w:jc w:val="both"/>
              <w:rPr>
                <w:rFonts w:ascii="宋体" w:hAnsi="宋体" w:cs="宋体" w:eastAsia="宋体" w:hint="default"/>
                <w:sz w:val="21"/>
                <w:szCs w:val="21"/>
              </w:rPr>
            </w:pPr>
            <w:r>
              <w:rPr>
                <w:rFonts w:ascii="宋体" w:hAnsi="宋体" w:cs="宋体" w:eastAsia="宋体" w:hint="default"/>
                <w:spacing w:val="-2"/>
                <w:sz w:val="21"/>
                <w:szCs w:val="21"/>
              </w:rPr>
              <w:t>公司第三届董事会第四十一次会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议审议通过了关于回购注销部分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激励对象已获授但尚未解除限售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的限制性股票及调整回购价格的</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详见公司于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29 </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r>
              <w:rPr>
                <w:rFonts w:ascii="宋体" w:hAnsi="宋体" w:cs="宋体" w:eastAsia="宋体" w:hint="default"/>
                <w:spacing w:val="-65"/>
                <w:sz w:val="21"/>
                <w:szCs w:val="21"/>
              </w:rPr>
              <w:t> </w:t>
            </w:r>
            <w:r>
              <w:rPr>
                <w:rFonts w:ascii="宋体" w:hAnsi="宋体" w:cs="宋体" w:eastAsia="宋体" w:hint="default"/>
                <w:sz w:val="21"/>
                <w:szCs w:val="21"/>
              </w:rPr>
              <w:t>在</w:t>
            </w:r>
            <w:r>
              <w:rPr>
                <w:rFonts w:ascii="宋体" w:hAnsi="宋体" w:cs="宋体" w:eastAsia="宋体" w:hint="default"/>
                <w:spacing w:val="-65"/>
                <w:sz w:val="21"/>
                <w:szCs w:val="21"/>
              </w:rPr>
              <w:t> </w:t>
            </w:r>
            <w:r>
              <w:rPr>
                <w:rFonts w:ascii="宋体" w:hAnsi="宋体" w:cs="宋体" w:eastAsia="宋体" w:hint="default"/>
                <w:sz w:val="21"/>
                <w:szCs w:val="21"/>
              </w:rPr>
              <w:t>上</w:t>
            </w:r>
            <w:r>
              <w:rPr>
                <w:rFonts w:ascii="宋体" w:hAnsi="宋体" w:cs="宋体" w:eastAsia="宋体" w:hint="default"/>
                <w:spacing w:val="-65"/>
                <w:sz w:val="21"/>
                <w:szCs w:val="21"/>
              </w:rPr>
              <w:t> </w:t>
            </w:r>
            <w:r>
              <w:rPr>
                <w:rFonts w:ascii="宋体" w:hAnsi="宋体" w:cs="宋体" w:eastAsia="宋体" w:hint="default"/>
                <w:sz w:val="21"/>
                <w:szCs w:val="21"/>
              </w:rPr>
              <w:t>海</w:t>
            </w:r>
            <w:r>
              <w:rPr>
                <w:rFonts w:ascii="宋体" w:hAnsi="宋体" w:cs="宋体" w:eastAsia="宋体" w:hint="default"/>
                <w:spacing w:val="-65"/>
                <w:sz w:val="21"/>
                <w:szCs w:val="21"/>
              </w:rPr>
              <w:t> </w:t>
            </w:r>
            <w:r>
              <w:rPr>
                <w:rFonts w:ascii="宋体" w:hAnsi="宋体" w:cs="宋体" w:eastAsia="宋体" w:hint="default"/>
                <w:sz w:val="21"/>
                <w:szCs w:val="21"/>
              </w:rPr>
              <w:t>证</w:t>
            </w:r>
            <w:r>
              <w:rPr>
                <w:rFonts w:ascii="宋体" w:hAnsi="宋体" w:cs="宋体" w:eastAsia="宋体" w:hint="default"/>
                <w:spacing w:val="-67"/>
                <w:sz w:val="21"/>
                <w:szCs w:val="21"/>
              </w:rPr>
              <w:t> </w:t>
            </w:r>
            <w:r>
              <w:rPr>
                <w:rFonts w:ascii="宋体" w:hAnsi="宋体" w:cs="宋体" w:eastAsia="宋体" w:hint="default"/>
                <w:sz w:val="21"/>
                <w:szCs w:val="21"/>
              </w:rPr>
              <w:t>券</w:t>
            </w:r>
            <w:r>
              <w:rPr>
                <w:rFonts w:ascii="宋体" w:hAnsi="宋体" w:cs="宋体" w:eastAsia="宋体" w:hint="default"/>
                <w:spacing w:val="-65"/>
                <w:sz w:val="21"/>
                <w:szCs w:val="21"/>
              </w:rPr>
              <w:t> </w:t>
            </w:r>
            <w:r>
              <w:rPr>
                <w:rFonts w:ascii="宋体" w:hAnsi="宋体" w:cs="宋体" w:eastAsia="宋体" w:hint="default"/>
                <w:sz w:val="21"/>
                <w:szCs w:val="21"/>
              </w:rPr>
              <w:t>交</w:t>
            </w:r>
            <w:r>
              <w:rPr>
                <w:rFonts w:ascii="宋体" w:hAnsi="宋体" w:cs="宋体" w:eastAsia="宋体" w:hint="default"/>
                <w:spacing w:val="-65"/>
                <w:sz w:val="21"/>
                <w:szCs w:val="21"/>
              </w:rPr>
              <w:t> </w:t>
            </w:r>
            <w:r>
              <w:rPr>
                <w:rFonts w:ascii="宋体" w:hAnsi="宋体" w:cs="宋体" w:eastAsia="宋体" w:hint="default"/>
                <w:sz w:val="21"/>
                <w:szCs w:val="21"/>
              </w:rPr>
              <w:t>易</w:t>
            </w:r>
            <w:r>
              <w:rPr>
                <w:rFonts w:ascii="宋体" w:hAnsi="宋体" w:cs="宋体" w:eastAsia="宋体" w:hint="default"/>
                <w:spacing w:val="-65"/>
                <w:sz w:val="21"/>
                <w:szCs w:val="21"/>
              </w:rPr>
              <w:t> </w:t>
            </w:r>
            <w:r>
              <w:rPr>
                <w:rFonts w:ascii="宋体" w:hAnsi="宋体" w:cs="宋体" w:eastAsia="宋体" w:hint="default"/>
                <w:sz w:val="21"/>
                <w:szCs w:val="21"/>
              </w:rPr>
              <w:t>所</w:t>
            </w:r>
          </w:p>
          <w:p>
            <w:pPr>
              <w:pStyle w:val="TableParagraph"/>
              <w:spacing w:line="256" w:lineRule="auto" w:before="21"/>
              <w:ind w:left="103" w:right="7"/>
              <w:jc w:val="left"/>
              <w:rPr>
                <w:rFonts w:ascii="宋体" w:hAnsi="宋体" w:cs="宋体" w:eastAsia="宋体" w:hint="default"/>
                <w:sz w:val="21"/>
                <w:szCs w:val="21"/>
              </w:rPr>
            </w:pPr>
            <w:r>
              <w:rPr>
                <w:rFonts w:ascii="宋体" w:hAnsi="宋体" w:cs="宋体" w:eastAsia="宋体" w:hint="default"/>
                <w:spacing w:val="-3"/>
                <w:sz w:val="21"/>
                <w:szCs w:val="21"/>
              </w:rPr>
              <w:t>（</w:t>
            </w:r>
            <w:hyperlink r:id="rId13">
              <w:r>
                <w:rPr>
                  <w:rFonts w:ascii="Times New Roman" w:hAnsi="Times New Roman" w:cs="Times New Roman" w:eastAsia="Times New Roman" w:hint="default"/>
                  <w:spacing w:val="-3"/>
                  <w:sz w:val="21"/>
                  <w:szCs w:val="21"/>
                </w:rPr>
                <w:t>www.sse.com.cn</w:t>
              </w:r>
            </w:hyperlink>
            <w:r>
              <w:rPr>
                <w:rFonts w:ascii="宋体" w:hAnsi="宋体" w:cs="宋体" w:eastAsia="宋体" w:hint="default"/>
                <w:spacing w:val="-3"/>
                <w:sz w:val="21"/>
                <w:szCs w:val="21"/>
              </w:rPr>
              <w:t>）披露的《关于限制性股票激励计划首次授</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予股票第二期解锁及预留授予股票第一期解锁暨上市的公告》</w:t>
            </w:r>
          </w:p>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Times New Roman" w:hAnsi="Times New Roman" w:cs="Times New Roman" w:eastAsia="Times New Roman" w:hint="default"/>
                <w:sz w:val="21"/>
                <w:szCs w:val="21"/>
              </w:rPr>
              <w:t>2019-103</w:t>
            </w:r>
            <w:r>
              <w:rPr>
                <w:rFonts w:ascii="宋体" w:hAnsi="宋体" w:cs="宋体" w:eastAsia="宋体" w:hint="default"/>
                <w:sz w:val="21"/>
                <w:szCs w:val="21"/>
              </w:rPr>
              <w:t>）</w:t>
            </w:r>
          </w:p>
        </w:tc>
      </w:tr>
    </w:tbl>
    <w:p>
      <w:pPr>
        <w:spacing w:after="0" w:line="240" w:lineRule="auto"/>
        <w:jc w:val="left"/>
        <w:rPr>
          <w:rFonts w:ascii="宋体" w:hAnsi="宋体" w:cs="宋体" w:eastAsia="宋体" w:hint="default"/>
          <w:sz w:val="21"/>
          <w:szCs w:val="21"/>
        </w:rPr>
        <w:sectPr>
          <w:pgSz w:w="11910" w:h="16840"/>
          <w:pgMar w:header="855" w:footer="979" w:top="1120" w:bottom="1160" w:left="15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71"/>
        <w:gridCol w:w="5799"/>
      </w:tblGrid>
      <w:tr>
        <w:trPr>
          <w:trHeight w:val="32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议案</w:t>
            </w:r>
          </w:p>
        </w:tc>
        <w:tc>
          <w:tcPr>
            <w:tcW w:w="5799"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0"/>
              <w:jc w:val="both"/>
              <w:rPr>
                <w:rFonts w:ascii="宋体" w:hAnsi="宋体" w:cs="宋体" w:eastAsia="宋体" w:hint="default"/>
                <w:sz w:val="21"/>
                <w:szCs w:val="21"/>
              </w:rPr>
            </w:pPr>
            <w:r>
              <w:rPr>
                <w:rFonts w:ascii="宋体" w:hAnsi="宋体" w:cs="宋体" w:eastAsia="宋体" w:hint="default"/>
                <w:spacing w:val="-2"/>
                <w:sz w:val="21"/>
                <w:szCs w:val="21"/>
              </w:rPr>
              <w:t>公司第三届董事会第四十三次会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议审议通过了关于限制性股票激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励计划首次授予股票第三期解锁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及预留授予股票第二期解锁的议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案</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pacing w:val="40"/>
                <w:sz w:val="21"/>
                <w:szCs w:val="21"/>
              </w:rPr>
              <w:t>详见公司于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2020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宋体" w:hAnsi="宋体" w:cs="宋体" w:eastAsia="宋体" w:hint="default"/>
                <w:spacing w:val="-52"/>
                <w:sz w:val="21"/>
                <w:szCs w:val="21"/>
              </w:rPr>
              <w:t> </w:t>
            </w:r>
            <w:r>
              <w:rPr>
                <w:rFonts w:ascii="宋体" w:hAnsi="宋体" w:cs="宋体" w:eastAsia="宋体" w:hint="default"/>
                <w:sz w:val="21"/>
                <w:szCs w:val="21"/>
              </w:rPr>
              <w:t>在</w:t>
            </w:r>
            <w:r>
              <w:rPr>
                <w:rFonts w:ascii="宋体" w:hAnsi="宋体" w:cs="宋体" w:eastAsia="宋体" w:hint="default"/>
                <w:spacing w:val="-54"/>
                <w:sz w:val="21"/>
                <w:szCs w:val="21"/>
              </w:rPr>
              <w:t> </w:t>
            </w:r>
            <w:r>
              <w:rPr>
                <w:rFonts w:ascii="宋体" w:hAnsi="宋体" w:cs="宋体" w:eastAsia="宋体" w:hint="default"/>
                <w:sz w:val="21"/>
                <w:szCs w:val="21"/>
              </w:rPr>
              <w:t>上</w:t>
            </w:r>
            <w:r>
              <w:rPr>
                <w:rFonts w:ascii="宋体" w:hAnsi="宋体" w:cs="宋体" w:eastAsia="宋体" w:hint="default"/>
                <w:spacing w:val="-52"/>
                <w:sz w:val="21"/>
                <w:szCs w:val="21"/>
              </w:rPr>
              <w:t> </w:t>
            </w:r>
            <w:r>
              <w:rPr>
                <w:rFonts w:ascii="宋体" w:hAnsi="宋体" w:cs="宋体" w:eastAsia="宋体" w:hint="default"/>
                <w:sz w:val="21"/>
                <w:szCs w:val="21"/>
              </w:rPr>
              <w:t>海</w:t>
            </w:r>
            <w:r>
              <w:rPr>
                <w:rFonts w:ascii="宋体" w:hAnsi="宋体" w:cs="宋体" w:eastAsia="宋体" w:hint="default"/>
                <w:spacing w:val="-52"/>
                <w:sz w:val="21"/>
                <w:szCs w:val="21"/>
              </w:rPr>
              <w:t> </w:t>
            </w:r>
            <w:r>
              <w:rPr>
                <w:rFonts w:ascii="宋体" w:hAnsi="宋体" w:cs="宋体" w:eastAsia="宋体" w:hint="default"/>
                <w:sz w:val="21"/>
                <w:szCs w:val="21"/>
              </w:rPr>
              <w:t>证</w:t>
            </w:r>
            <w:r>
              <w:rPr>
                <w:rFonts w:ascii="宋体" w:hAnsi="宋体" w:cs="宋体" w:eastAsia="宋体" w:hint="default"/>
                <w:spacing w:val="-54"/>
                <w:sz w:val="21"/>
                <w:szCs w:val="21"/>
              </w:rPr>
              <w:t> </w:t>
            </w:r>
            <w:r>
              <w:rPr>
                <w:rFonts w:ascii="宋体" w:hAnsi="宋体" w:cs="宋体" w:eastAsia="宋体" w:hint="default"/>
                <w:sz w:val="21"/>
                <w:szCs w:val="21"/>
              </w:rPr>
              <w:t>券</w:t>
            </w:r>
            <w:r>
              <w:rPr>
                <w:rFonts w:ascii="宋体" w:hAnsi="宋体" w:cs="宋体" w:eastAsia="宋体" w:hint="default"/>
                <w:spacing w:val="-52"/>
                <w:sz w:val="21"/>
                <w:szCs w:val="21"/>
              </w:rPr>
              <w:t> </w:t>
            </w:r>
            <w:r>
              <w:rPr>
                <w:rFonts w:ascii="宋体" w:hAnsi="宋体" w:cs="宋体" w:eastAsia="宋体" w:hint="default"/>
                <w:sz w:val="21"/>
                <w:szCs w:val="21"/>
              </w:rPr>
              <w:t>交</w:t>
            </w:r>
            <w:r>
              <w:rPr>
                <w:rFonts w:ascii="宋体" w:hAnsi="宋体" w:cs="宋体" w:eastAsia="宋体" w:hint="default"/>
                <w:spacing w:val="-52"/>
                <w:sz w:val="21"/>
                <w:szCs w:val="21"/>
              </w:rPr>
              <w:t> </w:t>
            </w:r>
            <w:r>
              <w:rPr>
                <w:rFonts w:ascii="宋体" w:hAnsi="宋体" w:cs="宋体" w:eastAsia="宋体" w:hint="default"/>
                <w:sz w:val="21"/>
                <w:szCs w:val="21"/>
              </w:rPr>
              <w:t>易</w:t>
            </w:r>
            <w:r>
              <w:rPr>
                <w:rFonts w:ascii="宋体" w:hAnsi="宋体" w:cs="宋体" w:eastAsia="宋体" w:hint="default"/>
                <w:spacing w:val="-52"/>
                <w:sz w:val="21"/>
                <w:szCs w:val="21"/>
              </w:rPr>
              <w:t> </w:t>
            </w:r>
            <w:r>
              <w:rPr>
                <w:rFonts w:ascii="宋体" w:hAnsi="宋体" w:cs="宋体" w:eastAsia="宋体" w:hint="default"/>
                <w:sz w:val="21"/>
                <w:szCs w:val="21"/>
              </w:rPr>
              <w:t>所</w:t>
            </w:r>
          </w:p>
          <w:p>
            <w:pPr>
              <w:pStyle w:val="TableParagraph"/>
              <w:spacing w:line="256" w:lineRule="auto" w:before="21"/>
              <w:ind w:left="103" w:right="7"/>
              <w:jc w:val="left"/>
              <w:rPr>
                <w:rFonts w:ascii="宋体" w:hAnsi="宋体" w:cs="宋体" w:eastAsia="宋体" w:hint="default"/>
                <w:sz w:val="21"/>
                <w:szCs w:val="21"/>
              </w:rPr>
            </w:pPr>
            <w:r>
              <w:rPr>
                <w:rFonts w:ascii="宋体" w:hAnsi="宋体" w:cs="宋体" w:eastAsia="宋体" w:hint="default"/>
                <w:spacing w:val="-3"/>
                <w:sz w:val="21"/>
                <w:szCs w:val="21"/>
              </w:rPr>
              <w:t>（</w:t>
            </w:r>
            <w:hyperlink r:id="rId13">
              <w:r>
                <w:rPr>
                  <w:rFonts w:ascii="Times New Roman" w:hAnsi="Times New Roman" w:cs="Times New Roman" w:eastAsia="Times New Roman" w:hint="default"/>
                  <w:spacing w:val="-3"/>
                  <w:sz w:val="21"/>
                  <w:szCs w:val="21"/>
                </w:rPr>
                <w:t>www.sse.com.cn</w:t>
              </w:r>
            </w:hyperlink>
            <w:r>
              <w:rPr>
                <w:rFonts w:ascii="宋体" w:hAnsi="宋体" w:cs="宋体" w:eastAsia="宋体" w:hint="default"/>
                <w:spacing w:val="-3"/>
                <w:sz w:val="21"/>
                <w:szCs w:val="21"/>
              </w:rPr>
              <w:t>）披露的《关于限制性股票激励计划首次授</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予股票第二期解锁及预留授予股票第一期解锁暨上市的公告》</w:t>
            </w:r>
          </w:p>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Times New Roman" w:hAnsi="Times New Roman" w:cs="Times New Roman" w:eastAsia="Times New Roman" w:hint="default"/>
                <w:sz w:val="21"/>
                <w:szCs w:val="21"/>
              </w:rPr>
              <w:t>2020-005</w:t>
            </w:r>
            <w:r>
              <w:rPr>
                <w:rFonts w:ascii="宋体" w:hAnsi="宋体" w:cs="宋体" w:eastAsia="宋体" w:hint="default"/>
                <w:sz w:val="21"/>
                <w:szCs w:val="21"/>
              </w:rPr>
              <w:t>）</w:t>
            </w:r>
            <w:r>
              <w:rPr>
                <w:rFonts w:ascii="宋体" w:hAnsi="宋体" w:cs="宋体" w:eastAsia="宋体" w:hint="default"/>
                <w:sz w:val="21"/>
                <w:szCs w:val="21"/>
              </w:rPr>
              <w:t> </w:t>
            </w:r>
          </w:p>
        </w:tc>
      </w:tr>
      <w:tr>
        <w:trPr>
          <w:trHeight w:val="1258"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0"/>
              <w:jc w:val="both"/>
              <w:rPr>
                <w:rFonts w:ascii="宋体" w:hAnsi="宋体" w:cs="宋体" w:eastAsia="宋体" w:hint="default"/>
                <w:sz w:val="21"/>
                <w:szCs w:val="21"/>
              </w:rPr>
            </w:pPr>
            <w:r>
              <w:rPr>
                <w:rFonts w:ascii="宋体" w:hAnsi="宋体" w:cs="宋体" w:eastAsia="宋体" w:hint="default"/>
                <w:spacing w:val="-2"/>
                <w:sz w:val="21"/>
                <w:szCs w:val="21"/>
              </w:rPr>
              <w:t>公司第三届董事会第四十四次会</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议审议通过了关于回购注销部分</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激励对象已获授但尚未解除限售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的限制性股票的议案</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both"/>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58"/>
                <w:sz w:val="21"/>
                <w:szCs w:val="21"/>
              </w:rPr>
              <w:t> </w:t>
            </w:r>
            <w:r>
              <w:rPr>
                <w:rFonts w:ascii="宋体" w:hAnsi="宋体" w:cs="宋体" w:eastAsia="宋体" w:hint="default"/>
                <w:sz w:val="21"/>
                <w:szCs w:val="21"/>
              </w:rPr>
              <w:t>见</w:t>
            </w:r>
            <w:r>
              <w:rPr>
                <w:rFonts w:ascii="宋体" w:hAnsi="宋体" w:cs="宋体" w:eastAsia="宋体" w:hint="default"/>
                <w:spacing w:val="-60"/>
                <w:sz w:val="21"/>
                <w:szCs w:val="21"/>
              </w:rPr>
              <w:t> </w:t>
            </w:r>
            <w:r>
              <w:rPr>
                <w:rFonts w:ascii="宋体" w:hAnsi="宋体" w:cs="宋体" w:eastAsia="宋体" w:hint="default"/>
                <w:sz w:val="21"/>
                <w:szCs w:val="21"/>
              </w:rPr>
              <w:t>公</w:t>
            </w:r>
            <w:r>
              <w:rPr>
                <w:rFonts w:ascii="宋体" w:hAnsi="宋体" w:cs="宋体" w:eastAsia="宋体" w:hint="default"/>
                <w:spacing w:val="-60"/>
                <w:sz w:val="21"/>
                <w:szCs w:val="21"/>
              </w:rPr>
              <w:t> </w:t>
            </w:r>
            <w:r>
              <w:rPr>
                <w:rFonts w:ascii="宋体" w:hAnsi="宋体" w:cs="宋体" w:eastAsia="宋体" w:hint="default"/>
                <w:sz w:val="21"/>
                <w:szCs w:val="21"/>
              </w:rPr>
              <w:t>司</w:t>
            </w:r>
            <w:r>
              <w:rPr>
                <w:rFonts w:ascii="宋体" w:hAnsi="宋体" w:cs="宋体" w:eastAsia="宋体" w:hint="default"/>
                <w:spacing w:val="-60"/>
                <w:sz w:val="21"/>
                <w:szCs w:val="21"/>
              </w:rPr>
              <w:t> </w:t>
            </w:r>
            <w:r>
              <w:rPr>
                <w:rFonts w:ascii="宋体" w:hAnsi="宋体" w:cs="宋体" w:eastAsia="宋体" w:hint="default"/>
                <w:sz w:val="21"/>
                <w:szCs w:val="21"/>
              </w:rPr>
              <w:t>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2020 </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 </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日</w:t>
            </w:r>
            <w:r>
              <w:rPr>
                <w:rFonts w:ascii="宋体" w:hAnsi="宋体" w:cs="宋体" w:eastAsia="宋体" w:hint="default"/>
                <w:spacing w:val="-60"/>
                <w:sz w:val="21"/>
                <w:szCs w:val="21"/>
              </w:rPr>
              <w:t> </w:t>
            </w:r>
            <w:r>
              <w:rPr>
                <w:rFonts w:ascii="宋体" w:hAnsi="宋体" w:cs="宋体" w:eastAsia="宋体" w:hint="default"/>
                <w:sz w:val="21"/>
                <w:szCs w:val="21"/>
              </w:rPr>
              <w:t>在</w:t>
            </w:r>
            <w:r>
              <w:rPr>
                <w:rFonts w:ascii="宋体" w:hAnsi="宋体" w:cs="宋体" w:eastAsia="宋体" w:hint="default"/>
                <w:spacing w:val="-58"/>
                <w:sz w:val="21"/>
                <w:szCs w:val="21"/>
              </w:rPr>
              <w:t> </w:t>
            </w:r>
            <w:r>
              <w:rPr>
                <w:rFonts w:ascii="宋体" w:hAnsi="宋体" w:cs="宋体" w:eastAsia="宋体" w:hint="default"/>
                <w:sz w:val="21"/>
                <w:szCs w:val="21"/>
              </w:rPr>
              <w:t>上</w:t>
            </w:r>
            <w:r>
              <w:rPr>
                <w:rFonts w:ascii="宋体" w:hAnsi="宋体" w:cs="宋体" w:eastAsia="宋体" w:hint="default"/>
                <w:spacing w:val="-60"/>
                <w:sz w:val="21"/>
                <w:szCs w:val="21"/>
              </w:rPr>
              <w:t> </w:t>
            </w:r>
            <w:r>
              <w:rPr>
                <w:rFonts w:ascii="宋体" w:hAnsi="宋体" w:cs="宋体" w:eastAsia="宋体" w:hint="default"/>
                <w:sz w:val="21"/>
                <w:szCs w:val="21"/>
              </w:rPr>
              <w:t>海</w:t>
            </w:r>
            <w:r>
              <w:rPr>
                <w:rFonts w:ascii="宋体" w:hAnsi="宋体" w:cs="宋体" w:eastAsia="宋体" w:hint="default"/>
                <w:spacing w:val="-60"/>
                <w:sz w:val="21"/>
                <w:szCs w:val="21"/>
              </w:rPr>
              <w:t> </w:t>
            </w:r>
            <w:r>
              <w:rPr>
                <w:rFonts w:ascii="宋体" w:hAnsi="宋体" w:cs="宋体" w:eastAsia="宋体" w:hint="default"/>
                <w:sz w:val="21"/>
                <w:szCs w:val="21"/>
              </w:rPr>
              <w:t>证</w:t>
            </w:r>
            <w:r>
              <w:rPr>
                <w:rFonts w:ascii="宋体" w:hAnsi="宋体" w:cs="宋体" w:eastAsia="宋体" w:hint="default"/>
                <w:spacing w:val="-60"/>
                <w:sz w:val="21"/>
                <w:szCs w:val="21"/>
              </w:rPr>
              <w:t> </w:t>
            </w:r>
            <w:r>
              <w:rPr>
                <w:rFonts w:ascii="宋体" w:hAnsi="宋体" w:cs="宋体" w:eastAsia="宋体" w:hint="default"/>
                <w:sz w:val="21"/>
                <w:szCs w:val="21"/>
              </w:rPr>
              <w:t>券</w:t>
            </w:r>
            <w:r>
              <w:rPr>
                <w:rFonts w:ascii="宋体" w:hAnsi="宋体" w:cs="宋体" w:eastAsia="宋体" w:hint="default"/>
                <w:spacing w:val="-58"/>
                <w:sz w:val="21"/>
                <w:szCs w:val="21"/>
              </w:rPr>
              <w:t> </w:t>
            </w:r>
            <w:r>
              <w:rPr>
                <w:rFonts w:ascii="宋体" w:hAnsi="宋体" w:cs="宋体" w:eastAsia="宋体" w:hint="default"/>
                <w:sz w:val="21"/>
                <w:szCs w:val="21"/>
              </w:rPr>
              <w:t>交</w:t>
            </w:r>
            <w:r>
              <w:rPr>
                <w:rFonts w:ascii="宋体" w:hAnsi="宋体" w:cs="宋体" w:eastAsia="宋体" w:hint="default"/>
                <w:spacing w:val="-60"/>
                <w:sz w:val="21"/>
                <w:szCs w:val="21"/>
              </w:rPr>
              <w:t> </w:t>
            </w:r>
            <w:r>
              <w:rPr>
                <w:rFonts w:ascii="宋体" w:hAnsi="宋体" w:cs="宋体" w:eastAsia="宋体" w:hint="default"/>
                <w:sz w:val="21"/>
                <w:szCs w:val="21"/>
              </w:rPr>
              <w:t>易</w:t>
            </w:r>
            <w:r>
              <w:rPr>
                <w:rFonts w:ascii="宋体" w:hAnsi="宋体" w:cs="宋体" w:eastAsia="宋体" w:hint="default"/>
                <w:spacing w:val="-58"/>
                <w:sz w:val="21"/>
                <w:szCs w:val="21"/>
              </w:rPr>
              <w:t> </w:t>
            </w:r>
            <w:r>
              <w:rPr>
                <w:rFonts w:ascii="宋体" w:hAnsi="宋体" w:cs="宋体" w:eastAsia="宋体" w:hint="default"/>
                <w:sz w:val="21"/>
                <w:szCs w:val="21"/>
              </w:rPr>
              <w:t>所</w:t>
            </w:r>
          </w:p>
          <w:p>
            <w:pPr>
              <w:pStyle w:val="TableParagraph"/>
              <w:spacing w:line="264" w:lineRule="auto" w:before="21"/>
              <w:ind w:left="103" w:right="98"/>
              <w:jc w:val="both"/>
              <w:rPr>
                <w:rFonts w:ascii="宋体" w:hAnsi="宋体" w:cs="宋体" w:eastAsia="宋体" w:hint="default"/>
                <w:sz w:val="21"/>
                <w:szCs w:val="21"/>
              </w:rPr>
            </w:pPr>
            <w:r>
              <w:rPr>
                <w:rFonts w:ascii="宋体" w:hAnsi="宋体" w:cs="宋体" w:eastAsia="宋体" w:hint="default"/>
                <w:spacing w:val="-3"/>
                <w:sz w:val="21"/>
                <w:szCs w:val="21"/>
              </w:rPr>
              <w:t>（</w:t>
            </w:r>
            <w:hyperlink r:id="rId13">
              <w:r>
                <w:rPr>
                  <w:rFonts w:ascii="Times New Roman" w:hAnsi="Times New Roman" w:cs="Times New Roman" w:eastAsia="Times New Roman" w:hint="default"/>
                  <w:spacing w:val="-3"/>
                  <w:sz w:val="21"/>
                  <w:szCs w:val="21"/>
                </w:rPr>
                <w:t>www.sse.com.cn</w:t>
              </w:r>
            </w:hyperlink>
            <w:r>
              <w:rPr>
                <w:rFonts w:ascii="宋体" w:hAnsi="宋体" w:cs="宋体" w:eastAsia="宋体" w:hint="default"/>
                <w:spacing w:val="-3"/>
                <w:sz w:val="21"/>
                <w:szCs w:val="21"/>
              </w:rPr>
              <w:t>）披露的《关于回购注销部分激励对象已获</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9"/>
                <w:sz w:val="21"/>
                <w:szCs w:val="21"/>
              </w:rPr>
              <w:t>授但尚未解除限售的限制性股票的公告</w:t>
            </w:r>
            <w:r>
              <w:rPr>
                <w:rFonts w:ascii="宋体" w:hAnsi="宋体" w:cs="宋体" w:eastAsia="宋体" w:hint="default"/>
                <w:spacing w:val="-56"/>
                <w:sz w:val="21"/>
                <w:szCs w:val="21"/>
              </w:rPr>
              <w:t> </w:t>
            </w:r>
            <w:r>
              <w:rPr>
                <w:rFonts w:ascii="宋体" w:hAnsi="宋体" w:cs="宋体" w:eastAsia="宋体" w:hint="default"/>
                <w:spacing w:val="10"/>
                <w:sz w:val="21"/>
                <w:szCs w:val="21"/>
              </w:rPr>
              <w:t>》（</w:t>
            </w:r>
            <w:r>
              <w:rPr>
                <w:rFonts w:ascii="宋体" w:hAnsi="宋体" w:cs="宋体" w:eastAsia="宋体" w:hint="default"/>
                <w:spacing w:val="-68"/>
                <w:sz w:val="21"/>
                <w:szCs w:val="21"/>
              </w:rPr>
              <w:t> </w:t>
            </w:r>
            <w:r>
              <w:rPr>
                <w:rFonts w:ascii="宋体" w:hAnsi="宋体" w:cs="宋体" w:eastAsia="宋体" w:hint="default"/>
                <w:spacing w:val="16"/>
                <w:sz w:val="21"/>
                <w:szCs w:val="21"/>
              </w:rPr>
              <w:t>公告编号：</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Times New Roman" w:hAnsi="Times New Roman" w:cs="Times New Roman" w:eastAsia="Times New Roman" w:hint="default"/>
                <w:sz w:val="21"/>
                <w:szCs w:val="21"/>
              </w:rPr>
              <w:t>2020-012</w:t>
            </w:r>
            <w:r>
              <w:rPr>
                <w:rFonts w:ascii="宋体" w:hAnsi="宋体" w:cs="宋体" w:eastAsia="宋体" w:hint="default"/>
                <w:sz w:val="21"/>
                <w:szCs w:val="21"/>
              </w:rPr>
              <w:t>）</w:t>
            </w:r>
            <w:r>
              <w:rPr>
                <w:rFonts w:ascii="宋体" w:hAnsi="宋体" w:cs="宋体" w:eastAsia="宋体" w:hint="default"/>
                <w:sz w:val="21"/>
                <w:szCs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spacing w:line="324" w:lineRule="auto" w:before="97"/>
        <w:ind w:left="218" w:right="46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38" w:lineRule="exact"/>
        <w:ind w:right="14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1452"/>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right="145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1452"/>
        <w:jc w:val="left"/>
        <w:rPr>
          <w:rFonts w:ascii="宋体" w:hAnsi="宋体" w:cs="宋体" w:eastAsia="宋体" w:hint="default"/>
        </w:rPr>
      </w:pPr>
      <w:r>
        <w:rPr>
          <w:rFonts w:ascii="宋体" w:hAnsi="宋体" w:cs="宋体" w:eastAsia="宋体" w:hint="default"/>
          <w:w w:val="100"/>
        </w:rPr>
        <w:t>  </w:t>
      </w:r>
      <w:r>
        <w:rPr>
          <w:w w:val="100"/>
        </w:rPr>
        <w:t>员工</w:t>
      </w:r>
      <w:r>
        <w:rPr>
          <w:spacing w:val="-3"/>
          <w:w w:val="100"/>
        </w:rPr>
        <w:t>持</w:t>
      </w:r>
      <w:r>
        <w:rPr>
          <w:w w:val="100"/>
        </w:rPr>
        <w:t>股</w:t>
      </w:r>
      <w:r>
        <w:rPr>
          <w:spacing w:val="-3"/>
          <w:w w:val="100"/>
        </w:rPr>
        <w:t>计</w:t>
      </w:r>
      <w:r>
        <w:rPr>
          <w:w w:val="100"/>
        </w:rPr>
        <w:t>划</w:t>
      </w:r>
      <w:r>
        <w:rPr>
          <w:spacing w:val="-3"/>
          <w:w w:val="100"/>
        </w:rPr>
        <w:t>情况</w:t>
      </w:r>
      <w:r>
        <w:rPr>
          <w:rFonts w:ascii="宋体" w:hAnsi="宋体" w:cs="宋体" w:eastAsia="宋体" w:hint="default"/>
          <w:w w:val="100"/>
        </w:rPr>
        <w:t> </w:t>
      </w:r>
    </w:p>
    <w:p>
      <w:pPr>
        <w:pStyle w:val="BodyText"/>
        <w:spacing w:line="240" w:lineRule="auto" w:before="7"/>
        <w:ind w:right="145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145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激</w:t>
      </w:r>
      <w:r>
        <w:rPr>
          <w:w w:val="100"/>
        </w:rPr>
        <w:t>励</w:t>
      </w:r>
      <w:r>
        <w:rPr>
          <w:spacing w:val="-3"/>
          <w:w w:val="100"/>
        </w:rPr>
        <w:t>措施</w:t>
      </w:r>
      <w:r>
        <w:rPr>
          <w:rFonts w:ascii="宋体" w:hAnsi="宋体" w:cs="宋体" w:eastAsia="宋体" w:hint="default"/>
          <w:w w:val="100"/>
        </w:rPr>
        <w:t> </w:t>
      </w:r>
    </w:p>
    <w:p>
      <w:pPr>
        <w:pStyle w:val="BodyText"/>
        <w:spacing w:line="240" w:lineRule="auto" w:before="7"/>
        <w:ind w:right="14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right="6963"/>
        <w:jc w:val="left"/>
        <w:rPr>
          <w:b w:val="0"/>
          <w:bCs w:val="0"/>
        </w:rPr>
      </w:pPr>
      <w:r>
        <w:rPr>
          <w:rFonts w:ascii="宋体" w:hAnsi="宋体" w:cs="宋体" w:eastAsia="宋体" w:hint="default"/>
          <w:b w:val="0"/>
          <w:bCs w:val="0"/>
          <w:w w:val="100"/>
        </w:rPr>
        <w:t> </w:t>
      </w:r>
      <w:r>
        <w:rPr>
          <w:w w:val="100"/>
        </w:rPr>
        <w:t>十四</w:t>
      </w:r>
      <w:r>
        <w:rPr>
          <w:spacing w:val="-1"/>
          <w:w w:val="100"/>
        </w:rPr>
        <w:t>、</w:t>
      </w:r>
      <w:r>
        <w:rPr>
          <w:w w:val="100"/>
        </w:rPr>
        <w:t>重大关联交易</w:t>
      </w:r>
      <w:r>
        <w:rPr>
          <w:b w:val="0"/>
          <w:bCs w:val="0"/>
          <w:w w:val="100"/>
        </w:rPr>
      </w:r>
    </w:p>
    <w:p>
      <w:pPr>
        <w:pStyle w:val="Heading4"/>
        <w:spacing w:line="240" w:lineRule="auto" w:before="23"/>
        <w:ind w:right="1452"/>
        <w:jc w:val="left"/>
        <w:rPr>
          <w:b w:val="0"/>
          <w:bCs w:val="0"/>
        </w:rPr>
      </w:pPr>
      <w:r>
        <w:rPr>
          <w:rFonts w:ascii="宋体" w:hAnsi="宋体" w:cs="宋体" w:eastAsia="宋体" w:hint="default"/>
        </w:rPr>
        <w:t>(</w:t>
      </w:r>
      <w:r>
        <w:rPr/>
        <w:t>一</w:t>
      </w:r>
      <w:r>
        <w:rPr>
          <w:rFonts w:ascii="宋体" w:hAnsi="宋体" w:cs="宋体" w:eastAsia="宋体" w:hint="default"/>
        </w:rPr>
        <w:t>)</w:t>
      </w:r>
      <w:r>
        <w:rPr/>
        <w:t>与日常经营相关的关联交易</w:t>
      </w:r>
      <w:r>
        <w:rPr>
          <w:b w:val="0"/>
          <w:bCs w:val="0"/>
        </w:rPr>
      </w:r>
    </w:p>
    <w:p>
      <w:pPr>
        <w:pStyle w:val="Heading4"/>
        <w:spacing w:line="240" w:lineRule="auto" w:before="97"/>
        <w:ind w:right="1452"/>
        <w:jc w:val="left"/>
        <w:rPr>
          <w:rFonts w:ascii="宋体" w:hAnsi="宋体" w:cs="宋体" w:eastAsia="宋体" w:hint="default"/>
          <w:b w:val="0"/>
          <w:bCs w:val="0"/>
        </w:rPr>
      </w:pPr>
      <w:r>
        <w:rPr>
          <w:rFonts w:ascii="Times New Roman" w:hAnsi="Times New Roman" w:cs="Times New Roman" w:eastAsia="Times New Roman" w:hint="default"/>
        </w:rPr>
        <w:t>1</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right="14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before="97"/>
        <w:ind w:right="1452"/>
        <w:jc w:val="left"/>
        <w:rPr>
          <w:rFonts w:ascii="宋体" w:hAnsi="宋体" w:cs="宋体" w:eastAsia="宋体" w:hint="default"/>
          <w:b w:val="0"/>
          <w:bCs w:val="0"/>
        </w:rPr>
      </w:pPr>
      <w:r>
        <w:rPr>
          <w:rFonts w:ascii="Times New Roman" w:hAnsi="Times New Roman" w:cs="Times New Roman" w:eastAsia="Times New Roman" w:hint="default"/>
        </w:rPr>
        <w:t>2</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right="1452"/>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40" w:lineRule="auto" w:before="9"/>
        <w:ind w:left="218" w:right="0"/>
        <w:jc w:val="left"/>
      </w:pPr>
      <w:r>
        <w:rPr/>
        <w:t> </w:t>
      </w:r>
    </w:p>
    <w:p>
      <w:pPr>
        <w:pStyle w:val="Heading4"/>
        <w:spacing w:line="240" w:lineRule="auto" w:before="85"/>
        <w:ind w:right="1452"/>
        <w:jc w:val="left"/>
        <w:rPr>
          <w:rFonts w:ascii="宋体" w:hAnsi="宋体" w:cs="宋体" w:eastAsia="宋体" w:hint="default"/>
          <w:b w:val="0"/>
          <w:bCs w:val="0"/>
        </w:rPr>
      </w:pPr>
      <w:r>
        <w:rPr>
          <w:rFonts w:ascii="Times New Roman" w:hAnsi="Times New Roman" w:cs="Times New Roman" w:eastAsia="Times New Roman" w:hint="default"/>
        </w:rPr>
        <w:t>3</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324" w:lineRule="auto" w:before="82"/>
        <w:ind w:left="218" w:right="460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3"/>
        <w:ind w:right="1452"/>
        <w:jc w:val="left"/>
        <w:rPr>
          <w:rFonts w:ascii="宋体" w:hAnsi="宋体" w:cs="宋体" w:eastAsia="宋体" w:hint="default"/>
          <w:b w:val="0"/>
          <w:bCs w:val="0"/>
        </w:rPr>
      </w:pPr>
      <w:r>
        <w:rPr>
          <w:rFonts w:ascii="Times New Roman" w:hAnsi="Times New Roman" w:cs="Times New Roman" w:eastAsia="Times New Roman" w:hint="default"/>
        </w:rPr>
        <w:t>1</w:t>
      </w:r>
      <w:r>
        <w:rPr/>
        <w:t>、</w:t>
      </w:r>
      <w:r>
        <w:rPr>
          <w:spacing w:val="-5"/>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right="14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before="97"/>
        <w:ind w:right="1452"/>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5"/>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right="1452"/>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r>
        <w:rPr>
          <w:rFonts w:ascii="宋体" w:hAnsi="宋体" w:cs="宋体" w:eastAsia="宋体" w:hint="default"/>
          <w:spacing w:val="-3"/>
          <w:sz w:val="24"/>
          <w:szCs w:val="24"/>
        </w:rPr>
        <w:t> </w:t>
      </w:r>
      <w:r>
        <w:rPr>
          <w:rFonts w:ascii="宋体" w:hAnsi="宋体" w:cs="宋体" w:eastAsia="宋体" w:hint="default"/>
          <w:sz w:val="24"/>
          <w:szCs w:val="24"/>
        </w:rPr>
        <w:t> </w:t>
      </w:r>
    </w:p>
    <w:p>
      <w:pPr>
        <w:pStyle w:val="Heading3"/>
        <w:spacing w:line="240" w:lineRule="auto" w:before="9"/>
        <w:ind w:left="218" w:right="0"/>
        <w:jc w:val="left"/>
      </w:pPr>
      <w:r>
        <w:rPr/>
        <w:t> </w:t>
      </w:r>
    </w:p>
    <w:p>
      <w:pPr>
        <w:spacing w:after="0" w:line="240" w:lineRule="auto"/>
        <w:jc w:val="left"/>
        <w:sectPr>
          <w:pgSz w:w="11910" w:h="16840"/>
          <w:pgMar w:header="855" w:footer="979" w:top="1120" w:bottom="1160" w:left="1580" w:right="1120"/>
        </w:sectPr>
      </w:pPr>
    </w:p>
    <w:p>
      <w:pPr>
        <w:spacing w:line="240" w:lineRule="auto" w:before="10"/>
        <w:rPr>
          <w:rFonts w:ascii="宋体" w:hAnsi="宋体" w:cs="宋体" w:eastAsia="宋体" w:hint="default"/>
          <w:sz w:val="26"/>
          <w:szCs w:val="26"/>
        </w:rPr>
      </w:pPr>
    </w:p>
    <w:p>
      <w:pPr>
        <w:pStyle w:val="Heading4"/>
        <w:spacing w:line="240" w:lineRule="auto" w:before="36"/>
        <w:ind w:left="138" w:right="0"/>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4"/>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left="1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40" w:lineRule="auto" w:before="9"/>
        <w:ind w:left="138" w:right="0"/>
        <w:jc w:val="left"/>
      </w:pPr>
      <w:r>
        <w:rPr/>
        <w:t> </w:t>
      </w:r>
    </w:p>
    <w:p>
      <w:pPr>
        <w:pStyle w:val="Heading4"/>
        <w:spacing w:line="240" w:lineRule="auto" w:before="85"/>
        <w:ind w:left="138" w:right="0"/>
        <w:jc w:val="left"/>
        <w:rPr>
          <w:rFonts w:ascii="宋体" w:hAnsi="宋体" w:cs="宋体" w:eastAsia="宋体" w:hint="default"/>
          <w:b w:val="0"/>
          <w:bCs w:val="0"/>
        </w:rPr>
      </w:pPr>
      <w:r>
        <w:rPr>
          <w:rFonts w:ascii="Times New Roman" w:hAnsi="Times New Roman" w:cs="Times New Roman" w:eastAsia="Times New Roman" w:hint="default"/>
        </w:rPr>
        <w:t>4</w:t>
      </w:r>
      <w:r>
        <w:rPr/>
        <w:t>、</w:t>
      </w:r>
      <w:r>
        <w:rPr>
          <w:spacing w:val="-6"/>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left="138" w:right="5681"/>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w w:val="99"/>
        </w:rPr>
        <w:t>)</w:t>
      </w:r>
      <w:r>
        <w:rPr>
          <w:w w:val="100"/>
        </w:rPr>
        <w:t>共同对外投资的重</w:t>
      </w:r>
      <w:r>
        <w:rPr>
          <w:spacing w:val="-3"/>
          <w:w w:val="100"/>
        </w:rPr>
        <w:t>大</w:t>
      </w:r>
      <w:r>
        <w:rPr>
          <w:w w:val="100"/>
        </w:rPr>
        <w:t>关</w:t>
      </w:r>
      <w:r>
        <w:rPr>
          <w:spacing w:val="-3"/>
          <w:w w:val="100"/>
        </w:rPr>
        <w:t>联</w:t>
      </w:r>
      <w:r>
        <w:rPr>
          <w:w w:val="100"/>
        </w:rPr>
        <w:t>交易</w:t>
      </w:r>
      <w:r>
        <w:rPr>
          <w:b w:val="0"/>
          <w:bCs w:val="0"/>
          <w:w w:val="100"/>
        </w:rPr>
      </w:r>
    </w:p>
    <w:p>
      <w:pPr>
        <w:pStyle w:val="Heading4"/>
        <w:spacing w:line="240" w:lineRule="auto" w:before="23"/>
        <w:ind w:left="138" w:right="0"/>
        <w:jc w:val="left"/>
        <w:rPr>
          <w:rFonts w:ascii="宋体" w:hAnsi="宋体" w:cs="宋体" w:eastAsia="宋体" w:hint="default"/>
          <w:b w:val="0"/>
          <w:bCs w:val="0"/>
        </w:rPr>
      </w:pPr>
      <w:r>
        <w:rPr>
          <w:rFonts w:ascii="Times New Roman" w:hAnsi="Times New Roman" w:cs="Times New Roman" w:eastAsia="Times New Roman" w:hint="default"/>
        </w:rPr>
        <w:t>1</w:t>
      </w:r>
      <w:r>
        <w:rPr/>
        <w:t>、</w:t>
      </w:r>
      <w:r>
        <w:rPr>
          <w:spacing w:val="-5"/>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spacing w:line="240" w:lineRule="auto" w:before="148"/>
        <w:ind w:left="138" w:right="0"/>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5"/>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left="138"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spacing w:line="240" w:lineRule="auto" w:before="97"/>
        <w:ind w:left="138" w:right="0"/>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4"/>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left="1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40" w:lineRule="auto" w:before="9"/>
        <w:ind w:left="138" w:right="0"/>
        <w:jc w:val="left"/>
      </w:pPr>
      <w:r>
        <w:rPr/>
        <w:t> </w:t>
      </w:r>
    </w:p>
    <w:p>
      <w:pPr>
        <w:pStyle w:val="Heading4"/>
        <w:spacing w:line="240" w:lineRule="auto" w:before="85"/>
        <w:ind w:left="138" w:right="0"/>
        <w:jc w:val="left"/>
        <w:rPr>
          <w:b w:val="0"/>
          <w:bCs w:val="0"/>
        </w:rPr>
      </w:pPr>
      <w:r>
        <w:rPr>
          <w:rFonts w:ascii="宋体" w:hAnsi="宋体" w:cs="宋体" w:eastAsia="宋体" w:hint="default"/>
        </w:rPr>
        <w:t>(</w:t>
      </w:r>
      <w:r>
        <w:rPr/>
        <w:t>四</w:t>
      </w:r>
      <w:r>
        <w:rPr>
          <w:rFonts w:ascii="宋体" w:hAnsi="宋体" w:cs="宋体" w:eastAsia="宋体" w:hint="default"/>
        </w:rPr>
        <w:t>)</w:t>
      </w:r>
      <w:r>
        <w:rPr/>
        <w:t>关联债权债务往来</w:t>
      </w:r>
      <w:r>
        <w:rPr>
          <w:b w:val="0"/>
          <w:bCs w:val="0"/>
        </w:rPr>
      </w:r>
    </w:p>
    <w:p>
      <w:pPr>
        <w:pStyle w:val="Heading4"/>
        <w:spacing w:line="240" w:lineRule="auto" w:before="97"/>
        <w:ind w:left="138" w:right="0"/>
        <w:jc w:val="left"/>
        <w:rPr>
          <w:rFonts w:ascii="宋体" w:hAnsi="宋体" w:cs="宋体" w:eastAsia="宋体" w:hint="default"/>
          <w:b w:val="0"/>
          <w:bCs w:val="0"/>
        </w:rPr>
      </w:pPr>
      <w:r>
        <w:rPr>
          <w:rFonts w:ascii="Times New Roman" w:hAnsi="Times New Roman" w:cs="Times New Roman" w:eastAsia="Times New Roman" w:hint="default"/>
        </w:rPr>
        <w:t>1</w:t>
      </w:r>
      <w:r>
        <w:rPr/>
        <w:t>、</w:t>
      </w:r>
      <w:r>
        <w:rPr>
          <w:spacing w:val="-5"/>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97"/>
        <w:ind w:left="138" w:right="0"/>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5"/>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left="138"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spacing w:line="240" w:lineRule="auto" w:before="97"/>
        <w:ind w:left="138" w:right="0"/>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4"/>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324" w:lineRule="auto" w:before="81"/>
        <w:ind w:left="138" w:right="71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23"/>
        <w:ind w:left="138"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4"/>
        <w:spacing w:line="319" w:lineRule="auto" w:before="9"/>
        <w:ind w:left="138" w:right="6207"/>
        <w:jc w:val="left"/>
        <w:rPr>
          <w:rFonts w:ascii="宋体" w:hAnsi="宋体" w:cs="宋体" w:eastAsia="宋体" w:hint="default"/>
          <w:b w:val="0"/>
          <w:bCs w:val="0"/>
        </w:rPr>
      </w:pPr>
      <w:r>
        <w:rPr>
          <w:rFonts w:ascii="宋体" w:hAnsi="宋体" w:cs="宋体" w:eastAsia="宋体" w:hint="default"/>
          <w:b w:val="0"/>
          <w:bCs w:val="0"/>
          <w:sz w:val="24"/>
          <w:szCs w:val="24"/>
        </w:rPr>
        <w:t> </w:t>
      </w:r>
      <w:r>
        <w:rPr/>
        <w:t>十五、重大合同及其履行情况</w:t>
      </w:r>
      <w:r>
        <w:rPr>
          <w:spacing w:val="105"/>
        </w:rPr>
        <w:t> </w:t>
      </w:r>
      <w:r>
        <w:rPr>
          <w:spacing w:val="105"/>
        </w:rPr>
      </w:r>
      <w:r>
        <w:rPr>
          <w:rFonts w:ascii="宋体" w:hAnsi="宋体" w:cs="宋体" w:eastAsia="宋体" w:hint="default"/>
          <w:w w:val="99"/>
        </w:rPr>
        <w:t>(</w:t>
      </w:r>
      <w:r>
        <w:rPr>
          <w:spacing w:val="-1"/>
          <w:w w:val="100"/>
        </w:rPr>
        <w:t>一</w:t>
      </w:r>
      <w:r>
        <w:rPr>
          <w:rFonts w:ascii="宋体" w:hAnsi="宋体" w:cs="宋体" w:eastAsia="宋体" w:hint="default"/>
          <w:w w:val="99"/>
        </w:rPr>
        <w:t>)</w:t>
      </w:r>
      <w:r>
        <w:rPr>
          <w:w w:val="100"/>
        </w:rPr>
        <w:t>托管、承包、租赁</w:t>
      </w:r>
      <w:r>
        <w:rPr>
          <w:spacing w:val="-3"/>
          <w:w w:val="100"/>
        </w:rPr>
        <w:t>事</w:t>
      </w:r>
      <w:r>
        <w:rPr>
          <w:w w:val="100"/>
        </w:rPr>
        <w:t>项</w:t>
      </w:r>
      <w:r>
        <w:rPr>
          <w:w w:val="100"/>
        </w:rPr>
        <w:t> </w:t>
      </w:r>
      <w:r>
        <w:rPr>
          <w:rFonts w:ascii="Times New Roman" w:hAnsi="Times New Roman" w:cs="Times New Roman" w:eastAsia="Times New Roman" w:hint="default"/>
          <w:w w:val="100"/>
        </w:rPr>
        <w:t>1</w:t>
      </w:r>
      <w:r>
        <w:rPr>
          <w:w w:val="100"/>
        </w:rPr>
        <w:t>、</w:t>
      </w:r>
      <w:r>
        <w:rPr>
          <w:spacing w:val="-3"/>
        </w:rPr>
        <w:t> </w:t>
      </w:r>
      <w:r>
        <w:rPr>
          <w:w w:val="100"/>
        </w:rPr>
        <w:t>托管情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9"/>
        <w:ind w:left="138" w:right="0"/>
        <w:jc w:val="left"/>
      </w:pPr>
      <w:r>
        <w:rPr/>
        <w:t> </w:t>
      </w:r>
    </w:p>
    <w:p>
      <w:pPr>
        <w:pStyle w:val="Heading4"/>
        <w:spacing w:line="240" w:lineRule="auto" w:before="85"/>
        <w:ind w:left="138" w:right="0"/>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4"/>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left="1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40" w:lineRule="auto" w:before="9"/>
        <w:ind w:left="138" w:right="0"/>
        <w:jc w:val="left"/>
      </w:pPr>
      <w:r>
        <w:rPr/>
        <w:t> </w:t>
      </w:r>
    </w:p>
    <w:p>
      <w:pPr>
        <w:pStyle w:val="Heading4"/>
        <w:spacing w:line="240" w:lineRule="auto" w:before="85"/>
        <w:ind w:left="138" w:right="0"/>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4"/>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9"/>
        <w:ind w:left="138" w:right="0"/>
        <w:jc w:val="left"/>
      </w:pPr>
      <w:r>
        <w:rPr/>
        <w:t> </w:t>
      </w:r>
    </w:p>
    <w:p>
      <w:pPr>
        <w:spacing w:after="0" w:line="240" w:lineRule="auto"/>
        <w:jc w:val="left"/>
        <w:sectPr>
          <w:pgSz w:w="11910" w:h="16840"/>
          <w:pgMar w:header="855" w:footer="979" w:top="1120" w:bottom="116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5"/>
          <w:footerReference w:type="default" r:id="rId26"/>
          <w:pgSz w:w="16840" w:h="11910" w:orient="landscape"/>
          <w:pgMar w:header="855" w:footer="980" w:top="1120" w:bottom="1160" w:left="1300" w:right="1300"/>
          <w:pgNumType w:start="45"/>
        </w:sectPr>
      </w:pPr>
    </w:p>
    <w:p>
      <w:pPr>
        <w:spacing w:line="240" w:lineRule="auto" w:before="0"/>
        <w:rPr>
          <w:rFonts w:ascii="宋体" w:hAnsi="宋体" w:cs="宋体" w:eastAsia="宋体" w:hint="default"/>
          <w:sz w:val="15"/>
          <w:szCs w:val="15"/>
        </w:rPr>
      </w:pPr>
    </w:p>
    <w:p>
      <w:pPr>
        <w:pStyle w:val="Heading4"/>
        <w:spacing w:line="240" w:lineRule="auto" w:before="0"/>
        <w:ind w:left="140" w:right="0"/>
        <w:jc w:val="left"/>
        <w:rPr>
          <w:b w:val="0"/>
          <w:bCs w:val="0"/>
        </w:rPr>
      </w:pPr>
      <w:bookmarkStart w:name="OLE_LINK2" w:id="6"/>
      <w:bookmarkEnd w:id="6"/>
      <w:r>
        <w:rPr>
          <w:b w:val="0"/>
          <w:bCs w:val="0"/>
        </w:rPr>
      </w:r>
      <w:bookmarkStart w:name="OLE_LINK3" w:id="7"/>
      <w:bookmarkEnd w:id="7"/>
      <w:r>
        <w:rPr>
          <w:b w:val="0"/>
          <w:bCs w:val="0"/>
        </w:rPr>
      </w:r>
      <w:r>
        <w:rPr>
          <w:rFonts w:ascii="宋体" w:hAnsi="宋体" w:cs="宋体" w:eastAsia="宋体" w:hint="default"/>
        </w:rPr>
        <w:t>(</w:t>
      </w:r>
      <w:r>
        <w:rPr/>
        <w:t>二</w:t>
      </w:r>
      <w:r>
        <w:rPr>
          <w:rFonts w:ascii="宋体" w:hAnsi="宋体" w:cs="宋体" w:eastAsia="宋体" w:hint="default"/>
        </w:rPr>
        <w:t>)</w:t>
      </w:r>
      <w:r>
        <w:rPr/>
        <w:t>担保情况</w:t>
      </w:r>
      <w:r>
        <w:rPr>
          <w:b w:val="0"/>
          <w:bCs w:val="0"/>
        </w:rPr>
      </w:r>
    </w:p>
    <w:p>
      <w:pPr>
        <w:pStyle w:val="BodyText"/>
        <w:spacing w:line="240" w:lineRule="auto" w:before="97"/>
        <w:ind w:left="140" w:right="0"/>
        <w:jc w:val="left"/>
        <w:rPr>
          <w:rFonts w:ascii="宋体" w:hAnsi="宋体" w:cs="宋体" w:eastAsia="宋体" w:hint="default"/>
          <w:sz w:val="24"/>
          <w:szCs w:val="24"/>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240" w:lineRule="auto"/>
        <w:ind w:left="140" w:right="0"/>
        <w:jc w:val="left"/>
        <w:rPr>
          <w:rFonts w:ascii="宋体" w:hAnsi="宋体" w:cs="宋体" w:eastAsia="宋体" w:hint="default"/>
        </w:rPr>
      </w:pPr>
      <w:r>
        <w:rPr/>
        <w:t>单位</w:t>
      </w:r>
      <w:r>
        <w:rPr>
          <w:rFonts w:ascii="宋体" w:hAnsi="宋体" w:cs="宋体" w:eastAsia="宋体" w:hint="default"/>
        </w:rPr>
        <w:t>: </w:t>
      </w:r>
      <w:r>
        <w:rPr/>
        <w:t>元  </w:t>
      </w:r>
      <w:r>
        <w:rPr>
          <w:rFonts w:ascii="宋体" w:hAnsi="宋体" w:cs="宋体" w:eastAsia="宋体" w:hint="default"/>
        </w:rPr>
      </w:r>
      <w:r>
        <w:rPr/>
        <w:t>币种</w:t>
      </w:r>
      <w:r>
        <w:rPr>
          <w:rFonts w:ascii="宋体" w:hAnsi="宋体" w:cs="宋体" w:eastAsia="宋体" w:hint="default"/>
        </w:rPr>
        <w:t>:</w:t>
      </w:r>
      <w:r>
        <w:rPr>
          <w:rFonts w:ascii="宋体" w:hAnsi="宋体" w:cs="宋体" w:eastAsia="宋体" w:hint="default"/>
          <w:spacing w:val="-2"/>
        </w:rPr>
        <w:t> </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00" w:bottom="280" w:left="1300" w:right="1300"/>
          <w:cols w:num="2" w:equalWidth="0">
            <w:col w:w="1941" w:space="9622"/>
            <w:col w:w="267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968"/>
        <w:gridCol w:w="982"/>
        <w:gridCol w:w="982"/>
        <w:gridCol w:w="1097"/>
        <w:gridCol w:w="982"/>
        <w:gridCol w:w="977"/>
        <w:gridCol w:w="979"/>
        <w:gridCol w:w="982"/>
        <w:gridCol w:w="979"/>
        <w:gridCol w:w="982"/>
        <w:gridCol w:w="1095"/>
        <w:gridCol w:w="982"/>
        <w:gridCol w:w="982"/>
        <w:gridCol w:w="970"/>
      </w:tblGrid>
      <w:tr>
        <w:trPr>
          <w:trHeight w:val="322" w:hRule="exact"/>
        </w:trPr>
        <w:tc>
          <w:tcPr>
            <w:tcW w:w="1393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r>
              <w:rPr>
                <w:rFonts w:ascii="宋体" w:hAnsi="宋体" w:cs="宋体" w:eastAsia="宋体" w:hint="default"/>
                <w:sz w:val="21"/>
                <w:szCs w:val="21"/>
              </w:rPr>
              <w:t> </w:t>
            </w:r>
          </w:p>
        </w:tc>
      </w:tr>
      <w:tr>
        <w:trPr>
          <w:trHeight w:val="1258"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7" w:right="60"/>
              <w:jc w:val="both"/>
              <w:rPr>
                <w:rFonts w:ascii="宋体" w:hAnsi="宋体" w:cs="宋体" w:eastAsia="宋体" w:hint="default"/>
                <w:sz w:val="21"/>
                <w:szCs w:val="21"/>
              </w:rPr>
            </w:pPr>
            <w:r>
              <w:rPr>
                <w:rFonts w:ascii="宋体" w:hAnsi="宋体" w:cs="宋体" w:eastAsia="宋体" w:hint="default"/>
                <w:sz w:val="21"/>
                <w:szCs w:val="21"/>
              </w:rPr>
              <w:t>担保方与</w:t>
            </w:r>
            <w:r>
              <w:rPr>
                <w:rFonts w:ascii="宋体" w:hAnsi="宋体" w:cs="宋体" w:eastAsia="宋体" w:hint="default"/>
                <w:w w:val="100"/>
                <w:sz w:val="21"/>
                <w:szCs w:val="21"/>
              </w:rPr>
              <w:t> </w:t>
            </w:r>
            <w:r>
              <w:rPr>
                <w:rFonts w:ascii="宋体" w:hAnsi="宋体" w:cs="宋体" w:eastAsia="宋体" w:hint="default"/>
                <w:sz w:val="21"/>
                <w:szCs w:val="21"/>
              </w:rPr>
              <w:t>上市公司</w:t>
            </w:r>
            <w:r>
              <w:rPr>
                <w:rFonts w:ascii="宋体" w:hAnsi="宋体" w:cs="宋体" w:eastAsia="宋体" w:hint="default"/>
                <w:w w:val="100"/>
                <w:sz w:val="21"/>
                <w:szCs w:val="21"/>
              </w:rPr>
              <w:t> </w:t>
            </w:r>
            <w:r>
              <w:rPr>
                <w:rFonts w:ascii="宋体" w:hAnsi="宋体" w:cs="宋体" w:eastAsia="宋体" w:hint="default"/>
                <w:sz w:val="21"/>
                <w:szCs w:val="21"/>
              </w:rPr>
              <w:t>的关系</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4" w:right="-39"/>
              <w:jc w:val="left"/>
              <w:rPr>
                <w:rFonts w:ascii="宋体" w:hAnsi="宋体" w:cs="宋体" w:eastAsia="宋体" w:hint="default"/>
                <w:sz w:val="21"/>
                <w:szCs w:val="21"/>
              </w:rPr>
            </w:pPr>
            <w:r>
              <w:rPr>
                <w:rFonts w:ascii="宋体" w:hAnsi="宋体" w:cs="宋体" w:eastAsia="宋体" w:hint="default"/>
                <w:sz w:val="21"/>
                <w:szCs w:val="21"/>
              </w:rPr>
              <w:t>被担保方</w:t>
            </w:r>
            <w:r>
              <w:rPr>
                <w:rFonts w:ascii="宋体" w:hAnsi="宋体" w:cs="宋体" w:eastAsia="宋体" w:hint="default"/>
                <w:sz w:val="21"/>
                <w:szCs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0"/>
              <w:jc w:val="center"/>
              <w:rPr>
                <w:rFonts w:ascii="宋体" w:hAnsi="宋体" w:cs="宋体" w:eastAsia="宋体" w:hint="default"/>
                <w:sz w:val="21"/>
                <w:szCs w:val="21"/>
              </w:rPr>
            </w:pPr>
            <w:r>
              <w:rPr>
                <w:rFonts w:ascii="宋体" w:hAnsi="宋体" w:cs="宋体" w:eastAsia="宋体" w:hint="default"/>
                <w:sz w:val="21"/>
                <w:szCs w:val="21"/>
              </w:rPr>
              <w:t>担保发生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w:t>
            </w:r>
            <w:r>
              <w:rPr>
                <w:rFonts w:ascii="宋体" w:hAnsi="宋体" w:cs="宋体" w:eastAsia="宋体" w:hint="default"/>
                <w:sz w:val="21"/>
                <w:szCs w:val="21"/>
              </w:rPr>
              <w:t>协</w:t>
            </w:r>
            <w:r>
              <w:rPr>
                <w:rFonts w:ascii="宋体" w:hAnsi="宋体" w:cs="宋体" w:eastAsia="宋体" w:hint="default"/>
                <w:w w:val="100"/>
                <w:sz w:val="21"/>
                <w:szCs w:val="21"/>
              </w:rPr>
              <w:t> </w:t>
            </w:r>
            <w:r>
              <w:rPr>
                <w:rFonts w:ascii="宋体" w:hAnsi="宋体" w:cs="宋体" w:eastAsia="宋体" w:hint="default"/>
                <w:sz w:val="21"/>
                <w:szCs w:val="21"/>
              </w:rPr>
              <w:t>议签署</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65" w:right="62"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68" w:right="62"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4" w:right="-39"/>
              <w:jc w:val="left"/>
              <w:rPr>
                <w:rFonts w:ascii="宋体" w:hAnsi="宋体" w:cs="宋体" w:eastAsia="宋体" w:hint="default"/>
                <w:sz w:val="21"/>
                <w:szCs w:val="21"/>
              </w:rPr>
            </w:pPr>
            <w:r>
              <w:rPr>
                <w:rFonts w:ascii="宋体" w:hAnsi="宋体" w:cs="宋体" w:eastAsia="宋体" w:hint="default"/>
                <w:sz w:val="21"/>
                <w:szCs w:val="21"/>
              </w:rPr>
              <w:t>担保类型</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4" w:right="60"/>
              <w:jc w:val="center"/>
              <w:rPr>
                <w:rFonts w:ascii="宋体" w:hAnsi="宋体" w:cs="宋体" w:eastAsia="宋体" w:hint="default"/>
                <w:sz w:val="21"/>
                <w:szCs w:val="21"/>
              </w:rPr>
            </w:pPr>
            <w:r>
              <w:rPr>
                <w:rFonts w:ascii="宋体" w:hAnsi="宋体" w:cs="宋体" w:eastAsia="宋体" w:hint="default"/>
                <w:sz w:val="21"/>
                <w:szCs w:val="21"/>
              </w:rPr>
              <w:t>担保是否</w:t>
            </w:r>
            <w:r>
              <w:rPr>
                <w:rFonts w:ascii="宋体" w:hAnsi="宋体" w:cs="宋体" w:eastAsia="宋体" w:hint="default"/>
                <w:w w:val="100"/>
                <w:sz w:val="21"/>
                <w:szCs w:val="21"/>
              </w:rPr>
              <w:t> </w:t>
            </w:r>
            <w:r>
              <w:rPr>
                <w:rFonts w:ascii="宋体" w:hAnsi="宋体" w:cs="宋体" w:eastAsia="宋体" w:hint="default"/>
                <w:sz w:val="21"/>
                <w:szCs w:val="21"/>
              </w:rPr>
              <w:t>已经履行</w:t>
            </w:r>
            <w:r>
              <w:rPr>
                <w:rFonts w:ascii="宋体" w:hAnsi="宋体" w:cs="宋体" w:eastAsia="宋体" w:hint="default"/>
                <w:w w:val="100"/>
                <w:sz w:val="21"/>
                <w:szCs w:val="21"/>
              </w:rPr>
              <w:t> </w:t>
            </w:r>
            <w:r>
              <w:rPr>
                <w:rFonts w:ascii="宋体" w:hAnsi="宋体" w:cs="宋体" w:eastAsia="宋体" w:hint="default"/>
                <w:sz w:val="21"/>
                <w:szCs w:val="21"/>
              </w:rPr>
              <w:t>完毕</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76" w:right="60" w:hanging="209"/>
              <w:jc w:val="left"/>
              <w:rPr>
                <w:rFonts w:ascii="宋体" w:hAnsi="宋体" w:cs="宋体" w:eastAsia="宋体" w:hint="default"/>
                <w:sz w:val="21"/>
                <w:szCs w:val="21"/>
              </w:rPr>
            </w:pPr>
            <w:r>
              <w:rPr>
                <w:rFonts w:ascii="宋体" w:hAnsi="宋体" w:cs="宋体" w:eastAsia="宋体" w:hint="default"/>
                <w:sz w:val="21"/>
                <w:szCs w:val="21"/>
              </w:rPr>
              <w:t>担保是否</w:t>
            </w:r>
            <w:r>
              <w:rPr>
                <w:rFonts w:ascii="宋体" w:hAnsi="宋体" w:cs="宋体" w:eastAsia="宋体" w:hint="default"/>
                <w:w w:val="100"/>
                <w:sz w:val="21"/>
                <w:szCs w:val="21"/>
              </w:rPr>
              <w:t> </w:t>
            </w:r>
            <w:r>
              <w:rPr>
                <w:rFonts w:ascii="宋体" w:hAnsi="宋体" w:cs="宋体" w:eastAsia="宋体" w:hint="default"/>
                <w:sz w:val="21"/>
                <w:szCs w:val="21"/>
              </w:rPr>
              <w:t>逾期</w:t>
            </w:r>
            <w:r>
              <w:rPr>
                <w:rFonts w:ascii="宋体" w:hAnsi="宋体" w:cs="宋体" w:eastAsia="宋体" w:hint="default"/>
                <w:sz w:val="21"/>
                <w:szCs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33" w:right="118" w:hanging="212"/>
              <w:jc w:val="left"/>
              <w:rPr>
                <w:rFonts w:ascii="宋体" w:hAnsi="宋体" w:cs="宋体" w:eastAsia="宋体" w:hint="default"/>
                <w:sz w:val="21"/>
                <w:szCs w:val="21"/>
              </w:rPr>
            </w:pPr>
            <w:r>
              <w:rPr>
                <w:rFonts w:ascii="宋体" w:hAnsi="宋体" w:cs="宋体" w:eastAsia="宋体" w:hint="default"/>
                <w:sz w:val="21"/>
                <w:szCs w:val="21"/>
              </w:rPr>
              <w:t>担保逾期</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70" w:right="60" w:hanging="104"/>
              <w:jc w:val="left"/>
              <w:rPr>
                <w:rFonts w:ascii="宋体" w:hAnsi="宋体" w:cs="宋体" w:eastAsia="宋体" w:hint="default"/>
                <w:sz w:val="21"/>
                <w:szCs w:val="21"/>
              </w:rPr>
            </w:pPr>
            <w:r>
              <w:rPr>
                <w:rFonts w:ascii="宋体" w:hAnsi="宋体" w:cs="宋体" w:eastAsia="宋体" w:hint="default"/>
                <w:sz w:val="21"/>
                <w:szCs w:val="21"/>
              </w:rPr>
              <w:t>是否存在</w:t>
            </w:r>
            <w:r>
              <w:rPr>
                <w:rFonts w:ascii="宋体" w:hAnsi="宋体" w:cs="宋体" w:eastAsia="宋体" w:hint="default"/>
                <w:w w:val="100"/>
                <w:sz w:val="21"/>
                <w:szCs w:val="21"/>
              </w:rPr>
              <w:t> </w:t>
            </w:r>
            <w:r>
              <w:rPr>
                <w:rFonts w:ascii="宋体" w:hAnsi="宋体" w:cs="宋体" w:eastAsia="宋体" w:hint="default"/>
                <w:sz w:val="21"/>
                <w:szCs w:val="21"/>
              </w:rPr>
              <w:t>反担保</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7" w:right="-41"/>
              <w:jc w:val="left"/>
              <w:rPr>
                <w:rFonts w:ascii="宋体" w:hAnsi="宋体" w:cs="宋体" w:eastAsia="宋体" w:hint="default"/>
                <w:sz w:val="21"/>
                <w:szCs w:val="21"/>
              </w:rPr>
            </w:pPr>
            <w:r>
              <w:rPr>
                <w:rFonts w:ascii="宋体" w:hAnsi="宋体" w:cs="宋体" w:eastAsia="宋体" w:hint="default"/>
                <w:sz w:val="21"/>
                <w:szCs w:val="21"/>
              </w:rPr>
              <w:t>是否为关</w:t>
            </w:r>
            <w:r>
              <w:rPr>
                <w:rFonts w:ascii="宋体" w:hAnsi="宋体" w:cs="宋体" w:eastAsia="宋体" w:hint="default"/>
                <w:w w:val="100"/>
                <w:sz w:val="21"/>
                <w:szCs w:val="21"/>
              </w:rPr>
              <w:t> </w:t>
            </w:r>
            <w:r>
              <w:rPr>
                <w:rFonts w:ascii="宋体" w:hAnsi="宋体" w:cs="宋体" w:eastAsia="宋体" w:hint="default"/>
                <w:sz w:val="21"/>
                <w:szCs w:val="21"/>
              </w:rPr>
              <w:t>联方担保</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8" w:right="163"/>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w w:val="100"/>
                <w:sz w:val="21"/>
                <w:szCs w:val="21"/>
              </w:rPr>
              <w:t> </w:t>
            </w:r>
            <w:r>
              <w:rPr>
                <w:rFonts w:ascii="宋体" w:hAnsi="宋体" w:cs="宋体" w:eastAsia="宋体" w:hint="default"/>
                <w:sz w:val="21"/>
                <w:szCs w:val="21"/>
              </w:rPr>
              <w:t>关系</w:t>
            </w:r>
            <w:r>
              <w:rPr>
                <w:rFonts w:ascii="宋体" w:hAnsi="宋体" w:cs="宋体" w:eastAsia="宋体" w:hint="default"/>
                <w:sz w:val="21"/>
                <w:szCs w:val="21"/>
              </w:rPr>
              <w:t> </w:t>
            </w:r>
          </w:p>
        </w:tc>
      </w:tr>
      <w:tr>
        <w:trPr>
          <w:trHeight w:val="1258"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0" w:right="53"/>
              <w:jc w:val="center"/>
              <w:rPr>
                <w:rFonts w:ascii="宋体" w:hAnsi="宋体" w:cs="宋体" w:eastAsia="宋体" w:hint="default"/>
                <w:sz w:val="21"/>
                <w:szCs w:val="21"/>
              </w:rPr>
            </w:pPr>
            <w:r>
              <w:rPr>
                <w:rFonts w:ascii="宋体" w:hAnsi="宋体" w:cs="宋体" w:eastAsia="宋体" w:hint="default"/>
                <w:sz w:val="21"/>
                <w:szCs w:val="21"/>
              </w:rPr>
              <w:t>南威软件</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pacing w:val="-2"/>
                <w:sz w:val="21"/>
                <w:szCs w:val="21"/>
              </w:rPr>
              <w:t>公司本部</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4" w:right="62"/>
              <w:jc w:val="center"/>
              <w:rPr>
                <w:rFonts w:ascii="宋体" w:hAnsi="宋体" w:cs="宋体" w:eastAsia="宋体" w:hint="default"/>
                <w:sz w:val="21"/>
                <w:szCs w:val="21"/>
              </w:rPr>
            </w:pPr>
            <w:r>
              <w:rPr>
                <w:rFonts w:ascii="宋体" w:hAnsi="宋体" w:cs="宋体" w:eastAsia="宋体" w:hint="default"/>
                <w:sz w:val="21"/>
                <w:szCs w:val="21"/>
              </w:rPr>
              <w:t>福建神威</w:t>
            </w:r>
            <w:r>
              <w:rPr>
                <w:rFonts w:ascii="宋体" w:hAnsi="宋体" w:cs="宋体" w:eastAsia="宋体" w:hint="default"/>
                <w:w w:val="100"/>
                <w:sz w:val="21"/>
                <w:szCs w:val="21"/>
              </w:rPr>
              <w:t> </w:t>
            </w:r>
            <w:r>
              <w:rPr>
                <w:rFonts w:ascii="宋体" w:hAnsi="宋体" w:cs="宋体" w:eastAsia="宋体" w:hint="default"/>
                <w:sz w:val="21"/>
                <w:szCs w:val="21"/>
              </w:rPr>
              <w:t>系统集成</w:t>
            </w:r>
            <w:r>
              <w:rPr>
                <w:rFonts w:ascii="宋体" w:hAnsi="宋体" w:cs="宋体" w:eastAsia="宋体" w:hint="default"/>
                <w:w w:val="100"/>
                <w:sz w:val="21"/>
                <w:szCs w:val="21"/>
              </w:rPr>
              <w:t> </w:t>
            </w: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7"/>
              <w:ind w:left="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3000</w:t>
            </w:r>
            <w:r>
              <w:rPr>
                <w:rFonts w:ascii="宋体" w:hAnsi="宋体" w:cs="宋体" w:eastAsia="宋体" w:hint="default"/>
                <w:sz w:val="21"/>
                <w:szCs w:val="21"/>
              </w:rPr>
              <w:t>万元</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p>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p>
          <w:p>
            <w:pPr>
              <w:pStyle w:val="TableParagraph"/>
              <w:spacing w:line="240" w:lineRule="auto" w:before="21"/>
              <w:ind w:left="165"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p>
          <w:p>
            <w:pPr>
              <w:pStyle w:val="TableParagraph"/>
              <w:spacing w:line="240" w:lineRule="auto" w:before="21"/>
              <w:ind w:left="168"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73" w:right="63" w:hanging="209"/>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sz w:val="21"/>
              </w:rPr>
              <w:t>0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7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7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7" w:right="-44"/>
              <w:jc w:val="center"/>
              <w:rPr>
                <w:rFonts w:ascii="宋体" w:hAnsi="宋体" w:cs="宋体" w:eastAsia="宋体" w:hint="default"/>
                <w:sz w:val="21"/>
                <w:szCs w:val="21"/>
              </w:rPr>
            </w:pPr>
            <w:r>
              <w:rPr>
                <w:rFonts w:ascii="宋体" w:hAnsi="宋体" w:cs="宋体" w:eastAsia="宋体" w:hint="default"/>
                <w:sz w:val="21"/>
                <w:szCs w:val="21"/>
              </w:rPr>
              <w:t>联营公司</w:t>
            </w:r>
            <w:r>
              <w:rPr>
                <w:rFonts w:ascii="宋体" w:hAnsi="宋体" w:cs="宋体" w:eastAsia="宋体" w:hint="default"/>
                <w:sz w:val="21"/>
                <w:szCs w:val="21"/>
              </w:rPr>
              <w:t> </w:t>
            </w:r>
          </w:p>
        </w:tc>
      </w:tr>
      <w:tr>
        <w:trPr>
          <w:trHeight w:val="1258"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0" w:right="53"/>
              <w:jc w:val="center"/>
              <w:rPr>
                <w:rFonts w:ascii="宋体" w:hAnsi="宋体" w:cs="宋体" w:eastAsia="宋体" w:hint="default"/>
                <w:sz w:val="21"/>
                <w:szCs w:val="21"/>
              </w:rPr>
            </w:pPr>
            <w:r>
              <w:rPr>
                <w:rFonts w:ascii="宋体" w:hAnsi="宋体" w:cs="宋体" w:eastAsia="宋体" w:hint="default"/>
                <w:sz w:val="21"/>
                <w:szCs w:val="21"/>
              </w:rPr>
              <w:t>南威软件</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pacing w:val="-2"/>
                <w:sz w:val="21"/>
                <w:szCs w:val="21"/>
              </w:rPr>
              <w:t>公司本部</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4" w:right="62"/>
              <w:jc w:val="center"/>
              <w:rPr>
                <w:rFonts w:ascii="宋体" w:hAnsi="宋体" w:cs="宋体" w:eastAsia="宋体" w:hint="default"/>
                <w:sz w:val="21"/>
                <w:szCs w:val="21"/>
              </w:rPr>
            </w:pPr>
            <w:r>
              <w:rPr>
                <w:rFonts w:ascii="宋体" w:hAnsi="宋体" w:cs="宋体" w:eastAsia="宋体" w:hint="default"/>
                <w:sz w:val="21"/>
                <w:szCs w:val="21"/>
              </w:rPr>
              <w:t>福建神威</w:t>
            </w:r>
            <w:r>
              <w:rPr>
                <w:rFonts w:ascii="宋体" w:hAnsi="宋体" w:cs="宋体" w:eastAsia="宋体" w:hint="default"/>
                <w:w w:val="100"/>
                <w:sz w:val="21"/>
                <w:szCs w:val="21"/>
              </w:rPr>
              <w:t> </w:t>
            </w:r>
            <w:r>
              <w:rPr>
                <w:rFonts w:ascii="宋体" w:hAnsi="宋体" w:cs="宋体" w:eastAsia="宋体" w:hint="default"/>
                <w:sz w:val="21"/>
                <w:szCs w:val="21"/>
              </w:rPr>
              <w:t>系统集成</w:t>
            </w:r>
            <w:r>
              <w:rPr>
                <w:rFonts w:ascii="宋体" w:hAnsi="宋体" w:cs="宋体" w:eastAsia="宋体" w:hint="default"/>
                <w:w w:val="100"/>
                <w:sz w:val="21"/>
                <w:szCs w:val="21"/>
              </w:rPr>
              <w:t> </w:t>
            </w: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7"/>
              <w:ind w:left="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1400</w:t>
            </w:r>
            <w:r>
              <w:rPr>
                <w:rFonts w:ascii="宋体" w:hAnsi="宋体" w:cs="宋体" w:eastAsia="宋体" w:hint="default"/>
                <w:sz w:val="21"/>
                <w:szCs w:val="21"/>
              </w:rPr>
              <w:t>万元</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p>
          <w:p>
            <w:pPr>
              <w:pStyle w:val="TableParagraph"/>
              <w:spacing w:line="240" w:lineRule="auto" w:before="21"/>
              <w:ind w:left="170"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p>
          <w:p>
            <w:pPr>
              <w:pStyle w:val="TableParagraph"/>
              <w:spacing w:line="240" w:lineRule="auto" w:before="21"/>
              <w:ind w:left="165"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p>
          <w:p>
            <w:pPr>
              <w:pStyle w:val="TableParagraph"/>
              <w:spacing w:line="240" w:lineRule="auto" w:before="21"/>
              <w:ind w:left="168"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73" w:right="63" w:hanging="209"/>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sz w:val="21"/>
              </w:rPr>
              <w:t>0 </w:t>
            </w:r>
          </w:p>
          <w:p>
            <w:pPr>
              <w:pStyle w:val="TableParagraph"/>
              <w:spacing w:line="240" w:lineRule="auto" w:before="37"/>
              <w:ind w:left="23" w:right="0"/>
              <w:jc w:val="center"/>
              <w:rPr>
                <w:rFonts w:ascii="宋体" w:hAnsi="宋体" w:cs="宋体" w:eastAsia="宋体" w:hint="default"/>
                <w:sz w:val="21"/>
                <w:szCs w:val="21"/>
              </w:rPr>
            </w:pPr>
            <w:r>
              <w:rPr>
                <w:rFonts w:ascii="宋体"/>
                <w:w w:val="100"/>
                <w:sz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7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71"/>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7" w:right="-44"/>
              <w:jc w:val="center"/>
              <w:rPr>
                <w:rFonts w:ascii="宋体" w:hAnsi="宋体" w:cs="宋体" w:eastAsia="宋体" w:hint="default"/>
                <w:sz w:val="21"/>
                <w:szCs w:val="21"/>
              </w:rPr>
            </w:pPr>
            <w:r>
              <w:rPr>
                <w:rFonts w:ascii="宋体" w:hAnsi="宋体" w:cs="宋体" w:eastAsia="宋体" w:hint="default"/>
                <w:sz w:val="21"/>
                <w:szCs w:val="21"/>
              </w:rPr>
              <w:t>联营公司</w:t>
            </w:r>
            <w:r>
              <w:rPr>
                <w:rFonts w:ascii="宋体" w:hAnsi="宋体" w:cs="宋体" w:eastAsia="宋体" w:hint="default"/>
                <w:sz w:val="21"/>
                <w:szCs w:val="21"/>
              </w:rPr>
              <w:t> </w:t>
            </w:r>
          </w:p>
        </w:tc>
      </w:tr>
      <w:tr>
        <w:trPr>
          <w:trHeight w:val="324" w:hRule="exact"/>
        </w:trPr>
        <w:tc>
          <w:tcPr>
            <w:tcW w:w="59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79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9,704,527.29</w:t>
            </w:r>
          </w:p>
        </w:tc>
      </w:tr>
      <w:tr>
        <w:trPr>
          <w:trHeight w:val="322" w:hRule="exact"/>
        </w:trPr>
        <w:tc>
          <w:tcPr>
            <w:tcW w:w="59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Times New Roman" w:hAnsi="Times New Roman" w:cs="Times New Roman" w:eastAsia="Times New Roman" w:hint="default"/>
                <w:sz w:val="21"/>
                <w:szCs w:val="21"/>
              </w:rPr>
              <w:t>A</w:t>
            </w:r>
            <w:r>
              <w:rPr>
                <w:rFonts w:ascii="宋体" w:hAnsi="宋体" w:cs="宋体" w:eastAsia="宋体" w:hint="default"/>
                <w:sz w:val="21"/>
                <w:szCs w:val="21"/>
              </w:rPr>
              <w:t>）（不包括对子公司的担保）</w:t>
            </w:r>
          </w:p>
        </w:tc>
        <w:tc>
          <w:tcPr>
            <w:tcW w:w="79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8,586,153.81</w:t>
            </w:r>
          </w:p>
        </w:tc>
      </w:tr>
      <w:tr>
        <w:trPr>
          <w:trHeight w:val="322" w:hRule="exact"/>
        </w:trPr>
        <w:tc>
          <w:tcPr>
            <w:tcW w:w="1393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2" w:hRule="exact"/>
        </w:trPr>
        <w:tc>
          <w:tcPr>
            <w:tcW w:w="59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79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31,702,117.22</w:t>
            </w:r>
          </w:p>
        </w:tc>
      </w:tr>
      <w:tr>
        <w:trPr>
          <w:trHeight w:val="322" w:hRule="exact"/>
        </w:trPr>
        <w:tc>
          <w:tcPr>
            <w:tcW w:w="59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79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22,423,081.82</w:t>
            </w:r>
          </w:p>
        </w:tc>
      </w:tr>
      <w:tr>
        <w:trPr>
          <w:trHeight w:val="322" w:hRule="exact"/>
        </w:trPr>
        <w:tc>
          <w:tcPr>
            <w:tcW w:w="1393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1" w:hRule="exact"/>
        </w:trPr>
        <w:tc>
          <w:tcPr>
            <w:tcW w:w="59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79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3"/>
              <w:jc w:val="right"/>
              <w:rPr>
                <w:rFonts w:ascii="Times New Roman" w:hAnsi="Times New Roman" w:cs="Times New Roman" w:eastAsia="Times New Roman" w:hint="default"/>
                <w:sz w:val="21"/>
                <w:szCs w:val="21"/>
              </w:rPr>
            </w:pPr>
            <w:r>
              <w:rPr>
                <w:rFonts w:ascii="Times New Roman"/>
                <w:spacing w:val="-1"/>
                <w:sz w:val="21"/>
              </w:rPr>
              <w:t>31,009,235.63</w:t>
            </w:r>
          </w:p>
        </w:tc>
      </w:tr>
      <w:tr>
        <w:trPr>
          <w:trHeight w:val="324" w:hRule="exact"/>
        </w:trPr>
        <w:tc>
          <w:tcPr>
            <w:tcW w:w="59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79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sz w:val="21"/>
              </w:rPr>
              <w:t>1.47%</w:t>
            </w:r>
          </w:p>
        </w:tc>
      </w:tr>
      <w:tr>
        <w:trPr>
          <w:trHeight w:val="322" w:hRule="exact"/>
        </w:trPr>
        <w:tc>
          <w:tcPr>
            <w:tcW w:w="1393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22" w:hRule="exact"/>
        </w:trPr>
        <w:tc>
          <w:tcPr>
            <w:tcW w:w="59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7950" w:type="dxa"/>
            <w:gridSpan w:val="8"/>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00" w:bottom="2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5987"/>
        <w:gridCol w:w="7950"/>
      </w:tblGrid>
      <w:tr>
        <w:trPr>
          <w:trHeight w:val="634" w:hRule="exact"/>
        </w:trPr>
        <w:tc>
          <w:tcPr>
            <w:tcW w:w="598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6" w:right="98"/>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Times New Roman" w:hAnsi="Times New Roman" w:cs="Times New Roman" w:eastAsia="Times New Roman" w:hint="default"/>
                <w:spacing w:val="-2"/>
                <w:sz w:val="21"/>
                <w:szCs w:val="21"/>
              </w:rPr>
              <w:t>70%</w:t>
            </w:r>
            <w:r>
              <w:rPr>
                <w:rFonts w:ascii="宋体" w:hAnsi="宋体" w:cs="宋体" w:eastAsia="宋体" w:hint="default"/>
                <w:spacing w:val="-2"/>
                <w:sz w:val="21"/>
                <w:szCs w:val="21"/>
              </w:rPr>
              <w:t>的被担保对象提供的债务担保</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79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8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79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8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79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7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sz w:val="24"/>
              </w:rPr>
              <w:t> </w:t>
            </w:r>
          </w:p>
        </w:tc>
      </w:tr>
      <w:tr>
        <w:trPr>
          <w:trHeight w:val="637" w:hRule="exact"/>
        </w:trPr>
        <w:tc>
          <w:tcPr>
            <w:tcW w:w="5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r>
              <w:rPr>
                <w:rFonts w:ascii="宋体" w:hAnsi="宋体" w:cs="宋体" w:eastAsia="宋体" w:hint="default"/>
                <w:sz w:val="21"/>
                <w:szCs w:val="21"/>
              </w:rPr>
              <w:t> </w:t>
            </w:r>
          </w:p>
        </w:tc>
        <w:tc>
          <w:tcPr>
            <w:tcW w:w="7950"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26" w:right="17"/>
              <w:jc w:val="left"/>
              <w:rPr>
                <w:rFonts w:ascii="宋体" w:hAnsi="宋体" w:cs="宋体" w:eastAsia="宋体" w:hint="default"/>
                <w:sz w:val="21"/>
                <w:szCs w:val="21"/>
              </w:rPr>
            </w:pPr>
            <w:r>
              <w:rPr>
                <w:rFonts w:ascii="宋体" w:hAnsi="宋体" w:cs="宋体" w:eastAsia="宋体" w:hint="default"/>
                <w:spacing w:val="-4"/>
                <w:w w:val="100"/>
                <w:sz w:val="21"/>
                <w:szCs w:val="21"/>
              </w:rPr>
              <w:t>截止</w:t>
            </w:r>
            <w:r>
              <w:rPr>
                <w:rFonts w:ascii="Times New Roman" w:hAnsi="Times New Roman" w:cs="Times New Roman" w:eastAsia="Times New Roman" w:hint="default"/>
                <w:spacing w:val="-4"/>
                <w:w w:val="100"/>
                <w:sz w:val="21"/>
                <w:szCs w:val="21"/>
              </w:rPr>
              <w:t>2019</w:t>
            </w:r>
            <w:r>
              <w:rPr>
                <w:rFonts w:ascii="宋体" w:hAnsi="宋体" w:cs="宋体" w:eastAsia="宋体" w:hint="default"/>
                <w:spacing w:val="-4"/>
                <w:w w:val="100"/>
                <w:sz w:val="21"/>
                <w:szCs w:val="21"/>
              </w:rPr>
              <w:t>年</w:t>
            </w:r>
            <w:r>
              <w:rPr>
                <w:rFonts w:ascii="Times New Roman" w:hAnsi="Times New Roman" w:cs="Times New Roman" w:eastAsia="Times New Roman" w:hint="default"/>
                <w:spacing w:val="-4"/>
                <w:w w:val="100"/>
                <w:sz w:val="21"/>
                <w:szCs w:val="21"/>
              </w:rPr>
              <w:t>12</w:t>
            </w:r>
            <w:r>
              <w:rPr>
                <w:rFonts w:ascii="宋体" w:hAnsi="宋体" w:cs="宋体" w:eastAsia="宋体" w:hint="default"/>
                <w:spacing w:val="-4"/>
                <w:w w:val="100"/>
                <w:sz w:val="21"/>
                <w:szCs w:val="21"/>
              </w:rPr>
              <w:t>月</w:t>
            </w:r>
            <w:r>
              <w:rPr>
                <w:rFonts w:ascii="Times New Roman" w:hAnsi="Times New Roman" w:cs="Times New Roman" w:eastAsia="Times New Roman" w:hint="default"/>
                <w:spacing w:val="-4"/>
                <w:w w:val="100"/>
                <w:sz w:val="21"/>
                <w:szCs w:val="21"/>
              </w:rPr>
              <w:t>31</w:t>
            </w:r>
            <w:r>
              <w:rPr>
                <w:rFonts w:ascii="宋体" w:hAnsi="宋体" w:cs="宋体" w:eastAsia="宋体" w:hint="default"/>
                <w:spacing w:val="-4"/>
                <w:w w:val="100"/>
                <w:sz w:val="21"/>
                <w:szCs w:val="21"/>
              </w:rPr>
              <w:t>日，公司为参股公司福建神威系统集成有限责任公司的担保余额为人</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z w:val="21"/>
                <w:szCs w:val="21"/>
              </w:rPr>
              <w:t>民币</w:t>
            </w:r>
            <w:r>
              <w:rPr>
                <w:rFonts w:ascii="Times New Roman" w:hAnsi="Times New Roman" w:cs="Times New Roman" w:eastAsia="Times New Roman" w:hint="default"/>
                <w:sz w:val="21"/>
                <w:szCs w:val="21"/>
              </w:rPr>
              <w:t>858.62</w:t>
            </w:r>
            <w:r>
              <w:rPr>
                <w:rFonts w:ascii="宋体" w:hAnsi="宋体" w:cs="宋体" w:eastAsia="宋体" w:hint="default"/>
                <w:sz w:val="21"/>
                <w:szCs w:val="21"/>
              </w:rPr>
              <w:t>万元。</w:t>
            </w:r>
          </w:p>
        </w:tc>
      </w:tr>
    </w:tbl>
    <w:p>
      <w:pPr>
        <w:spacing w:after="0" w:line="259" w:lineRule="auto"/>
        <w:jc w:val="left"/>
        <w:rPr>
          <w:rFonts w:ascii="宋体" w:hAnsi="宋体" w:cs="宋体" w:eastAsia="宋体" w:hint="default"/>
          <w:sz w:val="21"/>
          <w:szCs w:val="21"/>
        </w:rPr>
        <w:sectPr>
          <w:pgSz w:w="16840" w:h="11910" w:orient="landscape"/>
          <w:pgMar w:header="855" w:footer="980" w:top="1120" w:bottom="1160" w:left="1300" w:right="1380"/>
        </w:sectPr>
      </w:pPr>
    </w:p>
    <w:p>
      <w:pPr>
        <w:spacing w:before="50"/>
        <w:ind w:left="1393" w:right="0" w:firstLine="0"/>
        <w:jc w:val="left"/>
        <w:rPr>
          <w:rFonts w:ascii="宋体" w:hAnsi="宋体" w:cs="宋体" w:eastAsia="宋体" w:hint="default"/>
          <w:sz w:val="18"/>
          <w:szCs w:val="18"/>
        </w:rPr>
      </w:pPr>
      <w:r>
        <w:rPr/>
        <w:pict>
          <v:shape style="position:absolute;margin-left:97.300003pt;margin-top:3.806641pt;width:51.594pt;height:9.235100pt;mso-position-horizontal-relative:page;mso-position-vertical-relative:paragraph;z-index:-1170328" type="#_x0000_t75" stroked="false">
            <v:imagedata r:id="rId18" o:title=""/>
          </v:shape>
        </w:pict>
      </w: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7"/>
          <w:footerReference w:type="default" r:id="rId28"/>
          <w:pgSz w:w="11910" w:h="16840"/>
          <w:pgMar w:header="0" w:footer="0" w:top="760" w:bottom="280" w:left="1580" w:right="1040"/>
        </w:sectPr>
      </w:pPr>
    </w:p>
    <w:p>
      <w:pPr>
        <w:pStyle w:val="Heading4"/>
        <w:tabs>
          <w:tab w:pos="642" w:val="left" w:leader="none"/>
        </w:tabs>
        <w:spacing w:line="324" w:lineRule="auto" w:before="179"/>
        <w:ind w:right="0"/>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r>
      <w:r>
        <w:rPr>
          <w:spacing w:val="-1"/>
        </w:rPr>
        <w:t>委托他人进行现金资产管理的情况</w:t>
      </w:r>
      <w:r>
        <w:rPr>
          <w:spacing w:val="-90"/>
        </w:rPr>
        <w:t> </w:t>
      </w:r>
      <w:r>
        <w:rPr>
          <w:spacing w:val="-90"/>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23"/>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580" w:right="1040"/>
          <w:cols w:num="2" w:equalWidth="0">
            <w:col w:w="3804" w:space="2717"/>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32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4" w:right="0"/>
              <w:jc w:val="center"/>
              <w:rPr>
                <w:rFonts w:ascii="Times New Roman" w:hAnsi="Times New Roman" w:cs="Times New Roman" w:eastAsia="Times New Roman" w:hint="default"/>
                <w:sz w:val="21"/>
                <w:szCs w:val="21"/>
              </w:rPr>
            </w:pPr>
            <w:r>
              <w:rPr>
                <w:rFonts w:ascii="Times New Roman"/>
                <w:sz w:val="21"/>
              </w:rPr>
              <w:t>206,343,000.00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4" w:right="0"/>
              <w:jc w:val="center"/>
              <w:rPr>
                <w:rFonts w:ascii="Times New Roman" w:hAnsi="Times New Roman" w:cs="Times New Roman" w:eastAsia="Times New Roman" w:hint="default"/>
                <w:sz w:val="21"/>
                <w:szCs w:val="21"/>
              </w:rPr>
            </w:pPr>
            <w:r>
              <w:rPr>
                <w:rFonts w:ascii="Times New Roman"/>
                <w:sz w:val="21"/>
              </w:rPr>
              <w:t>625,000,000.00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50,000,000.00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情况</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0"/>
        <w:ind w:left="341" w:right="355" w:firstLine="0"/>
        <w:jc w:val="center"/>
        <w:rPr>
          <w:rFonts w:ascii="Times New Roman" w:hAnsi="Times New Roman" w:cs="Times New Roman" w:eastAsia="Times New Roman" w:hint="default"/>
          <w:sz w:val="18"/>
          <w:szCs w:val="18"/>
        </w:rPr>
      </w:pPr>
      <w:r>
        <w:rPr>
          <w:rFonts w:ascii="Times New Roman"/>
          <w:b/>
          <w:sz w:val="18"/>
        </w:rPr>
        <w:t>47 </w:t>
      </w:r>
      <w:r>
        <w:rPr>
          <w:rFonts w:ascii="Times New Roman"/>
          <w:sz w:val="18"/>
        </w:rPr>
        <w:t>/</w:t>
      </w:r>
      <w:r>
        <w:rPr>
          <w:rFonts w:ascii="Times New Roman"/>
          <w:spacing w:val="-1"/>
          <w:sz w:val="18"/>
        </w:rPr>
        <w:t> </w:t>
      </w:r>
      <w:r>
        <w:rPr>
          <w:rFonts w:ascii="Times New Roman"/>
          <w:b/>
          <w:sz w:val="18"/>
        </w:rPr>
        <w:t>237</w:t>
      </w:r>
      <w:r>
        <w:rPr>
          <w:rFonts w:ascii="Times New Roman"/>
          <w:sz w:val="18"/>
        </w:rPr>
      </w:r>
    </w:p>
    <w:p>
      <w:pPr>
        <w:spacing w:after="0"/>
        <w:jc w:val="center"/>
        <w:rPr>
          <w:rFonts w:ascii="Times New Roman" w:hAnsi="Times New Roman" w:cs="Times New Roman" w:eastAsia="Times New Roman" w:hint="default"/>
          <w:sz w:val="18"/>
          <w:szCs w:val="18"/>
        </w:rPr>
        <w:sectPr>
          <w:type w:val="continuous"/>
          <w:pgSz w:w="11910" w:h="16840"/>
          <w:pgMar w:top="1500" w:bottom="280" w:left="1580" w:right="1040"/>
        </w:sect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5"/>
        <w:rPr>
          <w:rFonts w:ascii="Times New Roman" w:hAnsi="Times New Roman" w:cs="Times New Roman" w:eastAsia="Times New Roman" w:hint="default"/>
          <w:b/>
          <w:bCs/>
          <w:sz w:val="19"/>
          <w:szCs w:val="19"/>
        </w:rPr>
      </w:pPr>
    </w:p>
    <w:p>
      <w:pPr>
        <w:spacing w:after="0" w:line="240" w:lineRule="auto"/>
        <w:rPr>
          <w:rFonts w:ascii="Times New Roman" w:hAnsi="Times New Roman" w:cs="Times New Roman" w:eastAsia="Times New Roman" w:hint="default"/>
          <w:sz w:val="19"/>
          <w:szCs w:val="19"/>
        </w:rPr>
        <w:sectPr>
          <w:headerReference w:type="default" r:id="rId29"/>
          <w:footerReference w:type="default" r:id="rId30"/>
          <w:pgSz w:w="16840" w:h="11910" w:orient="landscape"/>
          <w:pgMar w:header="855" w:footer="980" w:top="1120" w:bottom="1160" w:left="1220" w:right="1060"/>
          <w:pgNumType w:start="48"/>
        </w:sectPr>
      </w:pPr>
    </w:p>
    <w:p>
      <w:pPr>
        <w:pStyle w:val="Heading4"/>
        <w:spacing w:line="240" w:lineRule="auto" w:before="36"/>
        <w:ind w:left="220"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spacing w:line="240" w:lineRule="auto" w:before="97"/>
        <w:ind w:left="220" w:right="-19"/>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
        <w:rPr>
          <w:rFonts w:ascii="宋体" w:hAnsi="宋体" w:cs="宋体" w:eastAsia="宋体" w:hint="default"/>
          <w:sz w:val="31"/>
          <w:szCs w:val="31"/>
        </w:rPr>
      </w:pPr>
    </w:p>
    <w:p>
      <w:pPr>
        <w:pStyle w:val="BodyText"/>
        <w:spacing w:line="240" w:lineRule="auto"/>
        <w:ind w:left="220"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500" w:bottom="280" w:left="1220" w:right="1060"/>
          <w:cols w:num="2" w:equalWidth="0">
            <w:col w:w="2271" w:space="9292"/>
            <w:col w:w="2997"/>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43"/>
        <w:gridCol w:w="1152"/>
        <w:gridCol w:w="1589"/>
        <w:gridCol w:w="1011"/>
        <w:gridCol w:w="1006"/>
        <w:gridCol w:w="866"/>
        <w:gridCol w:w="1097"/>
        <w:gridCol w:w="1207"/>
        <w:gridCol w:w="866"/>
        <w:gridCol w:w="430"/>
        <w:gridCol w:w="1395"/>
        <w:gridCol w:w="965"/>
        <w:gridCol w:w="461"/>
        <w:gridCol w:w="559"/>
        <w:gridCol w:w="583"/>
      </w:tblGrid>
      <w:tr>
        <w:trPr>
          <w:trHeight w:val="3442"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4"/>
              <w:jc w:val="right"/>
              <w:rPr>
                <w:rFonts w:ascii="宋体" w:hAnsi="宋体" w:cs="宋体" w:eastAsia="宋体" w:hint="default"/>
                <w:sz w:val="21"/>
                <w:szCs w:val="21"/>
              </w:rPr>
            </w:pPr>
            <w:r>
              <w:rPr>
                <w:rFonts w:ascii="宋体" w:hAnsi="宋体" w:cs="宋体" w:eastAsia="宋体" w:hint="default"/>
                <w:spacing w:val="-1"/>
                <w:sz w:val="21"/>
                <w:szCs w:val="21"/>
              </w:rPr>
              <w:t>受托人</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359" w:right="146" w:hanging="209"/>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hAnsi="宋体" w:cs="宋体" w:eastAsia="宋体" w:hint="default"/>
                <w:spacing w:val="-2"/>
                <w:sz w:val="21"/>
                <w:szCs w:val="21"/>
              </w:rPr>
              <w:t>委托理财金额</w:t>
            </w:r>
            <w:r>
              <w:rPr>
                <w:rFonts w:ascii="宋体" w:hAnsi="宋体" w:cs="宋体" w:eastAsia="宋体" w:hint="default"/>
                <w:sz w:val="21"/>
                <w:szCs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82" w:right="182"/>
              <w:jc w:val="both"/>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财起始</w:t>
            </w:r>
            <w:r>
              <w:rPr>
                <w:rFonts w:ascii="宋体" w:hAnsi="宋体" w:cs="宋体" w:eastAsia="宋体" w:hint="default"/>
                <w:spacing w:val="-102"/>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82" w:right="179"/>
              <w:jc w:val="both"/>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财终止</w:t>
            </w:r>
            <w:r>
              <w:rPr>
                <w:rFonts w:ascii="宋体" w:hAnsi="宋体" w:cs="宋体" w:eastAsia="宋体" w:hint="default"/>
                <w:spacing w:val="-102"/>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216" w:right="113"/>
              <w:jc w:val="center"/>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来源</w:t>
            </w:r>
            <w:r>
              <w:rPr>
                <w:rFonts w:ascii="宋体" w:hAnsi="宋体" w:cs="宋体" w:eastAsia="宋体" w:hint="default"/>
                <w:sz w:val="21"/>
                <w:szCs w:val="21"/>
              </w:rPr>
              <w:t> </w:t>
            </w:r>
          </w:p>
          <w:p>
            <w:pPr>
              <w:pStyle w:val="TableParagraph"/>
              <w:spacing w:line="240" w:lineRule="auto" w:before="7"/>
              <w:ind w:left="103" w:right="0"/>
              <w:jc w:val="center"/>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333" w:right="227"/>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投向</w:t>
            </w:r>
            <w:r>
              <w:rPr>
                <w:rFonts w:ascii="宋体" w:hAnsi="宋体" w:cs="宋体" w:eastAsia="宋体" w:hint="default"/>
                <w:sz w:val="21"/>
                <w:szCs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388" w:right="72" w:hanging="212"/>
              <w:jc w:val="left"/>
              <w:rPr>
                <w:rFonts w:ascii="宋体" w:hAnsi="宋体" w:cs="宋体" w:eastAsia="宋体" w:hint="default"/>
                <w:sz w:val="21"/>
                <w:szCs w:val="21"/>
              </w:rPr>
            </w:pPr>
            <w:r>
              <w:rPr>
                <w:rFonts w:ascii="宋体" w:hAnsi="宋体" w:cs="宋体" w:eastAsia="宋体" w:hint="default"/>
                <w:sz w:val="21"/>
                <w:szCs w:val="21"/>
              </w:rPr>
              <w:t>报酬确定</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10" w:right="7"/>
              <w:jc w:val="center"/>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r>
              <w:rPr>
                <w:rFonts w:ascii="宋体" w:hAnsi="宋体" w:cs="宋体" w:eastAsia="宋体" w:hint="default"/>
                <w:sz w:val="21"/>
                <w:szCs w:val="21"/>
              </w:rPr>
              <w:t> </w:t>
            </w:r>
          </w:p>
          <w:p>
            <w:pPr>
              <w:pStyle w:val="TableParagraph"/>
              <w:spacing w:line="240" w:lineRule="auto" w:before="7"/>
              <w:ind w:left="103" w:right="0"/>
              <w:jc w:val="center"/>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1"/>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3" w:lineRule="auto" w:before="7"/>
              <w:ind w:left="103" w:right="103"/>
              <w:jc w:val="left"/>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有</w:t>
            </w:r>
          </w:p>
          <w:p>
            <w:pPr>
              <w:pStyle w:val="TableParagraph"/>
              <w:spacing w:line="240" w:lineRule="auto" w:before="7"/>
              <w:ind w:left="156" w:right="0"/>
              <w:jc w:val="left"/>
              <w:rPr>
                <w:rFonts w:ascii="宋体" w:hAnsi="宋体" w:cs="宋体" w:eastAsia="宋体" w:hint="default"/>
                <w:sz w:val="21"/>
                <w:szCs w:val="21"/>
              </w:rPr>
            </w:pPr>
            <w:r>
              <w:rPr>
                <w:rFonts w:ascii="宋体"/>
                <w:sz w:val="21"/>
              </w:rPr>
              <w:t>) </w:t>
            </w:r>
          </w:p>
          <w:p>
            <w:pPr>
              <w:pStyle w:val="TableParagraph"/>
              <w:spacing w:line="240" w:lineRule="auto" w:before="37"/>
              <w:ind w:left="103" w:right="0"/>
              <w:jc w:val="center"/>
              <w:rPr>
                <w:rFonts w:ascii="宋体" w:hAnsi="宋体" w:cs="宋体" w:eastAsia="宋体" w:hint="default"/>
                <w:sz w:val="21"/>
                <w:szCs w:val="21"/>
              </w:rPr>
            </w:pPr>
            <w:r>
              <w:rPr>
                <w:rFonts w:ascii="宋体"/>
                <w:w w:val="100"/>
                <w:sz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167" w:right="59" w:firstLine="314"/>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收益或损失</w:t>
            </w:r>
            <w:r>
              <w:rPr>
                <w:rFonts w:ascii="宋体" w:hAnsi="宋体" w:cs="宋体" w:eastAsia="宋体" w:hint="default"/>
                <w:sz w:val="21"/>
                <w:szCs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160" w:right="55"/>
              <w:jc w:val="left"/>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spacing w:val="-102"/>
                <w:sz w:val="21"/>
                <w:szCs w:val="21"/>
              </w:rPr>
              <w:t> </w:t>
            </w:r>
            <w:r>
              <w:rPr>
                <w:rFonts w:ascii="宋体" w:hAnsi="宋体" w:cs="宋体" w:eastAsia="宋体" w:hint="default"/>
                <w:sz w:val="21"/>
                <w:szCs w:val="21"/>
              </w:rPr>
              <w:t>回情况</w:t>
            </w:r>
            <w:r>
              <w:rPr>
                <w:rFonts w:ascii="宋体" w:hAnsi="宋体" w:cs="宋体" w:eastAsia="宋体" w:hint="default"/>
                <w:sz w:val="21"/>
                <w:szCs w:val="21"/>
              </w:rPr>
              <w:t> </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9" w:right="12"/>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r>
              <w:rPr>
                <w:rFonts w:ascii="宋体" w:hAnsi="宋体" w:cs="宋体" w:eastAsia="宋体" w:hint="default"/>
                <w:sz w:val="21"/>
                <w:szCs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8" w:right="62"/>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9" w:right="125" w:firstLine="52"/>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40" w:lineRule="auto" w:before="7"/>
              <w:ind w:left="129"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 </w:t>
            </w: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5"/>
              <w:jc w:val="right"/>
              <w:rPr>
                <w:rFonts w:ascii="宋体" w:hAnsi="宋体" w:cs="宋体" w:eastAsia="宋体" w:hint="default"/>
                <w:sz w:val="21"/>
                <w:szCs w:val="21"/>
              </w:rPr>
            </w:pPr>
            <w:r>
              <w:rPr>
                <w:rFonts w:ascii="宋体" w:hAnsi="宋体" w:cs="宋体" w:eastAsia="宋体" w:hint="default"/>
                <w:spacing w:val="-1"/>
                <w:sz w:val="21"/>
                <w:szCs w:val="21"/>
              </w:rPr>
              <w:t>厦门银行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2019-9-1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2019-10-</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4.12%</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109,866.56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both"/>
              <w:rPr>
                <w:rFonts w:ascii="宋体" w:hAnsi="宋体" w:cs="宋体" w:eastAsia="宋体" w:hint="default"/>
                <w:sz w:val="21"/>
                <w:szCs w:val="21"/>
              </w:rPr>
            </w:pPr>
            <w:r>
              <w:rPr>
                <w:rFonts w:ascii="宋体" w:hAnsi="宋体" w:cs="宋体" w:eastAsia="宋体" w:hint="default"/>
                <w:sz w:val="21"/>
                <w:szCs w:val="21"/>
              </w:rPr>
              <w:t>厦门国际</w:t>
            </w:r>
            <w:r>
              <w:rPr>
                <w:rFonts w:ascii="宋体" w:hAnsi="宋体" w:cs="宋体" w:eastAsia="宋体" w:hint="default"/>
                <w:w w:val="100"/>
                <w:sz w:val="21"/>
                <w:szCs w:val="21"/>
              </w:rPr>
              <w:t> </w:t>
            </w:r>
            <w:r>
              <w:rPr>
                <w:rFonts w:ascii="宋体" w:hAnsi="宋体" w:cs="宋体" w:eastAsia="宋体" w:hint="default"/>
                <w:sz w:val="21"/>
                <w:szCs w:val="21"/>
              </w:rPr>
              <w:t>银行股份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2019-7-3</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2019-10-</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31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19"/>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49"/>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3.95%</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867,354.17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5"/>
              <w:jc w:val="right"/>
              <w:rPr>
                <w:rFonts w:ascii="宋体" w:hAnsi="宋体" w:cs="宋体" w:eastAsia="宋体" w:hint="default"/>
                <w:sz w:val="21"/>
                <w:szCs w:val="21"/>
              </w:rPr>
            </w:pPr>
            <w:r>
              <w:rPr>
                <w:rFonts w:ascii="宋体" w:hAnsi="宋体" w:cs="宋体" w:eastAsia="宋体" w:hint="default"/>
                <w:spacing w:val="-1"/>
                <w:sz w:val="21"/>
                <w:szCs w:val="21"/>
              </w:rPr>
              <w:t>工商银行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2019-8-1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2019-9-3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3.75%</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232,835.34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85"/>
              <w:jc w:val="right"/>
              <w:rPr>
                <w:rFonts w:ascii="宋体" w:hAnsi="宋体" w:cs="宋体" w:eastAsia="宋体" w:hint="default"/>
                <w:sz w:val="21"/>
                <w:szCs w:val="21"/>
              </w:rPr>
            </w:pPr>
            <w:r>
              <w:rPr>
                <w:rFonts w:ascii="宋体" w:hAnsi="宋体" w:cs="宋体" w:eastAsia="宋体" w:hint="default"/>
                <w:spacing w:val="-1"/>
                <w:sz w:val="21"/>
                <w:szCs w:val="21"/>
              </w:rPr>
              <w:t>厦门银行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2019-9-1</w:t>
            </w:r>
          </w:p>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w w:val="100"/>
                <w:sz w:val="21"/>
              </w:rPr>
              <w:t>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z w:val="21"/>
              </w:rPr>
              <w:t>26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4.21%</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982,332.98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z w:val="21"/>
                <w:szCs w:val="21"/>
              </w:rPr>
              <w:t>厦门国际</w:t>
            </w:r>
            <w:r>
              <w:rPr>
                <w:rFonts w:ascii="宋体" w:hAnsi="宋体" w:cs="宋体" w:eastAsia="宋体" w:hint="default"/>
                <w:w w:val="100"/>
                <w:sz w:val="21"/>
                <w:szCs w:val="21"/>
              </w:rPr>
              <w:t> </w:t>
            </w:r>
            <w:r>
              <w:rPr>
                <w:rFonts w:ascii="宋体" w:hAnsi="宋体" w:cs="宋体" w:eastAsia="宋体" w:hint="default"/>
                <w:sz w:val="21"/>
                <w:szCs w:val="21"/>
              </w:rPr>
              <w:t>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3.70%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210,694.44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5"/>
              <w:jc w:val="right"/>
              <w:rPr>
                <w:rFonts w:ascii="宋体" w:hAnsi="宋体" w:cs="宋体" w:eastAsia="宋体" w:hint="default"/>
                <w:sz w:val="21"/>
                <w:szCs w:val="21"/>
              </w:rPr>
            </w:pPr>
            <w:r>
              <w:rPr>
                <w:rFonts w:ascii="宋体" w:hAnsi="宋体" w:cs="宋体" w:eastAsia="宋体" w:hint="default"/>
                <w:spacing w:val="-1"/>
                <w:sz w:val="21"/>
                <w:szCs w:val="21"/>
              </w:rPr>
              <w:t>工商银行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2019-8-0</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26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3.90%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3,141,369.86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00" w:bottom="280" w:left="122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143"/>
        <w:gridCol w:w="1152"/>
        <w:gridCol w:w="1589"/>
        <w:gridCol w:w="1011"/>
        <w:gridCol w:w="1006"/>
        <w:gridCol w:w="866"/>
        <w:gridCol w:w="1097"/>
        <w:gridCol w:w="1207"/>
        <w:gridCol w:w="866"/>
        <w:gridCol w:w="430"/>
        <w:gridCol w:w="1395"/>
        <w:gridCol w:w="965"/>
        <w:gridCol w:w="461"/>
        <w:gridCol w:w="559"/>
        <w:gridCol w:w="583"/>
      </w:tblGrid>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华创证券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可转债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2019-9-2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非固定收</w:t>
            </w:r>
            <w:r>
              <w:rPr>
                <w:rFonts w:ascii="宋体" w:hAnsi="宋体" w:cs="宋体" w:eastAsia="宋体" w:hint="default"/>
                <w:w w:val="100"/>
                <w:sz w:val="21"/>
                <w:szCs w:val="21"/>
              </w:rPr>
              <w:t> </w:t>
            </w:r>
            <w:r>
              <w:rPr>
                <w:rFonts w:ascii="宋体" w:hAnsi="宋体" w:cs="宋体" w:eastAsia="宋体" w:hint="default"/>
                <w:sz w:val="21"/>
                <w:szCs w:val="21"/>
              </w:rPr>
              <w:t>益类资产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5,073.39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华融证券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可转债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185,000.00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2019-10-</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25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30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非固定收</w:t>
            </w:r>
            <w:r>
              <w:rPr>
                <w:rFonts w:ascii="宋体" w:hAnsi="宋体" w:cs="宋体" w:eastAsia="宋体" w:hint="default"/>
                <w:w w:val="100"/>
                <w:sz w:val="21"/>
                <w:szCs w:val="21"/>
              </w:rPr>
              <w:t> </w:t>
            </w:r>
            <w:r>
              <w:rPr>
                <w:rFonts w:ascii="宋体" w:hAnsi="宋体" w:cs="宋体" w:eastAsia="宋体" w:hint="default"/>
                <w:sz w:val="21"/>
                <w:szCs w:val="21"/>
              </w:rPr>
              <w:t>益类资产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13,354.32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中信证券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可转债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139,000.00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2019-10-</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非固定收</w:t>
            </w:r>
            <w:r>
              <w:rPr>
                <w:rFonts w:ascii="宋体" w:hAnsi="宋体" w:cs="宋体" w:eastAsia="宋体" w:hint="default"/>
                <w:w w:val="100"/>
                <w:sz w:val="21"/>
                <w:szCs w:val="21"/>
              </w:rPr>
              <w:t> </w:t>
            </w:r>
            <w:r>
              <w:rPr>
                <w:rFonts w:ascii="宋体" w:hAnsi="宋体" w:cs="宋体" w:eastAsia="宋体" w:hint="default"/>
                <w:sz w:val="21"/>
                <w:szCs w:val="21"/>
              </w:rPr>
              <w:t>益类资产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2,140.17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z w:val="21"/>
                <w:szCs w:val="21"/>
              </w:rPr>
              <w:t>瑞信方正</w:t>
            </w:r>
            <w:r>
              <w:rPr>
                <w:rFonts w:ascii="宋体" w:hAnsi="宋体" w:cs="宋体" w:eastAsia="宋体" w:hint="default"/>
                <w:w w:val="100"/>
                <w:sz w:val="21"/>
                <w:szCs w:val="21"/>
              </w:rPr>
              <w:t> </w:t>
            </w:r>
            <w:r>
              <w:rPr>
                <w:rFonts w:ascii="宋体" w:hAnsi="宋体" w:cs="宋体" w:eastAsia="宋体" w:hint="default"/>
                <w:sz w:val="21"/>
                <w:szCs w:val="21"/>
              </w:rPr>
              <w:t>证券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可转债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114,000.00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2019-11-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非固定收</w:t>
            </w:r>
            <w:r>
              <w:rPr>
                <w:rFonts w:ascii="宋体" w:hAnsi="宋体" w:cs="宋体" w:eastAsia="宋体" w:hint="default"/>
                <w:w w:val="100"/>
                <w:sz w:val="21"/>
                <w:szCs w:val="21"/>
              </w:rPr>
              <w:t> </w:t>
            </w:r>
            <w:r>
              <w:rPr>
                <w:rFonts w:ascii="宋体" w:hAnsi="宋体" w:cs="宋体" w:eastAsia="宋体" w:hint="default"/>
                <w:sz w:val="21"/>
                <w:szCs w:val="21"/>
              </w:rPr>
              <w:t>益类资产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15,968.20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财通证券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可转债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2019-11-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非固定收</w:t>
            </w:r>
            <w:r>
              <w:rPr>
                <w:rFonts w:ascii="宋体" w:hAnsi="宋体" w:cs="宋体" w:eastAsia="宋体" w:hint="default"/>
                <w:w w:val="100"/>
                <w:sz w:val="21"/>
                <w:szCs w:val="21"/>
              </w:rPr>
              <w:t> </w:t>
            </w:r>
            <w:r>
              <w:rPr>
                <w:rFonts w:ascii="宋体" w:hAnsi="宋体" w:cs="宋体" w:eastAsia="宋体" w:hint="default"/>
                <w:sz w:val="21"/>
                <w:szCs w:val="21"/>
              </w:rPr>
              <w:t>益类资产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13,923.61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z w:val="21"/>
                <w:szCs w:val="21"/>
              </w:rPr>
              <w:t>华泰联合</w:t>
            </w:r>
            <w:r>
              <w:rPr>
                <w:rFonts w:ascii="宋体" w:hAnsi="宋体" w:cs="宋体" w:eastAsia="宋体" w:hint="default"/>
                <w:w w:val="100"/>
                <w:sz w:val="21"/>
                <w:szCs w:val="21"/>
              </w:rPr>
              <w:t> </w:t>
            </w:r>
            <w:r>
              <w:rPr>
                <w:rFonts w:ascii="宋体" w:hAnsi="宋体" w:cs="宋体" w:eastAsia="宋体" w:hint="default"/>
                <w:sz w:val="21"/>
                <w:szCs w:val="21"/>
              </w:rPr>
              <w:t>证券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可转债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181,000.00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22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非固定收</w:t>
            </w:r>
            <w:r>
              <w:rPr>
                <w:rFonts w:ascii="宋体" w:hAnsi="宋体" w:cs="宋体" w:eastAsia="宋体" w:hint="default"/>
                <w:w w:val="100"/>
                <w:sz w:val="21"/>
                <w:szCs w:val="21"/>
              </w:rPr>
              <w:t> </w:t>
            </w:r>
            <w:r>
              <w:rPr>
                <w:rFonts w:ascii="宋体" w:hAnsi="宋体" w:cs="宋体" w:eastAsia="宋体" w:hint="default"/>
                <w:sz w:val="21"/>
                <w:szCs w:val="21"/>
              </w:rPr>
              <w:t>益类资产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26,746.44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广发证券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可转债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226,000.00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30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非固定收</w:t>
            </w:r>
            <w:r>
              <w:rPr>
                <w:rFonts w:ascii="宋体" w:hAnsi="宋体" w:cs="宋体" w:eastAsia="宋体" w:hint="default"/>
                <w:w w:val="100"/>
                <w:sz w:val="21"/>
                <w:szCs w:val="21"/>
              </w:rPr>
              <w:t> </w:t>
            </w:r>
            <w:r>
              <w:rPr>
                <w:rFonts w:ascii="宋体" w:hAnsi="宋体" w:cs="宋体" w:eastAsia="宋体" w:hint="default"/>
                <w:sz w:val="21"/>
                <w:szCs w:val="21"/>
              </w:rPr>
              <w:t>益类资产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17,579.27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2019-4-2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6" w:right="0"/>
              <w:jc w:val="center"/>
              <w:rPr>
                <w:rFonts w:ascii="Times New Roman" w:hAnsi="Times New Roman" w:cs="Times New Roman" w:eastAsia="Times New Roman" w:hint="default"/>
                <w:sz w:val="21"/>
                <w:szCs w:val="21"/>
              </w:rPr>
            </w:pPr>
            <w:r>
              <w:rPr>
                <w:rFonts w:ascii="Times New Roman"/>
                <w:sz w:val="21"/>
              </w:rPr>
              <w:t>2019-5-8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6,369.87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2019-4-2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2019-5-1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443" w:right="0"/>
              <w:jc w:val="left"/>
              <w:rPr>
                <w:rFonts w:ascii="Times New Roman" w:hAnsi="Times New Roman" w:cs="Times New Roman" w:eastAsia="Times New Roman" w:hint="default"/>
                <w:sz w:val="21"/>
                <w:szCs w:val="21"/>
              </w:rPr>
            </w:pPr>
            <w:r>
              <w:rPr>
                <w:rFonts w:ascii="Times New Roman"/>
                <w:sz w:val="21"/>
              </w:rPr>
              <w:t>67,068.48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2019-4-1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2019-5-1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vMerge/>
            <w:tcBorders>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2019-5-2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2019-6-1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40,328.77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2019-11-</w:t>
            </w:r>
          </w:p>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z w:val="21"/>
              </w:rPr>
              <w:t>15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2019-11-</w:t>
            </w:r>
          </w:p>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z w:val="21"/>
              </w:rPr>
              <w:t>28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5,369.86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28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9,616.44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7" w:right="0"/>
              <w:jc w:val="left"/>
              <w:rPr>
                <w:rFonts w:ascii="Times New Roman" w:hAnsi="Times New Roman" w:cs="Times New Roman" w:eastAsia="Times New Roman" w:hint="default"/>
                <w:sz w:val="21"/>
                <w:szCs w:val="21"/>
              </w:rPr>
            </w:pPr>
            <w:r>
              <w:rPr>
                <w:rFonts w:ascii="Times New Roman"/>
                <w:sz w:val="21"/>
              </w:rPr>
              <w:t>2019-11-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 w:right="0"/>
              <w:jc w:val="center"/>
              <w:rPr>
                <w:rFonts w:ascii="Times New Roman" w:hAnsi="Times New Roman" w:cs="Times New Roman" w:eastAsia="Times New Roman" w:hint="default"/>
                <w:sz w:val="21"/>
                <w:szCs w:val="21"/>
              </w:rPr>
            </w:pPr>
            <w:r>
              <w:rPr>
                <w:rFonts w:ascii="Times New Roman"/>
                <w:sz w:val="21"/>
              </w:rPr>
              <w:t>2019-12-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固定收益</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33,602.74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22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143"/>
        <w:gridCol w:w="1152"/>
        <w:gridCol w:w="1589"/>
        <w:gridCol w:w="1011"/>
        <w:gridCol w:w="1006"/>
        <w:gridCol w:w="866"/>
        <w:gridCol w:w="1097"/>
        <w:gridCol w:w="1207"/>
        <w:gridCol w:w="866"/>
        <w:gridCol w:w="430"/>
        <w:gridCol w:w="1395"/>
        <w:gridCol w:w="965"/>
        <w:gridCol w:w="461"/>
        <w:gridCol w:w="559"/>
        <w:gridCol w:w="583"/>
      </w:tblGrid>
      <w:tr>
        <w:trPr>
          <w:trHeight w:val="322" w:hRule="exact"/>
        </w:trPr>
        <w:tc>
          <w:tcPr>
            <w:tcW w:w="114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vMerge w:val="restart"/>
            <w:tcBorders>
              <w:top w:val="single" w:sz="4" w:space="0" w:color="000000"/>
              <w:left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2019-10-</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vMerge/>
            <w:tcBorders>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2019-10-</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24,109.59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2019-10-</w:t>
            </w:r>
          </w:p>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z w:val="21"/>
              </w:rPr>
              <w:t>10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z w:val="21"/>
              </w:rPr>
              <w:t>12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113,917.81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2019-10-</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30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338" w:right="0"/>
              <w:jc w:val="left"/>
              <w:rPr>
                <w:rFonts w:ascii="Times New Roman" w:hAnsi="Times New Roman" w:cs="Times New Roman" w:eastAsia="Times New Roman" w:hint="default"/>
                <w:sz w:val="21"/>
                <w:szCs w:val="21"/>
              </w:rPr>
            </w:pPr>
            <w:r>
              <w:rPr>
                <w:rFonts w:ascii="Times New Roman"/>
                <w:sz w:val="21"/>
              </w:rPr>
              <w:t>183,780.82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30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vMerge/>
            <w:tcBorders>
              <w:left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30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vMerge/>
            <w:tcBorders>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2019-4-1</w:t>
            </w:r>
          </w:p>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w w:val="100"/>
                <w:sz w:val="21"/>
              </w:rPr>
              <w:t>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2019-4-2</w:t>
            </w:r>
          </w:p>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w w:val="100"/>
                <w:sz w:val="21"/>
              </w:rPr>
              <w:t>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887.67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2019-4-1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2019-5-2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1,676.71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2019-4-1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2019-5-2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2,021.91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2019-4-1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2019-6-2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64,876.72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2019-4-1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2019-7-1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4,510.96</w:t>
            </w:r>
            <w:r>
              <w:rPr>
                <w:rFonts w:ascii="Times New Roman"/>
                <w:sz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2019-4-1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2019-7-2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35,345.20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2019-7-3</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2019-9-1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2,304.11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22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143"/>
        <w:gridCol w:w="1152"/>
        <w:gridCol w:w="1589"/>
        <w:gridCol w:w="1011"/>
        <w:gridCol w:w="1006"/>
        <w:gridCol w:w="866"/>
        <w:gridCol w:w="1097"/>
        <w:gridCol w:w="1207"/>
        <w:gridCol w:w="866"/>
        <w:gridCol w:w="430"/>
        <w:gridCol w:w="1395"/>
        <w:gridCol w:w="965"/>
        <w:gridCol w:w="461"/>
        <w:gridCol w:w="559"/>
        <w:gridCol w:w="583"/>
      </w:tblGrid>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2019-7-3</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2019-10-</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3,635.61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2019-7-3</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2019-10-</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23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3,997.26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2019-10-</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23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30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26,436.16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1"/>
                <w:sz w:val="21"/>
              </w:rPr>
              <w:t>2019-7-3</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2019-11-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20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5,416.44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2019-7-3</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2019-11-</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26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11,391.78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2019-7-3</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6,487.67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2019-7-3</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10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6,347.94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兴业银行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2019-7-3</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31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117,216.44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工商银行</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center"/>
              <w:rPr>
                <w:rFonts w:ascii="Times New Roman" w:hAnsi="Times New Roman" w:cs="Times New Roman" w:eastAsia="Times New Roman" w:hint="default"/>
                <w:sz w:val="21"/>
                <w:szCs w:val="21"/>
              </w:rPr>
            </w:pPr>
            <w:r>
              <w:rPr>
                <w:rFonts w:ascii="Times New Roman"/>
                <w:sz w:val="21"/>
              </w:rPr>
              <w:t>2019-8-1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25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非保本浮</w:t>
            </w:r>
            <w:r>
              <w:rPr>
                <w:rFonts w:ascii="宋体" w:hAnsi="宋体" w:cs="宋体" w:eastAsia="宋体" w:hint="default"/>
                <w:w w:val="100"/>
                <w:sz w:val="21"/>
                <w:szCs w:val="21"/>
              </w:rPr>
              <w:t> </w:t>
            </w:r>
            <w:r>
              <w:rPr>
                <w:rFonts w:ascii="宋体" w:hAnsi="宋体" w:cs="宋体" w:eastAsia="宋体" w:hint="default"/>
                <w:sz w:val="21"/>
                <w:szCs w:val="21"/>
              </w:rPr>
              <w:t>动收益型</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3.90%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82,667.79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已赎回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z w:val="21"/>
                <w:szCs w:val="21"/>
              </w:rPr>
              <w:t>太平洋证</w:t>
            </w:r>
            <w:r>
              <w:rPr>
                <w:rFonts w:ascii="宋体" w:hAnsi="宋体" w:cs="宋体" w:eastAsia="宋体" w:hint="default"/>
                <w:w w:val="100"/>
                <w:sz w:val="21"/>
                <w:szCs w:val="21"/>
              </w:rPr>
              <w:t> </w:t>
            </w:r>
            <w:r>
              <w:rPr>
                <w:rFonts w:ascii="宋体" w:hAnsi="宋体" w:cs="宋体" w:eastAsia="宋体" w:hint="default"/>
                <w:sz w:val="21"/>
                <w:szCs w:val="21"/>
              </w:rPr>
              <w:t>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证券理财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center"/>
              <w:rPr>
                <w:rFonts w:ascii="Times New Roman" w:hAnsi="Times New Roman" w:cs="Times New Roman" w:eastAsia="Times New Roman" w:hint="default"/>
                <w:sz w:val="21"/>
                <w:szCs w:val="21"/>
              </w:rPr>
            </w:pPr>
            <w:r>
              <w:rPr>
                <w:rFonts w:ascii="Times New Roman"/>
                <w:sz w:val="21"/>
              </w:rPr>
              <w:t>2019-8-1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2020-1-6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z w:val="21"/>
                <w:szCs w:val="21"/>
              </w:rPr>
              <w:t>固定收益</w:t>
            </w:r>
            <w:r>
              <w:rPr>
                <w:rFonts w:ascii="宋体" w:hAnsi="宋体" w:cs="宋体" w:eastAsia="宋体" w:hint="default"/>
                <w:w w:val="100"/>
                <w:sz w:val="21"/>
                <w:szCs w:val="21"/>
              </w:rPr>
              <w:t> </w:t>
            </w:r>
            <w:r>
              <w:rPr>
                <w:rFonts w:ascii="宋体" w:hAnsi="宋体" w:cs="宋体" w:eastAsia="宋体" w:hint="default"/>
                <w:sz w:val="21"/>
                <w:szCs w:val="21"/>
              </w:rPr>
              <w:t>类资产</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9"/>
              <w:jc w:val="left"/>
              <w:rPr>
                <w:rFonts w:ascii="宋体" w:hAnsi="宋体" w:cs="宋体" w:eastAsia="宋体" w:hint="default"/>
                <w:sz w:val="21"/>
                <w:szCs w:val="21"/>
              </w:rPr>
            </w:pPr>
            <w:r>
              <w:rPr>
                <w:rFonts w:ascii="宋体" w:hAnsi="宋体" w:cs="宋体" w:eastAsia="宋体" w:hint="default"/>
                <w:sz w:val="21"/>
                <w:szCs w:val="21"/>
              </w:rPr>
              <w:t>保本固定</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4.60%</w:t>
            </w:r>
          </w:p>
        </w:tc>
        <w:tc>
          <w:tcPr>
            <w:tcW w:w="43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未赎回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left="220" w:right="0"/>
        <w:jc w:val="left"/>
        <w:rPr>
          <w:rFonts w:ascii="宋体" w:hAnsi="宋体" w:cs="宋体" w:eastAsia="宋体" w:hint="default"/>
        </w:rPr>
      </w:pPr>
      <w:r>
        <w:rPr>
          <w:rFonts w:ascii="宋体"/>
          <w:w w:val="100"/>
        </w:rPr>
        <w:t> </w:t>
      </w:r>
    </w:p>
    <w:p>
      <w:pPr>
        <w:pStyle w:val="Heading2"/>
        <w:spacing w:line="240" w:lineRule="auto" w:before="9"/>
        <w:ind w:left="220"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spacing w:line="326" w:lineRule="auto" w:before="25"/>
        <w:ind w:left="220" w:right="1228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61"/>
          <w:sz w:val="21"/>
          <w:szCs w:val="21"/>
        </w:rPr>
        <w:t> </w:t>
      </w:r>
      <w:r>
        <w:rPr>
          <w:rFonts w:ascii="宋体" w:hAnsi="宋体" w:cs="宋体" w:eastAsia="宋体" w:hint="default"/>
          <w:b/>
          <w:bCs/>
          <w:sz w:val="21"/>
          <w:szCs w:val="21"/>
        </w:rPr>
        <w:t>委托理财减值准备</w:t>
      </w:r>
      <w:r>
        <w:rPr>
          <w:rFonts w:ascii="宋体" w:hAnsi="宋体" w:cs="宋体" w:eastAsia="宋体" w:hint="default"/>
          <w:sz w:val="21"/>
          <w:szCs w:val="21"/>
        </w:rPr>
      </w:r>
    </w:p>
    <w:p>
      <w:pPr>
        <w:pStyle w:val="BodyText"/>
        <w:spacing w:line="240" w:lineRule="auto" w:before="21"/>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55" w:footer="980" w:top="1120" w:bottom="1160" w:left="122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tabs>
          <w:tab w:pos="562" w:val="left" w:leader="none"/>
        </w:tabs>
        <w:spacing w:line="240" w:lineRule="auto" w:before="0"/>
        <w:ind w:left="138" w:right="0"/>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97"/>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5"/>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spacing w:line="240" w:lineRule="auto" w:before="97"/>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5"/>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spacing w:line="240" w:lineRule="auto" w:before="97"/>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97"/>
        <w:ind w:left="138" w:right="0"/>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31"/>
          <w:footerReference w:type="default" r:id="rId32"/>
          <w:pgSz w:w="11910" w:h="16840"/>
          <w:pgMar w:header="855" w:footer="979" w:top="1120" w:bottom="1160" w:left="1660" w:right="1140"/>
          <w:pgNumType w:start="52"/>
        </w:sectPr>
      </w:pPr>
    </w:p>
    <w:p>
      <w:pPr>
        <w:spacing w:line="240" w:lineRule="auto" w:before="10"/>
        <w:rPr>
          <w:rFonts w:ascii="宋体" w:hAnsi="宋体" w:cs="宋体" w:eastAsia="宋体" w:hint="default"/>
          <w:sz w:val="26"/>
          <w:szCs w:val="26"/>
        </w:rPr>
      </w:pPr>
    </w:p>
    <w:p>
      <w:pPr>
        <w:pStyle w:val="Heading4"/>
        <w:spacing w:line="324" w:lineRule="auto" w:before="36"/>
        <w:ind w:left="138" w:right="715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四</w:t>
      </w:r>
      <w:r>
        <w:rPr>
          <w:rFonts w:ascii="宋体" w:hAnsi="宋体" w:cs="宋体" w:eastAsia="宋体" w:hint="default"/>
          <w:w w:val="99"/>
        </w:rPr>
        <w:t>)</w:t>
      </w:r>
      <w:r>
        <w:rPr>
          <w:w w:val="100"/>
        </w:rPr>
        <w:t>其他重大合同</w:t>
      </w:r>
      <w:r>
        <w:rPr>
          <w:b w:val="0"/>
          <w:bCs w:val="0"/>
          <w:w w:val="100"/>
        </w:rPr>
      </w:r>
    </w:p>
    <w:p>
      <w:pPr>
        <w:pStyle w:val="BodyText"/>
        <w:spacing w:line="240" w:lineRule="auto" w:before="23"/>
        <w:ind w:left="138"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4"/>
        <w:tabs>
          <w:tab w:pos="989" w:val="left" w:leader="none"/>
        </w:tabs>
        <w:spacing w:line="314" w:lineRule="auto" w:before="9"/>
        <w:ind w:left="138" w:right="5591"/>
        <w:jc w:val="left"/>
        <w:rPr>
          <w:b w:val="0"/>
          <w:bCs w:val="0"/>
        </w:rPr>
      </w:pPr>
      <w:r>
        <w:rPr>
          <w:rFonts w:ascii="宋体" w:hAnsi="宋体" w:cs="宋体" w:eastAsia="宋体" w:hint="default"/>
          <w:b w:val="0"/>
          <w:bCs w:val="0"/>
          <w:sz w:val="24"/>
          <w:szCs w:val="24"/>
        </w:rPr>
        <w:t> </w:t>
      </w:r>
      <w:r>
        <w:rPr>
          <w:w w:val="100"/>
        </w:rPr>
        <w:t>十六</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上市公司扶贫工作</w:t>
      </w:r>
      <w:r>
        <w:rPr>
          <w:spacing w:val="-3"/>
          <w:w w:val="100"/>
        </w:rPr>
        <w:t>情</w:t>
      </w:r>
      <w:r>
        <w:rPr>
          <w:w w:val="100"/>
        </w:rPr>
        <w:t>况</w:t>
      </w:r>
      <w:r>
        <w:rPr>
          <w:b w:val="0"/>
          <w:bCs w:val="0"/>
          <w:w w:val="100"/>
        </w:rPr>
      </w:r>
    </w:p>
    <w:p>
      <w:pPr>
        <w:pStyle w:val="BodyText"/>
        <w:spacing w:line="240" w:lineRule="auto" w:before="3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tabs>
          <w:tab w:pos="781" w:val="left" w:leader="none"/>
        </w:tabs>
        <w:spacing w:line="240" w:lineRule="auto" w:before="97"/>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73" w:lineRule="auto" w:before="97"/>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公司在关注自我发展、保护股东利益的同时</w:t>
      </w:r>
      <w:r>
        <w:rPr>
          <w:rFonts w:ascii="宋体" w:hAnsi="宋体" w:cs="宋体" w:eastAsia="宋体" w:hint="default"/>
          <w:spacing w:val="-4"/>
        </w:rPr>
        <w:t>,</w:t>
      </w:r>
      <w:r>
        <w:rPr>
          <w:spacing w:val="-4"/>
        </w:rPr>
        <w:t>还积极履行企业社会责任，实现企业的自身价值</w:t>
      </w:r>
    </w:p>
    <w:p>
      <w:pPr>
        <w:pStyle w:val="BodyText"/>
        <w:spacing w:line="240" w:lineRule="auto" w:before="7"/>
        <w:ind w:left="138" w:right="0"/>
        <w:jc w:val="left"/>
      </w:pPr>
      <w:r>
        <w:rPr/>
        <w:t>和社会价值。</w:t>
      </w:r>
    </w:p>
    <w:p>
      <w:pPr>
        <w:pStyle w:val="BodyText"/>
        <w:spacing w:line="264" w:lineRule="auto" w:before="37"/>
        <w:ind w:left="138" w:right="127" w:firstLine="419"/>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10"/>
        </w:rPr>
        <w:t> </w:t>
      </w:r>
      <w:r>
        <w:rPr/>
        <w:t>日召开的第二届董事会第三十次会议审议通过《关于设立南威助学基金</w:t>
      </w:r>
      <w:r>
        <w:rPr>
          <w:w w:val="100"/>
        </w:rPr>
        <w:t> </w:t>
      </w:r>
      <w:r>
        <w:rPr>
          <w:spacing w:val="-1"/>
        </w:rPr>
        <w:t>会的议案》，公司拟作为独立发起组织，以自筹资金设立南威助学基金会，基金会主要从事助学</w:t>
      </w:r>
      <w:r>
        <w:rPr>
          <w:spacing w:val="-55"/>
        </w:rPr>
        <w:t> </w:t>
      </w:r>
      <w:r>
        <w:rPr>
          <w:spacing w:val="-55"/>
        </w:rPr>
      </w:r>
      <w:r>
        <w:rPr/>
        <w:t>社会公益活动，以及经过合法程序开展的其他教育公益事业，该基金投资规模为 </w:t>
      </w:r>
      <w:r>
        <w:rPr>
          <w:rFonts w:ascii="Times New Roman" w:hAnsi="Times New Roman" w:cs="Times New Roman" w:eastAsia="Times New Roman" w:hint="default"/>
        </w:rPr>
        <w:t>1,000</w:t>
      </w:r>
      <w:r>
        <w:rPr>
          <w:rFonts w:ascii="Times New Roman" w:hAnsi="Times New Roman" w:cs="Times New Roman" w:eastAsia="Times New Roman" w:hint="default"/>
          <w:spacing w:val="5"/>
        </w:rPr>
        <w:t> </w:t>
      </w:r>
      <w:r>
        <w:rPr/>
        <w:t>万元，公</w:t>
      </w:r>
    </w:p>
    <w:p>
      <w:pPr>
        <w:pStyle w:val="BodyText"/>
        <w:spacing w:line="289" w:lineRule="exact"/>
        <w:ind w:left="138" w:right="0"/>
        <w:jc w:val="left"/>
      </w:pPr>
      <w:r>
        <w:rPr/>
        <w:t>司预计</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年内出资不低于</w:t>
      </w:r>
      <w:r>
        <w:rPr>
          <w:spacing w:val="-4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7"/>
        </w:rPr>
        <w:t> </w:t>
      </w:r>
      <w:r>
        <w:rPr>
          <w:spacing w:val="-6"/>
        </w:rPr>
        <w:t>万元。</w:t>
      </w:r>
      <w:r>
        <w:rPr>
          <w:rFonts w:ascii="Times New Roman" w:hAnsi="Times New Roman" w:cs="Times New Roman" w:eastAsia="Times New Roman" w:hint="default"/>
          <w:spacing w:val="-6"/>
        </w:rPr>
        <w:t>2019</w:t>
      </w:r>
      <w:r>
        <w:rPr>
          <w:rFonts w:ascii="Times New Roman" w:hAnsi="Times New Roman" w:cs="Times New Roman" w:eastAsia="Times New Roman" w:hint="default"/>
          <w:spacing w:val="4"/>
        </w:rPr>
        <w:t> </w:t>
      </w:r>
      <w:r>
        <w:rPr>
          <w:spacing w:val="-4"/>
        </w:rPr>
        <w:t>年，公司向丰泽区教育发展基金会出资</w:t>
      </w:r>
      <w:r>
        <w:rPr>
          <w:spacing w:val="-45"/>
        </w:rPr>
        <w:t> </w:t>
      </w:r>
      <w:r>
        <w:rPr>
          <w:rFonts w:ascii="Times New Roman" w:hAnsi="Times New Roman" w:cs="Times New Roman" w:eastAsia="Times New Roman" w:hint="default"/>
        </w:rPr>
        <w:t>100</w:t>
      </w:r>
      <w:r>
        <w:rPr>
          <w:rFonts w:ascii="Times New Roman" w:hAnsi="Times New Roman" w:cs="Times New Roman" w:eastAsia="Times New Roman" w:hint="default"/>
          <w:spacing w:val="7"/>
        </w:rPr>
        <w:t> </w:t>
      </w:r>
      <w:r>
        <w:rPr>
          <w:spacing w:val="-10"/>
        </w:rPr>
        <w:t>万元、通</w:t>
      </w:r>
    </w:p>
    <w:p>
      <w:pPr>
        <w:pStyle w:val="BodyText"/>
        <w:spacing w:line="240" w:lineRule="auto" w:before="21"/>
        <w:ind w:left="138" w:right="0"/>
        <w:jc w:val="left"/>
      </w:pPr>
      <w:r>
        <w:rPr/>
        <w:t>过洛江区慈善总会向马甲中学出资</w:t>
      </w:r>
      <w:r>
        <w:rPr>
          <w:spacing w:val="-55"/>
        </w:rPr>
        <w:t> </w:t>
      </w:r>
      <w:r>
        <w:rPr>
          <w:rFonts w:ascii="Times New Roman" w:hAnsi="Times New Roman" w:cs="Times New Roman" w:eastAsia="Times New Roman" w:hint="default"/>
        </w:rPr>
        <w:t>18.9</w:t>
      </w:r>
      <w:r>
        <w:rPr>
          <w:rFonts w:ascii="Times New Roman" w:hAnsi="Times New Roman" w:cs="Times New Roman" w:eastAsia="Times New Roman" w:hint="default"/>
          <w:spacing w:val="-5"/>
        </w:rPr>
        <w:t> </w:t>
      </w:r>
      <w:r>
        <w:rPr/>
        <w:t>万元。</w:t>
      </w:r>
    </w:p>
    <w:p>
      <w:pPr>
        <w:pStyle w:val="BodyText"/>
        <w:spacing w:line="256" w:lineRule="auto" w:before="21"/>
        <w:ind w:left="138" w:right="128" w:firstLine="419"/>
        <w:jc w:val="both"/>
      </w:pPr>
      <w:r>
        <w:rPr/>
        <w:t>截止本报告披露日，公司累计出资 </w:t>
      </w:r>
      <w:r>
        <w:rPr>
          <w:rFonts w:ascii="Times New Roman" w:hAnsi="Times New Roman" w:cs="Times New Roman" w:eastAsia="Times New Roman" w:hint="default"/>
        </w:rPr>
        <w:t>334.1</w:t>
      </w:r>
      <w:r>
        <w:rPr>
          <w:rFonts w:ascii="Times New Roman" w:hAnsi="Times New Roman" w:cs="Times New Roman" w:eastAsia="Times New Roman" w:hint="default"/>
          <w:spacing w:val="5"/>
        </w:rPr>
        <w:t> </w:t>
      </w:r>
      <w:r>
        <w:rPr/>
        <w:t>万元作为助学金用于贫困学生及特殊学生群体的资</w:t>
      </w:r>
      <w:r>
        <w:rPr>
          <w:w w:val="100"/>
        </w:rPr>
        <w:t> </w:t>
      </w:r>
      <w:r>
        <w:rPr/>
        <w:t>助等教育公益事业。</w:t>
      </w:r>
    </w:p>
    <w:p>
      <w:pPr>
        <w:pStyle w:val="BodyText"/>
        <w:spacing w:line="256" w:lineRule="auto" w:before="22"/>
        <w:ind w:left="138" w:right="128" w:firstLine="419"/>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年，公司参与丰泽区卫生和计划生育局发起的泉州市正骨医院新园区“同心楼”筹</w:t>
      </w:r>
      <w:r>
        <w:rPr>
          <w:w w:val="100"/>
        </w:rPr>
        <w:t> </w:t>
      </w:r>
      <w:r>
        <w:rPr/>
        <w:t>建捐赠活动，向泉州市丰泽区卫生健康局捐赠</w:t>
      </w:r>
      <w:r>
        <w:rPr>
          <w:spacing w:val="-50"/>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万元用于泉州市正骨医院新院区“同心楼”筹</w:t>
      </w:r>
      <w:r>
        <w:rPr>
          <w:w w:val="100"/>
        </w:rPr>
        <w:t> </w:t>
      </w:r>
      <w:r>
        <w:rPr/>
        <w:t>建，为医疗公益事业建设做贡献。</w:t>
      </w:r>
    </w:p>
    <w:p>
      <w:pPr>
        <w:pStyle w:val="BodyText"/>
        <w:spacing w:line="240" w:lineRule="auto" w:before="23"/>
        <w:ind w:left="138" w:right="0"/>
        <w:jc w:val="left"/>
        <w:rPr>
          <w:rFonts w:ascii="宋体" w:hAnsi="宋体" w:cs="宋体" w:eastAsia="宋体" w:hint="default"/>
        </w:rPr>
      </w:pPr>
      <w:r>
        <w:rPr>
          <w:rFonts w:ascii="宋体"/>
          <w:w w:val="100"/>
        </w:rPr>
        <w:t> </w:t>
      </w:r>
    </w:p>
    <w:p>
      <w:pPr>
        <w:pStyle w:val="Heading4"/>
        <w:tabs>
          <w:tab w:pos="781" w:val="left" w:leader="none"/>
        </w:tabs>
        <w:spacing w:line="240" w:lineRule="auto" w:before="97"/>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562" w:val="left" w:leader="none"/>
        </w:tabs>
        <w:spacing w:line="240" w:lineRule="auto" w:before="97"/>
        <w:ind w:left="138" w:right="0"/>
        <w:jc w:val="left"/>
        <w:rPr>
          <w:rFonts w:ascii="宋体" w:hAnsi="宋体" w:cs="宋体" w:eastAsia="宋体" w:hint="default"/>
          <w:b w:val="0"/>
          <w:bCs w:val="0"/>
        </w:rPr>
      </w:pPr>
      <w:r>
        <w:rPr>
          <w:rFonts w:ascii="Times New Roman" w:hAnsi="Times New Roman" w:cs="Times New Roman" w:eastAsia="Times New Roman" w:hint="default"/>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47"/>
        <w:ind w:left="138" w:right="0"/>
        <w:jc w:val="left"/>
        <w:rPr>
          <w:rFonts w:ascii="宋体" w:hAnsi="宋体" w:cs="宋体" w:eastAsia="宋体" w:hint="default"/>
          <w:b w:val="0"/>
          <w:bCs w:val="0"/>
        </w:rPr>
      </w:pPr>
      <w:r>
        <w:rPr>
          <w:rFonts w:ascii="Times New Roman" w:hAnsi="Times New Roman" w:cs="Times New Roman" w:eastAsia="Times New Roman" w:hint="default"/>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47"/>
        <w:ind w:left="138" w:right="0"/>
        <w:jc w:val="left"/>
        <w:rPr>
          <w:rFonts w:ascii="宋体" w:hAnsi="宋体" w:cs="宋体" w:eastAsia="宋体" w:hint="default"/>
          <w:b w:val="0"/>
          <w:bCs w:val="0"/>
        </w:rPr>
      </w:pPr>
      <w:r>
        <w:rPr>
          <w:rFonts w:ascii="Times New Roman" w:hAnsi="Times New Roman" w:cs="Times New Roman" w:eastAsia="Times New Roman" w:hint="default"/>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47"/>
        <w:ind w:left="138" w:right="0"/>
        <w:jc w:val="left"/>
        <w:rPr>
          <w:rFonts w:ascii="宋体" w:hAnsi="宋体" w:cs="宋体" w:eastAsia="宋体" w:hint="default"/>
          <w:b w:val="0"/>
          <w:bCs w:val="0"/>
        </w:rPr>
      </w:pPr>
      <w:r>
        <w:rPr>
          <w:rFonts w:ascii="Times New Roman" w:hAnsi="Times New Roman" w:cs="Times New Roman" w:eastAsia="Times New Roman" w:hint="default"/>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tabs>
          <w:tab w:pos="781" w:val="left" w:leader="none"/>
        </w:tabs>
        <w:spacing w:line="240" w:lineRule="auto" w:before="147"/>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55" w:footer="979" w:top="1120" w:bottom="1160" w:left="1660" w:right="1140"/>
        </w:sectPr>
      </w:pPr>
    </w:p>
    <w:p>
      <w:pPr>
        <w:spacing w:line="240" w:lineRule="auto" w:before="10"/>
        <w:rPr>
          <w:rFonts w:ascii="宋体" w:hAnsi="宋体" w:cs="宋体" w:eastAsia="宋体" w:hint="default"/>
          <w:sz w:val="26"/>
          <w:szCs w:val="26"/>
        </w:rPr>
      </w:pPr>
    </w:p>
    <w:p>
      <w:pPr>
        <w:pStyle w:val="Heading4"/>
        <w:spacing w:line="240" w:lineRule="auto" w:before="36"/>
        <w:ind w:right="0"/>
        <w:jc w:val="both"/>
        <w:rPr>
          <w:b w:val="0"/>
          <w:bCs w:val="0"/>
        </w:rPr>
      </w:pPr>
      <w:r>
        <w:rPr/>
        <w:t>十七、可转换公司债券情况</w:t>
      </w:r>
      <w:r>
        <w:rPr>
          <w:b w:val="0"/>
          <w:bCs w:val="0"/>
        </w:rPr>
      </w:r>
    </w:p>
    <w:p>
      <w:pPr>
        <w:spacing w:line="324" w:lineRule="auto" w:before="97"/>
        <w:ind w:left="218" w:right="599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转债发行情况</w:t>
      </w:r>
      <w:r>
        <w:rPr>
          <w:rFonts w:ascii="宋体" w:hAnsi="宋体" w:cs="宋体" w:eastAsia="宋体" w:hint="default"/>
          <w:sz w:val="21"/>
          <w:szCs w:val="21"/>
        </w:rPr>
      </w:r>
    </w:p>
    <w:p>
      <w:pPr>
        <w:pStyle w:val="BodyText"/>
        <w:spacing w:line="240" w:lineRule="auto" w:before="23"/>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38" w:right="0"/>
        <w:jc w:val="left"/>
      </w:pPr>
      <w:r>
        <w:rPr/>
        <w:t>经中国证券监督管理委员会证监许可</w:t>
      </w:r>
      <w:r>
        <w:rPr>
          <w:rFonts w:ascii="Times New Roman" w:hAnsi="Times New Roman" w:cs="Times New Roman" w:eastAsia="Times New Roman" w:hint="default"/>
        </w:rPr>
        <w:t>[2019]857 </w:t>
      </w:r>
      <w:r>
        <w:rPr>
          <w:spacing w:val="-11"/>
        </w:rPr>
        <w:t>号文核准，公司于</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7 </w:t>
      </w:r>
      <w:r>
        <w:rPr/>
        <w:t>月</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日公开发行</w:t>
      </w:r>
    </w:p>
    <w:p>
      <w:pPr>
        <w:pStyle w:val="BodyText"/>
        <w:spacing w:line="240" w:lineRule="auto" w:before="21"/>
        <w:ind w:right="0"/>
        <w:jc w:val="both"/>
      </w:pPr>
      <w:r>
        <w:rPr/>
        <w:t>了</w:t>
      </w:r>
      <w:r>
        <w:rPr>
          <w:spacing w:val="-43"/>
        </w:rPr>
        <w:t> </w:t>
      </w:r>
      <w:r>
        <w:rPr>
          <w:rFonts w:ascii="Times New Roman" w:hAnsi="Times New Roman" w:cs="Times New Roman" w:eastAsia="Times New Roman" w:hint="default"/>
        </w:rPr>
        <w:t>660.00</w:t>
      </w:r>
      <w:r>
        <w:rPr>
          <w:rFonts w:ascii="Times New Roman" w:hAnsi="Times New Roman" w:cs="Times New Roman" w:eastAsia="Times New Roman" w:hint="default"/>
          <w:spacing w:val="9"/>
        </w:rPr>
        <w:t> </w:t>
      </w:r>
      <w:r>
        <w:rPr/>
        <w:t>万张可转换公司债券，每张面值</w:t>
      </w:r>
      <w:r>
        <w:rPr>
          <w:spacing w:val="-43"/>
        </w:rPr>
        <w:t> </w:t>
      </w:r>
      <w:r>
        <w:rPr>
          <w:rFonts w:ascii="Times New Roman" w:hAnsi="Times New Roman" w:cs="Times New Roman" w:eastAsia="Times New Roman" w:hint="default"/>
        </w:rPr>
        <w:t>100</w:t>
      </w:r>
      <w:r>
        <w:rPr>
          <w:rFonts w:ascii="Times New Roman" w:hAnsi="Times New Roman" w:cs="Times New Roman" w:eastAsia="Times New Roman" w:hint="default"/>
          <w:spacing w:val="9"/>
        </w:rPr>
        <w:t> </w:t>
      </w:r>
      <w:r>
        <w:rPr/>
        <w:t>元，发行总额</w:t>
      </w:r>
      <w:r>
        <w:rPr>
          <w:spacing w:val="-43"/>
        </w:rPr>
        <w:t> </w:t>
      </w:r>
      <w:r>
        <w:rPr>
          <w:rFonts w:ascii="Times New Roman" w:hAnsi="Times New Roman" w:cs="Times New Roman" w:eastAsia="Times New Roman" w:hint="default"/>
        </w:rPr>
        <w:t>66,000.00</w:t>
      </w:r>
      <w:r>
        <w:rPr>
          <w:rFonts w:ascii="Times New Roman" w:hAnsi="Times New Roman" w:cs="Times New Roman" w:eastAsia="Times New Roman" w:hint="default"/>
          <w:spacing w:val="7"/>
        </w:rPr>
        <w:t> </w:t>
      </w:r>
      <w:r>
        <w:rPr/>
        <w:t>万元，扣除已从募集资金</w:t>
      </w:r>
    </w:p>
    <w:p>
      <w:pPr>
        <w:pStyle w:val="BodyText"/>
        <w:spacing w:line="240" w:lineRule="auto" w:before="21"/>
        <w:ind w:right="0"/>
        <w:jc w:val="both"/>
      </w:pPr>
      <w:r>
        <w:rPr>
          <w:spacing w:val="-3"/>
        </w:rPr>
        <w:t>中直接扣减的证券承销费及保荐费（含税）人民币 </w:t>
      </w:r>
      <w:r>
        <w:rPr>
          <w:rFonts w:ascii="Times New Roman" w:hAnsi="Times New Roman" w:cs="Times New Roman" w:eastAsia="Times New Roman" w:hint="default"/>
        </w:rPr>
        <w:t>700.00</w:t>
      </w:r>
      <w:r>
        <w:rPr>
          <w:rFonts w:ascii="Times New Roman" w:hAnsi="Times New Roman" w:cs="Times New Roman" w:eastAsia="Times New Roman" w:hint="default"/>
          <w:spacing w:val="17"/>
        </w:rPr>
        <w:t> </w:t>
      </w:r>
      <w:r>
        <w:rPr>
          <w:spacing w:val="-3"/>
        </w:rPr>
        <w:t>万元后，汇入公司募集资金专户的资金</w:t>
      </w:r>
    </w:p>
    <w:p>
      <w:pPr>
        <w:pStyle w:val="BodyText"/>
        <w:spacing w:line="240" w:lineRule="auto" w:before="21"/>
        <w:ind w:right="0"/>
        <w:jc w:val="both"/>
      </w:pPr>
      <w:r>
        <w:rPr/>
        <w:t>净额为人民币</w:t>
      </w:r>
      <w:r>
        <w:rPr>
          <w:spacing w:val="-41"/>
        </w:rPr>
        <w:t> </w:t>
      </w:r>
      <w:r>
        <w:rPr>
          <w:rFonts w:ascii="Times New Roman" w:hAnsi="Times New Roman" w:cs="Times New Roman" w:eastAsia="Times New Roman" w:hint="default"/>
        </w:rPr>
        <w:t>65,300.00</w:t>
      </w:r>
      <w:r>
        <w:rPr>
          <w:rFonts w:ascii="Times New Roman" w:hAnsi="Times New Roman" w:cs="Times New Roman" w:eastAsia="Times New Roman" w:hint="default"/>
          <w:spacing w:val="15"/>
        </w:rPr>
        <w:t> </w:t>
      </w:r>
      <w:r>
        <w:rPr/>
        <w:t>万元，扣除公司需支付的其他发行费用（含税）人民币</w:t>
      </w:r>
      <w:r>
        <w:rPr>
          <w:spacing w:val="-38"/>
        </w:rPr>
        <w:t> </w:t>
      </w:r>
      <w:r>
        <w:rPr>
          <w:rFonts w:ascii="Times New Roman" w:hAnsi="Times New Roman" w:cs="Times New Roman" w:eastAsia="Times New Roman" w:hint="default"/>
        </w:rPr>
        <w:t>338.50</w:t>
      </w:r>
      <w:r>
        <w:rPr>
          <w:rFonts w:ascii="Times New Roman" w:hAnsi="Times New Roman" w:cs="Times New Roman" w:eastAsia="Times New Roman" w:hint="default"/>
          <w:spacing w:val="12"/>
        </w:rPr>
        <w:t> </w:t>
      </w:r>
      <w:r>
        <w:rPr/>
        <w:t>万元，实</w:t>
      </w:r>
    </w:p>
    <w:p>
      <w:pPr>
        <w:pStyle w:val="BodyText"/>
        <w:spacing w:line="261" w:lineRule="auto" w:before="21"/>
        <w:ind w:right="228"/>
        <w:jc w:val="both"/>
      </w:pPr>
      <w:r>
        <w:rPr/>
        <w:t>际募集资金为人民币</w:t>
      </w:r>
      <w:r>
        <w:rPr>
          <w:spacing w:val="-36"/>
        </w:rPr>
        <w:t> </w:t>
      </w:r>
      <w:r>
        <w:rPr>
          <w:rFonts w:ascii="Times New Roman" w:hAnsi="Times New Roman" w:cs="Times New Roman" w:eastAsia="Times New Roman" w:hint="default"/>
        </w:rPr>
        <w:t>64,961.50</w:t>
      </w:r>
      <w:r>
        <w:rPr>
          <w:rFonts w:ascii="Times New Roman" w:hAnsi="Times New Roman" w:cs="Times New Roman" w:eastAsia="Times New Roman" w:hint="default"/>
          <w:spacing w:val="17"/>
        </w:rPr>
        <w:t> </w:t>
      </w:r>
      <w:r>
        <w:rPr>
          <w:spacing w:val="-5"/>
        </w:rPr>
        <w:t>万元。发行方式采用向公司原股东优先配售，原股东优先配售后余</w:t>
      </w:r>
      <w:r>
        <w:rPr>
          <w:spacing w:val="-98"/>
        </w:rPr>
        <w:t> </w:t>
      </w:r>
      <w:r>
        <w:rPr>
          <w:spacing w:val="-98"/>
        </w:rPr>
      </w:r>
      <w:r>
        <w:rPr>
          <w:spacing w:val="-1"/>
        </w:rPr>
        <w:t>额部分（含原股东放弃优先配售部分）采用网下对机构投资者配售和网上通过上海证券交易所交</w:t>
      </w:r>
      <w:r>
        <w:rPr>
          <w:spacing w:val="-55"/>
        </w:rPr>
        <w:t> </w:t>
      </w:r>
      <w:r>
        <w:rPr>
          <w:spacing w:val="-55"/>
        </w:rPr>
      </w:r>
      <w:r>
        <w:rPr>
          <w:spacing w:val="-4"/>
        </w:rPr>
        <w:t>易系统向社会公众投资者发售的方式进行，认购金额不足 </w:t>
      </w:r>
      <w:r>
        <w:rPr>
          <w:rFonts w:ascii="Times New Roman" w:hAnsi="Times New Roman" w:cs="Times New Roman" w:eastAsia="Times New Roman" w:hint="default"/>
        </w:rPr>
        <w:t>66,000.00 </w:t>
      </w:r>
      <w:r>
        <w:rPr>
          <w:spacing w:val="-6"/>
        </w:rPr>
        <w:t>万元的部分（含中签投资者放</w:t>
      </w:r>
      <w:r>
        <w:rPr>
          <w:spacing w:val="-80"/>
        </w:rPr>
        <w:t> </w:t>
      </w:r>
      <w:r>
        <w:rPr>
          <w:spacing w:val="-80"/>
        </w:rPr>
      </w:r>
      <w:r>
        <w:rPr/>
        <w:t>弃缴款认购部分）由保荐机构（主承销商）包销。</w:t>
      </w:r>
    </w:p>
    <w:p>
      <w:pPr>
        <w:pStyle w:val="BodyText"/>
        <w:spacing w:line="256" w:lineRule="auto" w:before="18"/>
        <w:ind w:right="228" w:firstLine="419"/>
        <w:jc w:val="both"/>
      </w:pPr>
      <w:r>
        <w:rPr/>
        <w:t>经上海证券交易所〔</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164</w:t>
      </w:r>
      <w:r>
        <w:rPr>
          <w:rFonts w:ascii="Times New Roman" w:hAnsi="Times New Roman" w:cs="Times New Roman" w:eastAsia="Times New Roman" w:hint="default"/>
          <w:spacing w:val="2"/>
        </w:rPr>
        <w:t> </w:t>
      </w:r>
      <w:r>
        <w:rPr/>
        <w:t>号文同意，公司发行的</w:t>
      </w:r>
      <w:r>
        <w:rPr>
          <w:spacing w:val="-52"/>
        </w:rPr>
        <w:t> </w:t>
      </w:r>
      <w:r>
        <w:rPr>
          <w:rFonts w:ascii="Times New Roman" w:hAnsi="Times New Roman" w:cs="Times New Roman" w:eastAsia="Times New Roman" w:hint="default"/>
        </w:rPr>
        <w:t>66,000</w:t>
      </w:r>
      <w:r>
        <w:rPr>
          <w:rFonts w:ascii="Times New Roman" w:hAnsi="Times New Roman" w:cs="Times New Roman" w:eastAsia="Times New Roman" w:hint="default"/>
          <w:spacing w:val="2"/>
        </w:rPr>
        <w:t> </w:t>
      </w:r>
      <w:r>
        <w:rPr/>
        <w:t>万元可转换公司债券在上海证</w:t>
      </w:r>
      <w:r>
        <w:rPr>
          <w:w w:val="100"/>
        </w:rPr>
        <w:t> </w:t>
      </w:r>
      <w:r>
        <w:rPr/>
        <w:t>券交易所挂牌交易，债券简称“南威转债”，债券代码“</w:t>
      </w:r>
      <w:r>
        <w:rPr>
          <w:rFonts w:ascii="Times New Roman" w:hAnsi="Times New Roman" w:cs="Times New Roman" w:eastAsia="Times New Roman" w:hint="default"/>
        </w:rPr>
        <w:t>113540</w:t>
      </w:r>
      <w:r>
        <w:rPr/>
        <w:t>”。</w:t>
      </w:r>
    </w:p>
    <w:p>
      <w:pPr>
        <w:pStyle w:val="BodyText"/>
        <w:spacing w:line="256" w:lineRule="auto" w:before="5"/>
        <w:ind w:right="227" w:firstLine="419"/>
        <w:jc w:val="both"/>
      </w:pPr>
      <w:r>
        <w:rPr/>
        <w:t>上述募集资金已由福建华兴会计师事务所（特殊普通合伙）于</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日对本次发行</w:t>
      </w:r>
      <w:r>
        <w:rPr>
          <w:w w:val="100"/>
        </w:rPr>
        <w:t> </w:t>
      </w:r>
      <w:r>
        <w:rPr/>
        <w:t>的资金到账情况进行了审验，出具了“闽华兴所〔</w:t>
      </w:r>
      <w:r>
        <w:rPr>
          <w:rFonts w:ascii="Times New Roman" w:hAnsi="Times New Roman" w:cs="Times New Roman" w:eastAsia="Times New Roman" w:hint="default"/>
        </w:rPr>
        <w:t>2019</w:t>
      </w:r>
      <w:r>
        <w:rPr/>
        <w:t>〕审核字</w:t>
      </w:r>
      <w:r>
        <w:rPr>
          <w:spacing w:val="-56"/>
        </w:rPr>
        <w:t> </w:t>
      </w:r>
      <w:r>
        <w:rPr>
          <w:rFonts w:ascii="Times New Roman" w:hAnsi="Times New Roman" w:cs="Times New Roman" w:eastAsia="Times New Roman" w:hint="default"/>
        </w:rPr>
        <w:t>H-028</w:t>
      </w:r>
      <w:r>
        <w:rPr>
          <w:rFonts w:ascii="Times New Roman" w:hAnsi="Times New Roman" w:cs="Times New Roman" w:eastAsia="Times New Roman" w:hint="default"/>
          <w:spacing w:val="-3"/>
        </w:rPr>
        <w:t> </w:t>
      </w:r>
      <w:r>
        <w:rPr/>
        <w:t>号”《验证报告》，公司</w:t>
      </w:r>
      <w:r>
        <w:rPr>
          <w:w w:val="100"/>
        </w:rPr>
        <w:t> </w:t>
      </w:r>
      <w:r>
        <w:rPr/>
        <w:t>已对募集资金进行了专户存储。</w:t>
      </w:r>
    </w:p>
    <w:p>
      <w:pPr>
        <w:pStyle w:val="BodyText"/>
        <w:spacing w:line="273" w:lineRule="auto" w:before="22"/>
        <w:ind w:right="230" w:firstLine="419"/>
        <w:jc w:val="both"/>
        <w:rPr>
          <w:rFonts w:ascii="Times New Roman" w:hAnsi="Times New Roman" w:cs="Times New Roman" w:eastAsia="Times New Roman" w:hint="default"/>
        </w:rPr>
      </w:pPr>
      <w:r>
        <w:rPr>
          <w:spacing w:val="-2"/>
        </w:rPr>
        <w:t>根据有关规定和《南威软件股份有限公司公开发行可转换公司债券募集说明书》（以下简称</w:t>
      </w:r>
      <w:r>
        <w:rPr>
          <w:w w:val="100"/>
        </w:rPr>
        <w:t> </w:t>
      </w:r>
      <w:r>
        <w:rPr/>
        <w:t>“《募集说明书》”）的约定，公司本次发行的“南威转债”自发行结束之日（</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7 </w:t>
      </w:r>
      <w:r>
        <w:rPr/>
        <w:t>月</w:t>
      </w:r>
      <w:r>
        <w:rPr>
          <w:spacing w:val="6"/>
        </w:rPr>
        <w:t> </w:t>
      </w:r>
      <w:r>
        <w:rPr>
          <w:rFonts w:ascii="Times New Roman" w:hAnsi="Times New Roman" w:cs="Times New Roman" w:eastAsia="Times New Roman" w:hint="default"/>
          <w:spacing w:val="-3"/>
        </w:rPr>
        <w:t>19</w:t>
      </w:r>
      <w:r>
        <w:rPr>
          <w:rFonts w:ascii="Times New Roman" w:hAnsi="Times New Roman" w:cs="Times New Roman" w:eastAsia="Times New Roman" w:hint="default"/>
        </w:rPr>
      </w:r>
    </w:p>
    <w:p>
      <w:pPr>
        <w:pStyle w:val="BodyText"/>
        <w:spacing w:line="279" w:lineRule="exact"/>
        <w:ind w:right="0"/>
        <w:jc w:val="both"/>
      </w:pPr>
      <w:r>
        <w:rPr>
          <w:w w:val="100"/>
        </w:rPr>
        <w:t>日</w:t>
      </w:r>
      <w:r>
        <w:rPr>
          <w:spacing w:val="-106"/>
          <w:w w:val="100"/>
        </w:rPr>
        <w:t>）</w:t>
      </w:r>
      <w:r>
        <w:rPr>
          <w:spacing w:val="-3"/>
          <w:w w:val="100"/>
        </w:rPr>
        <w:t>起</w:t>
      </w:r>
      <w:r>
        <w:rPr>
          <w:w w:val="100"/>
        </w:rPr>
        <w:t>满</w:t>
      </w:r>
      <w:r>
        <w:rPr>
          <w:spacing w:val="-3"/>
          <w:w w:val="100"/>
        </w:rPr>
        <w:t>六</w:t>
      </w:r>
      <w:r>
        <w:rPr>
          <w:w w:val="100"/>
        </w:rPr>
        <w:t>个</w:t>
      </w:r>
      <w:r>
        <w:rPr>
          <w:spacing w:val="-3"/>
          <w:w w:val="100"/>
        </w:rPr>
        <w:t>月</w:t>
      </w:r>
      <w:r>
        <w:rPr>
          <w:w w:val="100"/>
        </w:rPr>
        <w:t>后</w:t>
      </w:r>
      <w:r>
        <w:rPr>
          <w:spacing w:val="-3"/>
          <w:w w:val="100"/>
        </w:rPr>
        <w:t>的</w:t>
      </w:r>
      <w:r>
        <w:rPr>
          <w:w w:val="100"/>
        </w:rPr>
        <w:t>第</w:t>
      </w:r>
      <w:r>
        <w:rPr>
          <w:spacing w:val="-3"/>
          <w:w w:val="100"/>
        </w:rPr>
        <w:t>一个</w:t>
      </w:r>
      <w:r>
        <w:rPr>
          <w:w w:val="100"/>
        </w:rPr>
        <w:t>交易</w:t>
      </w:r>
      <w:r>
        <w:rPr>
          <w:spacing w:val="-3"/>
          <w:w w:val="100"/>
        </w:rPr>
        <w:t>日</w:t>
      </w:r>
      <w:r>
        <w:rPr>
          <w:spacing w:val="-106"/>
          <w:w w:val="100"/>
        </w:rPr>
        <w:t>，</w:t>
      </w:r>
      <w:r>
        <w:rPr>
          <w:w w:val="100"/>
        </w:rPr>
        <w:t>即</w:t>
      </w:r>
      <w:r>
        <w:rPr>
          <w:spacing w:val="-74"/>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20</w:t>
      </w:r>
      <w:r>
        <w:rPr>
          <w:rFonts w:ascii="Times New Roman" w:hAnsi="Times New Roman" w:cs="Times New Roman" w:eastAsia="Times New Roman" w:hint="default"/>
          <w:spacing w:val="-22"/>
        </w:rPr>
        <w:t> </w:t>
      </w:r>
      <w:r>
        <w:rPr>
          <w:w w:val="100"/>
        </w:rPr>
        <w:t>年</w:t>
      </w:r>
      <w:r>
        <w:rPr>
          <w:spacing w:val="-74"/>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2"/>
        </w:rPr>
        <w:t> </w:t>
      </w:r>
      <w:r>
        <w:rPr>
          <w:w w:val="100"/>
        </w:rPr>
        <w:t>月</w:t>
      </w:r>
      <w:r>
        <w:rPr>
          <w:spacing w:val="-74"/>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24"/>
        </w:rPr>
        <w:t> </w:t>
      </w:r>
      <w:r>
        <w:rPr>
          <w:w w:val="100"/>
        </w:rPr>
        <w:t>日起</w:t>
      </w:r>
      <w:r>
        <w:rPr>
          <w:spacing w:val="-3"/>
          <w:w w:val="100"/>
        </w:rPr>
        <w:t>可</w:t>
      </w:r>
      <w:r>
        <w:rPr>
          <w:w w:val="100"/>
        </w:rPr>
        <w:t>转</w:t>
      </w:r>
      <w:r>
        <w:rPr>
          <w:spacing w:val="-3"/>
          <w:w w:val="100"/>
        </w:rPr>
        <w:t>换</w:t>
      </w:r>
      <w:r>
        <w:rPr>
          <w:w w:val="100"/>
        </w:rPr>
        <w:t>为</w:t>
      </w:r>
      <w:r>
        <w:rPr>
          <w:spacing w:val="-3"/>
          <w:w w:val="100"/>
        </w:rPr>
        <w:t>公</w:t>
      </w:r>
      <w:r>
        <w:rPr>
          <w:w w:val="100"/>
        </w:rPr>
        <w:t>司</w:t>
      </w:r>
      <w:r>
        <w:rPr>
          <w:spacing w:val="-3"/>
          <w:w w:val="100"/>
        </w:rPr>
        <w:t>股</w:t>
      </w:r>
      <w:r>
        <w:rPr>
          <w:spacing w:val="-1"/>
          <w:w w:val="100"/>
        </w:rPr>
        <w:t>份</w:t>
      </w:r>
      <w:r>
        <w:rPr>
          <w:rFonts w:ascii="Times New Roman" w:hAnsi="Times New Roman" w:cs="Times New Roman" w:eastAsia="Times New Roman" w:hint="default"/>
          <w:spacing w:val="-1"/>
          <w:w w:val="100"/>
        </w:rPr>
        <w:t>(</w:t>
      </w:r>
      <w:r>
        <w:rPr>
          <w:spacing w:val="-3"/>
          <w:w w:val="100"/>
        </w:rPr>
        <w:t>公</w:t>
      </w:r>
      <w:r>
        <w:rPr>
          <w:w w:val="100"/>
        </w:rPr>
        <w:t>告编号</w:t>
      </w:r>
      <w:r>
        <w:rPr>
          <w:spacing w:val="-74"/>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02</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009</w:t>
      </w:r>
      <w:r>
        <w:rPr>
          <w:rFonts w:ascii="Times New Roman" w:hAnsi="Times New Roman" w:cs="Times New Roman" w:eastAsia="Times New Roman" w:hint="default"/>
          <w:spacing w:val="-1"/>
          <w:w w:val="100"/>
        </w:rPr>
        <w:t>)</w:t>
      </w:r>
      <w:r>
        <w:rPr>
          <w:w w:val="100"/>
        </w:rPr>
        <w:t>。</w:t>
      </w:r>
    </w:p>
    <w:p>
      <w:pPr>
        <w:pStyle w:val="BodyText"/>
        <w:spacing w:line="256" w:lineRule="auto" w:before="21"/>
        <w:ind w:right="227"/>
        <w:jc w:val="both"/>
      </w:pPr>
      <w:r>
        <w:rPr/>
        <w:t>截至</w:t>
      </w:r>
      <w:r>
        <w:rPr>
          <w:spacing w:val="-47"/>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spacing w:val="-11"/>
        </w:rPr>
        <w:t>日，累计有</w:t>
      </w:r>
      <w:r>
        <w:rPr>
          <w:spacing w:val="-46"/>
        </w:rPr>
        <w:t> </w:t>
      </w:r>
      <w:r>
        <w:rPr>
          <w:rFonts w:ascii="Times New Roman" w:hAnsi="Times New Roman" w:cs="Times New Roman" w:eastAsia="Times New Roman" w:hint="default"/>
        </w:rPr>
        <w:t>651,587,000</w:t>
      </w:r>
      <w:r>
        <w:rPr>
          <w:rFonts w:ascii="Times New Roman" w:hAnsi="Times New Roman" w:cs="Times New Roman" w:eastAsia="Times New Roman" w:hint="default"/>
          <w:spacing w:val="3"/>
        </w:rPr>
        <w:t> </w:t>
      </w:r>
      <w:r>
        <w:rPr>
          <w:spacing w:val="-4"/>
        </w:rPr>
        <w:t>元“南威转债”转换为公司股份，占可转债发行总量</w:t>
      </w:r>
      <w:r>
        <w:rPr>
          <w:spacing w:val="-102"/>
        </w:rPr>
        <w:t> </w:t>
      </w:r>
      <w:r>
        <w:rPr>
          <w:spacing w:val="-102"/>
        </w:rPr>
      </w:r>
      <w:r>
        <w:rPr/>
        <w:t>的</w:t>
      </w:r>
      <w:r>
        <w:rPr>
          <w:spacing w:val="-35"/>
        </w:rPr>
        <w:t> </w:t>
      </w:r>
      <w:r>
        <w:rPr>
          <w:rFonts w:ascii="Times New Roman" w:hAnsi="Times New Roman" w:cs="Times New Roman" w:eastAsia="Times New Roman" w:hint="default"/>
        </w:rPr>
        <w:t>98.73%</w:t>
      </w:r>
      <w:r>
        <w:rPr/>
        <w:t>；累计转股数量</w:t>
      </w:r>
      <w:r>
        <w:rPr>
          <w:spacing w:val="-35"/>
        </w:rPr>
        <w:t> </w:t>
      </w:r>
      <w:r>
        <w:rPr>
          <w:rFonts w:ascii="Times New Roman" w:hAnsi="Times New Roman" w:cs="Times New Roman" w:eastAsia="Times New Roman" w:hint="default"/>
        </w:rPr>
        <w:t>64,320,666</w:t>
      </w:r>
      <w:r>
        <w:rPr>
          <w:rFonts w:ascii="Times New Roman" w:hAnsi="Times New Roman" w:cs="Times New Roman" w:eastAsia="Times New Roman" w:hint="default"/>
          <w:spacing w:val="17"/>
        </w:rPr>
        <w:t> </w:t>
      </w:r>
      <w:r>
        <w:rPr/>
        <w:t>股，占可转债转股前公司已发行股份总额的</w:t>
      </w:r>
      <w:r>
        <w:rPr>
          <w:spacing w:val="-35"/>
        </w:rPr>
        <w:t> </w:t>
      </w:r>
      <w:r>
        <w:rPr>
          <w:rFonts w:ascii="Times New Roman" w:hAnsi="Times New Roman" w:cs="Times New Roman" w:eastAsia="Times New Roman" w:hint="default"/>
        </w:rPr>
        <w:t>12.22%</w:t>
      </w:r>
      <w:r>
        <w:rPr/>
        <w:t>。公司</w:t>
      </w:r>
      <w:r>
        <w:rPr>
          <w:w w:val="100"/>
        </w:rPr>
        <w:t> </w:t>
      </w:r>
      <w:r>
        <w:rPr/>
        <w:t>于</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spacing w:val="-3"/>
        </w:rPr>
        <w:t>日完成“南威转债”的全部赎回工作，累计赎回</w:t>
      </w:r>
      <w:r>
        <w:rPr>
          <w:spacing w:val="-46"/>
        </w:rPr>
        <w:t> </w:t>
      </w:r>
      <w:r>
        <w:rPr>
          <w:rFonts w:ascii="Times New Roman" w:hAnsi="Times New Roman" w:cs="Times New Roman" w:eastAsia="Times New Roman" w:hint="default"/>
        </w:rPr>
        <w:t>84,130</w:t>
      </w:r>
      <w:r>
        <w:rPr>
          <w:rFonts w:ascii="Times New Roman" w:hAnsi="Times New Roman" w:cs="Times New Roman" w:eastAsia="Times New Roman" w:hint="default"/>
          <w:spacing w:val="4"/>
        </w:rPr>
        <w:t> </w:t>
      </w:r>
      <w:r>
        <w:rPr>
          <w:spacing w:val="-4"/>
        </w:rPr>
        <w:t>张可转债，并办理了相</w:t>
      </w:r>
    </w:p>
    <w:p>
      <w:pPr>
        <w:pStyle w:val="BodyText"/>
        <w:spacing w:line="240" w:lineRule="auto" w:before="5"/>
        <w:ind w:right="0"/>
        <w:jc w:val="both"/>
        <w:rPr>
          <w:rFonts w:ascii="宋体" w:hAnsi="宋体" w:cs="宋体" w:eastAsia="宋体" w:hint="default"/>
        </w:rPr>
      </w:pPr>
      <w:r>
        <w:rPr/>
        <w:t>关摘牌手续。公司注册股本及注册资本由</w:t>
      </w:r>
      <w:r>
        <w:rPr>
          <w:spacing w:val="-55"/>
        </w:rPr>
        <w:t> </w:t>
      </w:r>
      <w:r>
        <w:rPr>
          <w:rFonts w:ascii="Times New Roman" w:hAnsi="Times New Roman" w:cs="Times New Roman" w:eastAsia="Times New Roman" w:hint="default"/>
        </w:rPr>
        <w:t>526,487,912</w:t>
      </w:r>
      <w:r>
        <w:rPr>
          <w:rFonts w:ascii="Times New Roman" w:hAnsi="Times New Roman" w:cs="Times New Roman" w:eastAsia="Times New Roman" w:hint="default"/>
          <w:spacing w:val="-2"/>
        </w:rPr>
        <w:t> </w:t>
      </w:r>
      <w:r>
        <w:rPr/>
        <w:t>元变更为</w:t>
      </w:r>
      <w:r>
        <w:rPr>
          <w:spacing w:val="-55"/>
        </w:rPr>
        <w:t> </w:t>
      </w:r>
      <w:r>
        <w:rPr>
          <w:rFonts w:ascii="Times New Roman" w:hAnsi="Times New Roman" w:cs="Times New Roman" w:eastAsia="Times New Roman" w:hint="default"/>
        </w:rPr>
        <w:t>590,808,578</w:t>
      </w:r>
      <w:r>
        <w:rPr>
          <w:rFonts w:ascii="Times New Roman" w:hAnsi="Times New Roman" w:cs="Times New Roman" w:eastAsia="Times New Roman" w:hint="default"/>
          <w:spacing w:val="-5"/>
        </w:rPr>
        <w:t> </w:t>
      </w:r>
      <w:r>
        <w:rPr/>
        <w:t>元。</w:t>
      </w:r>
      <w:r>
        <w:rPr>
          <w:rFonts w:ascii="宋体" w:hAnsi="宋体" w:cs="宋体" w:eastAsia="宋体" w:hint="default"/>
        </w:rPr>
        <w:t> </w:t>
      </w:r>
    </w:p>
    <w:p>
      <w:pPr>
        <w:pStyle w:val="Heading4"/>
        <w:spacing w:line="324" w:lineRule="auto" w:before="21"/>
        <w:ind w:right="557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报告期转债持有人</w:t>
      </w:r>
      <w:r>
        <w:rPr>
          <w:spacing w:val="-3"/>
          <w:w w:val="100"/>
        </w:rPr>
        <w:t>及</w:t>
      </w:r>
      <w:r>
        <w:rPr>
          <w:w w:val="100"/>
        </w:rPr>
        <w:t>担</w:t>
      </w:r>
      <w:r>
        <w:rPr>
          <w:spacing w:val="-3"/>
          <w:w w:val="100"/>
        </w:rPr>
        <w:t>保</w:t>
      </w:r>
      <w:r>
        <w:rPr>
          <w:w w:val="100"/>
        </w:rPr>
        <w:t>人情况</w:t>
      </w:r>
      <w:r>
        <w:rPr>
          <w:b w:val="0"/>
          <w:bCs w:val="0"/>
          <w:w w:val="100"/>
        </w:rPr>
      </w:r>
    </w:p>
    <w:p>
      <w:pPr>
        <w:pStyle w:val="BodyText"/>
        <w:spacing w:line="240" w:lineRule="auto" w:before="23"/>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5231"/>
        <w:gridCol w:w="2326"/>
        <w:gridCol w:w="1493"/>
      </w:tblGrid>
      <w:tr>
        <w:trPr>
          <w:trHeight w:val="32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期末转债持有人数</w:t>
            </w:r>
          </w:p>
        </w:tc>
        <w:tc>
          <w:tcPr>
            <w:tcW w:w="3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16,911</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本公司转债的担保人</w:t>
            </w:r>
          </w:p>
        </w:tc>
        <w:tc>
          <w:tcPr>
            <w:tcW w:w="3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前十名转债持有人情况如下：</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48" w:right="0"/>
              <w:jc w:val="left"/>
              <w:rPr>
                <w:rFonts w:ascii="宋体" w:hAnsi="宋体" w:cs="宋体" w:eastAsia="宋体" w:hint="default"/>
                <w:sz w:val="21"/>
                <w:szCs w:val="21"/>
              </w:rPr>
            </w:pPr>
            <w:r>
              <w:rPr>
                <w:rFonts w:ascii="宋体" w:hAnsi="宋体" w:cs="宋体" w:eastAsia="宋体" w:hint="default"/>
                <w:sz w:val="21"/>
                <w:szCs w:val="21"/>
              </w:rPr>
              <w:t>可转换公司债券持有人名称</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期末持债数量（元）</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61"/>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持有比例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tabs>
                <w:tab w:pos="722" w:val="left" w:leader="none"/>
              </w:tabs>
              <w:spacing w:line="240" w:lineRule="auto" w:before="34"/>
              <w:ind w:left="103" w:right="0"/>
              <w:jc w:val="left"/>
              <w:rPr>
                <w:rFonts w:ascii="Times New Roman" w:hAnsi="Times New Roman" w:cs="Times New Roman" w:eastAsia="Times New Roman" w:hint="default"/>
                <w:sz w:val="21"/>
                <w:szCs w:val="21"/>
              </w:rPr>
            </w:pPr>
            <w:r>
              <w:rPr>
                <w:rFonts w:ascii="Times New Roman"/>
                <w:spacing w:val="-1"/>
                <w:sz w:val="21"/>
              </w:rPr>
              <w:t>UBS</w:t>
              <w:tab/>
            </w:r>
            <w:r>
              <w:rPr>
                <w:rFonts w:ascii="Times New Roman"/>
                <w:spacing w:val="-2"/>
                <w:sz w:val="21"/>
              </w:rPr>
              <w:t>AG</w:t>
            </w:r>
            <w:r>
              <w:rPr>
                <w:rFonts w:ascii="Times New Roman"/>
                <w:sz w:val="21"/>
              </w:rPr>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65,000,000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9.85</w:t>
            </w:r>
          </w:p>
        </w:tc>
      </w:tr>
      <w:tr>
        <w:trPr>
          <w:trHeight w:val="63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6"/>
                <w:sz w:val="21"/>
                <w:szCs w:val="21"/>
              </w:rPr>
              <w:t>中国建设银行股份有限公司－鹏华丰收债券型证券投</w:t>
            </w:r>
            <w:r>
              <w:rPr>
                <w:rFonts w:ascii="宋体" w:hAnsi="宋体" w:cs="宋体" w:eastAsia="宋体" w:hint="default"/>
                <w:spacing w:val="-55"/>
                <w:sz w:val="21"/>
                <w:szCs w:val="21"/>
              </w:rPr>
              <w:t> </w:t>
            </w:r>
            <w:r>
              <w:rPr>
                <w:rFonts w:ascii="宋体" w:hAnsi="宋体" w:cs="宋体" w:eastAsia="宋体" w:hint="default"/>
                <w:sz w:val="21"/>
                <w:szCs w:val="21"/>
              </w:rPr>
              <w:t>资基金</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98"/>
              <w:jc w:val="right"/>
              <w:rPr>
                <w:rFonts w:ascii="Times New Roman" w:hAnsi="Times New Roman" w:cs="Times New Roman" w:eastAsia="Times New Roman" w:hint="default"/>
                <w:sz w:val="22"/>
                <w:szCs w:val="22"/>
              </w:rPr>
            </w:pPr>
            <w:r>
              <w:rPr>
                <w:rFonts w:ascii="Times New Roman"/>
                <w:sz w:val="22"/>
              </w:rPr>
              <w:t>20,676,000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3.13</w:t>
            </w:r>
          </w:p>
        </w:tc>
      </w:tr>
      <w:tr>
        <w:trPr>
          <w:trHeight w:val="32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中国银行－易方达稳健收益债券型证券投资基金</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z w:val="22"/>
              </w:rPr>
              <w:t>17,613,000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2.67</w:t>
            </w:r>
          </w:p>
        </w:tc>
      </w:tr>
      <w:tr>
        <w:trPr>
          <w:trHeight w:val="63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9"/>
              <w:jc w:val="left"/>
              <w:rPr>
                <w:rFonts w:ascii="宋体" w:hAnsi="宋体" w:cs="宋体" w:eastAsia="宋体" w:hint="default"/>
                <w:sz w:val="21"/>
                <w:szCs w:val="21"/>
              </w:rPr>
            </w:pPr>
            <w:r>
              <w:rPr>
                <w:rFonts w:ascii="宋体" w:hAnsi="宋体" w:cs="宋体" w:eastAsia="宋体" w:hint="default"/>
                <w:sz w:val="21"/>
                <w:szCs w:val="21"/>
              </w:rPr>
              <w:t>上海乘安资产管理有限公司－乘安</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99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传承</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号私募证</w:t>
            </w:r>
            <w:r>
              <w:rPr>
                <w:rFonts w:ascii="宋体" w:hAnsi="宋体" w:cs="宋体" w:eastAsia="宋体" w:hint="default"/>
                <w:w w:val="100"/>
                <w:sz w:val="21"/>
                <w:szCs w:val="21"/>
              </w:rPr>
              <w:t> </w:t>
            </w:r>
            <w:r>
              <w:rPr>
                <w:rFonts w:ascii="宋体" w:hAnsi="宋体" w:cs="宋体" w:eastAsia="宋体" w:hint="default"/>
                <w:sz w:val="21"/>
                <w:szCs w:val="21"/>
              </w:rPr>
              <w:t>券投资基金</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98"/>
              <w:jc w:val="right"/>
              <w:rPr>
                <w:rFonts w:ascii="Times New Roman" w:hAnsi="Times New Roman" w:cs="Times New Roman" w:eastAsia="Times New Roman" w:hint="default"/>
                <w:sz w:val="22"/>
                <w:szCs w:val="22"/>
              </w:rPr>
            </w:pPr>
            <w:r>
              <w:rPr>
                <w:rFonts w:ascii="Times New Roman"/>
                <w:sz w:val="22"/>
              </w:rPr>
              <w:t>16,949,000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2.57</w:t>
            </w:r>
          </w:p>
        </w:tc>
      </w:tr>
      <w:tr>
        <w:trPr>
          <w:trHeight w:val="63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6"/>
                <w:sz w:val="21"/>
                <w:szCs w:val="21"/>
              </w:rPr>
              <w:t>易方达颐天配置混合型养老金产品－中国工商银行股</w:t>
            </w:r>
            <w:r>
              <w:rPr>
                <w:rFonts w:ascii="宋体" w:hAnsi="宋体" w:cs="宋体" w:eastAsia="宋体" w:hint="default"/>
                <w:spacing w:val="-55"/>
                <w:sz w:val="21"/>
                <w:szCs w:val="21"/>
              </w:rPr>
              <w:t> </w:t>
            </w:r>
            <w:r>
              <w:rPr>
                <w:rFonts w:ascii="宋体" w:hAnsi="宋体" w:cs="宋体" w:eastAsia="宋体" w:hint="default"/>
                <w:sz w:val="21"/>
                <w:szCs w:val="21"/>
              </w:rPr>
              <w:t>份有限公司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98"/>
              <w:jc w:val="right"/>
              <w:rPr>
                <w:rFonts w:ascii="Times New Roman" w:hAnsi="Times New Roman" w:cs="Times New Roman" w:eastAsia="Times New Roman" w:hint="default"/>
                <w:sz w:val="22"/>
                <w:szCs w:val="22"/>
              </w:rPr>
            </w:pPr>
            <w:r>
              <w:rPr>
                <w:rFonts w:ascii="Times New Roman"/>
                <w:sz w:val="22"/>
              </w:rPr>
              <w:t>16,765,000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2.54</w:t>
            </w:r>
          </w:p>
        </w:tc>
      </w:tr>
      <w:tr>
        <w:trPr>
          <w:trHeight w:val="63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6"/>
                <w:sz w:val="21"/>
                <w:szCs w:val="21"/>
              </w:rPr>
              <w:t>中国工商银行股份有限公司－鹏华丰盛稳固收益债券</w:t>
            </w:r>
            <w:r>
              <w:rPr>
                <w:rFonts w:ascii="宋体" w:hAnsi="宋体" w:cs="宋体" w:eastAsia="宋体" w:hint="default"/>
                <w:spacing w:val="-55"/>
                <w:sz w:val="21"/>
                <w:szCs w:val="21"/>
              </w:rPr>
              <w:t> </w:t>
            </w:r>
            <w:r>
              <w:rPr>
                <w:rFonts w:ascii="宋体" w:hAnsi="宋体" w:cs="宋体" w:eastAsia="宋体" w:hint="default"/>
                <w:sz w:val="21"/>
                <w:szCs w:val="21"/>
              </w:rPr>
              <w:t>型证券投资基金</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98"/>
              <w:jc w:val="right"/>
              <w:rPr>
                <w:rFonts w:ascii="Times New Roman" w:hAnsi="Times New Roman" w:cs="Times New Roman" w:eastAsia="Times New Roman" w:hint="default"/>
                <w:sz w:val="22"/>
                <w:szCs w:val="22"/>
              </w:rPr>
            </w:pPr>
            <w:r>
              <w:rPr>
                <w:rFonts w:ascii="Times New Roman"/>
                <w:sz w:val="22"/>
              </w:rPr>
              <w:t>16,745,000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2.54</w:t>
            </w:r>
          </w:p>
        </w:tc>
      </w:tr>
      <w:tr>
        <w:trPr>
          <w:trHeight w:val="63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6"/>
                <w:sz w:val="21"/>
                <w:szCs w:val="21"/>
              </w:rPr>
              <w:t>易方达稳健回报固定收益型养老金产品－交通银行股</w:t>
            </w:r>
            <w:r>
              <w:rPr>
                <w:rFonts w:ascii="宋体" w:hAnsi="宋体" w:cs="宋体" w:eastAsia="宋体" w:hint="default"/>
                <w:spacing w:val="-55"/>
                <w:sz w:val="21"/>
                <w:szCs w:val="21"/>
              </w:rPr>
              <w:t> </w:t>
            </w:r>
            <w:r>
              <w:rPr>
                <w:rFonts w:ascii="宋体" w:hAnsi="宋体" w:cs="宋体" w:eastAsia="宋体" w:hint="default"/>
                <w:sz w:val="21"/>
                <w:szCs w:val="21"/>
              </w:rPr>
              <w:t>份有限公司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98"/>
              <w:jc w:val="right"/>
              <w:rPr>
                <w:rFonts w:ascii="Times New Roman" w:hAnsi="Times New Roman" w:cs="Times New Roman" w:eastAsia="Times New Roman" w:hint="default"/>
                <w:sz w:val="22"/>
                <w:szCs w:val="22"/>
              </w:rPr>
            </w:pPr>
            <w:r>
              <w:rPr>
                <w:rFonts w:ascii="Times New Roman"/>
                <w:sz w:val="22"/>
              </w:rPr>
              <w:t>16,587,000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2.51</w:t>
            </w:r>
          </w:p>
        </w:tc>
      </w:tr>
    </w:tbl>
    <w:p>
      <w:pPr>
        <w:spacing w:after="0" w:line="240" w:lineRule="auto"/>
        <w:jc w:val="right"/>
        <w:rPr>
          <w:rFonts w:ascii="Times New Roman" w:hAnsi="Times New Roman" w:cs="Times New Roman" w:eastAsia="Times New Roman" w:hint="default"/>
          <w:sz w:val="21"/>
          <w:szCs w:val="21"/>
        </w:rPr>
        <w:sectPr>
          <w:pgSz w:w="11910" w:h="16840"/>
          <w:pgMar w:header="855" w:footer="979"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231"/>
        <w:gridCol w:w="2326"/>
        <w:gridCol w:w="1493"/>
      </w:tblGrid>
      <w:tr>
        <w:trPr>
          <w:trHeight w:val="32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中国建设银行－华安稳定收益债券型证券投资基金</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z w:val="22"/>
              </w:rPr>
              <w:t>15,566,000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z w:val="21"/>
              </w:rPr>
              <w:t>2.36</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13,537,000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2.05</w:t>
            </w:r>
          </w:p>
        </w:tc>
      </w:tr>
      <w:tr>
        <w:trPr>
          <w:trHeight w:val="63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6"/>
                <w:sz w:val="21"/>
                <w:szCs w:val="21"/>
              </w:rPr>
              <w:t>中国工商银行股份有限公司－兴全可转债混合型证券</w:t>
            </w:r>
            <w:r>
              <w:rPr>
                <w:rFonts w:ascii="宋体" w:hAnsi="宋体" w:cs="宋体" w:eastAsia="宋体" w:hint="default"/>
                <w:spacing w:val="-55"/>
                <w:sz w:val="21"/>
                <w:szCs w:val="21"/>
              </w:rPr>
              <w:t> </w:t>
            </w:r>
            <w:r>
              <w:rPr>
                <w:rFonts w:ascii="宋体" w:hAnsi="宋体" w:cs="宋体" w:eastAsia="宋体" w:hint="default"/>
                <w:sz w:val="21"/>
                <w:szCs w:val="21"/>
              </w:rPr>
              <w:t>投资基金</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98"/>
              <w:jc w:val="right"/>
              <w:rPr>
                <w:rFonts w:ascii="Times New Roman" w:hAnsi="Times New Roman" w:cs="Times New Roman" w:eastAsia="Times New Roman" w:hint="default"/>
                <w:sz w:val="22"/>
                <w:szCs w:val="22"/>
              </w:rPr>
            </w:pPr>
            <w:r>
              <w:rPr>
                <w:rFonts w:ascii="Times New Roman"/>
                <w:sz w:val="22"/>
              </w:rPr>
              <w:t>13,534,000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2.05</w:t>
            </w:r>
          </w:p>
        </w:tc>
      </w:tr>
    </w:tbl>
    <w:p>
      <w:pPr>
        <w:spacing w:line="240" w:lineRule="auto" w:before="2"/>
        <w:rPr>
          <w:rFonts w:ascii="宋体" w:hAnsi="宋体" w:cs="宋体" w:eastAsia="宋体" w:hint="default"/>
          <w:sz w:val="20"/>
          <w:szCs w:val="20"/>
        </w:rPr>
      </w:pPr>
    </w:p>
    <w:p>
      <w:pPr>
        <w:pStyle w:val="Heading4"/>
        <w:spacing w:line="240" w:lineRule="auto" w:before="36"/>
        <w:ind w:right="0"/>
        <w:jc w:val="left"/>
        <w:rPr>
          <w:b w:val="0"/>
          <w:bCs w:val="0"/>
        </w:rPr>
      </w:pPr>
      <w:r>
        <w:rPr>
          <w:rFonts w:ascii="宋体" w:hAnsi="宋体" w:cs="宋体" w:eastAsia="宋体" w:hint="default"/>
        </w:rPr>
        <w:t>(</w:t>
      </w:r>
      <w:r>
        <w:rPr/>
        <w:t>三</w:t>
      </w:r>
      <w:r>
        <w:rPr>
          <w:rFonts w:ascii="宋体" w:hAnsi="宋体" w:cs="宋体" w:eastAsia="宋体" w:hint="default"/>
        </w:rPr>
        <w:t>)</w:t>
      </w:r>
      <w:r>
        <w:rPr/>
        <w:t>报告期转债变动情况</w:t>
      </w:r>
      <w:r>
        <w:rPr>
          <w:b w:val="0"/>
          <w:bCs w:val="0"/>
        </w:rPr>
      </w:r>
    </w:p>
    <w:p>
      <w:pPr>
        <w:pStyle w:val="BodyText"/>
        <w:spacing w:line="273" w:lineRule="auto" w:before="97"/>
        <w:ind w:right="578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报告期转债累计转股情况</w:t>
      </w:r>
      <w:r>
        <w:rPr>
          <w:rFonts w:ascii="宋体" w:hAnsi="宋体" w:cs="宋体" w:eastAsia="宋体" w:hint="default"/>
        </w:rPr>
        <w:t> </w:t>
      </w:r>
    </w:p>
    <w:p>
      <w:pPr>
        <w:pStyle w:val="BodyText"/>
        <w:spacing w:line="273" w:lineRule="auto" w:before="7"/>
        <w:ind w:left="638" w:right="1851"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t>报告期内，“南威转债”尚未进入转股期，不存在变动和转股情况。</w:t>
      </w:r>
      <w:r>
        <w:rPr>
          <w:rFonts w:ascii="宋体" w:hAnsi="宋体" w:cs="宋体" w:eastAsia="宋体" w:hint="default"/>
        </w:rPr>
        <w:t> </w:t>
      </w:r>
    </w:p>
    <w:p>
      <w:pPr>
        <w:pStyle w:val="Heading4"/>
        <w:spacing w:line="326" w:lineRule="auto" w:before="7"/>
        <w:ind w:right="5993" w:firstLine="419"/>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四</w:t>
      </w:r>
      <w:r>
        <w:rPr>
          <w:rFonts w:ascii="宋体" w:hAnsi="宋体" w:cs="宋体" w:eastAsia="宋体" w:hint="default"/>
          <w:w w:val="99"/>
        </w:rPr>
        <w:t>)</w:t>
      </w:r>
      <w:r>
        <w:rPr>
          <w:w w:val="100"/>
        </w:rPr>
        <w:t>转股价格历次调整</w:t>
      </w:r>
      <w:r>
        <w:rPr>
          <w:spacing w:val="-3"/>
          <w:w w:val="100"/>
        </w:rPr>
        <w:t>情</w:t>
      </w:r>
      <w:r>
        <w:rPr>
          <w:w w:val="100"/>
        </w:rPr>
        <w:t>况</w:t>
      </w:r>
      <w:r>
        <w:rPr>
          <w:b w:val="0"/>
          <w:bCs w:val="0"/>
          <w:w w:val="100"/>
        </w:rPr>
      </w:r>
    </w:p>
    <w:p>
      <w:pPr>
        <w:pStyle w:val="BodyText"/>
        <w:spacing w:line="240" w:lineRule="auto" w:before="2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2"/>
        <w:ind w:left="638" w:right="0"/>
        <w:jc w:val="left"/>
        <w:rPr>
          <w:rFonts w:ascii="Times New Roman" w:hAnsi="Times New Roman" w:cs="Times New Roman" w:eastAsia="Times New Roman" w:hint="default"/>
        </w:rPr>
      </w:pPr>
      <w:r>
        <w:rPr/>
        <w:t>“南威转债”的初始转股价格为 </w:t>
      </w:r>
      <w:r>
        <w:rPr>
          <w:rFonts w:ascii="Times New Roman" w:hAnsi="Times New Roman" w:cs="Times New Roman" w:eastAsia="Times New Roman" w:hint="default"/>
        </w:rPr>
        <w:t>10.13 </w:t>
      </w:r>
      <w:r>
        <w:rPr/>
        <w:t>元</w:t>
      </w:r>
      <w:r>
        <w:rPr>
          <w:rFonts w:ascii="Times New Roman" w:hAnsi="Times New Roman" w:cs="Times New Roman" w:eastAsia="Times New Roman" w:hint="default"/>
        </w:rPr>
        <w:t>/</w:t>
      </w:r>
      <w:r>
        <w:rPr/>
        <w:t>股，最新转股价格为 </w:t>
      </w:r>
      <w:r>
        <w:rPr>
          <w:rFonts w:ascii="Times New Roman" w:hAnsi="Times New Roman" w:cs="Times New Roman" w:eastAsia="Times New Roman" w:hint="default"/>
        </w:rPr>
        <w:t>10.13 </w:t>
      </w:r>
      <w:r>
        <w:rPr/>
        <w:t>元</w:t>
      </w:r>
      <w:r>
        <w:rPr>
          <w:rFonts w:ascii="Times New Roman" w:hAnsi="Times New Roman" w:cs="Times New Roman" w:eastAsia="Times New Roman" w:hint="default"/>
        </w:rPr>
        <w:t>/</w:t>
      </w:r>
      <w:r>
        <w:rPr/>
        <w:t>股（公司已于</w:t>
      </w:r>
      <w:r>
        <w:rPr>
          <w:spacing w:val="-10"/>
        </w:rPr>
        <w:t> </w:t>
      </w:r>
      <w:r>
        <w:rPr>
          <w:rFonts w:ascii="Times New Roman" w:hAnsi="Times New Roman" w:cs="Times New Roman" w:eastAsia="Times New Roman" w:hint="default"/>
        </w:rPr>
        <w:t>2019</w:t>
      </w:r>
    </w:p>
    <w:p>
      <w:pPr>
        <w:pStyle w:val="BodyText"/>
        <w:spacing w:line="240" w:lineRule="auto" w:before="69"/>
        <w:ind w:right="0"/>
        <w:jc w:val="left"/>
      </w:pP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27</w:t>
      </w:r>
      <w:r>
        <w:rPr>
          <w:rFonts w:ascii="Times New Roman" w:hAnsi="Times New Roman" w:cs="Times New Roman" w:eastAsia="Times New Roman" w:hint="default"/>
          <w:spacing w:val="9"/>
        </w:rPr>
        <w:t> </w:t>
      </w:r>
      <w:r>
        <w:rPr/>
        <w:t>日回购注销部分股权激励对象已获授但尚未解除限售的限制性股票</w:t>
      </w:r>
      <w:r>
        <w:rPr>
          <w:spacing w:val="-42"/>
        </w:rPr>
        <w:t> </w:t>
      </w:r>
      <w:r>
        <w:rPr>
          <w:rFonts w:ascii="Times New Roman" w:hAnsi="Times New Roman" w:cs="Times New Roman" w:eastAsia="Times New Roman" w:hint="default"/>
        </w:rPr>
        <w:t>196,560</w:t>
      </w:r>
      <w:r>
        <w:rPr>
          <w:rFonts w:ascii="Times New Roman" w:hAnsi="Times New Roman" w:cs="Times New Roman" w:eastAsia="Times New Roman" w:hint="default"/>
          <w:spacing w:val="7"/>
        </w:rPr>
        <w:t> </w:t>
      </w:r>
      <w:r>
        <w:rPr/>
        <w:t>股，经测</w:t>
      </w:r>
    </w:p>
    <w:p>
      <w:pPr>
        <w:pStyle w:val="BodyText"/>
        <w:spacing w:line="240" w:lineRule="auto" w:before="69"/>
        <w:ind w:right="0"/>
        <w:jc w:val="left"/>
      </w:pPr>
      <w:r>
        <w:rPr/>
        <w:t>算转股价格调整为</w:t>
      </w:r>
      <w:r>
        <w:rPr>
          <w:spacing w:val="-55"/>
        </w:rPr>
        <w:t> </w:t>
      </w:r>
      <w:r>
        <w:rPr>
          <w:rFonts w:ascii="Times New Roman" w:hAnsi="Times New Roman" w:cs="Times New Roman" w:eastAsia="Times New Roman" w:hint="default"/>
        </w:rPr>
        <w:t>10.1309</w:t>
      </w:r>
      <w:r>
        <w:rPr>
          <w:rFonts w:ascii="Times New Roman" w:hAnsi="Times New Roman" w:cs="Times New Roman" w:eastAsia="Times New Roman" w:hint="default"/>
          <w:spacing w:val="-2"/>
        </w:rPr>
        <w:t> </w:t>
      </w:r>
      <w:r>
        <w:rPr/>
        <w:t>元，保留两位小数后转股价格不变）。</w:t>
      </w:r>
    </w:p>
    <w:p>
      <w:pPr>
        <w:pStyle w:val="Heading4"/>
        <w:spacing w:line="324" w:lineRule="auto" w:before="14"/>
        <w:ind w:right="2412" w:firstLine="419"/>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五</w:t>
      </w:r>
      <w:r>
        <w:rPr>
          <w:rFonts w:ascii="宋体" w:hAnsi="宋体" w:cs="宋体" w:eastAsia="宋体" w:hint="default"/>
          <w:w w:val="99"/>
        </w:rPr>
        <w:t>)</w:t>
      </w:r>
      <w:r>
        <w:rPr>
          <w:w w:val="100"/>
        </w:rPr>
        <w:t>公司的负债情况、</w:t>
      </w:r>
      <w:r>
        <w:rPr>
          <w:spacing w:val="-3"/>
          <w:w w:val="100"/>
        </w:rPr>
        <w:t>资</w:t>
      </w:r>
      <w:r>
        <w:rPr>
          <w:w w:val="100"/>
        </w:rPr>
        <w:t>信</w:t>
      </w:r>
      <w:r>
        <w:rPr>
          <w:spacing w:val="-3"/>
          <w:w w:val="100"/>
        </w:rPr>
        <w:t>变</w:t>
      </w:r>
      <w:r>
        <w:rPr>
          <w:w w:val="100"/>
        </w:rPr>
        <w:t>化情况及在未来年</w:t>
      </w:r>
      <w:r>
        <w:rPr>
          <w:spacing w:val="-3"/>
          <w:w w:val="100"/>
        </w:rPr>
        <w:t>度</w:t>
      </w:r>
      <w:r>
        <w:rPr>
          <w:w w:val="100"/>
        </w:rPr>
        <w:t>还</w:t>
      </w:r>
      <w:r>
        <w:rPr>
          <w:spacing w:val="-3"/>
          <w:w w:val="100"/>
        </w:rPr>
        <w:t>债</w:t>
      </w:r>
      <w:r>
        <w:rPr>
          <w:w w:val="100"/>
        </w:rPr>
        <w:t>的现金安排</w:t>
      </w:r>
      <w:r>
        <w:rPr>
          <w:b w:val="0"/>
          <w:bCs w:val="0"/>
          <w:w w:val="100"/>
        </w:rPr>
      </w:r>
    </w:p>
    <w:p>
      <w:pPr>
        <w:pStyle w:val="BodyText"/>
        <w:spacing w:line="240" w:lineRule="auto" w:before="2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38" w:right="0"/>
        <w:jc w:val="left"/>
      </w:pPr>
      <w:r>
        <w:rPr>
          <w:rFonts w:ascii="Times New Roman" w:hAnsi="Times New Roman" w:cs="Times New Roman" w:eastAsia="Times New Roman" w:hint="default"/>
        </w:rPr>
        <w:t>1</w:t>
      </w:r>
      <w:r>
        <w:rPr/>
        <w:t>、公司负债情况</w:t>
      </w:r>
    </w:p>
    <w:p>
      <w:pPr>
        <w:pStyle w:val="BodyText"/>
        <w:spacing w:line="256" w:lineRule="auto" w:before="21"/>
        <w:ind w:left="638" w:right="1851"/>
        <w:jc w:val="left"/>
      </w:pPr>
      <w:r>
        <w:rPr/>
        <w:t>截至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日，公司合并报表资产负债率为</w:t>
      </w:r>
      <w:r>
        <w:rPr>
          <w:spacing w:val="-54"/>
        </w:rPr>
        <w:t> </w:t>
      </w:r>
      <w:r>
        <w:rPr>
          <w:rFonts w:ascii="Times New Roman" w:hAnsi="Times New Roman" w:cs="Times New Roman" w:eastAsia="Times New Roman" w:hint="default"/>
        </w:rPr>
        <w:t>44.73%</w:t>
      </w:r>
      <w:r>
        <w:rPr/>
        <w:t>。</w:t>
      </w:r>
      <w:r>
        <w:rPr>
          <w:w w:val="100"/>
        </w:rPr>
        <w:t> </w:t>
      </w:r>
      <w:r>
        <w:rPr>
          <w:rFonts w:ascii="Times New Roman" w:hAnsi="Times New Roman" w:cs="Times New Roman" w:eastAsia="Times New Roman" w:hint="default"/>
        </w:rPr>
        <w:t>2</w:t>
      </w:r>
      <w:r>
        <w:rPr/>
        <w:t>、资信变化情况</w:t>
      </w:r>
    </w:p>
    <w:p>
      <w:pPr>
        <w:pStyle w:val="BodyText"/>
        <w:spacing w:line="256" w:lineRule="auto" w:before="5"/>
        <w:ind w:right="228" w:firstLine="419"/>
        <w:jc w:val="both"/>
      </w:pPr>
      <w:r>
        <w:rPr>
          <w:rFonts w:ascii="Times New Roman" w:hAnsi="Times New Roman" w:cs="Times New Roman" w:eastAsia="Times New Roman" w:hint="default"/>
        </w:rPr>
        <w:t>2018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1"/>
        </w:rPr>
        <w:t> </w:t>
      </w:r>
      <w:r>
        <w:rPr/>
        <w:t>月，中诚信证券评估有限公司对公司发行的“南威转债”进行了信用评级，并出</w:t>
      </w:r>
      <w:r>
        <w:rPr>
          <w:w w:val="100"/>
        </w:rPr>
        <w:t> </w:t>
      </w:r>
      <w:r>
        <w:rPr>
          <w:spacing w:val="-8"/>
          <w:w w:val="100"/>
        </w:rPr>
        <w:t>具了《信用评级报告》（信评委函字【</w:t>
      </w:r>
      <w:r>
        <w:rPr>
          <w:rFonts w:ascii="Times New Roman" w:hAnsi="Times New Roman" w:cs="Times New Roman" w:eastAsia="Times New Roman" w:hint="default"/>
          <w:spacing w:val="-8"/>
          <w:w w:val="100"/>
        </w:rPr>
        <w:t>2018</w:t>
      </w:r>
      <w:r>
        <w:rPr>
          <w:spacing w:val="-8"/>
          <w:w w:val="100"/>
        </w:rPr>
        <w:t>】</w:t>
      </w:r>
      <w:r>
        <w:rPr>
          <w:rFonts w:ascii="Times New Roman" w:hAnsi="Times New Roman" w:cs="Times New Roman" w:eastAsia="Times New Roman" w:hint="default"/>
          <w:spacing w:val="-8"/>
          <w:w w:val="100"/>
        </w:rPr>
        <w:t>G525</w:t>
      </w:r>
      <w:r>
        <w:rPr>
          <w:rFonts w:ascii="Times New Roman" w:hAnsi="Times New Roman" w:cs="Times New Roman" w:eastAsia="Times New Roman" w:hint="default"/>
          <w:spacing w:val="3"/>
          <w:w w:val="100"/>
        </w:rPr>
        <w:t> </w:t>
      </w:r>
      <w:r>
        <w:rPr>
          <w:spacing w:val="-10"/>
          <w:w w:val="100"/>
        </w:rPr>
        <w:t>号），评定公司主体信用等级为</w:t>
      </w:r>
      <w:r>
        <w:rPr>
          <w:spacing w:val="-47"/>
          <w:w w:val="100"/>
        </w:rPr>
        <w:t> </w:t>
      </w:r>
      <w:r>
        <w:rPr>
          <w:rFonts w:ascii="Times New Roman" w:hAnsi="Times New Roman" w:cs="Times New Roman" w:eastAsia="Times New Roman" w:hint="default"/>
          <w:spacing w:val="-4"/>
          <w:w w:val="100"/>
        </w:rPr>
        <w:t>AA-</w:t>
      </w:r>
      <w:r>
        <w:rPr>
          <w:spacing w:val="-4"/>
          <w:w w:val="100"/>
        </w:rPr>
        <w:t>，公司发行</w:t>
      </w:r>
      <w:r>
        <w:rPr>
          <w:spacing w:val="-103"/>
          <w:w w:val="100"/>
        </w:rPr>
        <w:t> </w:t>
      </w:r>
      <w:r>
        <w:rPr>
          <w:spacing w:val="-103"/>
          <w:w w:val="100"/>
        </w:rPr>
      </w:r>
      <w:r>
        <w:rPr/>
        <w:t>的“南威转债”信用等级为</w:t>
      </w:r>
      <w:r>
        <w:rPr>
          <w:spacing w:val="-57"/>
        </w:rPr>
        <w:t> </w:t>
      </w:r>
      <w:r>
        <w:rPr>
          <w:rFonts w:ascii="Times New Roman" w:hAnsi="Times New Roman" w:cs="Times New Roman" w:eastAsia="Times New Roman" w:hint="default"/>
        </w:rPr>
        <w:t>AA-</w:t>
      </w:r>
      <w:r>
        <w:rPr/>
        <w:t>，评级展望稳定。</w:t>
      </w:r>
    </w:p>
    <w:p>
      <w:pPr>
        <w:pStyle w:val="BodyText"/>
        <w:spacing w:line="240" w:lineRule="auto" w:before="5"/>
        <w:ind w:left="638" w:right="0"/>
        <w:jc w:val="left"/>
      </w:pPr>
      <w:r>
        <w:rPr>
          <w:rFonts w:ascii="Times New Roman" w:hAnsi="Times New Roman" w:cs="Times New Roman" w:eastAsia="Times New Roman" w:hint="default"/>
        </w:rPr>
        <w:t>3</w:t>
      </w:r>
      <w:r>
        <w:rPr/>
        <w:t>、未来年度还债的现金安排</w:t>
      </w:r>
    </w:p>
    <w:p>
      <w:pPr>
        <w:pStyle w:val="BodyText"/>
        <w:spacing w:line="256" w:lineRule="auto" w:before="21"/>
        <w:ind w:right="224" w:firstLine="419"/>
        <w:jc w:val="left"/>
      </w:pPr>
      <w:r>
        <w:rPr/>
        <w:t>公司已于</w:t>
      </w:r>
      <w:r>
        <w:rPr>
          <w:spacing w:val="-50"/>
        </w:rPr>
        <w:t> </w:t>
      </w:r>
      <w:r>
        <w:rPr>
          <w:rFonts w:ascii="Times New Roman" w:hAnsi="Times New Roman" w:cs="Times New Roman" w:eastAsia="Times New Roman" w:hint="default"/>
        </w:rPr>
        <w:t>2020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25 </w:t>
      </w:r>
      <w:r>
        <w:rPr/>
        <w:t>日完成“南威转债”的赎回工作及摘牌工作，后续不存在付息及偿</w:t>
      </w:r>
      <w:r>
        <w:rPr>
          <w:w w:val="100"/>
        </w:rPr>
        <w:t> </w:t>
      </w:r>
      <w:r>
        <w:rPr>
          <w:spacing w:val="-10"/>
          <w:w w:val="100"/>
        </w:rPr>
        <w:t>还本金事宜，详见本章节“（六）转债的其他情况说明”。</w:t>
      </w:r>
    </w:p>
    <w:p>
      <w:pPr>
        <w:spacing w:line="240" w:lineRule="auto" w:before="0"/>
        <w:rPr>
          <w:rFonts w:ascii="宋体" w:hAnsi="宋体" w:cs="宋体" w:eastAsia="宋体" w:hint="default"/>
          <w:sz w:val="20"/>
          <w:szCs w:val="20"/>
        </w:rPr>
      </w:pPr>
    </w:p>
    <w:p>
      <w:pPr>
        <w:pStyle w:val="Heading4"/>
        <w:spacing w:line="240" w:lineRule="auto" w:before="132"/>
        <w:ind w:right="0"/>
        <w:jc w:val="left"/>
        <w:rPr>
          <w:b w:val="0"/>
          <w:bCs w:val="0"/>
        </w:rPr>
      </w:pPr>
      <w:r>
        <w:rPr>
          <w:rFonts w:ascii="宋体" w:hAnsi="宋体" w:cs="宋体" w:eastAsia="宋体" w:hint="default"/>
        </w:rPr>
        <w:t>(</w:t>
      </w:r>
      <w:r>
        <w:rPr/>
        <w:t>六</w:t>
      </w:r>
      <w:r>
        <w:rPr>
          <w:rFonts w:ascii="宋体" w:hAnsi="宋体" w:cs="宋体" w:eastAsia="宋体" w:hint="default"/>
        </w:rPr>
        <w:t>)</w:t>
      </w:r>
      <w:r>
        <w:rPr/>
        <w:t>转债其他情况说明</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1" w:lineRule="auto" w:before="37"/>
        <w:ind w:right="229" w:firstLine="419"/>
        <w:jc w:val="both"/>
      </w:pPr>
      <w:r>
        <w:rPr/>
        <w:t>公司的股票在自</w:t>
      </w:r>
      <w:r>
        <w:rPr>
          <w:spacing w:val="-6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0"/>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日至</w:t>
      </w:r>
      <w:r>
        <w:rPr>
          <w:spacing w:val="-6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1"/>
        </w:rPr>
        <w:t> </w:t>
      </w:r>
      <w:r>
        <w:rPr/>
        <w:t>年</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日的收盘价格不低于“南威转债”当期转</w:t>
      </w:r>
      <w:r>
        <w:rPr>
          <w:spacing w:val="-3"/>
          <w:w w:val="100"/>
        </w:rPr>
        <w:t> </w:t>
      </w:r>
      <w:r>
        <w:rPr/>
        <w:t>股价格（</w:t>
      </w:r>
      <w:r>
        <w:rPr>
          <w:rFonts w:ascii="Times New Roman" w:hAnsi="Times New Roman" w:cs="Times New Roman" w:eastAsia="Times New Roman" w:hint="default"/>
        </w:rPr>
        <w:t>10.13</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股）的</w:t>
      </w:r>
      <w:r>
        <w:rPr>
          <w:spacing w:val="-46"/>
        </w:rPr>
        <w:t> </w:t>
      </w:r>
      <w:r>
        <w:rPr>
          <w:rFonts w:ascii="Times New Roman" w:hAnsi="Times New Roman" w:cs="Times New Roman" w:eastAsia="Times New Roman" w:hint="default"/>
        </w:rPr>
        <w:t>130%</w:t>
      </w:r>
      <w:r>
        <w:rPr/>
        <w:t>（即不低于</w:t>
      </w:r>
      <w:r>
        <w:rPr>
          <w:spacing w:val="-47"/>
        </w:rPr>
        <w:t> </w:t>
      </w:r>
      <w:r>
        <w:rPr>
          <w:rFonts w:ascii="Times New Roman" w:hAnsi="Times New Roman" w:cs="Times New Roman" w:eastAsia="Times New Roman" w:hint="default"/>
        </w:rPr>
        <w:t>13.169</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股），根据《募集说明书》的约定，已触发</w:t>
      </w:r>
      <w:r>
        <w:rPr>
          <w:w w:val="100"/>
        </w:rPr>
        <w:t> </w:t>
      </w:r>
      <w:r>
        <w:rPr/>
        <w:t>“南威转债”的赎回条款。</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日，公司召开第三届董事会第四十五次会议，全票审议</w:t>
      </w:r>
      <w:r>
        <w:rPr>
          <w:spacing w:val="-103"/>
        </w:rPr>
        <w:t> </w:t>
      </w:r>
      <w:r>
        <w:rPr>
          <w:spacing w:val="-103"/>
        </w:rPr>
      </w:r>
      <w:r>
        <w:rPr>
          <w:spacing w:val="-1"/>
        </w:rPr>
        <w:t>通过了《关于提前赎回“南威转债”的议案》，同意公司行使“南威转债”的提前赎回权，对赎</w:t>
      </w:r>
      <w:r>
        <w:rPr>
          <w:spacing w:val="-56"/>
        </w:rPr>
        <w:t> </w:t>
      </w:r>
      <w:r>
        <w:rPr>
          <w:spacing w:val="-56"/>
        </w:rPr>
      </w:r>
      <w:r>
        <w:rPr/>
        <w:t>回登记日登记在册的“南威转债”全部赎回。</w:t>
      </w:r>
    </w:p>
    <w:p>
      <w:pPr>
        <w:pStyle w:val="BodyText"/>
        <w:spacing w:line="240" w:lineRule="auto" w:before="18"/>
        <w:ind w:left="638" w:right="0"/>
        <w:jc w:val="left"/>
      </w:pPr>
      <w:r>
        <w:rPr>
          <w:spacing w:val="-3"/>
        </w:rPr>
        <w:t>截至“南威转债”赎回登记日（</w:t>
      </w:r>
      <w:r>
        <w:rPr>
          <w:rFonts w:ascii="Times New Roman" w:hAnsi="Times New Roman" w:cs="Times New Roman" w:eastAsia="Times New Roman" w:hint="default"/>
          <w:spacing w:val="-3"/>
        </w:rPr>
        <w:t>2020</w:t>
      </w:r>
      <w:r>
        <w:rPr>
          <w:rFonts w:ascii="Times New Roman" w:hAnsi="Times New Roman" w:cs="Times New Roman" w:eastAsia="Times New Roman" w:hint="default"/>
          <w:spacing w:val="8"/>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spacing w:val="-3"/>
        </w:rPr>
        <w:t>日）收市后，累计面值人民币</w:t>
      </w:r>
      <w:r>
        <w:rPr>
          <w:spacing w:val="-48"/>
        </w:rPr>
        <w:t> </w:t>
      </w:r>
      <w:r>
        <w:rPr>
          <w:rFonts w:ascii="Times New Roman" w:hAnsi="Times New Roman" w:cs="Times New Roman" w:eastAsia="Times New Roman" w:hint="default"/>
        </w:rPr>
        <w:t>651,587,000</w:t>
      </w:r>
      <w:r>
        <w:rPr>
          <w:rFonts w:ascii="Times New Roman" w:hAnsi="Times New Roman" w:cs="Times New Roman" w:eastAsia="Times New Roman" w:hint="default"/>
          <w:spacing w:val="8"/>
        </w:rPr>
        <w:t> </w:t>
      </w:r>
      <w:r>
        <w:rPr/>
        <w:t>元</w:t>
      </w:r>
    </w:p>
    <w:p>
      <w:pPr>
        <w:pStyle w:val="BodyText"/>
        <w:spacing w:line="240" w:lineRule="auto" w:before="21"/>
        <w:ind w:right="0"/>
        <w:jc w:val="left"/>
        <w:rPr>
          <w:rFonts w:ascii="Times New Roman" w:hAnsi="Times New Roman" w:cs="Times New Roman" w:eastAsia="Times New Roman" w:hint="default"/>
        </w:rPr>
      </w:pPr>
      <w:r>
        <w:rPr>
          <w:spacing w:val="-1"/>
          <w:w w:val="100"/>
        </w:rPr>
        <w:t>“</w:t>
      </w:r>
      <w:r>
        <w:rPr>
          <w:w w:val="100"/>
        </w:rPr>
        <w:t>南</w:t>
      </w:r>
      <w:r>
        <w:rPr>
          <w:spacing w:val="-3"/>
          <w:w w:val="100"/>
        </w:rPr>
        <w:t>威</w:t>
      </w:r>
      <w:r>
        <w:rPr>
          <w:w w:val="100"/>
        </w:rPr>
        <w:t>转</w:t>
      </w:r>
      <w:r>
        <w:rPr>
          <w:spacing w:val="-3"/>
          <w:w w:val="100"/>
        </w:rPr>
        <w:t>债</w:t>
      </w:r>
      <w:r>
        <w:rPr>
          <w:w w:val="100"/>
        </w:rPr>
        <w:t>”</w:t>
      </w:r>
      <w:r>
        <w:rPr>
          <w:spacing w:val="-3"/>
          <w:w w:val="100"/>
        </w:rPr>
        <w:t>已</w:t>
      </w:r>
      <w:r>
        <w:rPr>
          <w:w w:val="100"/>
        </w:rPr>
        <w:t>转</w:t>
      </w:r>
      <w:r>
        <w:rPr>
          <w:spacing w:val="-3"/>
          <w:w w:val="100"/>
        </w:rPr>
        <w:t>换</w:t>
      </w:r>
      <w:r>
        <w:rPr>
          <w:w w:val="100"/>
        </w:rPr>
        <w:t>为</w:t>
      </w:r>
      <w:r>
        <w:rPr>
          <w:spacing w:val="-3"/>
          <w:w w:val="100"/>
        </w:rPr>
        <w:t>公</w:t>
      </w:r>
      <w:r>
        <w:rPr>
          <w:w w:val="100"/>
        </w:rPr>
        <w:t>司股</w:t>
      </w:r>
      <w:r>
        <w:rPr>
          <w:spacing w:val="-3"/>
          <w:w w:val="100"/>
        </w:rPr>
        <w:t>票</w:t>
      </w:r>
      <w:r>
        <w:rPr>
          <w:spacing w:val="-106"/>
          <w:w w:val="100"/>
        </w:rPr>
        <w:t>，</w:t>
      </w:r>
      <w:r>
        <w:rPr>
          <w:spacing w:val="-3"/>
          <w:w w:val="100"/>
        </w:rPr>
        <w:t>占</w:t>
      </w:r>
      <w:r>
        <w:rPr>
          <w:w w:val="100"/>
        </w:rPr>
        <w:t>“</w:t>
      </w:r>
      <w:r>
        <w:rPr>
          <w:spacing w:val="-3"/>
          <w:w w:val="100"/>
        </w:rPr>
        <w:t>南</w:t>
      </w:r>
      <w:r>
        <w:rPr>
          <w:w w:val="100"/>
        </w:rPr>
        <w:t>威</w:t>
      </w:r>
      <w:r>
        <w:rPr>
          <w:spacing w:val="-3"/>
          <w:w w:val="100"/>
        </w:rPr>
        <w:t>转</w:t>
      </w:r>
      <w:r>
        <w:rPr>
          <w:spacing w:val="-1"/>
          <w:w w:val="100"/>
        </w:rPr>
        <w:t>债</w:t>
      </w:r>
      <w:r>
        <w:rPr>
          <w:spacing w:val="-3"/>
          <w:w w:val="100"/>
        </w:rPr>
        <w:t>”</w:t>
      </w:r>
      <w:r>
        <w:rPr>
          <w:spacing w:val="-2"/>
          <w:w w:val="100"/>
        </w:rPr>
        <w:t>发</w:t>
      </w:r>
      <w:r>
        <w:rPr>
          <w:w w:val="100"/>
        </w:rPr>
        <w:t>行总</w:t>
      </w:r>
      <w:r>
        <w:rPr>
          <w:spacing w:val="-3"/>
          <w:w w:val="100"/>
        </w:rPr>
        <w:t>额</w:t>
      </w:r>
      <w:r>
        <w:rPr>
          <w:w w:val="100"/>
        </w:rPr>
        <w:t>的</w:t>
      </w:r>
      <w:r>
        <w:rPr>
          <w:spacing w:val="-55"/>
        </w:rPr>
        <w:t> </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8.7</w:t>
      </w:r>
      <w:r>
        <w:rPr>
          <w:rFonts w:ascii="Times New Roman" w:hAnsi="Times New Roman" w:cs="Times New Roman" w:eastAsia="Times New Roman" w:hint="default"/>
          <w:spacing w:val="-1"/>
          <w:w w:val="100"/>
        </w:rPr>
        <w:t>3%</w:t>
      </w:r>
      <w:r>
        <w:rPr>
          <w:spacing w:val="-108"/>
          <w:w w:val="100"/>
        </w:rPr>
        <w:t>；</w:t>
      </w:r>
      <w:r>
        <w:rPr>
          <w:w w:val="100"/>
        </w:rPr>
        <w:t>累</w:t>
      </w:r>
      <w:r>
        <w:rPr>
          <w:spacing w:val="-3"/>
          <w:w w:val="100"/>
        </w:rPr>
        <w:t>计转</w:t>
      </w:r>
      <w:r>
        <w:rPr>
          <w:w w:val="100"/>
        </w:rPr>
        <w:t>股数</w:t>
      </w:r>
      <w:r>
        <w:rPr>
          <w:spacing w:val="-3"/>
          <w:w w:val="100"/>
        </w:rPr>
        <w:t>量</w:t>
      </w:r>
      <w:r>
        <w:rPr>
          <w:w w:val="100"/>
        </w:rPr>
        <w:t>为</w:t>
      </w:r>
      <w:r>
        <w:rPr>
          <w:spacing w:val="-55"/>
        </w:rPr>
        <w:t> </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4,320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666</w:t>
      </w:r>
    </w:p>
    <w:p>
      <w:pPr>
        <w:pStyle w:val="BodyText"/>
        <w:spacing w:line="240" w:lineRule="auto" w:before="21"/>
        <w:ind w:right="0"/>
        <w:jc w:val="left"/>
      </w:pPr>
      <w:r>
        <w:rPr>
          <w:w w:val="100"/>
        </w:rPr>
        <w:t>股</w:t>
      </w:r>
      <w:r>
        <w:rPr>
          <w:spacing w:val="-106"/>
          <w:w w:val="100"/>
        </w:rPr>
        <w:t>，</w:t>
      </w:r>
      <w:r>
        <w:rPr>
          <w:spacing w:val="-3"/>
          <w:w w:val="100"/>
        </w:rPr>
        <w:t>占</w:t>
      </w:r>
      <w:r>
        <w:rPr>
          <w:w w:val="100"/>
        </w:rPr>
        <w:t>“</w:t>
      </w:r>
      <w:r>
        <w:rPr>
          <w:spacing w:val="-3"/>
          <w:w w:val="100"/>
        </w:rPr>
        <w:t>南</w:t>
      </w:r>
      <w:r>
        <w:rPr>
          <w:w w:val="100"/>
        </w:rPr>
        <w:t>威</w:t>
      </w:r>
      <w:r>
        <w:rPr>
          <w:spacing w:val="-3"/>
          <w:w w:val="100"/>
        </w:rPr>
        <w:t>转</w:t>
      </w:r>
      <w:r>
        <w:rPr>
          <w:spacing w:val="-1"/>
          <w:w w:val="100"/>
        </w:rPr>
        <w:t>债</w:t>
      </w:r>
      <w:r>
        <w:rPr>
          <w:spacing w:val="-3"/>
          <w:w w:val="100"/>
        </w:rPr>
        <w:t>”</w:t>
      </w:r>
      <w:r>
        <w:rPr>
          <w:w w:val="100"/>
        </w:rPr>
        <w:t>转</w:t>
      </w:r>
      <w:r>
        <w:rPr>
          <w:spacing w:val="-3"/>
          <w:w w:val="100"/>
        </w:rPr>
        <w:t>股前</w:t>
      </w:r>
      <w:r>
        <w:rPr>
          <w:w w:val="100"/>
        </w:rPr>
        <w:t>公司</w:t>
      </w:r>
      <w:r>
        <w:rPr>
          <w:spacing w:val="-3"/>
          <w:w w:val="100"/>
        </w:rPr>
        <w:t>已</w:t>
      </w:r>
      <w:r>
        <w:rPr>
          <w:w w:val="100"/>
        </w:rPr>
        <w:t>发</w:t>
      </w:r>
      <w:r>
        <w:rPr>
          <w:spacing w:val="-3"/>
          <w:w w:val="100"/>
        </w:rPr>
        <w:t>行</w:t>
      </w:r>
      <w:r>
        <w:rPr>
          <w:w w:val="100"/>
        </w:rPr>
        <w:t>总数的</w:t>
      </w:r>
      <w:r>
        <w:rPr>
          <w:spacing w:val="-64"/>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3"/>
          <w:w w:val="100"/>
        </w:rPr>
        <w:t>%</w:t>
      </w:r>
      <w:r>
        <w:rPr>
          <w:spacing w:val="-106"/>
          <w:w w:val="100"/>
        </w:rPr>
        <w:t>。</w:t>
      </w:r>
      <w:r>
        <w:rPr>
          <w:w w:val="100"/>
        </w:rPr>
        <w:t>公司于</w:t>
      </w:r>
      <w:r>
        <w:rPr>
          <w:spacing w:val="-6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020</w:t>
      </w:r>
      <w:r>
        <w:rPr>
          <w:rFonts w:ascii="Times New Roman" w:hAnsi="Times New Roman" w:cs="Times New Roman" w:eastAsia="Times New Roman" w:hint="default"/>
          <w:spacing w:val="-10"/>
        </w:rPr>
        <w:t> </w:t>
      </w:r>
      <w:r>
        <w:rPr>
          <w:w w:val="100"/>
        </w:rPr>
        <w:t>年</w:t>
      </w:r>
      <w:r>
        <w:rPr>
          <w:spacing w:val="-62"/>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0"/>
        </w:rPr>
        <w:t> </w:t>
      </w:r>
      <w:r>
        <w:rPr>
          <w:w w:val="100"/>
        </w:rPr>
        <w:t>月</w:t>
      </w:r>
      <w:r>
        <w:rPr>
          <w:spacing w:val="-62"/>
        </w:rPr>
        <w:t> </w:t>
      </w:r>
      <w:r>
        <w:rPr>
          <w:rFonts w:ascii="Times New Roman" w:hAnsi="Times New Roman" w:cs="Times New Roman" w:eastAsia="Times New Roman" w:hint="default"/>
          <w:w w:val="100"/>
        </w:rPr>
        <w:t>25</w:t>
      </w:r>
      <w:r>
        <w:rPr>
          <w:rFonts w:ascii="Times New Roman" w:hAnsi="Times New Roman" w:cs="Times New Roman" w:eastAsia="Times New Roman" w:hint="default"/>
          <w:spacing w:val="-10"/>
        </w:rPr>
        <w:t> </w:t>
      </w:r>
      <w:r>
        <w:rPr>
          <w:spacing w:val="-3"/>
          <w:w w:val="100"/>
        </w:rPr>
        <w:t>日</w:t>
      </w:r>
      <w:r>
        <w:rPr>
          <w:w w:val="100"/>
        </w:rPr>
        <w:t>完成</w:t>
      </w:r>
      <w:r>
        <w:rPr>
          <w:spacing w:val="-3"/>
          <w:w w:val="100"/>
        </w:rPr>
        <w:t>“</w:t>
      </w:r>
      <w:r>
        <w:rPr>
          <w:w w:val="100"/>
        </w:rPr>
        <w:t>南</w:t>
      </w:r>
      <w:r>
        <w:rPr>
          <w:spacing w:val="-3"/>
          <w:w w:val="100"/>
        </w:rPr>
        <w:t>威</w:t>
      </w:r>
      <w:r>
        <w:rPr>
          <w:w w:val="100"/>
        </w:rPr>
        <w:t>转</w:t>
      </w:r>
      <w:r>
        <w:rPr>
          <w:spacing w:val="-3"/>
          <w:w w:val="100"/>
        </w:rPr>
        <w:t>债</w:t>
      </w:r>
      <w:r>
        <w:rPr>
          <w:w w:val="100"/>
        </w:rPr>
        <w:t>”</w:t>
      </w:r>
    </w:p>
    <w:p>
      <w:pPr>
        <w:pStyle w:val="BodyText"/>
        <w:spacing w:line="240" w:lineRule="auto" w:before="21"/>
        <w:ind w:right="0"/>
        <w:jc w:val="left"/>
      </w:pPr>
      <w:r>
        <w:rPr/>
        <w:t>的全部赎回工作，累计赎回</w:t>
      </w:r>
      <w:r>
        <w:rPr>
          <w:spacing w:val="-50"/>
        </w:rPr>
        <w:t> </w:t>
      </w:r>
      <w:r>
        <w:rPr>
          <w:rFonts w:ascii="Times New Roman" w:hAnsi="Times New Roman" w:cs="Times New Roman" w:eastAsia="Times New Roman" w:hint="default"/>
        </w:rPr>
        <w:t>84,130 </w:t>
      </w:r>
      <w:r>
        <w:rPr/>
        <w:t>张可转债（赎回兑付总金额</w:t>
      </w:r>
      <w:r>
        <w:rPr>
          <w:spacing w:val="-50"/>
        </w:rPr>
        <w:t> </w:t>
      </w:r>
      <w:r>
        <w:rPr>
          <w:rFonts w:ascii="Times New Roman" w:hAnsi="Times New Roman" w:cs="Times New Roman" w:eastAsia="Times New Roman" w:hint="default"/>
        </w:rPr>
        <w:t>8,442,193.11 </w:t>
      </w:r>
      <w:r>
        <w:rPr/>
        <w:t>元），并办理了“南</w:t>
      </w:r>
    </w:p>
    <w:p>
      <w:pPr>
        <w:pStyle w:val="BodyText"/>
        <w:spacing w:line="240" w:lineRule="auto" w:before="21"/>
        <w:ind w:right="0"/>
        <w:jc w:val="left"/>
        <w:rPr>
          <w:rFonts w:ascii="Times New Roman" w:hAnsi="Times New Roman" w:cs="Times New Roman" w:eastAsia="Times New Roman" w:hint="default"/>
        </w:rPr>
      </w:pPr>
      <w:r>
        <w:rPr/>
        <w:t>威转债”相关摘牌手续。具体内容详见公司于</w:t>
      </w:r>
      <w:r>
        <w:rPr>
          <w:spacing w:val="-4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0"/>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日、</w:t>
      </w:r>
      <w:r>
        <w:rPr>
          <w:rFonts w:ascii="Times New Roman" w:hAnsi="Times New Roman" w:cs="Times New Roman" w:eastAsia="Times New Roman" w:hint="default"/>
        </w:rPr>
        <w:t>2020</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16</w:t>
      </w:r>
      <w:r>
        <w:rPr>
          <w:rFonts w:ascii="Times New Roman" w:hAnsi="Times New Roman" w:cs="Times New Roman" w:eastAsia="Times New Roman" w:hint="default"/>
          <w:spacing w:val="12"/>
        </w:rPr>
        <w:t> </w:t>
      </w:r>
      <w:r>
        <w:rPr/>
        <w:t>日、</w:t>
      </w:r>
      <w:r>
        <w:rPr>
          <w:rFonts w:ascii="Times New Roman" w:hAnsi="Times New Roman" w:cs="Times New Roman" w:eastAsia="Times New Roman" w:hint="default"/>
        </w:rPr>
        <w:t>2020</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3</w:t>
      </w:r>
    </w:p>
    <w:p>
      <w:pPr>
        <w:pStyle w:val="BodyText"/>
        <w:spacing w:line="240" w:lineRule="auto" w:before="21"/>
        <w:ind w:right="0"/>
        <w:jc w:val="left"/>
      </w:pP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20"/>
        </w:rPr>
        <w:t> </w:t>
      </w:r>
      <w:r>
        <w:rPr>
          <w:spacing w:val="-3"/>
        </w:rPr>
        <w:t>日、在上海证券交易所网站（</w:t>
      </w:r>
      <w:hyperlink r:id="rId13">
        <w:r>
          <w:rPr>
            <w:rFonts w:ascii="Times New Roman" w:hAnsi="Times New Roman" w:cs="Times New Roman" w:eastAsia="Times New Roman" w:hint="default"/>
            <w:spacing w:val="-3"/>
          </w:rPr>
          <w:t>www.sse.com.cn</w:t>
        </w:r>
      </w:hyperlink>
      <w:r>
        <w:rPr>
          <w:spacing w:val="-3"/>
        </w:rPr>
        <w:t>）披露的《关于提前赎回“南威转债”的提示</w:t>
      </w:r>
      <w:r>
        <w:rPr/>
      </w:r>
    </w:p>
    <w:p>
      <w:pPr>
        <w:spacing w:after="0" w:line="240" w:lineRule="auto"/>
        <w:jc w:val="left"/>
        <w:sectPr>
          <w:pgSz w:w="11910" w:h="16840"/>
          <w:pgMar w:header="855" w:footer="979" w:top="1120" w:bottom="1160" w:left="1580" w:right="1040"/>
        </w:sectPr>
      </w:pPr>
    </w:p>
    <w:p>
      <w:pPr>
        <w:spacing w:line="240" w:lineRule="auto" w:before="10"/>
        <w:rPr>
          <w:rFonts w:ascii="宋体" w:hAnsi="宋体" w:cs="宋体" w:eastAsia="宋体" w:hint="default"/>
          <w:sz w:val="26"/>
          <w:szCs w:val="26"/>
        </w:rPr>
      </w:pPr>
    </w:p>
    <w:p>
      <w:pPr>
        <w:pStyle w:val="BodyText"/>
        <w:spacing w:line="240" w:lineRule="auto" w:before="36"/>
        <w:ind w:left="138" w:right="0"/>
        <w:jc w:val="left"/>
      </w:pPr>
      <w:r>
        <w:rPr>
          <w:w w:val="100"/>
        </w:rPr>
        <w:t>性公</w:t>
      </w:r>
      <w:r>
        <w:rPr>
          <w:spacing w:val="-3"/>
          <w:w w:val="100"/>
        </w:rPr>
        <w:t>告</w:t>
      </w:r>
      <w:r>
        <w:rPr>
          <w:spacing w:val="-111"/>
          <w:w w:val="100"/>
        </w:rPr>
        <w:t>》</w:t>
      </w:r>
      <w:r>
        <w:rPr>
          <w:spacing w:val="-3"/>
          <w:w w:val="100"/>
        </w:rPr>
        <w:t>（</w:t>
      </w:r>
      <w:r>
        <w:rPr>
          <w:w w:val="100"/>
        </w:rPr>
        <w:t>公</w:t>
      </w:r>
      <w:r>
        <w:rPr>
          <w:spacing w:val="-3"/>
          <w:w w:val="100"/>
        </w:rPr>
        <w:t>告</w:t>
      </w:r>
      <w:r>
        <w:rPr>
          <w:w w:val="100"/>
        </w:rPr>
        <w:t>编号</w:t>
      </w:r>
      <w:r>
        <w:rPr>
          <w:spacing w:val="-58"/>
          <w:w w:val="100"/>
        </w:rPr>
        <w:t>：</w:t>
      </w:r>
      <w:r>
        <w:rPr>
          <w:rFonts w:ascii="Times New Roman" w:hAnsi="Times New Roman" w:cs="Times New Roman" w:eastAsia="Times New Roman" w:hint="default"/>
          <w:w w:val="100"/>
        </w:rPr>
        <w:t>2020</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024</w:t>
      </w:r>
      <w:r>
        <w:rPr>
          <w:spacing w:val="-56"/>
          <w:w w:val="100"/>
        </w:rPr>
        <w:t>）</w:t>
      </w:r>
      <w:r>
        <w:rPr>
          <w:spacing w:val="-113"/>
          <w:w w:val="100"/>
        </w:rPr>
        <w:t>、</w:t>
      </w:r>
      <w:r>
        <w:rPr>
          <w:w w:val="100"/>
        </w:rPr>
        <w:t>《</w:t>
      </w:r>
      <w:r>
        <w:rPr>
          <w:spacing w:val="-3"/>
          <w:w w:val="100"/>
        </w:rPr>
        <w:t>关</w:t>
      </w:r>
      <w:r>
        <w:rPr>
          <w:w w:val="100"/>
        </w:rPr>
        <w:t>于</w:t>
      </w:r>
      <w:r>
        <w:rPr>
          <w:spacing w:val="-3"/>
          <w:w w:val="100"/>
        </w:rPr>
        <w:t>实</w:t>
      </w:r>
      <w:r>
        <w:rPr>
          <w:spacing w:val="-1"/>
          <w:w w:val="100"/>
        </w:rPr>
        <w:t>施</w:t>
      </w:r>
      <w:r>
        <w:rPr>
          <w:spacing w:val="-3"/>
          <w:w w:val="100"/>
        </w:rPr>
        <w:t>“</w:t>
      </w:r>
      <w:r>
        <w:rPr>
          <w:w w:val="100"/>
        </w:rPr>
        <w:t>南</w:t>
      </w:r>
      <w:r>
        <w:rPr>
          <w:spacing w:val="-3"/>
          <w:w w:val="100"/>
        </w:rPr>
        <w:t>威</w:t>
      </w:r>
      <w:r>
        <w:rPr>
          <w:w w:val="100"/>
        </w:rPr>
        <w:t>转债</w:t>
      </w:r>
      <w:r>
        <w:rPr>
          <w:spacing w:val="-3"/>
          <w:w w:val="100"/>
        </w:rPr>
        <w:t>”</w:t>
      </w:r>
      <w:r>
        <w:rPr>
          <w:w w:val="100"/>
        </w:rPr>
        <w:t>赎</w:t>
      </w:r>
      <w:r>
        <w:rPr>
          <w:spacing w:val="-3"/>
          <w:w w:val="100"/>
        </w:rPr>
        <w:t>回</w:t>
      </w:r>
      <w:r>
        <w:rPr>
          <w:spacing w:val="-1"/>
          <w:w w:val="100"/>
        </w:rPr>
        <w:t>的</w:t>
      </w:r>
      <w:r>
        <w:rPr>
          <w:spacing w:val="-3"/>
          <w:w w:val="100"/>
        </w:rPr>
        <w:t>公</w:t>
      </w:r>
      <w:r>
        <w:rPr>
          <w:w w:val="100"/>
        </w:rPr>
        <w:t>告</w:t>
      </w:r>
      <w:r>
        <w:rPr>
          <w:spacing w:val="-113"/>
          <w:w w:val="100"/>
        </w:rPr>
        <w:t>》</w:t>
      </w:r>
      <w:r>
        <w:rPr>
          <w:w w:val="100"/>
        </w:rPr>
        <w:t>（公</w:t>
      </w:r>
      <w:r>
        <w:rPr>
          <w:spacing w:val="-3"/>
          <w:w w:val="100"/>
        </w:rPr>
        <w:t>告</w:t>
      </w:r>
      <w:r>
        <w:rPr>
          <w:w w:val="100"/>
        </w:rPr>
        <w:t>编号</w:t>
      </w:r>
      <w:r>
        <w:rPr>
          <w:spacing w:val="-58"/>
          <w:w w:val="100"/>
        </w:rPr>
        <w:t>：</w:t>
      </w:r>
      <w:r>
        <w:rPr>
          <w:rFonts w:ascii="Times New Roman" w:hAnsi="Times New Roman" w:cs="Times New Roman" w:eastAsia="Times New Roman" w:hint="default"/>
          <w:w w:val="100"/>
        </w:rPr>
        <w:t>2020</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027</w:t>
      </w:r>
      <w:r>
        <w:rPr>
          <w:spacing w:val="-58"/>
          <w:w w:val="100"/>
        </w:rPr>
        <w:t>）、</w:t>
      </w:r>
      <w:r>
        <w:rPr>
          <w:w w:val="100"/>
        </w:rPr>
      </w:r>
    </w:p>
    <w:p>
      <w:pPr>
        <w:pStyle w:val="BodyText"/>
        <w:spacing w:line="240" w:lineRule="auto" w:before="21"/>
        <w:ind w:left="138" w:right="0"/>
        <w:jc w:val="left"/>
      </w:pPr>
      <w:r>
        <w:rPr/>
        <w:t>《关于“南威转债”赎回结果暨股份变动公告》（公告编号：</w:t>
      </w:r>
      <w:r>
        <w:rPr>
          <w:rFonts w:ascii="Times New Roman" w:hAnsi="Times New Roman" w:cs="Times New Roman" w:eastAsia="Times New Roman" w:hint="default"/>
        </w:rPr>
        <w:t>2020-35</w:t>
      </w:r>
      <w:r>
        <w:rPr/>
        <w:t>）。</w:t>
      </w:r>
    </w:p>
    <w:p>
      <w:pPr>
        <w:pStyle w:val="BodyText"/>
        <w:spacing w:line="240" w:lineRule="auto" w:before="21"/>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55" w:footer="979" w:top="1120" w:bottom="1160" w:left="1660" w:right="1140"/>
        </w:sectPr>
      </w:pPr>
    </w:p>
    <w:p>
      <w:pPr>
        <w:spacing w:before="62"/>
        <w:ind w:left="3916" w:right="0" w:firstLine="0"/>
        <w:jc w:val="left"/>
        <w:rPr>
          <w:rFonts w:ascii="宋体" w:hAnsi="宋体" w:cs="宋体" w:eastAsia="宋体" w:hint="default"/>
          <w:sz w:val="18"/>
          <w:szCs w:val="18"/>
        </w:rPr>
      </w:pPr>
      <w:r>
        <w:rPr/>
        <w:pict>
          <v:shape style="position:absolute;margin-left:205.449997pt;margin-top:4.406604pt;width:51.594pt;height:9.235100pt;mso-position-horizontal-relative:page;mso-position-vertical-relative:paragraph;z-index:-1170280" type="#_x0000_t75" stroked="false">
            <v:imagedata r:id="rId18" o:title=""/>
          </v:shape>
        </w:pict>
      </w: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Heading1"/>
        <w:spacing w:line="240" w:lineRule="auto"/>
        <w:ind w:left="4959" w:right="4961"/>
        <w:jc w:val="center"/>
        <w:rPr>
          <w:b w:val="0"/>
          <w:bCs w:val="0"/>
        </w:rPr>
      </w:pPr>
      <w:bookmarkStart w:name="_bookmark5" w:id="8"/>
      <w:bookmarkEnd w:id="8"/>
      <w:r>
        <w:rPr>
          <w:b w:val="0"/>
          <w:bCs w:val="0"/>
        </w:rPr>
      </w:r>
      <w:r>
        <w:rPr/>
        <w:t>第六节</w:t>
      </w:r>
      <w:r>
        <w:rPr>
          <w:spacing w:val="-1"/>
        </w:rPr>
        <w:t> </w:t>
      </w:r>
      <w:r>
        <w:rPr/>
        <w:t>普通股股份变动及股东情况</w:t>
      </w:r>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headerReference w:type="default" r:id="rId33"/>
          <w:footerReference w:type="default" r:id="rId34"/>
          <w:pgSz w:w="16840" w:h="11910" w:orient="landscape"/>
          <w:pgMar w:header="0" w:footer="0" w:top="760" w:bottom="280" w:left="1220" w:right="1300"/>
        </w:sectPr>
      </w:pPr>
    </w:p>
    <w:p>
      <w:pPr>
        <w:pStyle w:val="BodyText"/>
        <w:spacing w:line="240" w:lineRule="auto" w:before="36"/>
        <w:ind w:left="220" w:right="0"/>
        <w:jc w:val="left"/>
        <w:rPr>
          <w:rFonts w:ascii="宋体" w:hAnsi="宋体" w:cs="宋体" w:eastAsia="宋体" w:hint="default"/>
        </w:rPr>
      </w:pPr>
      <w:r>
        <w:rPr>
          <w:rFonts w:ascii="宋体"/>
          <w:w w:val="100"/>
        </w:rPr>
        <w:t> </w:t>
      </w:r>
    </w:p>
    <w:p>
      <w:pPr>
        <w:pStyle w:val="Heading4"/>
        <w:tabs>
          <w:tab w:pos="786" w:val="left" w:leader="none"/>
        </w:tabs>
        <w:spacing w:line="309" w:lineRule="auto" w:before="97"/>
        <w:ind w:left="220"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Times New Roman" w:hAnsi="Times New Roman" w:cs="Times New Roman" w:eastAsia="Times New Roman" w:hint="default"/>
        </w:rPr>
        <w:t>1</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ind w:left="220"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00" w:bottom="280" w:left="1220" w:right="1300"/>
          <w:cols w:num="2" w:equalWidth="0">
            <w:col w:w="2897" w:space="10137"/>
            <w:col w:w="1286"/>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983"/>
        <w:gridCol w:w="1375"/>
        <w:gridCol w:w="996"/>
        <w:gridCol w:w="1046"/>
        <w:gridCol w:w="910"/>
        <w:gridCol w:w="1380"/>
        <w:gridCol w:w="1285"/>
        <w:gridCol w:w="1114"/>
        <w:gridCol w:w="1313"/>
        <w:gridCol w:w="689"/>
      </w:tblGrid>
      <w:tr>
        <w:trPr>
          <w:trHeight w:val="322" w:hRule="exact"/>
        </w:trPr>
        <w:tc>
          <w:tcPr>
            <w:tcW w:w="3983" w:type="dxa"/>
            <w:vMerge w:val="restart"/>
            <w:tcBorders>
              <w:top w:val="single" w:sz="4" w:space="0" w:color="000000"/>
              <w:left w:val="single" w:sz="4" w:space="0" w:color="000000"/>
              <w:right w:val="single" w:sz="4" w:space="0" w:color="000000"/>
            </w:tcBorders>
          </w:tcPr>
          <w:p>
            <w:pPr/>
          </w:p>
        </w:tc>
        <w:tc>
          <w:tcPr>
            <w:tcW w:w="23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5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06"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34" w:hRule="exact"/>
        </w:trPr>
        <w:tc>
          <w:tcPr>
            <w:tcW w:w="3983" w:type="dxa"/>
            <w:vMerge/>
            <w:tcBorders>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2"/>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0" w:right="199" w:hanging="209"/>
              <w:jc w:val="left"/>
              <w:rPr>
                <w:rFonts w:ascii="宋体" w:hAnsi="宋体" w:cs="宋体" w:eastAsia="宋体" w:hint="default"/>
                <w:sz w:val="21"/>
                <w:szCs w:val="21"/>
              </w:rPr>
            </w:pPr>
            <w:r>
              <w:rPr>
                <w:rFonts w:ascii="宋体" w:hAnsi="宋体" w:cs="宋体" w:eastAsia="宋体" w:hint="default"/>
                <w:sz w:val="21"/>
                <w:szCs w:val="21"/>
              </w:rPr>
              <w:t>发行新</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8"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58"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4"/>
              <w:ind w:left="182" w:right="0"/>
              <w:jc w:val="lef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2,034,776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0.39</w:t>
            </w:r>
          </w:p>
        </w:tc>
        <w:tc>
          <w:tcPr>
            <w:tcW w:w="104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17" w:right="0"/>
              <w:jc w:val="left"/>
              <w:rPr>
                <w:rFonts w:ascii="Times New Roman" w:hAnsi="Times New Roman" w:cs="Times New Roman" w:eastAsia="Times New Roman" w:hint="default"/>
                <w:sz w:val="21"/>
                <w:szCs w:val="21"/>
              </w:rPr>
            </w:pPr>
            <w:r>
              <w:rPr>
                <w:rFonts w:ascii="Times New Roman"/>
                <w:sz w:val="21"/>
              </w:rPr>
              <w:t>-196,560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-196,560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1,838,216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0.35</w:t>
            </w:r>
          </w:p>
        </w:tc>
      </w:tr>
      <w:tr>
        <w:trPr>
          <w:trHeight w:val="322"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3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3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2,034,776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0.39</w:t>
            </w:r>
          </w:p>
        </w:tc>
        <w:tc>
          <w:tcPr>
            <w:tcW w:w="104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17" w:right="0"/>
              <w:jc w:val="left"/>
              <w:rPr>
                <w:rFonts w:ascii="Times New Roman" w:hAnsi="Times New Roman" w:cs="Times New Roman" w:eastAsia="Times New Roman" w:hint="default"/>
                <w:sz w:val="21"/>
                <w:szCs w:val="21"/>
              </w:rPr>
            </w:pPr>
            <w:r>
              <w:rPr>
                <w:rFonts w:ascii="Times New Roman"/>
                <w:sz w:val="21"/>
              </w:rPr>
              <w:t>-196,560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-196,560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1,838,216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0.35</w:t>
            </w:r>
          </w:p>
        </w:tc>
      </w:tr>
      <w:tr>
        <w:trPr>
          <w:trHeight w:val="322"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3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2,034,776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0.39</w:t>
            </w:r>
          </w:p>
        </w:tc>
        <w:tc>
          <w:tcPr>
            <w:tcW w:w="104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17" w:right="0"/>
              <w:jc w:val="left"/>
              <w:rPr>
                <w:rFonts w:ascii="Times New Roman" w:hAnsi="Times New Roman" w:cs="Times New Roman" w:eastAsia="Times New Roman" w:hint="default"/>
                <w:sz w:val="21"/>
                <w:szCs w:val="21"/>
              </w:rPr>
            </w:pPr>
            <w:r>
              <w:rPr>
                <w:rFonts w:ascii="Times New Roman"/>
                <w:sz w:val="21"/>
              </w:rPr>
              <w:t>-196,560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-196,560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1,838,216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0.35</w:t>
            </w:r>
          </w:p>
        </w:tc>
      </w:tr>
      <w:tr>
        <w:trPr>
          <w:trHeight w:val="322"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3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3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3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524,649,696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99.61</w:t>
            </w:r>
          </w:p>
        </w:tc>
        <w:tc>
          <w:tcPr>
            <w:tcW w:w="104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524,649,696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99.65</w:t>
            </w:r>
          </w:p>
        </w:tc>
      </w:tr>
      <w:tr>
        <w:trPr>
          <w:trHeight w:val="322"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524,649,696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99.61</w:t>
            </w:r>
          </w:p>
        </w:tc>
        <w:tc>
          <w:tcPr>
            <w:tcW w:w="104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524,649,696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99.65</w:t>
            </w:r>
          </w:p>
        </w:tc>
      </w:tr>
      <w:tr>
        <w:trPr>
          <w:trHeight w:val="322"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3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3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37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三、普通股股份总数</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526,684,472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17" w:right="0"/>
              <w:jc w:val="left"/>
              <w:rPr>
                <w:rFonts w:ascii="Times New Roman" w:hAnsi="Times New Roman" w:cs="Times New Roman" w:eastAsia="Times New Roman" w:hint="default"/>
                <w:sz w:val="21"/>
                <w:szCs w:val="21"/>
              </w:rPr>
            </w:pPr>
            <w:r>
              <w:rPr>
                <w:rFonts w:ascii="Times New Roman"/>
                <w:sz w:val="21"/>
              </w:rPr>
              <w:t>-196,560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-196,560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526,487,912</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76"/>
        <w:ind w:left="4959" w:right="4960" w:firstLine="0"/>
        <w:jc w:val="center"/>
        <w:rPr>
          <w:rFonts w:ascii="Times New Roman" w:hAnsi="Times New Roman" w:cs="Times New Roman" w:eastAsia="Times New Roman" w:hint="default"/>
          <w:sz w:val="18"/>
          <w:szCs w:val="18"/>
        </w:rPr>
      </w:pPr>
      <w:r>
        <w:rPr>
          <w:rFonts w:ascii="Times New Roman"/>
          <w:b/>
          <w:sz w:val="18"/>
        </w:rPr>
        <w:t>57 </w:t>
      </w:r>
      <w:r>
        <w:rPr>
          <w:rFonts w:ascii="Times New Roman"/>
          <w:sz w:val="18"/>
        </w:rPr>
        <w:t>/</w:t>
      </w:r>
      <w:r>
        <w:rPr>
          <w:rFonts w:ascii="Times New Roman"/>
          <w:spacing w:val="-1"/>
          <w:sz w:val="18"/>
        </w:rPr>
        <w:t> </w:t>
      </w:r>
      <w:r>
        <w:rPr>
          <w:rFonts w:ascii="Times New Roman"/>
          <w:b/>
          <w:sz w:val="18"/>
        </w:rPr>
        <w:t>237</w:t>
      </w:r>
      <w:r>
        <w:rPr>
          <w:rFonts w:ascii="Times New Roman"/>
          <w:sz w:val="18"/>
        </w:rPr>
      </w:r>
    </w:p>
    <w:p>
      <w:pPr>
        <w:spacing w:after="0"/>
        <w:jc w:val="center"/>
        <w:rPr>
          <w:rFonts w:ascii="Times New Roman" w:hAnsi="Times New Roman" w:cs="Times New Roman" w:eastAsia="Times New Roman" w:hint="default"/>
          <w:sz w:val="18"/>
          <w:szCs w:val="18"/>
        </w:rPr>
        <w:sectPr>
          <w:type w:val="continuous"/>
          <w:pgSz w:w="16840" w:h="11910" w:orient="landscape"/>
          <w:pgMar w:top="1500" w:bottom="280" w:left="1220" w:right="1300"/>
        </w:sectPr>
      </w:pPr>
    </w:p>
    <w:p>
      <w:pPr>
        <w:spacing w:line="240" w:lineRule="auto" w:before="0"/>
        <w:rPr>
          <w:rFonts w:ascii="Times New Roman" w:hAnsi="Times New Roman" w:cs="Times New Roman" w:eastAsia="Times New Roman" w:hint="default"/>
          <w:b/>
          <w:bCs/>
          <w:sz w:val="20"/>
          <w:szCs w:val="20"/>
        </w:rPr>
      </w:pPr>
    </w:p>
    <w:p>
      <w:pPr>
        <w:pStyle w:val="BodyText"/>
        <w:spacing w:line="240" w:lineRule="auto" w:before="156"/>
        <w:ind w:right="0"/>
        <w:jc w:val="left"/>
        <w:rPr>
          <w:rFonts w:ascii="宋体" w:hAnsi="宋体" w:cs="宋体" w:eastAsia="宋体" w:hint="default"/>
        </w:rPr>
      </w:pPr>
      <w:r>
        <w:rPr>
          <w:rFonts w:ascii="宋体"/>
          <w:w w:val="100"/>
        </w:rPr>
        <w:t> </w:t>
      </w:r>
    </w:p>
    <w:p>
      <w:pPr>
        <w:pStyle w:val="Heading4"/>
        <w:spacing w:line="240" w:lineRule="auto" w:before="97"/>
        <w:ind w:right="2005"/>
        <w:jc w:val="left"/>
        <w:rPr>
          <w:rFonts w:ascii="宋体" w:hAnsi="宋体" w:cs="宋体" w:eastAsia="宋体" w:hint="default"/>
          <w:b w:val="0"/>
          <w:bCs w:val="0"/>
        </w:rPr>
      </w:pPr>
      <w:r>
        <w:rPr>
          <w:rFonts w:ascii="Times New Roman" w:hAnsi="Times New Roman" w:cs="Times New Roman" w:eastAsia="Times New Roman" w:hint="default"/>
        </w:rPr>
        <w:t>2</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right="200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4" w:lineRule="auto" w:before="37"/>
        <w:ind w:right="208" w:firstLine="419"/>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spacing w:val="-3"/>
        </w:rPr>
        <w:t>日，根据股东大会的授权，公司分别召开第三届董事会第四十一次会议和第</w:t>
      </w:r>
      <w:r>
        <w:rPr>
          <w:w w:val="100"/>
        </w:rPr>
        <w:t> </w:t>
      </w:r>
      <w:r>
        <w:rPr>
          <w:spacing w:val="-1"/>
        </w:rPr>
        <w:t>三届监事会第二十七次会议，审议通过了《关于回购注销部分激励对象已获授但尚未解除限售的</w:t>
      </w:r>
      <w:r>
        <w:rPr>
          <w:spacing w:val="-55"/>
        </w:rPr>
        <w:t> </w:t>
      </w:r>
      <w:r>
        <w:rPr>
          <w:spacing w:val="-55"/>
        </w:rPr>
      </w:r>
      <w:r>
        <w:rPr>
          <w:spacing w:val="-5"/>
        </w:rPr>
        <w:t>限制性股票及调整回购价格的议案》，同意对不符合解锁条件的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名首次授予限制性股票激励对</w:t>
      </w:r>
    </w:p>
    <w:p>
      <w:pPr>
        <w:pStyle w:val="BodyText"/>
        <w:spacing w:line="289" w:lineRule="exact"/>
        <w:ind w:right="0"/>
        <w:jc w:val="left"/>
      </w:pPr>
      <w:r>
        <w:rPr>
          <w:w w:val="100"/>
        </w:rPr>
        <w:t>象合</w:t>
      </w:r>
      <w:r>
        <w:rPr>
          <w:spacing w:val="-3"/>
          <w:w w:val="100"/>
        </w:rPr>
        <w:t>计</w:t>
      </w:r>
      <w:r>
        <w:rPr>
          <w:w w:val="100"/>
        </w:rPr>
        <w:t>持</w:t>
      </w:r>
      <w:r>
        <w:rPr>
          <w:spacing w:val="-3"/>
          <w:w w:val="100"/>
        </w:rPr>
        <w:t>有</w:t>
      </w:r>
      <w:r>
        <w:rPr>
          <w:w w:val="100"/>
        </w:rPr>
        <w:t>的</w:t>
      </w:r>
      <w:r>
        <w:rPr>
          <w:spacing w:val="-65"/>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6,560</w:t>
      </w:r>
      <w:r>
        <w:rPr>
          <w:rFonts w:ascii="Times New Roman" w:hAnsi="Times New Roman" w:cs="Times New Roman" w:eastAsia="Times New Roman" w:hint="default"/>
          <w:spacing w:val="-15"/>
        </w:rPr>
        <w:t> </w:t>
      </w:r>
      <w:r>
        <w:rPr>
          <w:w w:val="100"/>
        </w:rPr>
        <w:t>股</w:t>
      </w:r>
      <w:r>
        <w:rPr>
          <w:spacing w:val="-3"/>
          <w:w w:val="100"/>
        </w:rPr>
        <w:t>已</w:t>
      </w:r>
      <w:r>
        <w:rPr>
          <w:w w:val="100"/>
        </w:rPr>
        <w:t>获授</w:t>
      </w:r>
      <w:r>
        <w:rPr>
          <w:spacing w:val="-3"/>
          <w:w w:val="100"/>
        </w:rPr>
        <w:t>但</w:t>
      </w:r>
      <w:r>
        <w:rPr>
          <w:w w:val="100"/>
        </w:rPr>
        <w:t>尚</w:t>
      </w:r>
      <w:r>
        <w:rPr>
          <w:spacing w:val="-3"/>
          <w:w w:val="100"/>
        </w:rPr>
        <w:t>未</w:t>
      </w:r>
      <w:r>
        <w:rPr>
          <w:w w:val="100"/>
        </w:rPr>
        <w:t>解</w:t>
      </w:r>
      <w:r>
        <w:rPr>
          <w:spacing w:val="-3"/>
          <w:w w:val="100"/>
        </w:rPr>
        <w:t>锁</w:t>
      </w:r>
      <w:r>
        <w:rPr>
          <w:w w:val="100"/>
        </w:rPr>
        <w:t>的</w:t>
      </w:r>
      <w:r>
        <w:rPr>
          <w:spacing w:val="-3"/>
          <w:w w:val="100"/>
        </w:rPr>
        <w:t>限</w:t>
      </w:r>
      <w:r>
        <w:rPr>
          <w:w w:val="100"/>
        </w:rPr>
        <w:t>制</w:t>
      </w:r>
      <w:r>
        <w:rPr>
          <w:spacing w:val="-3"/>
          <w:w w:val="100"/>
        </w:rPr>
        <w:t>性</w:t>
      </w:r>
      <w:r>
        <w:rPr>
          <w:w w:val="100"/>
        </w:rPr>
        <w:t>股票按</w:t>
      </w:r>
      <w:r>
        <w:rPr>
          <w:spacing w:val="-67"/>
        </w:rPr>
        <w:t> </w:t>
      </w:r>
      <w:r>
        <w:rPr>
          <w:rFonts w:ascii="Times New Roman" w:hAnsi="Times New Roman" w:cs="Times New Roman" w:eastAsia="Times New Roman" w:hint="default"/>
          <w:w w:val="100"/>
        </w:rPr>
        <w:t>7.81</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3</w:t>
      </w:r>
      <w:r>
        <w:rPr>
          <w:rFonts w:ascii="Times New Roman" w:hAnsi="Times New Roman" w:cs="Times New Roman" w:eastAsia="Times New Roman" w:hint="default"/>
          <w:spacing w:val="-12"/>
        </w:rPr>
        <w:t> </w:t>
      </w:r>
      <w:r>
        <w:rPr>
          <w:w w:val="100"/>
        </w:rPr>
        <w:t>元</w:t>
      </w:r>
      <w:r>
        <w:rPr>
          <w:rFonts w:ascii="Times New Roman" w:hAnsi="Times New Roman" w:cs="Times New Roman" w:eastAsia="Times New Roman" w:hint="default"/>
          <w:spacing w:val="-2"/>
          <w:w w:val="100"/>
        </w:rPr>
        <w:t>/</w:t>
      </w:r>
      <w:r>
        <w:rPr>
          <w:spacing w:val="-3"/>
          <w:w w:val="100"/>
        </w:rPr>
        <w:t>股</w:t>
      </w:r>
      <w:r>
        <w:rPr>
          <w:w w:val="100"/>
        </w:rPr>
        <w:t>进</w:t>
      </w:r>
      <w:r>
        <w:rPr>
          <w:spacing w:val="-3"/>
          <w:w w:val="100"/>
        </w:rPr>
        <w:t>行回</w:t>
      </w:r>
      <w:r>
        <w:rPr>
          <w:w w:val="100"/>
        </w:rPr>
        <w:t>购注</w:t>
      </w:r>
      <w:r>
        <w:rPr>
          <w:spacing w:val="-108"/>
          <w:w w:val="100"/>
        </w:rPr>
        <w:t>销</w:t>
      </w:r>
      <w:r>
        <w:rPr>
          <w:w w:val="100"/>
        </w:rPr>
        <w:t>（</w:t>
      </w:r>
      <w:r>
        <w:rPr>
          <w:spacing w:val="-3"/>
          <w:w w:val="100"/>
        </w:rPr>
        <w:t>公</w:t>
      </w:r>
      <w:r>
        <w:rPr>
          <w:w w:val="100"/>
        </w:rPr>
        <w:t>告</w:t>
      </w:r>
      <w:r>
        <w:rPr>
          <w:spacing w:val="-3"/>
          <w:w w:val="100"/>
        </w:rPr>
        <w:t>编</w:t>
      </w:r>
      <w:r>
        <w:rPr>
          <w:w w:val="100"/>
        </w:rPr>
        <w:t>号：</w:t>
      </w:r>
    </w:p>
    <w:p>
      <w:pPr>
        <w:pStyle w:val="BodyText"/>
        <w:spacing w:line="240" w:lineRule="auto" w:before="21"/>
        <w:ind w:right="0"/>
        <w:jc w:val="left"/>
      </w:pPr>
      <w:r>
        <w:rPr>
          <w:rFonts w:ascii="Times New Roman" w:hAnsi="Times New Roman" w:cs="Times New Roman" w:eastAsia="Times New Roman" w:hint="default"/>
          <w:w w:val="100"/>
        </w:rPr>
        <w:t>201</w:t>
      </w:r>
      <w:r>
        <w:rPr>
          <w:rFonts w:ascii="Times New Roman" w:hAnsi="Times New Roman" w:cs="Times New Roman" w:eastAsia="Times New Roman" w:hint="default"/>
          <w:spacing w:val="-1"/>
          <w:w w:val="100"/>
        </w:rPr>
        <w:t>9</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103</w:t>
      </w:r>
      <w:r>
        <w:rPr>
          <w:spacing w:val="-87"/>
          <w:w w:val="100"/>
        </w:rPr>
        <w:t>）。</w:t>
      </w:r>
      <w:r>
        <w:rPr>
          <w:rFonts w:ascii="Times New Roman" w:hAnsi="Times New Roman" w:cs="Times New Roman" w:eastAsia="Times New Roman" w:hint="default"/>
          <w:w w:val="100"/>
        </w:rPr>
        <w:t>2019</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月</w:t>
      </w:r>
      <w:r>
        <w:rPr>
          <w:spacing w:val="-54"/>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日</w:t>
      </w:r>
      <w:r>
        <w:rPr>
          <w:spacing w:val="-85"/>
          <w:w w:val="100"/>
        </w:rPr>
        <w:t>，</w:t>
      </w:r>
      <w:r>
        <w:rPr>
          <w:spacing w:val="-3"/>
          <w:w w:val="100"/>
        </w:rPr>
        <w:t>公</w:t>
      </w:r>
      <w:r>
        <w:rPr>
          <w:w w:val="100"/>
        </w:rPr>
        <w:t>司</w:t>
      </w:r>
      <w:r>
        <w:rPr>
          <w:spacing w:val="-3"/>
          <w:w w:val="100"/>
        </w:rPr>
        <w:t>公</w:t>
      </w:r>
      <w:r>
        <w:rPr>
          <w:w w:val="100"/>
        </w:rPr>
        <w:t>告</w:t>
      </w:r>
      <w:r>
        <w:rPr>
          <w:spacing w:val="-87"/>
          <w:w w:val="100"/>
        </w:rPr>
        <w:t>了</w:t>
      </w:r>
      <w:r>
        <w:rPr>
          <w:spacing w:val="-3"/>
          <w:w w:val="100"/>
        </w:rPr>
        <w:t>《</w:t>
      </w:r>
      <w:r>
        <w:rPr>
          <w:w w:val="100"/>
        </w:rPr>
        <w:t>关</w:t>
      </w:r>
      <w:r>
        <w:rPr>
          <w:spacing w:val="-3"/>
          <w:w w:val="100"/>
        </w:rPr>
        <w:t>于部</w:t>
      </w:r>
      <w:r>
        <w:rPr>
          <w:w w:val="100"/>
        </w:rPr>
        <w:t>分股</w:t>
      </w:r>
      <w:r>
        <w:rPr>
          <w:spacing w:val="-3"/>
          <w:w w:val="100"/>
        </w:rPr>
        <w:t>权</w:t>
      </w:r>
      <w:r>
        <w:rPr>
          <w:w w:val="100"/>
        </w:rPr>
        <w:t>激</w:t>
      </w:r>
      <w:r>
        <w:rPr>
          <w:spacing w:val="-3"/>
          <w:w w:val="100"/>
        </w:rPr>
        <w:t>励</w:t>
      </w:r>
      <w:r>
        <w:rPr>
          <w:w w:val="100"/>
        </w:rPr>
        <w:t>限</w:t>
      </w:r>
      <w:r>
        <w:rPr>
          <w:spacing w:val="-3"/>
          <w:w w:val="100"/>
        </w:rPr>
        <w:t>制</w:t>
      </w:r>
      <w:r>
        <w:rPr>
          <w:w w:val="100"/>
        </w:rPr>
        <w:t>性</w:t>
      </w:r>
      <w:r>
        <w:rPr>
          <w:spacing w:val="-3"/>
          <w:w w:val="100"/>
        </w:rPr>
        <w:t>股</w:t>
      </w:r>
      <w:r>
        <w:rPr>
          <w:w w:val="100"/>
        </w:rPr>
        <w:t>票</w:t>
      </w:r>
      <w:r>
        <w:rPr>
          <w:spacing w:val="-3"/>
          <w:w w:val="100"/>
        </w:rPr>
        <w:t>回</w:t>
      </w:r>
      <w:r>
        <w:rPr>
          <w:w w:val="100"/>
        </w:rPr>
        <w:t>购注</w:t>
      </w:r>
      <w:r>
        <w:rPr>
          <w:spacing w:val="-3"/>
          <w:w w:val="100"/>
        </w:rPr>
        <w:t>销</w:t>
      </w:r>
      <w:r>
        <w:rPr>
          <w:w w:val="100"/>
        </w:rPr>
        <w:t>实</w:t>
      </w:r>
      <w:r>
        <w:rPr>
          <w:spacing w:val="-3"/>
          <w:w w:val="100"/>
        </w:rPr>
        <w:t>施</w:t>
      </w:r>
      <w:r>
        <w:rPr>
          <w:w w:val="100"/>
        </w:rPr>
        <w:t>公</w:t>
      </w:r>
      <w:r>
        <w:rPr>
          <w:spacing w:val="-3"/>
          <w:w w:val="100"/>
        </w:rPr>
        <w:t>告</w:t>
      </w:r>
      <w:r>
        <w:rPr>
          <w:spacing w:val="-87"/>
          <w:w w:val="100"/>
        </w:rPr>
        <w:t>》</w:t>
      </w:r>
      <w:r>
        <w:rPr>
          <w:w w:val="100"/>
        </w:rPr>
        <w:t>，</w:t>
      </w:r>
    </w:p>
    <w:p>
      <w:pPr>
        <w:pStyle w:val="BodyText"/>
        <w:spacing w:line="240" w:lineRule="auto" w:before="21"/>
        <w:ind w:right="0"/>
        <w:jc w:val="left"/>
      </w:pPr>
      <w:r>
        <w:rPr/>
        <w:t>公司已于</w:t>
      </w:r>
      <w:r>
        <w:rPr>
          <w:spacing w:val="-3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8"/>
        </w:rPr>
        <w:t> </w:t>
      </w:r>
      <w:r>
        <w:rPr/>
        <w:t>年</w:t>
      </w:r>
      <w:r>
        <w:rPr>
          <w:spacing w:val="-34"/>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34"/>
        </w:rPr>
        <w:t> </w:t>
      </w:r>
      <w:r>
        <w:rPr>
          <w:rFonts w:ascii="Times New Roman" w:hAnsi="Times New Roman" w:cs="Times New Roman" w:eastAsia="Times New Roman" w:hint="default"/>
        </w:rPr>
        <w:t>27</w:t>
      </w:r>
      <w:r>
        <w:rPr>
          <w:rFonts w:ascii="Times New Roman" w:hAnsi="Times New Roman" w:cs="Times New Roman" w:eastAsia="Times New Roman" w:hint="default"/>
          <w:spacing w:val="18"/>
        </w:rPr>
        <w:t> </w:t>
      </w:r>
      <w:r>
        <w:rPr/>
        <w:t>日注销上述回购股份，本次注销完成后，公司注册资本变更为人民币</w:t>
      </w:r>
    </w:p>
    <w:p>
      <w:pPr>
        <w:pStyle w:val="BodyText"/>
        <w:spacing w:line="240" w:lineRule="auto" w:before="21"/>
        <w:ind w:right="2005"/>
        <w:jc w:val="left"/>
      </w:pPr>
      <w:r>
        <w:rPr>
          <w:rFonts w:ascii="Times New Roman" w:hAnsi="Times New Roman" w:cs="Times New Roman" w:eastAsia="Times New Roman" w:hint="default"/>
        </w:rPr>
        <w:t>526,487,912</w:t>
      </w:r>
      <w:r>
        <w:rPr>
          <w:rFonts w:ascii="Times New Roman" w:hAnsi="Times New Roman" w:cs="Times New Roman" w:eastAsia="Times New Roman" w:hint="default"/>
          <w:spacing w:val="-4"/>
        </w:rPr>
        <w:t> </w:t>
      </w:r>
      <w:r>
        <w:rPr/>
        <w:t>元，股本总数为</w:t>
      </w:r>
      <w:r>
        <w:rPr>
          <w:spacing w:val="-56"/>
        </w:rPr>
        <w:t> </w:t>
      </w:r>
      <w:r>
        <w:rPr>
          <w:rFonts w:ascii="Times New Roman" w:hAnsi="Times New Roman" w:cs="Times New Roman" w:eastAsia="Times New Roman" w:hint="default"/>
        </w:rPr>
        <w:t>526,487,912</w:t>
      </w:r>
      <w:r>
        <w:rPr>
          <w:rFonts w:ascii="Times New Roman" w:hAnsi="Times New Roman" w:cs="Times New Roman" w:eastAsia="Times New Roman" w:hint="default"/>
          <w:spacing w:val="-7"/>
        </w:rPr>
        <w:t> </w:t>
      </w:r>
      <w:r>
        <w:rPr/>
        <w:t>股（公告编号：</w:t>
      </w:r>
      <w:r>
        <w:rPr>
          <w:rFonts w:ascii="Times New Roman" w:hAnsi="Times New Roman" w:cs="Times New Roman" w:eastAsia="Times New Roman" w:hint="default"/>
        </w:rPr>
        <w:t>2019-116</w:t>
      </w:r>
      <w:r>
        <w:rPr/>
        <w:t>）。</w:t>
      </w:r>
    </w:p>
    <w:p>
      <w:pPr>
        <w:pStyle w:val="BodyText"/>
        <w:spacing w:line="240" w:lineRule="auto" w:before="21"/>
        <w:ind w:left="638" w:right="0"/>
        <w:jc w:val="left"/>
        <w:rPr>
          <w:rFonts w:ascii="宋体" w:hAnsi="宋体" w:cs="宋体" w:eastAsia="宋体" w:hint="default"/>
        </w:rPr>
      </w:pPr>
      <w:r>
        <w:rPr>
          <w:rFonts w:ascii="宋体"/>
          <w:w w:val="100"/>
        </w:rPr>
        <w:t> </w:t>
      </w:r>
    </w:p>
    <w:p>
      <w:pPr>
        <w:pStyle w:val="Heading4"/>
        <w:spacing w:line="240" w:lineRule="auto" w:before="97"/>
        <w:ind w:right="0"/>
        <w:jc w:val="left"/>
        <w:rPr>
          <w:rFonts w:ascii="宋体" w:hAnsi="宋体" w:cs="宋体" w:eastAsia="宋体" w:hint="default"/>
          <w:b w:val="0"/>
          <w:bCs w:val="0"/>
        </w:rPr>
      </w:pPr>
      <w:r>
        <w:rPr>
          <w:rFonts w:ascii="Times New Roman" w:hAnsi="Times New Roman" w:cs="Times New Roman" w:eastAsia="Times New Roman" w:hint="default"/>
        </w:rPr>
        <w:t>3</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right="200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38" w:right="0"/>
        <w:jc w:val="left"/>
      </w:pPr>
      <w:r>
        <w:rPr/>
        <w:t>本报告期，公司通过股权激励回购注销股份</w:t>
      </w:r>
      <w:r>
        <w:rPr>
          <w:spacing w:val="-39"/>
        </w:rPr>
        <w:t> </w:t>
      </w:r>
      <w:r>
        <w:rPr>
          <w:rFonts w:ascii="Times New Roman" w:hAnsi="Times New Roman" w:cs="Times New Roman" w:eastAsia="Times New Roman" w:hint="default"/>
        </w:rPr>
        <w:t>196,560</w:t>
      </w:r>
      <w:r>
        <w:rPr>
          <w:rFonts w:ascii="Times New Roman" w:hAnsi="Times New Roman" w:cs="Times New Roman" w:eastAsia="Times New Roman" w:hint="default"/>
          <w:spacing w:val="14"/>
        </w:rPr>
        <w:t> </w:t>
      </w:r>
      <w:r>
        <w:rPr/>
        <w:t>股，变动前公司股本为</w:t>
      </w:r>
      <w:r>
        <w:rPr>
          <w:spacing w:val="-39"/>
        </w:rPr>
        <w:t> </w:t>
      </w:r>
      <w:r>
        <w:rPr>
          <w:rFonts w:ascii="Times New Roman" w:hAnsi="Times New Roman" w:cs="Times New Roman" w:eastAsia="Times New Roman" w:hint="default"/>
        </w:rPr>
        <w:t>526,684,472</w:t>
      </w:r>
      <w:r>
        <w:rPr>
          <w:rFonts w:ascii="Times New Roman" w:hAnsi="Times New Roman" w:cs="Times New Roman" w:eastAsia="Times New Roman" w:hint="default"/>
          <w:spacing w:val="13"/>
        </w:rPr>
        <w:t> </w:t>
      </w:r>
      <w:r>
        <w:rPr/>
        <w:t>股，</w:t>
      </w:r>
    </w:p>
    <w:p>
      <w:pPr>
        <w:pStyle w:val="BodyText"/>
        <w:spacing w:line="256" w:lineRule="auto" w:before="21"/>
        <w:ind w:right="205"/>
        <w:jc w:val="left"/>
      </w:pPr>
      <w:r>
        <w:rPr/>
        <w:t>上述变动后，公司股本变更为</w:t>
      </w:r>
      <w:r>
        <w:rPr>
          <w:spacing w:val="-51"/>
        </w:rPr>
        <w:t> </w:t>
      </w:r>
      <w:r>
        <w:rPr>
          <w:rFonts w:ascii="Times New Roman" w:hAnsi="Times New Roman" w:cs="Times New Roman" w:eastAsia="Times New Roman" w:hint="default"/>
        </w:rPr>
        <w:t>526,487,912</w:t>
      </w:r>
      <w:r>
        <w:rPr>
          <w:rFonts w:ascii="Times New Roman" w:hAnsi="Times New Roman" w:cs="Times New Roman" w:eastAsia="Times New Roman" w:hint="default"/>
          <w:spacing w:val="1"/>
        </w:rPr>
        <w:t> </w:t>
      </w:r>
      <w:r>
        <w:rPr/>
        <w:t>股。上述股本变动致使公司</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年度的基本每股收益</w:t>
      </w:r>
      <w:r>
        <w:rPr>
          <w:w w:val="100"/>
        </w:rPr>
        <w:t> </w:t>
      </w:r>
      <w:r>
        <w:rPr/>
        <w:t>及每股净资产等指标被摊薄。具体详见“会计数据和财务指标”。</w:t>
      </w:r>
    </w:p>
    <w:p>
      <w:pPr>
        <w:pStyle w:val="BodyText"/>
        <w:spacing w:line="240" w:lineRule="auto" w:before="22"/>
        <w:ind w:right="0"/>
        <w:jc w:val="left"/>
        <w:rPr>
          <w:rFonts w:ascii="宋体" w:hAnsi="宋体" w:cs="宋体" w:eastAsia="宋体" w:hint="default"/>
        </w:rPr>
      </w:pPr>
      <w:r>
        <w:rPr>
          <w:rFonts w:ascii="宋体"/>
          <w:w w:val="100"/>
        </w:rPr>
        <w:t> </w:t>
      </w:r>
    </w:p>
    <w:p>
      <w:pPr>
        <w:pStyle w:val="Heading4"/>
        <w:spacing w:line="240" w:lineRule="auto" w:before="97"/>
        <w:ind w:right="2005"/>
        <w:jc w:val="left"/>
        <w:rPr>
          <w:rFonts w:ascii="宋体" w:hAnsi="宋体" w:cs="宋体" w:eastAsia="宋体" w:hint="default"/>
          <w:b w:val="0"/>
          <w:bCs w:val="0"/>
        </w:rPr>
      </w:pPr>
      <w:r>
        <w:rPr>
          <w:rFonts w:ascii="Times New Roman" w:hAnsi="Times New Roman" w:cs="Times New Roman" w:eastAsia="Times New Roman" w:hint="default"/>
        </w:rPr>
        <w:t>4</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right="200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784" w:val="left" w:leader="none"/>
        </w:tabs>
        <w:spacing w:line="240" w:lineRule="auto" w:before="97"/>
        <w:ind w:right="2005"/>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right="200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07"/>
        <w:jc w:val="right"/>
        <w:rPr>
          <w:rFonts w:ascii="宋体" w:hAnsi="宋体" w:cs="宋体" w:eastAsia="宋体" w:hint="default"/>
        </w:rPr>
      </w:pPr>
      <w:r>
        <w:rPr/>
        <w:t>单位</w:t>
      </w:r>
      <w:r>
        <w:rPr>
          <w:rFonts w:ascii="宋体" w:hAnsi="宋体" w:cs="宋体" w:eastAsia="宋体" w:hint="default"/>
        </w:rPr>
        <w:t>:</w:t>
      </w:r>
      <w:r>
        <w:rPr>
          <w:rFonts w:ascii="宋体" w:hAnsi="宋体" w:cs="宋体" w:eastAsia="宋体" w:hint="default"/>
          <w:spacing w:val="1"/>
        </w:rPr>
        <w:t> </w:t>
      </w:r>
      <w:r>
        <w:rPr>
          <w:spacing w:val="-3"/>
        </w:rPr>
        <w:t>股</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56"/>
        <w:gridCol w:w="1057"/>
        <w:gridCol w:w="1094"/>
        <w:gridCol w:w="1133"/>
        <w:gridCol w:w="1135"/>
        <w:gridCol w:w="708"/>
        <w:gridCol w:w="1741"/>
      </w:tblGrid>
      <w:tr>
        <w:trPr>
          <w:trHeight w:val="636"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2" w:right="99" w:hanging="210"/>
              <w:jc w:val="left"/>
              <w:rPr>
                <w:rFonts w:ascii="宋体" w:hAnsi="宋体" w:cs="宋体" w:eastAsia="宋体" w:hint="default"/>
                <w:sz w:val="21"/>
                <w:szCs w:val="21"/>
              </w:rPr>
            </w:pPr>
            <w:r>
              <w:rPr>
                <w:rFonts w:ascii="宋体" w:hAnsi="宋体" w:cs="宋体" w:eastAsia="宋体" w:hint="default"/>
                <w:sz w:val="21"/>
                <w:szCs w:val="21"/>
              </w:rPr>
              <w:t>年初限售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0" w:right="120"/>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37"/>
              <w:jc w:val="left"/>
              <w:rPr>
                <w:rFonts w:ascii="宋体" w:hAnsi="宋体" w:cs="宋体" w:eastAsia="宋体" w:hint="default"/>
                <w:sz w:val="21"/>
                <w:szCs w:val="21"/>
              </w:rPr>
            </w:pPr>
            <w:r>
              <w:rPr>
                <w:rFonts w:ascii="宋体" w:hAnsi="宋体" w:cs="宋体" w:eastAsia="宋体" w:hint="default"/>
                <w:sz w:val="21"/>
                <w:szCs w:val="21"/>
              </w:rPr>
              <w:t>本年增加</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0" w:right="139" w:hanging="209"/>
              <w:jc w:val="left"/>
              <w:rPr>
                <w:rFonts w:ascii="宋体" w:hAnsi="宋体" w:cs="宋体" w:eastAsia="宋体" w:hint="default"/>
                <w:sz w:val="21"/>
                <w:szCs w:val="21"/>
              </w:rPr>
            </w:pPr>
            <w:r>
              <w:rPr>
                <w:rFonts w:ascii="宋体" w:hAnsi="宋体" w:cs="宋体" w:eastAsia="宋体" w:hint="default"/>
                <w:sz w:val="21"/>
                <w:szCs w:val="21"/>
              </w:rPr>
              <w:t>年末限售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4"/>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63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3" w:right="129" w:hanging="212"/>
              <w:jc w:val="left"/>
              <w:rPr>
                <w:rFonts w:ascii="宋体" w:hAnsi="宋体" w:cs="宋体" w:eastAsia="宋体" w:hint="default"/>
                <w:sz w:val="21"/>
                <w:szCs w:val="21"/>
              </w:rPr>
            </w:pPr>
            <w:r>
              <w:rPr>
                <w:rFonts w:ascii="宋体" w:hAnsi="宋体" w:cs="宋体" w:eastAsia="宋体" w:hint="default"/>
                <w:sz w:val="21"/>
                <w:szCs w:val="21"/>
              </w:rPr>
              <w:t>公司股权激励计划</w:t>
            </w:r>
            <w:r>
              <w:rPr>
                <w:rFonts w:ascii="宋体" w:hAnsi="宋体" w:cs="宋体" w:eastAsia="宋体" w:hint="default"/>
                <w:w w:val="100"/>
                <w:sz w:val="21"/>
                <w:szCs w:val="21"/>
              </w:rPr>
              <w:t> </w:t>
            </w:r>
            <w:r>
              <w:rPr>
                <w:rFonts w:ascii="宋体" w:hAnsi="宋体" w:cs="宋体" w:eastAsia="宋体" w:hint="default"/>
                <w:sz w:val="21"/>
                <w:szCs w:val="21"/>
              </w:rPr>
              <w:t>首次授予对象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1,767,276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1,570,716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3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1" w:right="129"/>
              <w:jc w:val="left"/>
              <w:rPr>
                <w:rFonts w:ascii="宋体" w:hAnsi="宋体" w:cs="宋体" w:eastAsia="宋体" w:hint="default"/>
                <w:sz w:val="21"/>
                <w:szCs w:val="21"/>
              </w:rPr>
            </w:pPr>
            <w:r>
              <w:rPr>
                <w:rFonts w:ascii="宋体" w:hAnsi="宋体" w:cs="宋体" w:eastAsia="宋体" w:hint="default"/>
                <w:sz w:val="21"/>
                <w:szCs w:val="21"/>
              </w:rPr>
              <w:t>公司股权激励计划</w:t>
            </w:r>
            <w:r>
              <w:rPr>
                <w:rFonts w:ascii="宋体" w:hAnsi="宋体" w:cs="宋体" w:eastAsia="宋体" w:hint="default"/>
                <w:w w:val="100"/>
                <w:sz w:val="21"/>
                <w:szCs w:val="21"/>
              </w:rPr>
              <w:t> </w:t>
            </w:r>
            <w:r>
              <w:rPr>
                <w:rFonts w:ascii="宋体" w:hAnsi="宋体" w:cs="宋体" w:eastAsia="宋体" w:hint="default"/>
                <w:sz w:val="21"/>
                <w:szCs w:val="21"/>
              </w:rPr>
              <w:t>预留部分授予对象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252,500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252,500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2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陈周明</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15,000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2,034,776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1,838,216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78" w:lineRule="exact"/>
        <w:ind w:right="0"/>
        <w:jc w:val="left"/>
      </w:pPr>
      <w:r>
        <w:rPr/>
        <w:t>注：</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t>日，公司完成对不符合解锁条件的</w:t>
      </w:r>
      <w:r>
        <w:rPr>
          <w:spacing w:val="-44"/>
        </w:rPr>
        <w:t> </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t>名首次授予限制性股票激励对象合计</w:t>
      </w:r>
    </w:p>
    <w:p>
      <w:pPr>
        <w:pStyle w:val="BodyText"/>
        <w:spacing w:line="240" w:lineRule="auto" w:before="21"/>
        <w:ind w:right="2005"/>
        <w:jc w:val="left"/>
      </w:pPr>
      <w:r>
        <w:rPr/>
        <w:t>持有的</w:t>
      </w:r>
      <w:r>
        <w:rPr>
          <w:spacing w:val="-54"/>
        </w:rPr>
        <w:t> </w:t>
      </w:r>
      <w:r>
        <w:rPr>
          <w:rFonts w:ascii="Times New Roman" w:hAnsi="Times New Roman" w:cs="Times New Roman" w:eastAsia="Times New Roman" w:hint="default"/>
        </w:rPr>
        <w:t>196,560</w:t>
      </w:r>
      <w:r>
        <w:rPr>
          <w:rFonts w:ascii="Times New Roman" w:hAnsi="Times New Roman" w:cs="Times New Roman" w:eastAsia="Times New Roman" w:hint="default"/>
          <w:spacing w:val="-4"/>
        </w:rPr>
        <w:t> </w:t>
      </w:r>
      <w:r>
        <w:rPr/>
        <w:t>股限制性股票的回购注销工作，限售股数相应减少。</w:t>
      </w:r>
    </w:p>
    <w:p>
      <w:pPr>
        <w:pStyle w:val="BodyText"/>
        <w:spacing w:line="240" w:lineRule="auto" w:before="22"/>
        <w:ind w:right="0"/>
        <w:jc w:val="left"/>
        <w:rPr>
          <w:rFonts w:ascii="宋体" w:hAnsi="宋体" w:cs="宋体" w:eastAsia="宋体" w:hint="default"/>
        </w:rPr>
      </w:pPr>
      <w:r>
        <w:rPr>
          <w:rFonts w:ascii="宋体"/>
          <w:w w:val="100"/>
        </w:rPr>
        <w:t> </w:t>
      </w:r>
    </w:p>
    <w:p>
      <w:pPr>
        <w:pStyle w:val="Heading4"/>
        <w:spacing w:line="324" w:lineRule="auto" w:before="97"/>
        <w:ind w:right="607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40" w:lineRule="auto" w:before="23"/>
        <w:ind w:right="200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07"/>
        <w:jc w:val="right"/>
        <w:rPr>
          <w:rFonts w:ascii="宋体" w:hAnsi="宋体" w:cs="宋体" w:eastAsia="宋体" w:hint="default"/>
        </w:rPr>
      </w:pPr>
      <w:r>
        <w:rPr/>
        <w:t>单位：股</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97"/>
        <w:gridCol w:w="1275"/>
        <w:gridCol w:w="1277"/>
        <w:gridCol w:w="1277"/>
        <w:gridCol w:w="1133"/>
        <w:gridCol w:w="1275"/>
        <w:gridCol w:w="890"/>
      </w:tblGrid>
      <w:tr>
        <w:trPr>
          <w:trHeight w:val="636"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6" w:right="107" w:hanging="104"/>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1" w:right="0"/>
              <w:jc w:val="left"/>
              <w:rPr>
                <w:rFonts w:ascii="宋体" w:hAnsi="宋体" w:cs="宋体" w:eastAsia="宋体" w:hint="default"/>
                <w:sz w:val="21"/>
                <w:szCs w:val="21"/>
              </w:rPr>
            </w:pPr>
            <w:r>
              <w:rPr>
                <w:rFonts w:ascii="宋体" w:hAnsi="宋体" w:cs="宋体" w:eastAsia="宋体" w:hint="default"/>
                <w:sz w:val="21"/>
                <w:szCs w:val="21"/>
              </w:rPr>
              <w:t>发行日期</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（或利率）</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7"/>
              <w:jc w:val="right"/>
              <w:rPr>
                <w:rFonts w:ascii="宋体" w:hAnsi="宋体" w:cs="宋体" w:eastAsia="宋体" w:hint="default"/>
                <w:sz w:val="21"/>
                <w:szCs w:val="21"/>
              </w:rPr>
            </w:pPr>
            <w:r>
              <w:rPr>
                <w:rFonts w:ascii="宋体" w:hAnsi="宋体" w:cs="宋体" w:eastAsia="宋体" w:hint="default"/>
                <w:spacing w:val="-2"/>
                <w:sz w:val="21"/>
                <w:szCs w:val="21"/>
              </w:rPr>
              <w:t>发行数量</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39" w:right="0"/>
              <w:jc w:val="left"/>
              <w:rPr>
                <w:rFonts w:ascii="宋体" w:hAnsi="宋体" w:cs="宋体" w:eastAsia="宋体" w:hint="default"/>
                <w:sz w:val="21"/>
                <w:szCs w:val="21"/>
              </w:rPr>
            </w:pPr>
            <w:r>
              <w:rPr>
                <w:rFonts w:ascii="宋体" w:hAnsi="宋体" w:cs="宋体" w:eastAsia="宋体" w:hint="default"/>
                <w:sz w:val="21"/>
                <w:szCs w:val="21"/>
              </w:rPr>
              <w:t>上市日期</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6" w:right="104" w:hanging="212"/>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r>
              <w:rPr>
                <w:rFonts w:ascii="宋体" w:hAnsi="宋体" w:cs="宋体" w:eastAsia="宋体" w:hint="default"/>
                <w:sz w:val="21"/>
                <w:szCs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4" w:right="17"/>
              <w:jc w:val="left"/>
              <w:rPr>
                <w:rFonts w:ascii="宋体" w:hAnsi="宋体" w:cs="宋体" w:eastAsia="宋体" w:hint="default"/>
                <w:sz w:val="21"/>
                <w:szCs w:val="21"/>
              </w:rPr>
            </w:pPr>
            <w:r>
              <w:rPr>
                <w:rFonts w:ascii="宋体" w:hAnsi="宋体" w:cs="宋体" w:eastAsia="宋体" w:hint="default"/>
                <w:sz w:val="21"/>
                <w:szCs w:val="21"/>
              </w:rPr>
              <w:t>交易终</w:t>
            </w:r>
            <w:r>
              <w:rPr>
                <w:rFonts w:ascii="宋体" w:hAnsi="宋体" w:cs="宋体" w:eastAsia="宋体" w:hint="default"/>
                <w:spacing w:val="-102"/>
                <w:sz w:val="21"/>
                <w:szCs w:val="21"/>
              </w:rPr>
              <w:t> </w:t>
            </w:r>
            <w:r>
              <w:rPr>
                <w:rFonts w:ascii="宋体" w:hAnsi="宋体" w:cs="宋体" w:eastAsia="宋体" w:hint="default"/>
                <w:sz w:val="21"/>
                <w:szCs w:val="21"/>
              </w:rPr>
              <w:t>止日期</w:t>
            </w:r>
            <w:r>
              <w:rPr>
                <w:rFonts w:ascii="宋体" w:hAnsi="宋体" w:cs="宋体" w:eastAsia="宋体" w:hint="default"/>
                <w:sz w:val="21"/>
                <w:szCs w:val="21"/>
              </w:rPr>
              <w:t> </w:t>
            </w:r>
          </w:p>
        </w:tc>
      </w:tr>
      <w:tr>
        <w:trPr>
          <w:trHeight w:val="322" w:hRule="exact"/>
        </w:trPr>
        <w:tc>
          <w:tcPr>
            <w:tcW w:w="88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r>
              <w:rPr>
                <w:rFonts w:ascii="宋体" w:hAnsi="宋体" w:cs="宋体" w:eastAsia="宋体" w:hint="default"/>
                <w:sz w:val="21"/>
                <w:szCs w:val="21"/>
              </w:rPr>
              <w:t> </w:t>
            </w:r>
          </w:p>
        </w:tc>
      </w:tr>
      <w:tr>
        <w:trPr>
          <w:trHeight w:val="63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8" w:right="0"/>
              <w:jc w:val="left"/>
              <w:rPr>
                <w:rFonts w:ascii="宋体" w:hAnsi="宋体" w:cs="宋体" w:eastAsia="宋体" w:hint="default"/>
                <w:sz w:val="21"/>
                <w:szCs w:val="21"/>
              </w:rPr>
            </w:pPr>
            <w:r>
              <w:rPr>
                <w:rFonts w:ascii="宋体" w:hAnsi="宋体" w:cs="宋体" w:eastAsia="宋体" w:hint="default"/>
                <w:sz w:val="21"/>
                <w:szCs w:val="21"/>
              </w:rPr>
              <w:t>可转换公司债券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p>
          <w:p>
            <w:pPr>
              <w:pStyle w:val="TableParagraph"/>
              <w:spacing w:line="240" w:lineRule="auto" w:before="2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right="2"/>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660,000,000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p>
            <w:pPr>
              <w:pStyle w:val="TableParagraph"/>
              <w:spacing w:line="240" w:lineRule="auto" w:before="21"/>
              <w:ind w:left="1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25</w:t>
            </w:r>
          </w:p>
        </w:tc>
      </w:tr>
    </w:tbl>
    <w:p>
      <w:pPr>
        <w:spacing w:after="0" w:line="240" w:lineRule="auto"/>
        <w:jc w:val="left"/>
        <w:rPr>
          <w:rFonts w:ascii="Times New Roman" w:hAnsi="Times New Roman" w:cs="Times New Roman" w:eastAsia="Times New Roman" w:hint="default"/>
          <w:sz w:val="21"/>
          <w:szCs w:val="21"/>
        </w:rPr>
        <w:sectPr>
          <w:footerReference w:type="default" r:id="rId35"/>
          <w:pgSz w:w="11910" w:h="16840"/>
          <w:pgMar w:footer="979" w:header="0" w:top="1120" w:bottom="1160" w:left="1580" w:right="1060"/>
          <w:pgNumType w:start="58"/>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845" w:type="dxa"/>
        <w:tblLayout w:type="fixed"/>
        <w:tblCellMar>
          <w:top w:w="0" w:type="dxa"/>
          <w:left w:w="0" w:type="dxa"/>
          <w:bottom w:w="0" w:type="dxa"/>
          <w:right w:w="0" w:type="dxa"/>
        </w:tblCellMar>
        <w:tblLook w:val="01E0"/>
      </w:tblPr>
      <w:tblGrid>
        <w:gridCol w:w="1697"/>
        <w:gridCol w:w="1275"/>
        <w:gridCol w:w="1277"/>
        <w:gridCol w:w="1277"/>
        <w:gridCol w:w="1133"/>
        <w:gridCol w:w="1275"/>
        <w:gridCol w:w="890"/>
      </w:tblGrid>
      <w:tr>
        <w:trPr>
          <w:trHeight w:val="324"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bl>
    <w:p>
      <w:pPr>
        <w:pStyle w:val="BodyText"/>
        <w:spacing w:line="273" w:lineRule="auto"/>
        <w:ind w:left="958" w:right="0"/>
        <w:jc w:val="left"/>
        <w:rPr>
          <w:rFonts w:ascii="宋体" w:hAnsi="宋体" w:cs="宋体" w:eastAsia="宋体" w:hint="default"/>
        </w:rPr>
      </w:pPr>
      <w:r>
        <w:rPr>
          <w:rFonts w:ascii="宋体" w:hAnsi="宋体" w:cs="宋体" w:eastAsia="宋体" w:hint="default"/>
          <w:w w:val="100"/>
        </w:rPr>
        <w:t>  </w:t>
      </w:r>
      <w:r>
        <w:rPr>
          <w:w w:val="100"/>
        </w:rPr>
        <w:t>截</w:t>
      </w:r>
      <w:r>
        <w:rPr>
          <w:spacing w:val="-1"/>
          <w:w w:val="100"/>
        </w:rPr>
        <w:t>至</w:t>
      </w:r>
      <w:r>
        <w:rPr>
          <w:spacing w:val="-3"/>
          <w:w w:val="100"/>
        </w:rPr>
        <w:t>报</w:t>
      </w:r>
      <w:r>
        <w:rPr>
          <w:w w:val="100"/>
        </w:rPr>
        <w:t>告</w:t>
      </w:r>
      <w:r>
        <w:rPr>
          <w:spacing w:val="-3"/>
          <w:w w:val="100"/>
        </w:rPr>
        <w:t>期</w:t>
      </w:r>
      <w:r>
        <w:rPr>
          <w:spacing w:val="-1"/>
          <w:w w:val="100"/>
        </w:rPr>
        <w:t>内</w:t>
      </w:r>
      <w:r>
        <w:rPr>
          <w:spacing w:val="-3"/>
          <w:w w:val="100"/>
        </w:rPr>
        <w:t>证</w:t>
      </w:r>
      <w:r>
        <w:rPr>
          <w:w w:val="100"/>
        </w:rPr>
        <w:t>券</w:t>
      </w:r>
      <w:r>
        <w:rPr>
          <w:spacing w:val="-3"/>
          <w:w w:val="100"/>
        </w:rPr>
        <w:t>发</w:t>
      </w:r>
      <w:r>
        <w:rPr>
          <w:w w:val="100"/>
        </w:rPr>
        <w:t>行</w:t>
      </w:r>
      <w:r>
        <w:rPr>
          <w:spacing w:val="-3"/>
          <w:w w:val="100"/>
        </w:rPr>
        <w:t>情</w:t>
      </w:r>
      <w:r>
        <w:rPr>
          <w:w w:val="100"/>
        </w:rPr>
        <w:t>况的</w:t>
      </w:r>
      <w:r>
        <w:rPr>
          <w:spacing w:val="-3"/>
          <w:w w:val="100"/>
        </w:rPr>
        <w:t>说</w:t>
      </w:r>
      <w:r>
        <w:rPr>
          <w:w w:val="100"/>
        </w:rPr>
        <w:t>明</w:t>
      </w:r>
      <w:r>
        <w:rPr>
          <w:spacing w:val="-3"/>
          <w:w w:val="100"/>
        </w:rPr>
        <w:t>（</w:t>
      </w:r>
      <w:r>
        <w:rPr>
          <w:w w:val="100"/>
        </w:rPr>
        <w:t>存</w:t>
      </w:r>
      <w:r>
        <w:rPr>
          <w:spacing w:val="-3"/>
          <w:w w:val="100"/>
        </w:rPr>
        <w:t>续</w:t>
      </w:r>
      <w:r>
        <w:rPr>
          <w:w w:val="100"/>
        </w:rPr>
        <w:t>期</w:t>
      </w:r>
      <w:r>
        <w:rPr>
          <w:spacing w:val="-3"/>
          <w:w w:val="100"/>
        </w:rPr>
        <w:t>内</w:t>
      </w:r>
      <w:r>
        <w:rPr>
          <w:w w:val="100"/>
        </w:rPr>
        <w:t>利</w:t>
      </w:r>
      <w:r>
        <w:rPr>
          <w:spacing w:val="-3"/>
          <w:w w:val="100"/>
        </w:rPr>
        <w:t>率</w:t>
      </w:r>
      <w:r>
        <w:rPr>
          <w:w w:val="100"/>
        </w:rPr>
        <w:t>不同</w:t>
      </w:r>
      <w:r>
        <w:rPr>
          <w:spacing w:val="-3"/>
          <w:w w:val="100"/>
        </w:rPr>
        <w:t>的</w:t>
      </w:r>
      <w:r>
        <w:rPr>
          <w:w w:val="100"/>
        </w:rPr>
        <w:t>债</w:t>
      </w:r>
      <w:r>
        <w:rPr>
          <w:spacing w:val="-3"/>
          <w:w w:val="100"/>
        </w:rPr>
        <w:t>券</w:t>
      </w:r>
      <w:r>
        <w:rPr>
          <w:w w:val="100"/>
        </w:rPr>
        <w:t>，</w:t>
      </w:r>
      <w:r>
        <w:rPr>
          <w:spacing w:val="-3"/>
          <w:w w:val="100"/>
        </w:rPr>
        <w:t>请</w:t>
      </w:r>
      <w:r>
        <w:rPr>
          <w:w w:val="100"/>
        </w:rPr>
        <w:t>分</w:t>
      </w:r>
      <w:r>
        <w:rPr>
          <w:spacing w:val="-3"/>
          <w:w w:val="100"/>
        </w:rPr>
        <w:t>别</w:t>
      </w:r>
      <w:r>
        <w:rPr>
          <w:w w:val="100"/>
        </w:rPr>
        <w:t>说</w:t>
      </w:r>
      <w:r>
        <w:rPr>
          <w:spacing w:val="-3"/>
          <w:w w:val="100"/>
        </w:rPr>
        <w:t>明</w:t>
      </w:r>
      <w:r>
        <w:rPr>
          <w:w w:val="100"/>
        </w:rPr>
        <w:t>）</w:t>
      </w:r>
      <w:r>
        <w:rPr>
          <w:spacing w:val="-2"/>
          <w:w w:val="100"/>
        </w:rPr>
        <w:t>：</w:t>
      </w:r>
      <w:r>
        <w:rPr>
          <w:rFonts w:ascii="宋体" w:hAnsi="宋体" w:cs="宋体" w:eastAsia="宋体" w:hint="default"/>
          <w:w w:val="100"/>
        </w:rPr>
        <w:t> </w:t>
      </w:r>
    </w:p>
    <w:p>
      <w:pPr>
        <w:pStyle w:val="BodyText"/>
        <w:spacing w:line="273" w:lineRule="auto" w:before="7"/>
        <w:ind w:left="137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经中国证券监督管理委员会《关于核准南威软件股份有限公司公开发行可转换公司债券的批</w:t>
      </w:r>
    </w:p>
    <w:p>
      <w:pPr>
        <w:pStyle w:val="BodyText"/>
        <w:spacing w:line="240" w:lineRule="auto" w:before="7"/>
        <w:ind w:left="958" w:right="0"/>
        <w:jc w:val="left"/>
        <w:rPr>
          <w:rFonts w:ascii="Times New Roman" w:hAnsi="Times New Roman" w:cs="Times New Roman" w:eastAsia="Times New Roman" w:hint="default"/>
        </w:rPr>
      </w:pPr>
      <w:r>
        <w:rPr/>
        <w:t>复》（证监许可〔</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857</w:t>
      </w:r>
      <w:r>
        <w:rPr>
          <w:rFonts w:ascii="Times New Roman" w:hAnsi="Times New Roman" w:cs="Times New Roman" w:eastAsia="Times New Roman" w:hint="default"/>
          <w:spacing w:val="6"/>
        </w:rPr>
        <w:t> </w:t>
      </w:r>
      <w:r>
        <w:rPr/>
        <w:t>号）核准，公司获准向社会于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日公开发行了</w:t>
      </w:r>
      <w:r>
        <w:rPr>
          <w:spacing w:val="-46"/>
        </w:rPr>
        <w:t> </w:t>
      </w:r>
      <w:r>
        <w:rPr>
          <w:rFonts w:ascii="Times New Roman" w:hAnsi="Times New Roman" w:cs="Times New Roman" w:eastAsia="Times New Roman" w:hint="default"/>
        </w:rPr>
        <w:t>660.00</w:t>
      </w:r>
    </w:p>
    <w:p>
      <w:pPr>
        <w:pStyle w:val="BodyText"/>
        <w:spacing w:line="240" w:lineRule="auto" w:before="21"/>
        <w:ind w:left="958" w:right="0"/>
        <w:jc w:val="left"/>
      </w:pPr>
      <w:r>
        <w:rPr>
          <w:spacing w:val="-4"/>
        </w:rPr>
        <w:t>万张可转换公司债券，每张面值</w:t>
      </w:r>
      <w:r>
        <w:rPr>
          <w:spacing w:val="-37"/>
        </w:rPr>
        <w:t> </w:t>
      </w:r>
      <w:r>
        <w:rPr>
          <w:rFonts w:ascii="Times New Roman" w:hAnsi="Times New Roman" w:cs="Times New Roman" w:eastAsia="Times New Roman" w:hint="default"/>
        </w:rPr>
        <w:t>100</w:t>
      </w:r>
      <w:r>
        <w:rPr>
          <w:rFonts w:ascii="Times New Roman" w:hAnsi="Times New Roman" w:cs="Times New Roman" w:eastAsia="Times New Roman" w:hint="default"/>
          <w:spacing w:val="12"/>
        </w:rPr>
        <w:t> </w:t>
      </w:r>
      <w:r>
        <w:rPr>
          <w:spacing w:val="-7"/>
        </w:rPr>
        <w:t>元，发行总额</w:t>
      </w:r>
      <w:r>
        <w:rPr>
          <w:spacing w:val="-40"/>
        </w:rPr>
        <w:t> </w:t>
      </w:r>
      <w:r>
        <w:rPr>
          <w:rFonts w:ascii="Times New Roman" w:hAnsi="Times New Roman" w:cs="Times New Roman" w:eastAsia="Times New Roman" w:hint="default"/>
        </w:rPr>
        <w:t>66,000.00</w:t>
      </w:r>
      <w:r>
        <w:rPr>
          <w:rFonts w:ascii="Times New Roman" w:hAnsi="Times New Roman" w:cs="Times New Roman" w:eastAsia="Times New Roman" w:hint="default"/>
          <w:spacing w:val="16"/>
        </w:rPr>
        <w:t> </w:t>
      </w:r>
      <w:r>
        <w:rPr>
          <w:spacing w:val="-4"/>
        </w:rPr>
        <w:t>万元。该可转债期限为自发行之日起</w:t>
      </w:r>
    </w:p>
    <w:p>
      <w:pPr>
        <w:pStyle w:val="BodyText"/>
        <w:spacing w:line="256" w:lineRule="auto" w:before="21"/>
        <w:ind w:left="958" w:right="0"/>
        <w:jc w:val="left"/>
      </w:pPr>
      <w:r>
        <w:rPr/>
        <w:t>六年，即自</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日至</w:t>
      </w:r>
      <w:r>
        <w:rPr>
          <w:spacing w:val="-50"/>
        </w:rPr>
        <w:t> </w:t>
      </w:r>
      <w:r>
        <w:rPr>
          <w:rFonts w:ascii="Times New Roman" w:hAnsi="Times New Roman" w:cs="Times New Roman" w:eastAsia="Times New Roman" w:hint="default"/>
        </w:rPr>
        <w:t>2025</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14 </w:t>
      </w:r>
      <w:r>
        <w:rPr/>
        <w:t>日，债券票面利率为第一年为</w:t>
      </w:r>
      <w:r>
        <w:rPr>
          <w:spacing w:val="-50"/>
        </w:rPr>
        <w:t> </w:t>
      </w:r>
      <w:r>
        <w:rPr>
          <w:rFonts w:ascii="Times New Roman" w:hAnsi="Times New Roman" w:cs="Times New Roman" w:eastAsia="Times New Roman" w:hint="default"/>
        </w:rPr>
        <w:t>0.50%</w:t>
      </w:r>
      <w:r>
        <w:rPr/>
        <w:t>、第二年为</w:t>
      </w:r>
      <w:r>
        <w:rPr>
          <w:w w:val="100"/>
        </w:rPr>
        <w:t> </w:t>
      </w:r>
      <w:r>
        <w:rPr>
          <w:rFonts w:ascii="Times New Roman" w:hAnsi="Times New Roman" w:cs="Times New Roman" w:eastAsia="Times New Roman" w:hint="default"/>
        </w:rPr>
        <w:t>0.70%</w:t>
      </w:r>
      <w:r>
        <w:rPr/>
        <w:t>、第三年为</w:t>
      </w:r>
      <w:r>
        <w:rPr>
          <w:spacing w:val="-56"/>
        </w:rPr>
        <w:t> </w:t>
      </w:r>
      <w:r>
        <w:rPr>
          <w:rFonts w:ascii="Times New Roman" w:hAnsi="Times New Roman" w:cs="Times New Roman" w:eastAsia="Times New Roman" w:hint="default"/>
        </w:rPr>
        <w:t>1.00%</w:t>
      </w:r>
      <w:r>
        <w:rPr/>
        <w:t>、第四年为</w:t>
      </w:r>
      <w:r>
        <w:rPr>
          <w:spacing w:val="-56"/>
        </w:rPr>
        <w:t> </w:t>
      </w:r>
      <w:r>
        <w:rPr>
          <w:rFonts w:ascii="Times New Roman" w:hAnsi="Times New Roman" w:cs="Times New Roman" w:eastAsia="Times New Roman" w:hint="default"/>
        </w:rPr>
        <w:t>1.50%</w:t>
      </w:r>
      <w:r>
        <w:rPr/>
        <w:t>、第五年为</w:t>
      </w:r>
      <w:r>
        <w:rPr>
          <w:spacing w:val="-55"/>
        </w:rPr>
        <w:t> </w:t>
      </w:r>
      <w:r>
        <w:rPr>
          <w:rFonts w:ascii="Times New Roman" w:hAnsi="Times New Roman" w:cs="Times New Roman" w:eastAsia="Times New Roman" w:hint="default"/>
        </w:rPr>
        <w:t>2.30%</w:t>
      </w:r>
      <w:r>
        <w:rPr/>
        <w:t>、第六年为</w:t>
      </w:r>
      <w:r>
        <w:rPr>
          <w:spacing w:val="-56"/>
        </w:rPr>
        <w:t> </w:t>
      </w:r>
      <w:r>
        <w:rPr>
          <w:rFonts w:ascii="Times New Roman" w:hAnsi="Times New Roman" w:cs="Times New Roman" w:eastAsia="Times New Roman" w:hint="default"/>
        </w:rPr>
        <w:t>3.00%</w:t>
      </w:r>
      <w:r>
        <w:rPr/>
        <w:t>。</w:t>
      </w:r>
    </w:p>
    <w:p>
      <w:pPr>
        <w:pStyle w:val="Heading4"/>
        <w:spacing w:line="324" w:lineRule="auto" w:before="5"/>
        <w:ind w:left="958" w:right="270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2"/>
          <w:w w:val="99"/>
        </w:rPr>
        <w:t>)</w:t>
      </w:r>
      <w:r>
        <w:rPr>
          <w:w w:val="100"/>
        </w:rPr>
        <w:t>公司普通股股份总</w:t>
      </w:r>
      <w:r>
        <w:rPr>
          <w:spacing w:val="-3"/>
          <w:w w:val="100"/>
        </w:rPr>
        <w:t>数</w:t>
      </w:r>
      <w:r>
        <w:rPr>
          <w:w w:val="100"/>
        </w:rPr>
        <w:t>及</w:t>
      </w:r>
      <w:r>
        <w:rPr>
          <w:spacing w:val="-3"/>
          <w:w w:val="100"/>
        </w:rPr>
        <w:t>股</w:t>
      </w:r>
      <w:r>
        <w:rPr>
          <w:w w:val="100"/>
        </w:rPr>
        <w:t>东结构变动及公司</w:t>
      </w:r>
      <w:r>
        <w:rPr>
          <w:spacing w:val="-3"/>
          <w:w w:val="100"/>
        </w:rPr>
        <w:t>资</w:t>
      </w:r>
      <w:r>
        <w:rPr>
          <w:w w:val="100"/>
        </w:rPr>
        <w:t>产</w:t>
      </w:r>
      <w:r>
        <w:rPr>
          <w:spacing w:val="-3"/>
          <w:w w:val="100"/>
        </w:rPr>
        <w:t>和</w:t>
      </w:r>
      <w:r>
        <w:rPr>
          <w:w w:val="100"/>
        </w:rPr>
        <w:t>负债结构的变动情况</w:t>
      </w:r>
      <w:r>
        <w:rPr>
          <w:b w:val="0"/>
          <w:bCs w:val="0"/>
          <w:w w:val="100"/>
        </w:rPr>
      </w:r>
    </w:p>
    <w:p>
      <w:pPr>
        <w:pStyle w:val="BodyText"/>
        <w:spacing w:line="240" w:lineRule="auto" w:before="24"/>
        <w:ind w:left="9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78"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25</w:t>
      </w:r>
      <w:r>
        <w:rPr>
          <w:rFonts w:ascii="Times New Roman" w:hAnsi="Times New Roman" w:cs="Times New Roman" w:eastAsia="Times New Roman" w:hint="default"/>
          <w:spacing w:val="10"/>
        </w:rPr>
        <w:t> </w:t>
      </w:r>
      <w:r>
        <w:rPr>
          <w:spacing w:val="-3"/>
        </w:rPr>
        <w:t>日，公司公告了《关于部分股权激励限制性股票回购注销实施公告》，公司</w:t>
      </w:r>
    </w:p>
    <w:p>
      <w:pPr>
        <w:pStyle w:val="BodyText"/>
        <w:spacing w:line="240" w:lineRule="auto" w:before="21"/>
        <w:ind w:left="958" w:right="0"/>
        <w:jc w:val="left"/>
      </w:pPr>
      <w:r>
        <w:rPr/>
        <w:t>完成对不符合解锁条件的</w:t>
      </w:r>
      <w:r>
        <w:rPr>
          <w:spacing w:val="-67"/>
        </w:rPr>
        <w:t> </w:t>
      </w:r>
      <w:r>
        <w:rPr>
          <w:rFonts w:ascii="Times New Roman" w:hAnsi="Times New Roman" w:cs="Times New Roman" w:eastAsia="Times New Roman" w:hint="default"/>
        </w:rPr>
        <w:t>15</w:t>
      </w:r>
      <w:r>
        <w:rPr>
          <w:rFonts w:ascii="Times New Roman" w:hAnsi="Times New Roman" w:cs="Times New Roman" w:eastAsia="Times New Roman" w:hint="default"/>
          <w:spacing w:val="-13"/>
        </w:rPr>
        <w:t> </w:t>
      </w:r>
      <w:r>
        <w:rPr/>
        <w:t>名首次授予限制性股票激励对象合计持有的</w:t>
      </w:r>
      <w:r>
        <w:rPr>
          <w:spacing w:val="-66"/>
        </w:rPr>
        <w:t> </w:t>
      </w:r>
      <w:r>
        <w:rPr>
          <w:rFonts w:ascii="Times New Roman" w:hAnsi="Times New Roman" w:cs="Times New Roman" w:eastAsia="Times New Roman" w:hint="default"/>
        </w:rPr>
        <w:t>196,560</w:t>
      </w:r>
      <w:r>
        <w:rPr>
          <w:rFonts w:ascii="Times New Roman" w:hAnsi="Times New Roman" w:cs="Times New Roman" w:eastAsia="Times New Roman" w:hint="default"/>
          <w:spacing w:val="-12"/>
        </w:rPr>
        <w:t> </w:t>
      </w:r>
      <w:r>
        <w:rPr/>
        <w:t>股的回购注销工</w:t>
      </w:r>
    </w:p>
    <w:p>
      <w:pPr>
        <w:pStyle w:val="BodyText"/>
        <w:spacing w:line="240" w:lineRule="auto" w:before="21"/>
        <w:ind w:left="958" w:right="0"/>
        <w:jc w:val="left"/>
        <w:rPr>
          <w:rFonts w:ascii="宋体" w:hAnsi="宋体" w:cs="宋体" w:eastAsia="宋体" w:hint="default"/>
        </w:rPr>
      </w:pPr>
      <w:r>
        <w:rPr/>
        <w:t>作，公司总股本由</w:t>
      </w:r>
      <w:r>
        <w:rPr>
          <w:spacing w:val="-56"/>
        </w:rPr>
        <w:t> </w:t>
      </w:r>
      <w:r>
        <w:rPr>
          <w:rFonts w:ascii="Times New Roman" w:hAnsi="Times New Roman" w:cs="Times New Roman" w:eastAsia="Times New Roman" w:hint="default"/>
        </w:rPr>
        <w:t>526,684,472</w:t>
      </w:r>
      <w:r>
        <w:rPr>
          <w:rFonts w:ascii="Times New Roman" w:hAnsi="Times New Roman" w:cs="Times New Roman" w:eastAsia="Times New Roman" w:hint="default"/>
          <w:spacing w:val="-3"/>
        </w:rPr>
        <w:t> </w:t>
      </w:r>
      <w:r>
        <w:rPr/>
        <w:t>股减少为</w:t>
      </w:r>
      <w:r>
        <w:rPr>
          <w:spacing w:val="-56"/>
        </w:rPr>
        <w:t> </w:t>
      </w:r>
      <w:r>
        <w:rPr>
          <w:rFonts w:ascii="Times New Roman" w:hAnsi="Times New Roman" w:cs="Times New Roman" w:eastAsia="Times New Roman" w:hint="default"/>
        </w:rPr>
        <w:t>526,487,912</w:t>
      </w:r>
      <w:r>
        <w:rPr>
          <w:rFonts w:ascii="Times New Roman" w:hAnsi="Times New Roman" w:cs="Times New Roman" w:eastAsia="Times New Roman" w:hint="default"/>
          <w:spacing w:val="-5"/>
        </w:rPr>
        <w:t> </w:t>
      </w:r>
      <w:r>
        <w:rPr/>
        <w:t>股（公告编号：</w:t>
      </w:r>
      <w:r>
        <w:rPr>
          <w:rFonts w:ascii="Times New Roman" w:hAnsi="Times New Roman" w:cs="Times New Roman" w:eastAsia="Times New Roman" w:hint="default"/>
        </w:rPr>
        <w:t>2019-116</w:t>
      </w:r>
      <w:r>
        <w:rPr/>
        <w:t>）。</w:t>
      </w:r>
      <w:r>
        <w:rPr>
          <w:rFonts w:ascii="宋体" w:hAnsi="宋体" w:cs="宋体" w:eastAsia="宋体" w:hint="default"/>
        </w:rPr>
        <w:t> </w:t>
      </w:r>
    </w:p>
    <w:p>
      <w:pPr>
        <w:pStyle w:val="Heading4"/>
        <w:spacing w:line="324" w:lineRule="auto" w:before="21"/>
        <w:ind w:left="958" w:right="713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2"/>
          <w:w w:val="99"/>
        </w:rPr>
        <w:t>)</w:t>
      </w:r>
      <w:r>
        <w:rPr>
          <w:w w:val="100"/>
        </w:rPr>
        <w:t>现存的内部职工股</w:t>
      </w:r>
      <w:r>
        <w:rPr>
          <w:spacing w:val="-3"/>
          <w:w w:val="100"/>
        </w:rPr>
        <w:t>情</w:t>
      </w:r>
      <w:r>
        <w:rPr>
          <w:w w:val="100"/>
        </w:rPr>
        <w:t>况</w:t>
      </w:r>
      <w:r>
        <w:rPr>
          <w:b w:val="0"/>
          <w:bCs w:val="0"/>
          <w:w w:val="100"/>
        </w:rPr>
      </w:r>
    </w:p>
    <w:p>
      <w:pPr>
        <w:pStyle w:val="BodyText"/>
        <w:spacing w:line="240" w:lineRule="auto" w:before="23"/>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958" w:right="0"/>
        <w:jc w:val="left"/>
        <w:rPr>
          <w:rFonts w:ascii="宋体" w:hAnsi="宋体" w:cs="宋体" w:eastAsia="宋体" w:hint="default"/>
        </w:rPr>
      </w:pPr>
      <w:r>
        <w:rPr>
          <w:rFonts w:ascii="宋体"/>
          <w:w w:val="100"/>
        </w:rPr>
        <w:t> </w:t>
      </w:r>
    </w:p>
    <w:p>
      <w:pPr>
        <w:pStyle w:val="Heading4"/>
        <w:spacing w:line="324" w:lineRule="auto" w:before="97"/>
        <w:ind w:left="958" w:right="7212"/>
        <w:jc w:val="left"/>
        <w:rPr>
          <w:b w:val="0"/>
          <w:bCs w:val="0"/>
        </w:rPr>
      </w:pPr>
      <w:r>
        <w:rPr/>
        <w:t>三、</w:t>
      </w:r>
      <w:r>
        <w:rPr>
          <w:spacing w:val="-80"/>
        </w:rPr>
        <w:t> </w:t>
      </w:r>
      <w:r>
        <w:rPr>
          <w:rFonts w:ascii="宋体" w:hAnsi="宋体" w:cs="宋体" w:eastAsia="宋体" w:hint="default"/>
          <w:spacing w:val="-80"/>
        </w:rPr>
      </w:r>
      <w:r>
        <w:rPr/>
        <w:t>股东和实际控制人情况</w:t>
      </w:r>
      <w:r>
        <w:rPr>
          <w:spacing w:val="-3"/>
          <w:w w:val="100"/>
        </w:rPr>
        <w:t> </w:t>
      </w:r>
      <w:r>
        <w:rPr>
          <w:rFonts w:ascii="宋体" w:hAnsi="宋体" w:cs="宋体" w:eastAsia="宋体" w:hint="default"/>
        </w:rPr>
        <w:t>(</w:t>
      </w:r>
      <w:r>
        <w:rPr/>
        <w:t>一</w:t>
      </w:r>
      <w:r>
        <w:rPr>
          <w:rFonts w:ascii="宋体" w:hAnsi="宋体" w:cs="宋体" w:eastAsia="宋体" w:hint="default"/>
        </w:rPr>
        <w:t>)</w:t>
      </w:r>
      <w:r>
        <w:rPr/>
        <w:t>股东总数</w:t>
      </w:r>
      <w:r>
        <w:rPr>
          <w:b w:val="0"/>
          <w:bCs w:val="0"/>
        </w:rPr>
      </w:r>
    </w:p>
    <w:p>
      <w:pPr>
        <w:spacing w:line="240" w:lineRule="auto" w:before="10"/>
        <w:rPr>
          <w:rFonts w:ascii="宋体" w:hAnsi="宋体" w:cs="宋体" w:eastAsia="宋体" w:hint="default"/>
          <w:b/>
          <w:bCs/>
          <w:sz w:val="2"/>
          <w:szCs w:val="2"/>
        </w:rPr>
      </w:pPr>
    </w:p>
    <w:tbl>
      <w:tblPr>
        <w:tblW w:w="0" w:type="auto"/>
        <w:jc w:val="left"/>
        <w:tblInd w:w="845" w:type="dxa"/>
        <w:tblLayout w:type="fixed"/>
        <w:tblCellMar>
          <w:top w:w="0" w:type="dxa"/>
          <w:left w:w="0" w:type="dxa"/>
          <w:bottom w:w="0" w:type="dxa"/>
          <w:right w:w="0" w:type="dxa"/>
        </w:tblCellMar>
        <w:tblLook w:val="01E0"/>
      </w:tblPr>
      <w:tblGrid>
        <w:gridCol w:w="6659"/>
        <w:gridCol w:w="2165"/>
      </w:tblGrid>
      <w:tr>
        <w:trPr>
          <w:trHeight w:val="322" w:hRule="exact"/>
        </w:trPr>
        <w:tc>
          <w:tcPr>
            <w:tcW w:w="665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29,413</w:t>
            </w:r>
          </w:p>
        </w:tc>
      </w:tr>
      <w:tr>
        <w:trPr>
          <w:trHeight w:val="322" w:hRule="exact"/>
        </w:trPr>
        <w:tc>
          <w:tcPr>
            <w:tcW w:w="66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30,107</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20" w:bottom="1160" w:left="840" w:right="320"/>
        </w:sectPr>
      </w:pPr>
    </w:p>
    <w:p>
      <w:pPr>
        <w:pStyle w:val="Heading3"/>
        <w:spacing w:line="274" w:lineRule="exact"/>
        <w:ind w:left="958" w:right="0"/>
        <w:jc w:val="left"/>
      </w:pPr>
      <w:r>
        <w:rPr/>
        <w:t> </w:t>
      </w:r>
    </w:p>
    <w:p>
      <w:pPr>
        <w:pStyle w:val="Heading4"/>
        <w:spacing w:line="240" w:lineRule="auto" w:before="85"/>
        <w:ind w:left="95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r>
      <w:r>
        <w:rPr>
          <w:spacing w:val="-1"/>
        </w:rPr>
        <w:t>截止报告期末前十名股东、前十名流通股东（或无限售条件股东）持股情况表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BodyText"/>
        <w:spacing w:line="240" w:lineRule="auto"/>
        <w:ind w:left="465"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840" w:right="320"/>
          <w:cols w:num="2" w:equalWidth="0">
            <w:col w:w="8553" w:space="40"/>
            <w:col w:w="2157"/>
          </w:cols>
        </w:sectPr>
      </w:pPr>
    </w:p>
    <w:p>
      <w:pPr>
        <w:spacing w:line="240" w:lineRule="auto" w:before="10"/>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987"/>
        <w:gridCol w:w="1286"/>
        <w:gridCol w:w="1416"/>
        <w:gridCol w:w="852"/>
        <w:gridCol w:w="1070"/>
        <w:gridCol w:w="649"/>
        <w:gridCol w:w="1315"/>
        <w:gridCol w:w="929"/>
      </w:tblGrid>
      <w:tr>
        <w:trPr>
          <w:trHeight w:val="322" w:hRule="exact"/>
        </w:trPr>
        <w:tc>
          <w:tcPr>
            <w:tcW w:w="10504"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324" w:hRule="exact"/>
        </w:trPr>
        <w:tc>
          <w:tcPr>
            <w:tcW w:w="2987" w:type="dxa"/>
            <w:vMerge w:val="restart"/>
            <w:tcBorders>
              <w:top w:val="single" w:sz="4" w:space="0" w:color="000000"/>
              <w:left w:val="single" w:sz="4" w:space="0" w:color="000000"/>
              <w:right w:val="single" w:sz="4" w:space="0" w:color="000000"/>
            </w:tcBorders>
          </w:tcPr>
          <w:p>
            <w:pPr>
              <w:pStyle w:val="TableParagraph"/>
              <w:spacing w:line="240" w:lineRule="auto" w:before="150"/>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286" w:type="dxa"/>
            <w:vMerge w:val="restart"/>
            <w:tcBorders>
              <w:top w:val="single" w:sz="4" w:space="0" w:color="000000"/>
              <w:left w:val="single" w:sz="4" w:space="0" w:color="000000"/>
              <w:right w:val="single" w:sz="4" w:space="0" w:color="000000"/>
            </w:tcBorders>
          </w:tcPr>
          <w:p>
            <w:pPr>
              <w:pStyle w:val="TableParagraph"/>
              <w:spacing w:line="273" w:lineRule="auto" w:before="150"/>
              <w:ind w:left="530" w:right="110"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16" w:type="dxa"/>
            <w:vMerge w:val="restart"/>
            <w:tcBorders>
              <w:top w:val="single" w:sz="4" w:space="0" w:color="000000"/>
              <w:left w:val="single" w:sz="4" w:space="0" w:color="000000"/>
              <w:right w:val="single" w:sz="4" w:space="0" w:color="000000"/>
            </w:tcBorders>
          </w:tcPr>
          <w:p>
            <w:pPr>
              <w:pStyle w:val="TableParagraph"/>
              <w:spacing w:line="273" w:lineRule="auto" w:before="150"/>
              <w:ind w:left="595" w:right="175"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50"/>
              <w:ind w:left="21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4"/>
              <w:ind w:left="263" w:right="0"/>
              <w:jc w:val="left"/>
              <w:rPr>
                <w:rFonts w:ascii="Times New Roman" w:hAnsi="Times New Roman" w:cs="Times New Roman" w:eastAsia="Times New Roman" w:hint="default"/>
                <w:sz w:val="21"/>
                <w:szCs w:val="21"/>
              </w:rPr>
            </w:pPr>
            <w:r>
              <w:rPr>
                <w:rFonts w:ascii="Times New Roman"/>
                <w:sz w:val="21"/>
              </w:rPr>
              <w:t>(%)</w:t>
            </w:r>
          </w:p>
        </w:tc>
        <w:tc>
          <w:tcPr>
            <w:tcW w:w="1070" w:type="dxa"/>
            <w:vMerge w:val="restart"/>
            <w:tcBorders>
              <w:top w:val="single" w:sz="4" w:space="0" w:color="000000"/>
              <w:left w:val="single" w:sz="4" w:space="0" w:color="000000"/>
              <w:right w:val="single" w:sz="4" w:space="0" w:color="000000"/>
            </w:tcBorders>
          </w:tcPr>
          <w:p>
            <w:pPr>
              <w:pStyle w:val="TableParagraph"/>
              <w:spacing w:line="273" w:lineRule="auto"/>
              <w:ind w:left="107" w:right="108"/>
              <w:jc w:val="both"/>
              <w:rPr>
                <w:rFonts w:ascii="宋体" w:hAnsi="宋体" w:cs="宋体" w:eastAsia="宋体" w:hint="default"/>
                <w:sz w:val="21"/>
                <w:szCs w:val="21"/>
              </w:rPr>
            </w:pPr>
            <w:r>
              <w:rPr>
                <w:rFonts w:ascii="宋体" w:hAnsi="宋体" w:cs="宋体" w:eastAsia="宋体" w:hint="default"/>
                <w:sz w:val="21"/>
                <w:szCs w:val="21"/>
              </w:rPr>
              <w:t>持有有限</w:t>
            </w:r>
            <w:r>
              <w:rPr>
                <w:rFonts w:ascii="宋体" w:hAnsi="宋体" w:cs="宋体" w:eastAsia="宋体" w:hint="default"/>
                <w:w w:val="100"/>
                <w:sz w:val="21"/>
                <w:szCs w:val="21"/>
              </w:rPr>
              <w:t> </w:t>
            </w: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9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7"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929" w:type="dxa"/>
            <w:vMerge w:val="restart"/>
            <w:tcBorders>
              <w:top w:val="single" w:sz="4" w:space="0" w:color="000000"/>
              <w:left w:val="single" w:sz="4" w:space="0" w:color="000000"/>
              <w:right w:val="single" w:sz="4" w:space="0" w:color="000000"/>
            </w:tcBorders>
          </w:tcPr>
          <w:p>
            <w:pPr>
              <w:pStyle w:val="TableParagraph"/>
              <w:spacing w:line="273" w:lineRule="auto" w:before="150"/>
              <w:ind w:left="249" w:right="245"/>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634" w:hRule="exact"/>
        </w:trPr>
        <w:tc>
          <w:tcPr>
            <w:tcW w:w="2987"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10"/>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数量</w:t>
            </w:r>
          </w:p>
        </w:tc>
        <w:tc>
          <w:tcPr>
            <w:tcW w:w="929" w:type="dxa"/>
            <w:vMerge/>
            <w:tcBorders>
              <w:left w:val="single" w:sz="4" w:space="0" w:color="000000"/>
              <w:bottom w:val="single" w:sz="4" w:space="0" w:color="000000"/>
              <w:right w:val="single" w:sz="4" w:space="0" w:color="000000"/>
            </w:tcBorders>
          </w:tcPr>
          <w:p>
            <w:pPr/>
          </w:p>
        </w:tc>
      </w:tr>
      <w:tr>
        <w:trPr>
          <w:trHeight w:val="634"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3"/>
              <w:jc w:val="right"/>
              <w:rPr>
                <w:rFonts w:ascii="Times New Roman" w:hAnsi="Times New Roman" w:cs="Times New Roman" w:eastAsia="Times New Roman" w:hint="default"/>
                <w:sz w:val="22"/>
                <w:szCs w:val="22"/>
              </w:rPr>
            </w:pPr>
            <w:r>
              <w:rPr>
                <w:rFonts w:ascii="Times New Roman"/>
                <w:spacing w:val="-1"/>
                <w:sz w:val="22"/>
              </w:rPr>
              <w:t>-59,795,357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1"/>
              <w:jc w:val="right"/>
              <w:rPr>
                <w:rFonts w:ascii="Times New Roman" w:hAnsi="Times New Roman" w:cs="Times New Roman" w:eastAsia="Times New Roman" w:hint="default"/>
                <w:sz w:val="22"/>
                <w:szCs w:val="22"/>
              </w:rPr>
            </w:pPr>
            <w:r>
              <w:rPr>
                <w:rFonts w:ascii="Times New Roman"/>
                <w:spacing w:val="-1"/>
                <w:sz w:val="22"/>
              </w:rPr>
              <w:t>239,181,429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98"/>
              <w:jc w:val="right"/>
              <w:rPr>
                <w:rFonts w:ascii="Times New Roman" w:hAnsi="Times New Roman" w:cs="Times New Roman" w:eastAsia="Times New Roman" w:hint="default"/>
                <w:sz w:val="22"/>
                <w:szCs w:val="22"/>
              </w:rPr>
            </w:pPr>
            <w:r>
              <w:rPr>
                <w:rFonts w:ascii="Times New Roman"/>
                <w:sz w:val="22"/>
              </w:rPr>
              <w:t>45.43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3"/>
              <w:jc w:val="right"/>
              <w:rPr>
                <w:rFonts w:ascii="Times New Roman" w:hAnsi="Times New Roman" w:cs="Times New Roman" w:eastAsia="Times New Roman" w:hint="default"/>
                <w:sz w:val="22"/>
                <w:szCs w:val="22"/>
              </w:rPr>
            </w:pPr>
            <w:r>
              <w:rPr>
                <w:rFonts w:ascii="Times New Roman"/>
                <w:w w:val="100"/>
                <w:sz w:val="22"/>
              </w:rPr>
              <w:t>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1"/>
              <w:jc w:val="right"/>
              <w:rPr>
                <w:rFonts w:ascii="Times New Roman" w:hAnsi="Times New Roman" w:cs="Times New Roman" w:eastAsia="Times New Roman" w:hint="default"/>
                <w:sz w:val="22"/>
                <w:szCs w:val="22"/>
              </w:rPr>
            </w:pPr>
            <w:r>
              <w:rPr>
                <w:rFonts w:ascii="Times New Roman"/>
                <w:spacing w:val="-1"/>
                <w:sz w:val="22"/>
              </w:rPr>
              <w:t>173,485,212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9" w:right="139" w:hanging="106"/>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634"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中电科投资控股有限公司</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01"/>
              <w:jc w:val="right"/>
              <w:rPr>
                <w:rFonts w:ascii="Times New Roman" w:hAnsi="Times New Roman" w:cs="Times New Roman" w:eastAsia="Times New Roman" w:hint="default"/>
                <w:sz w:val="22"/>
                <w:szCs w:val="22"/>
              </w:rPr>
            </w:pPr>
            <w:r>
              <w:rPr>
                <w:rFonts w:ascii="Times New Roman"/>
                <w:sz w:val="22"/>
              </w:rPr>
              <w:t>29,897,679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01"/>
              <w:jc w:val="right"/>
              <w:rPr>
                <w:rFonts w:ascii="Times New Roman" w:hAnsi="Times New Roman" w:cs="Times New Roman" w:eastAsia="Times New Roman" w:hint="default"/>
                <w:sz w:val="22"/>
                <w:szCs w:val="22"/>
              </w:rPr>
            </w:pPr>
            <w:r>
              <w:rPr>
                <w:rFonts w:ascii="Times New Roman"/>
                <w:sz w:val="22"/>
              </w:rPr>
              <w:t>29,897,679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98"/>
              <w:jc w:val="right"/>
              <w:rPr>
                <w:rFonts w:ascii="Times New Roman" w:hAnsi="Times New Roman" w:cs="Times New Roman" w:eastAsia="Times New Roman" w:hint="default"/>
                <w:sz w:val="22"/>
                <w:szCs w:val="22"/>
              </w:rPr>
            </w:pPr>
            <w:r>
              <w:rPr>
                <w:rFonts w:ascii="Times New Roman"/>
                <w:sz w:val="22"/>
              </w:rPr>
              <w:t>5.68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03"/>
              <w:jc w:val="right"/>
              <w:rPr>
                <w:rFonts w:ascii="Times New Roman" w:hAnsi="Times New Roman" w:cs="Times New Roman" w:eastAsia="Times New Roman" w:hint="default"/>
                <w:sz w:val="22"/>
                <w:szCs w:val="22"/>
              </w:rPr>
            </w:pPr>
            <w:r>
              <w:rPr>
                <w:rFonts w:ascii="Times New Roman"/>
                <w:w w:val="100"/>
                <w:sz w:val="22"/>
              </w:rPr>
              <w:t>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03"/>
              <w:jc w:val="right"/>
              <w:rPr>
                <w:rFonts w:ascii="Times New Roman" w:hAnsi="Times New Roman" w:cs="Times New Roman" w:eastAsia="Times New Roman" w:hint="default"/>
                <w:sz w:val="22"/>
                <w:szCs w:val="22"/>
              </w:rPr>
            </w:pPr>
            <w:r>
              <w:rPr>
                <w:rFonts w:ascii="Times New Roman"/>
                <w:w w:val="100"/>
                <w:sz w:val="22"/>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2" w:right="139" w:hanging="209"/>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322"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上海云鑫创业投资有限公司</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z w:val="22"/>
              </w:rPr>
              <w:t>29,897,678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z w:val="22"/>
              </w:rPr>
              <w:t>29,897,678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5.68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22"/>
                <w:szCs w:val="22"/>
              </w:rPr>
            </w:pPr>
            <w:r>
              <w:rPr>
                <w:rFonts w:ascii="Times New Roman"/>
                <w:w w:val="100"/>
                <w:sz w:val="22"/>
              </w:rPr>
              <w:t>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22"/>
                <w:szCs w:val="22"/>
              </w:rPr>
            </w:pPr>
            <w:r>
              <w:rPr>
                <w:rFonts w:ascii="Times New Roman"/>
                <w:w w:val="100"/>
                <w:sz w:val="22"/>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634"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刘志强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1"/>
              <w:jc w:val="right"/>
              <w:rPr>
                <w:rFonts w:ascii="Times New Roman" w:hAnsi="Times New Roman" w:cs="Times New Roman" w:eastAsia="Times New Roman" w:hint="default"/>
                <w:sz w:val="22"/>
                <w:szCs w:val="22"/>
              </w:rPr>
            </w:pPr>
            <w:r>
              <w:rPr>
                <w:rFonts w:ascii="Times New Roman"/>
                <w:sz w:val="22"/>
              </w:rPr>
              <w:t>8,990,453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1"/>
              <w:jc w:val="right"/>
              <w:rPr>
                <w:rFonts w:ascii="Times New Roman" w:hAnsi="Times New Roman" w:cs="Times New Roman" w:eastAsia="Times New Roman" w:hint="default"/>
                <w:sz w:val="22"/>
                <w:szCs w:val="22"/>
              </w:rPr>
            </w:pPr>
            <w:r>
              <w:rPr>
                <w:rFonts w:ascii="Times New Roman"/>
                <w:sz w:val="22"/>
              </w:rPr>
              <w:t>10,132,413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98"/>
              <w:jc w:val="right"/>
              <w:rPr>
                <w:rFonts w:ascii="Times New Roman" w:hAnsi="Times New Roman" w:cs="Times New Roman" w:eastAsia="Times New Roman" w:hint="default"/>
                <w:sz w:val="22"/>
                <w:szCs w:val="22"/>
              </w:rPr>
            </w:pPr>
            <w:r>
              <w:rPr>
                <w:rFonts w:ascii="Times New Roman"/>
                <w:sz w:val="22"/>
              </w:rPr>
              <w:t>1.92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3"/>
              <w:jc w:val="right"/>
              <w:rPr>
                <w:rFonts w:ascii="Times New Roman" w:hAnsi="Times New Roman" w:cs="Times New Roman" w:eastAsia="Times New Roman" w:hint="default"/>
                <w:sz w:val="22"/>
                <w:szCs w:val="22"/>
              </w:rPr>
            </w:pPr>
            <w:r>
              <w:rPr>
                <w:rFonts w:ascii="Times New Roman"/>
                <w:w w:val="100"/>
                <w:sz w:val="22"/>
              </w:rPr>
              <w:t>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3"/>
              <w:jc w:val="right"/>
              <w:rPr>
                <w:rFonts w:ascii="Times New Roman" w:hAnsi="Times New Roman" w:cs="Times New Roman" w:eastAsia="Times New Roman" w:hint="default"/>
                <w:sz w:val="22"/>
                <w:szCs w:val="22"/>
              </w:rPr>
            </w:pPr>
            <w:r>
              <w:rPr>
                <w:rFonts w:ascii="Times New Roman"/>
                <w:w w:val="100"/>
                <w:sz w:val="22"/>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9" w:right="139" w:hanging="106"/>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636"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天津市凯信金鹏股权投资基金</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合伙企业（有限合伙）</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03"/>
              <w:jc w:val="right"/>
              <w:rPr>
                <w:rFonts w:ascii="Times New Roman" w:hAnsi="Times New Roman" w:cs="Times New Roman" w:eastAsia="Times New Roman" w:hint="default"/>
                <w:sz w:val="22"/>
                <w:szCs w:val="22"/>
              </w:rPr>
            </w:pPr>
            <w:r>
              <w:rPr>
                <w:rFonts w:ascii="Times New Roman"/>
                <w:spacing w:val="-1"/>
                <w:sz w:val="22"/>
              </w:rPr>
              <w:t>-10,340,300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01"/>
              <w:jc w:val="right"/>
              <w:rPr>
                <w:rFonts w:ascii="Times New Roman" w:hAnsi="Times New Roman" w:cs="Times New Roman" w:eastAsia="Times New Roman" w:hint="default"/>
                <w:sz w:val="22"/>
                <w:szCs w:val="22"/>
              </w:rPr>
            </w:pPr>
            <w:r>
              <w:rPr>
                <w:rFonts w:ascii="Times New Roman"/>
                <w:sz w:val="22"/>
              </w:rPr>
              <w:t>7,779,521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98"/>
              <w:jc w:val="right"/>
              <w:rPr>
                <w:rFonts w:ascii="Times New Roman" w:hAnsi="Times New Roman" w:cs="Times New Roman" w:eastAsia="Times New Roman" w:hint="default"/>
                <w:sz w:val="22"/>
                <w:szCs w:val="22"/>
              </w:rPr>
            </w:pPr>
            <w:r>
              <w:rPr>
                <w:rFonts w:ascii="Times New Roman"/>
                <w:sz w:val="22"/>
              </w:rPr>
              <w:t>1.48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03"/>
              <w:jc w:val="right"/>
              <w:rPr>
                <w:rFonts w:ascii="Times New Roman" w:hAnsi="Times New Roman" w:cs="Times New Roman" w:eastAsia="Times New Roman" w:hint="default"/>
                <w:sz w:val="22"/>
                <w:szCs w:val="22"/>
              </w:rPr>
            </w:pPr>
            <w:r>
              <w:rPr>
                <w:rFonts w:ascii="Times New Roman"/>
                <w:w w:val="100"/>
                <w:sz w:val="22"/>
              </w:rPr>
              <w:t>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03"/>
              <w:jc w:val="right"/>
              <w:rPr>
                <w:rFonts w:ascii="Times New Roman" w:hAnsi="Times New Roman" w:cs="Times New Roman" w:eastAsia="Times New Roman" w:hint="default"/>
                <w:sz w:val="22"/>
                <w:szCs w:val="22"/>
              </w:rPr>
            </w:pPr>
            <w:r>
              <w:rPr>
                <w:rFonts w:ascii="Times New Roman"/>
                <w:w w:val="100"/>
                <w:sz w:val="22"/>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634"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刘妍婧</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1"/>
              <w:jc w:val="right"/>
              <w:rPr>
                <w:rFonts w:ascii="Times New Roman" w:hAnsi="Times New Roman" w:cs="Times New Roman" w:eastAsia="Times New Roman" w:hint="default"/>
                <w:sz w:val="22"/>
                <w:szCs w:val="22"/>
              </w:rPr>
            </w:pPr>
            <w:r>
              <w:rPr>
                <w:rFonts w:ascii="Times New Roman"/>
                <w:sz w:val="22"/>
              </w:rPr>
              <w:t>2,975,600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1"/>
              <w:jc w:val="right"/>
              <w:rPr>
                <w:rFonts w:ascii="Times New Roman" w:hAnsi="Times New Roman" w:cs="Times New Roman" w:eastAsia="Times New Roman" w:hint="default"/>
                <w:sz w:val="22"/>
                <w:szCs w:val="22"/>
              </w:rPr>
            </w:pPr>
            <w:r>
              <w:rPr>
                <w:rFonts w:ascii="Times New Roman"/>
                <w:sz w:val="22"/>
              </w:rPr>
              <w:t>4,655,725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98"/>
              <w:jc w:val="right"/>
              <w:rPr>
                <w:rFonts w:ascii="Times New Roman" w:hAnsi="Times New Roman" w:cs="Times New Roman" w:eastAsia="Times New Roman" w:hint="default"/>
                <w:sz w:val="22"/>
                <w:szCs w:val="22"/>
              </w:rPr>
            </w:pPr>
            <w:r>
              <w:rPr>
                <w:rFonts w:ascii="Times New Roman"/>
                <w:sz w:val="22"/>
              </w:rPr>
              <w:t>0.88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3"/>
              <w:jc w:val="right"/>
              <w:rPr>
                <w:rFonts w:ascii="Times New Roman" w:hAnsi="Times New Roman" w:cs="Times New Roman" w:eastAsia="Times New Roman" w:hint="default"/>
                <w:sz w:val="22"/>
                <w:szCs w:val="22"/>
              </w:rPr>
            </w:pPr>
            <w:r>
              <w:rPr>
                <w:rFonts w:ascii="Times New Roman"/>
                <w:w w:val="100"/>
                <w:sz w:val="22"/>
              </w:rPr>
              <w:t>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3"/>
              <w:jc w:val="right"/>
              <w:rPr>
                <w:rFonts w:ascii="Times New Roman" w:hAnsi="Times New Roman" w:cs="Times New Roman" w:eastAsia="Times New Roman" w:hint="default"/>
                <w:sz w:val="22"/>
                <w:szCs w:val="22"/>
              </w:rPr>
            </w:pPr>
            <w:r>
              <w:rPr>
                <w:rFonts w:ascii="Times New Roman"/>
                <w:w w:val="100"/>
                <w:sz w:val="22"/>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9" w:right="139" w:hanging="106"/>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bl>
    <w:p>
      <w:pPr>
        <w:spacing w:after="0" w:line="273" w:lineRule="auto"/>
        <w:jc w:val="left"/>
        <w:rPr>
          <w:rFonts w:ascii="宋体" w:hAnsi="宋体" w:cs="宋体" w:eastAsia="宋体" w:hint="default"/>
          <w:sz w:val="21"/>
          <w:szCs w:val="21"/>
        </w:rPr>
        <w:sectPr>
          <w:type w:val="continuous"/>
          <w:pgSz w:w="11910" w:h="16840"/>
          <w:pgMar w:top="1500" w:bottom="280" w:left="840" w:right="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2987"/>
        <w:gridCol w:w="1286"/>
        <w:gridCol w:w="1416"/>
        <w:gridCol w:w="852"/>
        <w:gridCol w:w="1070"/>
        <w:gridCol w:w="649"/>
        <w:gridCol w:w="833"/>
        <w:gridCol w:w="482"/>
        <w:gridCol w:w="929"/>
      </w:tblGrid>
      <w:tr>
        <w:trPr>
          <w:trHeight w:val="636"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南威软件股份有限公司回购专</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用证券账户</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01"/>
              <w:jc w:val="right"/>
              <w:rPr>
                <w:rFonts w:ascii="Times New Roman" w:hAnsi="Times New Roman" w:cs="Times New Roman" w:eastAsia="Times New Roman" w:hint="default"/>
                <w:sz w:val="22"/>
                <w:szCs w:val="22"/>
              </w:rPr>
            </w:pPr>
            <w:r>
              <w:rPr>
                <w:rFonts w:ascii="Times New Roman"/>
                <w:sz w:val="22"/>
              </w:rPr>
              <w:t>4,420,208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01"/>
              <w:jc w:val="right"/>
              <w:rPr>
                <w:rFonts w:ascii="Times New Roman" w:hAnsi="Times New Roman" w:cs="Times New Roman" w:eastAsia="Times New Roman" w:hint="default"/>
                <w:sz w:val="22"/>
                <w:szCs w:val="22"/>
              </w:rPr>
            </w:pPr>
            <w:r>
              <w:rPr>
                <w:rFonts w:ascii="Times New Roman"/>
                <w:sz w:val="22"/>
              </w:rPr>
              <w:t>4,420,208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98"/>
              <w:jc w:val="right"/>
              <w:rPr>
                <w:rFonts w:ascii="Times New Roman" w:hAnsi="Times New Roman" w:cs="Times New Roman" w:eastAsia="Times New Roman" w:hint="default"/>
                <w:sz w:val="22"/>
                <w:szCs w:val="22"/>
              </w:rPr>
            </w:pPr>
            <w:r>
              <w:rPr>
                <w:rFonts w:ascii="Times New Roman"/>
                <w:sz w:val="22"/>
              </w:rPr>
              <w:t>0.84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03"/>
              <w:jc w:val="right"/>
              <w:rPr>
                <w:rFonts w:ascii="Times New Roman" w:hAnsi="Times New Roman" w:cs="Times New Roman" w:eastAsia="Times New Roman" w:hint="default"/>
                <w:sz w:val="22"/>
                <w:szCs w:val="22"/>
              </w:rPr>
            </w:pPr>
            <w:r>
              <w:rPr>
                <w:rFonts w:ascii="Times New Roman"/>
                <w:w w:val="100"/>
                <w:sz w:val="22"/>
              </w:rPr>
              <w:t>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4"/>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03"/>
              <w:jc w:val="right"/>
              <w:rPr>
                <w:rFonts w:ascii="Times New Roman" w:hAnsi="Times New Roman" w:cs="Times New Roman" w:eastAsia="Times New Roman" w:hint="default"/>
                <w:sz w:val="22"/>
                <w:szCs w:val="22"/>
              </w:rPr>
            </w:pPr>
            <w:r>
              <w:rPr>
                <w:rFonts w:ascii="Times New Roman"/>
                <w:w w:val="100"/>
                <w:sz w:val="22"/>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946"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9"/>
              <w:jc w:val="both"/>
              <w:rPr>
                <w:rFonts w:ascii="宋体" w:hAnsi="宋体" w:cs="宋体" w:eastAsia="宋体" w:hint="default"/>
                <w:sz w:val="21"/>
                <w:szCs w:val="21"/>
              </w:rPr>
            </w:pPr>
            <w:r>
              <w:rPr>
                <w:rFonts w:ascii="宋体" w:hAnsi="宋体" w:cs="宋体" w:eastAsia="宋体" w:hint="default"/>
                <w:sz w:val="21"/>
                <w:szCs w:val="21"/>
              </w:rPr>
              <w:t>中国工商银行股份有限公司－</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光大保德信中国制造</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2025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灵</w:t>
            </w:r>
            <w:r>
              <w:rPr>
                <w:rFonts w:ascii="宋体" w:hAnsi="宋体" w:cs="宋体" w:eastAsia="宋体" w:hint="default"/>
                <w:spacing w:val="-103"/>
                <w:sz w:val="21"/>
                <w:szCs w:val="21"/>
              </w:rPr>
              <w:t> </w:t>
            </w:r>
            <w:r>
              <w:rPr>
                <w:rFonts w:ascii="宋体" w:hAnsi="宋体" w:cs="宋体" w:eastAsia="宋体" w:hint="default"/>
                <w:sz w:val="21"/>
                <w:szCs w:val="21"/>
              </w:rPr>
              <w:t>活配置混合型证券投资基金</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sz w:val="22"/>
              </w:rPr>
              <w:t>4,009,142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sz w:val="22"/>
              </w:rPr>
              <w:t>4,009,142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0.76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22"/>
                <w:szCs w:val="22"/>
              </w:rPr>
            </w:pPr>
            <w:r>
              <w:rPr>
                <w:rFonts w:ascii="Times New Roman"/>
                <w:w w:val="100"/>
                <w:sz w:val="22"/>
              </w:rPr>
              <w:t>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4"/>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22"/>
                <w:szCs w:val="22"/>
              </w:rPr>
            </w:pPr>
            <w:r>
              <w:rPr>
                <w:rFonts w:ascii="Times New Roman"/>
                <w:w w:val="100"/>
                <w:sz w:val="22"/>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634"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林祥加</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1"/>
              <w:jc w:val="right"/>
              <w:rPr>
                <w:rFonts w:ascii="Times New Roman" w:hAnsi="Times New Roman" w:cs="Times New Roman" w:eastAsia="Times New Roman" w:hint="default"/>
                <w:sz w:val="22"/>
                <w:szCs w:val="22"/>
              </w:rPr>
            </w:pPr>
            <w:r>
              <w:rPr>
                <w:rFonts w:ascii="Times New Roman"/>
                <w:sz w:val="22"/>
              </w:rPr>
              <w:t>2,743,896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1"/>
              <w:jc w:val="right"/>
              <w:rPr>
                <w:rFonts w:ascii="Times New Roman" w:hAnsi="Times New Roman" w:cs="Times New Roman" w:eastAsia="Times New Roman" w:hint="default"/>
                <w:sz w:val="22"/>
                <w:szCs w:val="22"/>
              </w:rPr>
            </w:pPr>
            <w:r>
              <w:rPr>
                <w:rFonts w:ascii="Times New Roman"/>
                <w:sz w:val="22"/>
              </w:rPr>
              <w:t>2,743,896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98"/>
              <w:jc w:val="right"/>
              <w:rPr>
                <w:rFonts w:ascii="Times New Roman" w:hAnsi="Times New Roman" w:cs="Times New Roman" w:eastAsia="Times New Roman" w:hint="default"/>
                <w:sz w:val="22"/>
                <w:szCs w:val="22"/>
              </w:rPr>
            </w:pPr>
            <w:r>
              <w:rPr>
                <w:rFonts w:ascii="Times New Roman"/>
                <w:sz w:val="22"/>
              </w:rPr>
              <w:t>0.52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3"/>
              <w:jc w:val="right"/>
              <w:rPr>
                <w:rFonts w:ascii="Times New Roman" w:hAnsi="Times New Roman" w:cs="Times New Roman" w:eastAsia="Times New Roman" w:hint="default"/>
                <w:sz w:val="22"/>
                <w:szCs w:val="22"/>
              </w:rPr>
            </w:pPr>
            <w:r>
              <w:rPr>
                <w:rFonts w:ascii="Times New Roman"/>
                <w:w w:val="100"/>
                <w:sz w:val="22"/>
              </w:rPr>
              <w:t>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4"/>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3"/>
              <w:jc w:val="right"/>
              <w:rPr>
                <w:rFonts w:ascii="Times New Roman" w:hAnsi="Times New Roman" w:cs="Times New Roman" w:eastAsia="Times New Roman" w:hint="default"/>
                <w:sz w:val="22"/>
                <w:szCs w:val="22"/>
              </w:rPr>
            </w:pPr>
            <w:r>
              <w:rPr>
                <w:rFonts w:ascii="Times New Roman"/>
                <w:w w:val="100"/>
                <w:sz w:val="22"/>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9" w:right="139" w:hanging="106"/>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634"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许艺耀</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1"/>
              <w:jc w:val="right"/>
              <w:rPr>
                <w:rFonts w:ascii="Times New Roman" w:hAnsi="Times New Roman" w:cs="Times New Roman" w:eastAsia="Times New Roman" w:hint="default"/>
                <w:sz w:val="22"/>
                <w:szCs w:val="22"/>
              </w:rPr>
            </w:pPr>
            <w:r>
              <w:rPr>
                <w:rFonts w:ascii="Times New Roman"/>
                <w:sz w:val="22"/>
              </w:rPr>
              <w:t>1,618,598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1"/>
              <w:jc w:val="right"/>
              <w:rPr>
                <w:rFonts w:ascii="Times New Roman" w:hAnsi="Times New Roman" w:cs="Times New Roman" w:eastAsia="Times New Roman" w:hint="default"/>
                <w:sz w:val="22"/>
                <w:szCs w:val="22"/>
              </w:rPr>
            </w:pPr>
            <w:r>
              <w:rPr>
                <w:rFonts w:ascii="Times New Roman"/>
                <w:sz w:val="22"/>
              </w:rPr>
              <w:t>1,618,598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98"/>
              <w:jc w:val="right"/>
              <w:rPr>
                <w:rFonts w:ascii="Times New Roman" w:hAnsi="Times New Roman" w:cs="Times New Roman" w:eastAsia="Times New Roman" w:hint="default"/>
                <w:sz w:val="22"/>
                <w:szCs w:val="22"/>
              </w:rPr>
            </w:pPr>
            <w:r>
              <w:rPr>
                <w:rFonts w:ascii="Times New Roman"/>
                <w:sz w:val="22"/>
              </w:rPr>
              <w:t>0.31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3"/>
              <w:jc w:val="right"/>
              <w:rPr>
                <w:rFonts w:ascii="Times New Roman" w:hAnsi="Times New Roman" w:cs="Times New Roman" w:eastAsia="Times New Roman" w:hint="default"/>
                <w:sz w:val="22"/>
                <w:szCs w:val="22"/>
              </w:rPr>
            </w:pPr>
            <w:r>
              <w:rPr>
                <w:rFonts w:ascii="Times New Roman"/>
                <w:w w:val="100"/>
                <w:sz w:val="22"/>
              </w:rPr>
              <w:t>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4"/>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3"/>
              <w:jc w:val="right"/>
              <w:rPr>
                <w:rFonts w:ascii="Times New Roman" w:hAnsi="Times New Roman" w:cs="Times New Roman" w:eastAsia="Times New Roman" w:hint="default"/>
                <w:sz w:val="22"/>
                <w:szCs w:val="22"/>
              </w:rPr>
            </w:pPr>
            <w:r>
              <w:rPr>
                <w:rFonts w:ascii="Times New Roman"/>
                <w:w w:val="100"/>
                <w:sz w:val="22"/>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9" w:right="139" w:hanging="106"/>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322" w:hRule="exact"/>
        </w:trPr>
        <w:tc>
          <w:tcPr>
            <w:tcW w:w="10504"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2" w:hRule="exact"/>
        </w:trPr>
        <w:tc>
          <w:tcPr>
            <w:tcW w:w="4273" w:type="dxa"/>
            <w:gridSpan w:val="2"/>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339" w:type="dxa"/>
            <w:gridSpan w:val="3"/>
            <w:vMerge w:val="restart"/>
            <w:tcBorders>
              <w:top w:val="single" w:sz="4" w:space="0" w:color="000000"/>
              <w:left w:val="single" w:sz="4" w:space="0" w:color="000000"/>
              <w:right w:val="single" w:sz="4" w:space="0" w:color="000000"/>
            </w:tcBorders>
          </w:tcPr>
          <w:p>
            <w:pPr>
              <w:pStyle w:val="TableParagraph"/>
              <w:spacing w:line="240" w:lineRule="auto" w:before="148"/>
              <w:ind w:left="295"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28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3"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5" w:hRule="exact"/>
        </w:trPr>
        <w:tc>
          <w:tcPr>
            <w:tcW w:w="4273" w:type="dxa"/>
            <w:gridSpan w:val="2"/>
            <w:vMerge/>
            <w:tcBorders>
              <w:left w:val="single" w:sz="4" w:space="0" w:color="000000"/>
              <w:bottom w:val="single" w:sz="4" w:space="0" w:color="000000"/>
              <w:right w:val="single" w:sz="4" w:space="0" w:color="000000"/>
            </w:tcBorders>
          </w:tcPr>
          <w:p>
            <w:pPr/>
          </w:p>
        </w:tc>
        <w:tc>
          <w:tcPr>
            <w:tcW w:w="3339" w:type="dxa"/>
            <w:gridSpan w:val="3"/>
            <w:vMerge/>
            <w:tcBorders>
              <w:left w:val="single" w:sz="4" w:space="0" w:color="000000"/>
              <w:bottom w:val="single" w:sz="4" w:space="0" w:color="000000"/>
              <w:right w:val="single" w:sz="4" w:space="0" w:color="000000"/>
            </w:tcBorders>
          </w:tcPr>
          <w:p>
            <w:pP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22" w:hRule="exact"/>
        </w:trPr>
        <w:tc>
          <w:tcPr>
            <w:tcW w:w="4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3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24" w:right="0"/>
              <w:jc w:val="left"/>
              <w:rPr>
                <w:rFonts w:ascii="Times New Roman" w:hAnsi="Times New Roman" w:cs="Times New Roman" w:eastAsia="Times New Roman" w:hint="default"/>
                <w:sz w:val="22"/>
                <w:szCs w:val="22"/>
              </w:rPr>
            </w:pPr>
            <w:r>
              <w:rPr>
                <w:rFonts w:ascii="Times New Roman"/>
                <w:sz w:val="22"/>
              </w:rPr>
              <w:t>239,181,429</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22"/>
                <w:szCs w:val="22"/>
              </w:rPr>
            </w:pPr>
            <w:r>
              <w:rPr>
                <w:rFonts w:ascii="Times New Roman"/>
                <w:sz w:val="22"/>
              </w:rPr>
              <w:t>239,181,429</w:t>
            </w:r>
          </w:p>
        </w:tc>
      </w:tr>
      <w:tr>
        <w:trPr>
          <w:trHeight w:val="322" w:hRule="exact"/>
        </w:trPr>
        <w:tc>
          <w:tcPr>
            <w:tcW w:w="4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中电科投资控股有限公司</w:t>
            </w:r>
          </w:p>
        </w:tc>
        <w:tc>
          <w:tcPr>
            <w:tcW w:w="3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z w:val="22"/>
              </w:rPr>
              <w:t>29,897,679</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04" w:right="0"/>
              <w:jc w:val="left"/>
              <w:rPr>
                <w:rFonts w:ascii="Times New Roman" w:hAnsi="Times New Roman" w:cs="Times New Roman" w:eastAsia="Times New Roman" w:hint="default"/>
                <w:sz w:val="22"/>
                <w:szCs w:val="22"/>
              </w:rPr>
            </w:pPr>
            <w:r>
              <w:rPr>
                <w:rFonts w:ascii="Times New Roman"/>
                <w:sz w:val="22"/>
              </w:rPr>
              <w:t>29,897,679</w:t>
            </w:r>
          </w:p>
        </w:tc>
      </w:tr>
      <w:tr>
        <w:trPr>
          <w:trHeight w:val="322" w:hRule="exact"/>
        </w:trPr>
        <w:tc>
          <w:tcPr>
            <w:tcW w:w="4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上海云鑫创业投资有限公司</w:t>
            </w:r>
          </w:p>
        </w:tc>
        <w:tc>
          <w:tcPr>
            <w:tcW w:w="3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z w:val="22"/>
              </w:rPr>
              <w:t>29,897,678</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04" w:right="0"/>
              <w:jc w:val="left"/>
              <w:rPr>
                <w:rFonts w:ascii="Times New Roman" w:hAnsi="Times New Roman" w:cs="Times New Roman" w:eastAsia="Times New Roman" w:hint="default"/>
                <w:sz w:val="22"/>
                <w:szCs w:val="22"/>
              </w:rPr>
            </w:pPr>
            <w:r>
              <w:rPr>
                <w:rFonts w:ascii="Times New Roman"/>
                <w:sz w:val="22"/>
              </w:rPr>
              <w:t>29,897,678</w:t>
            </w:r>
          </w:p>
        </w:tc>
      </w:tr>
      <w:tr>
        <w:trPr>
          <w:trHeight w:val="322" w:hRule="exact"/>
        </w:trPr>
        <w:tc>
          <w:tcPr>
            <w:tcW w:w="4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刘志强</w:t>
            </w:r>
          </w:p>
        </w:tc>
        <w:tc>
          <w:tcPr>
            <w:tcW w:w="3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z w:val="22"/>
              </w:rPr>
              <w:t>10,132,413</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0" w:right="0"/>
              <w:jc w:val="left"/>
              <w:rPr>
                <w:rFonts w:ascii="Times New Roman" w:hAnsi="Times New Roman" w:cs="Times New Roman" w:eastAsia="Times New Roman" w:hint="default"/>
                <w:sz w:val="21"/>
                <w:szCs w:val="21"/>
              </w:rPr>
            </w:pPr>
            <w:r>
              <w:rPr>
                <w:rFonts w:ascii="Times New Roman"/>
                <w:sz w:val="21"/>
              </w:rPr>
              <w:t>10,132,413</w:t>
            </w:r>
          </w:p>
        </w:tc>
      </w:tr>
      <w:tr>
        <w:trPr>
          <w:trHeight w:val="634" w:hRule="exact"/>
        </w:trPr>
        <w:tc>
          <w:tcPr>
            <w:tcW w:w="4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天津市凯信金鹏股权投资基金合伙企业（有</w:t>
            </w:r>
            <w:r>
              <w:rPr>
                <w:rFonts w:ascii="宋体" w:hAnsi="宋体" w:cs="宋体" w:eastAsia="宋体" w:hint="default"/>
                <w:spacing w:val="-45"/>
                <w:sz w:val="21"/>
                <w:szCs w:val="21"/>
              </w:rPr>
              <w:t> </w:t>
            </w:r>
            <w:r>
              <w:rPr>
                <w:rFonts w:ascii="宋体" w:hAnsi="宋体" w:cs="宋体" w:eastAsia="宋体" w:hint="default"/>
                <w:sz w:val="21"/>
                <w:szCs w:val="21"/>
              </w:rPr>
              <w:t>限合伙）</w:t>
            </w:r>
          </w:p>
        </w:tc>
        <w:tc>
          <w:tcPr>
            <w:tcW w:w="3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1"/>
              <w:jc w:val="right"/>
              <w:rPr>
                <w:rFonts w:ascii="Times New Roman" w:hAnsi="Times New Roman" w:cs="Times New Roman" w:eastAsia="Times New Roman" w:hint="default"/>
                <w:sz w:val="22"/>
                <w:szCs w:val="22"/>
              </w:rPr>
            </w:pPr>
            <w:r>
              <w:rPr>
                <w:rFonts w:ascii="Times New Roman"/>
                <w:sz w:val="22"/>
              </w:rPr>
              <w:t>7,779,521</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56" w:right="0"/>
              <w:jc w:val="left"/>
              <w:rPr>
                <w:rFonts w:ascii="Times New Roman" w:hAnsi="Times New Roman" w:cs="Times New Roman" w:eastAsia="Times New Roman" w:hint="default"/>
                <w:sz w:val="21"/>
                <w:szCs w:val="21"/>
              </w:rPr>
            </w:pPr>
            <w:r>
              <w:rPr>
                <w:rFonts w:ascii="Times New Roman"/>
                <w:sz w:val="21"/>
              </w:rPr>
              <w:t>7,779,521</w:t>
            </w:r>
          </w:p>
        </w:tc>
      </w:tr>
      <w:tr>
        <w:trPr>
          <w:trHeight w:val="324" w:hRule="exact"/>
        </w:trPr>
        <w:tc>
          <w:tcPr>
            <w:tcW w:w="4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刘妍婧</w:t>
            </w:r>
          </w:p>
        </w:tc>
        <w:tc>
          <w:tcPr>
            <w:tcW w:w="3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sz w:val="22"/>
              </w:rPr>
              <w:t>4,655,725</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56" w:right="0"/>
              <w:jc w:val="left"/>
              <w:rPr>
                <w:rFonts w:ascii="Times New Roman" w:hAnsi="Times New Roman" w:cs="Times New Roman" w:eastAsia="Times New Roman" w:hint="default"/>
                <w:sz w:val="21"/>
                <w:szCs w:val="21"/>
              </w:rPr>
            </w:pPr>
            <w:r>
              <w:rPr>
                <w:rFonts w:ascii="Times New Roman"/>
                <w:sz w:val="21"/>
              </w:rPr>
              <w:t>4,655,725</w:t>
            </w:r>
          </w:p>
        </w:tc>
      </w:tr>
      <w:tr>
        <w:trPr>
          <w:trHeight w:val="322" w:hRule="exact"/>
        </w:trPr>
        <w:tc>
          <w:tcPr>
            <w:tcW w:w="4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南威软件股份有限公司回购专用证券账户</w:t>
            </w:r>
          </w:p>
        </w:tc>
        <w:tc>
          <w:tcPr>
            <w:tcW w:w="3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z w:val="22"/>
              </w:rPr>
              <w:t>4,420,208</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56" w:right="0"/>
              <w:jc w:val="left"/>
              <w:rPr>
                <w:rFonts w:ascii="Times New Roman" w:hAnsi="Times New Roman" w:cs="Times New Roman" w:eastAsia="Times New Roman" w:hint="default"/>
                <w:sz w:val="21"/>
                <w:szCs w:val="21"/>
              </w:rPr>
            </w:pPr>
            <w:r>
              <w:rPr>
                <w:rFonts w:ascii="Times New Roman"/>
                <w:sz w:val="21"/>
              </w:rPr>
              <w:t>4,420,208</w:t>
            </w:r>
          </w:p>
        </w:tc>
      </w:tr>
      <w:tr>
        <w:trPr>
          <w:trHeight w:val="634" w:hRule="exact"/>
        </w:trPr>
        <w:tc>
          <w:tcPr>
            <w:tcW w:w="4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中国工商银行股份有限公司－光大保德信中</w:t>
            </w:r>
            <w:r>
              <w:rPr>
                <w:rFonts w:ascii="宋体" w:hAnsi="宋体" w:cs="宋体" w:eastAsia="宋体" w:hint="default"/>
                <w:spacing w:val="-45"/>
                <w:sz w:val="21"/>
                <w:szCs w:val="21"/>
              </w:rPr>
              <w:t> </w:t>
            </w:r>
            <w:r>
              <w:rPr>
                <w:rFonts w:ascii="宋体" w:hAnsi="宋体" w:cs="宋体" w:eastAsia="宋体" w:hint="default"/>
                <w:sz w:val="21"/>
                <w:szCs w:val="21"/>
              </w:rPr>
              <w:t>国制造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灵活配置混合型证券投资基金</w:t>
            </w:r>
          </w:p>
        </w:tc>
        <w:tc>
          <w:tcPr>
            <w:tcW w:w="3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1"/>
              <w:jc w:val="right"/>
              <w:rPr>
                <w:rFonts w:ascii="Times New Roman" w:hAnsi="Times New Roman" w:cs="Times New Roman" w:eastAsia="Times New Roman" w:hint="default"/>
                <w:sz w:val="22"/>
                <w:szCs w:val="22"/>
              </w:rPr>
            </w:pPr>
            <w:r>
              <w:rPr>
                <w:rFonts w:ascii="Times New Roman"/>
                <w:sz w:val="22"/>
              </w:rPr>
              <w:t>4,009,142</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56" w:right="0"/>
              <w:jc w:val="left"/>
              <w:rPr>
                <w:rFonts w:ascii="Times New Roman" w:hAnsi="Times New Roman" w:cs="Times New Roman" w:eastAsia="Times New Roman" w:hint="default"/>
                <w:sz w:val="21"/>
                <w:szCs w:val="21"/>
              </w:rPr>
            </w:pPr>
            <w:r>
              <w:rPr>
                <w:rFonts w:ascii="Times New Roman"/>
                <w:sz w:val="21"/>
              </w:rPr>
              <w:t>4,009,142</w:t>
            </w:r>
          </w:p>
        </w:tc>
      </w:tr>
      <w:tr>
        <w:trPr>
          <w:trHeight w:val="322" w:hRule="exact"/>
        </w:trPr>
        <w:tc>
          <w:tcPr>
            <w:tcW w:w="4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林祥加</w:t>
            </w:r>
          </w:p>
        </w:tc>
        <w:tc>
          <w:tcPr>
            <w:tcW w:w="3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z w:val="22"/>
              </w:rPr>
              <w:t>2,743,896</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56" w:right="0"/>
              <w:jc w:val="left"/>
              <w:rPr>
                <w:rFonts w:ascii="Times New Roman" w:hAnsi="Times New Roman" w:cs="Times New Roman" w:eastAsia="Times New Roman" w:hint="default"/>
                <w:sz w:val="21"/>
                <w:szCs w:val="21"/>
              </w:rPr>
            </w:pPr>
            <w:r>
              <w:rPr>
                <w:rFonts w:ascii="Times New Roman"/>
                <w:sz w:val="21"/>
              </w:rPr>
              <w:t>2,743,896</w:t>
            </w:r>
          </w:p>
        </w:tc>
      </w:tr>
      <w:tr>
        <w:trPr>
          <w:trHeight w:val="322" w:hRule="exact"/>
        </w:trPr>
        <w:tc>
          <w:tcPr>
            <w:tcW w:w="4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许艺耀</w:t>
            </w:r>
          </w:p>
        </w:tc>
        <w:tc>
          <w:tcPr>
            <w:tcW w:w="3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z w:val="22"/>
              </w:rPr>
              <w:t>1,618,598</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56" w:right="0"/>
              <w:jc w:val="left"/>
              <w:rPr>
                <w:rFonts w:ascii="Times New Roman" w:hAnsi="Times New Roman" w:cs="Times New Roman" w:eastAsia="Times New Roman" w:hint="default"/>
                <w:sz w:val="21"/>
                <w:szCs w:val="21"/>
              </w:rPr>
            </w:pPr>
            <w:r>
              <w:rPr>
                <w:rFonts w:ascii="Times New Roman"/>
                <w:sz w:val="21"/>
              </w:rPr>
              <w:t>1,618,598</w:t>
            </w:r>
          </w:p>
        </w:tc>
      </w:tr>
      <w:tr>
        <w:trPr>
          <w:trHeight w:val="1570" w:hRule="exact"/>
        </w:trPr>
        <w:tc>
          <w:tcPr>
            <w:tcW w:w="4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231" w:type="dxa"/>
            <w:gridSpan w:val="7"/>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4"/>
              <w:jc w:val="left"/>
              <w:rPr>
                <w:rFonts w:ascii="宋体" w:hAnsi="宋体" w:cs="宋体" w:eastAsia="宋体" w:hint="default"/>
                <w:sz w:val="21"/>
                <w:szCs w:val="21"/>
              </w:rPr>
            </w:pPr>
            <w:r>
              <w:rPr>
                <w:rFonts w:ascii="宋体" w:hAnsi="宋体" w:cs="宋体" w:eastAsia="宋体" w:hint="default"/>
                <w:spacing w:val="-4"/>
                <w:sz w:val="21"/>
                <w:szCs w:val="21"/>
              </w:rPr>
              <w:t>已知股东吴志雄先生、南威软件股份有限公司回购专用证券账户与</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上述其他股东不存在关联关系，也不属于《上市公司股东持股变动</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信息披露管理办法》中规定的一致行动人；未知其他股东之间是否</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存在关联关系或属于《上市公司股东持股变动信息披露管理办法》</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规定的一致行动人。</w:t>
            </w:r>
          </w:p>
        </w:tc>
      </w:tr>
      <w:tr>
        <w:trPr>
          <w:trHeight w:val="324" w:hRule="exact"/>
        </w:trPr>
        <w:tc>
          <w:tcPr>
            <w:tcW w:w="4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6231"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公司无优先股。</w:t>
            </w:r>
          </w:p>
        </w:tc>
      </w:tr>
    </w:tbl>
    <w:p>
      <w:pPr>
        <w:spacing w:after="0" w:line="265" w:lineRule="exact"/>
        <w:jc w:val="left"/>
        <w:rPr>
          <w:rFonts w:ascii="宋体" w:hAnsi="宋体" w:cs="宋体" w:eastAsia="宋体" w:hint="default"/>
          <w:sz w:val="21"/>
          <w:szCs w:val="21"/>
        </w:rPr>
        <w:sectPr>
          <w:pgSz w:w="11910" w:h="16840"/>
          <w:pgMar w:header="0" w:footer="979" w:top="1120" w:bottom="1160" w:left="840" w:right="320"/>
        </w:sectPr>
      </w:pPr>
    </w:p>
    <w:p>
      <w:pPr>
        <w:pStyle w:val="BodyText"/>
        <w:spacing w:line="273" w:lineRule="auto"/>
        <w:ind w:left="958" w:right="0"/>
        <w:jc w:val="left"/>
        <w:rPr>
          <w:rFonts w:ascii="宋体" w:hAnsi="宋体" w:cs="宋体" w:eastAsia="宋体" w:hint="default"/>
        </w:rPr>
      </w:pPr>
      <w:r>
        <w:rPr>
          <w:rFonts w:ascii="宋体" w:hAnsi="宋体" w:cs="宋体" w:eastAsia="宋体" w:hint="default"/>
          <w:w w:val="100"/>
        </w:rPr>
        <w:t>  </w:t>
      </w:r>
      <w:r>
        <w:rPr>
          <w:w w:val="100"/>
        </w:rPr>
        <w:t>前十</w:t>
      </w:r>
      <w:r>
        <w:rPr>
          <w:spacing w:val="-3"/>
          <w:w w:val="100"/>
        </w:rPr>
        <w:t>名</w:t>
      </w:r>
      <w:r>
        <w:rPr>
          <w:w w:val="100"/>
        </w:rPr>
        <w:t>有</w:t>
      </w:r>
      <w:r>
        <w:rPr>
          <w:spacing w:val="-3"/>
          <w:w w:val="100"/>
        </w:rPr>
        <w:t>限</w:t>
      </w:r>
      <w:r>
        <w:rPr>
          <w:w w:val="100"/>
        </w:rPr>
        <w:t>售</w:t>
      </w:r>
      <w:r>
        <w:rPr>
          <w:spacing w:val="-3"/>
          <w:w w:val="100"/>
        </w:rPr>
        <w:t>条</w:t>
      </w:r>
      <w:r>
        <w:rPr>
          <w:w w:val="100"/>
        </w:rPr>
        <w:t>件</w:t>
      </w:r>
      <w:r>
        <w:rPr>
          <w:spacing w:val="-3"/>
          <w:w w:val="100"/>
        </w:rPr>
        <w:t>股</w:t>
      </w:r>
      <w:r>
        <w:rPr>
          <w:w w:val="100"/>
        </w:rPr>
        <w:t>东</w:t>
      </w:r>
      <w:r>
        <w:rPr>
          <w:spacing w:val="-3"/>
          <w:w w:val="100"/>
        </w:rPr>
        <w:t>持</w:t>
      </w:r>
      <w:r>
        <w:rPr>
          <w:w w:val="100"/>
        </w:rPr>
        <w:t>股数</w:t>
      </w:r>
      <w:r>
        <w:rPr>
          <w:spacing w:val="-3"/>
          <w:w w:val="100"/>
        </w:rPr>
        <w:t>量</w:t>
      </w:r>
      <w:r>
        <w:rPr>
          <w:w w:val="100"/>
        </w:rPr>
        <w:t>及</w:t>
      </w:r>
      <w:r>
        <w:rPr>
          <w:spacing w:val="-3"/>
          <w:w w:val="100"/>
        </w:rPr>
        <w:t>限</w:t>
      </w:r>
      <w:r>
        <w:rPr>
          <w:w w:val="100"/>
        </w:rPr>
        <w:t>售</w:t>
      </w:r>
      <w:r>
        <w:rPr>
          <w:spacing w:val="-3"/>
          <w:w w:val="100"/>
        </w:rPr>
        <w:t>条件</w:t>
      </w:r>
      <w:r>
        <w:rPr>
          <w:rFonts w:ascii="宋体" w:hAnsi="宋体" w:cs="宋体" w:eastAsia="宋体" w:hint="default"/>
          <w:w w:val="100"/>
        </w:rPr>
        <w:t> </w:t>
      </w:r>
    </w:p>
    <w:p>
      <w:pPr>
        <w:pStyle w:val="BodyText"/>
        <w:spacing w:line="240" w:lineRule="auto" w:before="7"/>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9"/>
        <w:ind w:left="958"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840" w:right="320"/>
          <w:cols w:num="2" w:equalWidth="0">
            <w:col w:w="5056" w:space="2938"/>
            <w:col w:w="2756"/>
          </w:cols>
        </w:sectPr>
      </w:pPr>
    </w:p>
    <w:p>
      <w:pPr>
        <w:spacing w:line="240" w:lineRule="auto" w:before="10"/>
        <w:rPr>
          <w:rFonts w:ascii="宋体" w:hAnsi="宋体" w:cs="宋体" w:eastAsia="宋体" w:hint="default"/>
          <w:sz w:val="3"/>
          <w:szCs w:val="3"/>
        </w:rPr>
      </w:pPr>
    </w:p>
    <w:tbl>
      <w:tblPr>
        <w:tblW w:w="0" w:type="auto"/>
        <w:jc w:val="left"/>
        <w:tblInd w:w="720" w:type="dxa"/>
        <w:tblLayout w:type="fixed"/>
        <w:tblCellMar>
          <w:top w:w="0" w:type="dxa"/>
          <w:left w:w="0" w:type="dxa"/>
          <w:bottom w:w="0" w:type="dxa"/>
          <w:right w:w="0" w:type="dxa"/>
        </w:tblCellMar>
        <w:tblLook w:val="01E0"/>
      </w:tblPr>
      <w:tblGrid>
        <w:gridCol w:w="574"/>
        <w:gridCol w:w="1310"/>
        <w:gridCol w:w="1599"/>
        <w:gridCol w:w="1892"/>
        <w:gridCol w:w="1598"/>
        <w:gridCol w:w="2329"/>
      </w:tblGrid>
      <w:tr>
        <w:trPr>
          <w:trHeight w:val="322" w:hRule="exact"/>
        </w:trPr>
        <w:tc>
          <w:tcPr>
            <w:tcW w:w="574" w:type="dxa"/>
            <w:vMerge w:val="restart"/>
            <w:tcBorders>
              <w:top w:val="single" w:sz="4" w:space="0" w:color="000000"/>
              <w:left w:val="single" w:sz="4" w:space="0" w:color="000000"/>
              <w:right w:val="single" w:sz="4" w:space="0" w:color="000000"/>
            </w:tcBorders>
          </w:tcPr>
          <w:p>
            <w:pPr>
              <w:pStyle w:val="TableParagraph"/>
              <w:spacing w:line="273" w:lineRule="auto" w:before="148"/>
              <w:ind w:left="175" w:right="175"/>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1310" w:type="dxa"/>
            <w:vMerge w:val="restart"/>
            <w:tcBorders>
              <w:top w:val="single" w:sz="4" w:space="0" w:color="000000"/>
              <w:left w:val="single" w:sz="4" w:space="0" w:color="000000"/>
              <w:right w:val="single" w:sz="4" w:space="0" w:color="000000"/>
            </w:tcBorders>
          </w:tcPr>
          <w:p>
            <w:pPr>
              <w:pStyle w:val="TableParagraph"/>
              <w:spacing w:line="273" w:lineRule="auto" w:before="148"/>
              <w:ind w:left="230" w:right="120" w:hanging="106"/>
              <w:jc w:val="left"/>
              <w:rPr>
                <w:rFonts w:ascii="宋体" w:hAnsi="宋体" w:cs="宋体" w:eastAsia="宋体" w:hint="default"/>
                <w:sz w:val="21"/>
                <w:szCs w:val="21"/>
              </w:rPr>
            </w:pPr>
            <w:r>
              <w:rPr>
                <w:rFonts w:ascii="宋体" w:hAnsi="宋体" w:cs="宋体" w:eastAsia="宋体" w:hint="default"/>
                <w:sz w:val="21"/>
                <w:szCs w:val="21"/>
              </w:rPr>
              <w:t>有限售条件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股东名称</w:t>
            </w:r>
          </w:p>
        </w:tc>
        <w:tc>
          <w:tcPr>
            <w:tcW w:w="1599" w:type="dxa"/>
            <w:vMerge w:val="restart"/>
            <w:tcBorders>
              <w:top w:val="single" w:sz="4" w:space="0" w:color="000000"/>
              <w:left w:val="single" w:sz="4" w:space="0" w:color="000000"/>
              <w:right w:val="single" w:sz="4" w:space="0" w:color="000000"/>
            </w:tcBorders>
          </w:tcPr>
          <w:p>
            <w:pPr>
              <w:pStyle w:val="TableParagraph"/>
              <w:spacing w:line="273" w:lineRule="auto" w:before="148"/>
              <w:ind w:left="163" w:right="161"/>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3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232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39"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634" w:hRule="exact"/>
        </w:trPr>
        <w:tc>
          <w:tcPr>
            <w:tcW w:w="574" w:type="dxa"/>
            <w:vMerge/>
            <w:tcBorders>
              <w:left w:val="single" w:sz="4" w:space="0" w:color="000000"/>
              <w:bottom w:val="single" w:sz="4" w:space="0" w:color="000000"/>
              <w:right w:val="single" w:sz="4" w:space="0" w:color="000000"/>
            </w:tcBorders>
          </w:tcPr>
          <w:p>
            <w:pPr/>
          </w:p>
        </w:tc>
        <w:tc>
          <w:tcPr>
            <w:tcW w:w="1310" w:type="dxa"/>
            <w:vMerge/>
            <w:tcBorders>
              <w:left w:val="single" w:sz="4" w:space="0" w:color="000000"/>
              <w:bottom w:val="single" w:sz="4" w:space="0" w:color="000000"/>
              <w:right w:val="single" w:sz="4" w:space="0" w:color="000000"/>
            </w:tcBorders>
          </w:tcPr>
          <w:p>
            <w:pPr/>
          </w:p>
        </w:tc>
        <w:tc>
          <w:tcPr>
            <w:tcW w:w="1599"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4"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6" w:right="163" w:hanging="106"/>
              <w:jc w:val="left"/>
              <w:rPr>
                <w:rFonts w:ascii="宋体" w:hAnsi="宋体" w:cs="宋体" w:eastAsia="宋体" w:hint="default"/>
                <w:sz w:val="21"/>
                <w:szCs w:val="21"/>
              </w:rPr>
            </w:pPr>
            <w:r>
              <w:rPr>
                <w:rFonts w:ascii="宋体" w:hAnsi="宋体" w:cs="宋体" w:eastAsia="宋体" w:hint="default"/>
                <w:sz w:val="21"/>
                <w:szCs w:val="21"/>
              </w:rPr>
              <w:t>新增可上市交</w:t>
            </w:r>
            <w:r>
              <w:rPr>
                <w:rFonts w:ascii="宋体" w:hAnsi="宋体" w:cs="宋体" w:eastAsia="宋体" w:hint="default"/>
                <w:w w:val="100"/>
                <w:sz w:val="21"/>
                <w:szCs w:val="21"/>
              </w:rPr>
              <w:t> </w:t>
            </w:r>
            <w:r>
              <w:rPr>
                <w:rFonts w:ascii="宋体" w:hAnsi="宋体" w:cs="宋体" w:eastAsia="宋体" w:hint="default"/>
                <w:sz w:val="21"/>
                <w:szCs w:val="21"/>
              </w:rPr>
              <w:t>易股份数量</w:t>
            </w:r>
          </w:p>
        </w:tc>
        <w:tc>
          <w:tcPr>
            <w:tcW w:w="2329" w:type="dxa"/>
            <w:vMerge/>
            <w:tcBorders>
              <w:left w:val="single" w:sz="4" w:space="0" w:color="000000"/>
              <w:bottom w:val="single" w:sz="4" w:space="0" w:color="000000"/>
              <w:right w:val="single" w:sz="4" w:space="0" w:color="000000"/>
            </w:tcBorders>
          </w:tcPr>
          <w:p>
            <w:pPr/>
          </w:p>
        </w:tc>
      </w:tr>
      <w:tr>
        <w:trPr>
          <w:trHeight w:val="94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w w:val="100"/>
                <w:sz w:val="21"/>
              </w:rPr>
              <w:t>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杜认真</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63,000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01" w:right="0"/>
              <w:jc w:val="left"/>
              <w:rPr>
                <w:rFonts w:ascii="Times New Roman" w:hAnsi="Times New Roman" w:cs="Times New Roman" w:eastAsia="Times New Roman" w:hint="default"/>
                <w:sz w:val="21"/>
                <w:szCs w:val="21"/>
              </w:rPr>
            </w:pPr>
            <w:r>
              <w:rPr>
                <w:rFonts w:ascii="Times New Roman"/>
                <w:sz w:val="21"/>
              </w:rPr>
              <w:t>63,000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pacing w:val="-6"/>
                <w:sz w:val="21"/>
                <w:szCs w:val="21"/>
              </w:rPr>
              <w:t>按公司《</w:t>
            </w:r>
            <w:r>
              <w:rPr>
                <w:rFonts w:ascii="Times New Roman" w:hAnsi="Times New Roman" w:cs="Times New Roman" w:eastAsia="Times New Roman" w:hint="default"/>
                <w:spacing w:val="-6"/>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股票激励计划》有关规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定锁定和解锁。</w:t>
            </w:r>
          </w:p>
        </w:tc>
      </w:tr>
      <w:tr>
        <w:trPr>
          <w:trHeight w:val="948"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w w:val="100"/>
                <w:sz w:val="21"/>
              </w:rPr>
              <w:t>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林立成</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01" w:right="0"/>
              <w:jc w:val="left"/>
              <w:rPr>
                <w:rFonts w:ascii="Times New Roman" w:hAnsi="Times New Roman" w:cs="Times New Roman" w:eastAsia="Times New Roman" w:hint="default"/>
                <w:sz w:val="21"/>
                <w:szCs w:val="21"/>
              </w:rPr>
            </w:pPr>
            <w:r>
              <w:rPr>
                <w:rFonts w:ascii="Times New Roman"/>
                <w:sz w:val="21"/>
              </w:rPr>
              <w:t>60,000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pacing w:val="-6"/>
                <w:sz w:val="21"/>
                <w:szCs w:val="21"/>
              </w:rPr>
              <w:t>按公司《</w:t>
            </w:r>
            <w:r>
              <w:rPr>
                <w:rFonts w:ascii="Times New Roman" w:hAnsi="Times New Roman" w:cs="Times New Roman" w:eastAsia="Times New Roman" w:hint="default"/>
                <w:spacing w:val="-6"/>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股票激励计划》有关规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定锁定和解锁。</w:t>
            </w:r>
          </w:p>
        </w:tc>
      </w:tr>
    </w:tbl>
    <w:p>
      <w:pPr>
        <w:spacing w:after="0" w:line="264" w:lineRule="auto"/>
        <w:jc w:val="both"/>
        <w:rPr>
          <w:rFonts w:ascii="宋体" w:hAnsi="宋体" w:cs="宋体" w:eastAsia="宋体" w:hint="default"/>
          <w:sz w:val="21"/>
          <w:szCs w:val="21"/>
        </w:rPr>
        <w:sectPr>
          <w:type w:val="continuous"/>
          <w:pgSz w:w="11910" w:h="16840"/>
          <w:pgMar w:top="1500" w:bottom="280" w:left="840" w:right="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574"/>
        <w:gridCol w:w="1310"/>
        <w:gridCol w:w="1599"/>
        <w:gridCol w:w="1892"/>
        <w:gridCol w:w="1598"/>
        <w:gridCol w:w="2329"/>
      </w:tblGrid>
      <w:tr>
        <w:trPr>
          <w:trHeight w:val="948"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w w:val="100"/>
                <w:sz w:val="21"/>
              </w:rPr>
              <w:t>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何飞</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51,480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501" w:right="0"/>
              <w:jc w:val="left"/>
              <w:rPr>
                <w:rFonts w:ascii="Times New Roman" w:hAnsi="Times New Roman" w:cs="Times New Roman" w:eastAsia="Times New Roman" w:hint="default"/>
                <w:sz w:val="21"/>
                <w:szCs w:val="21"/>
              </w:rPr>
            </w:pPr>
            <w:r>
              <w:rPr>
                <w:rFonts w:ascii="Times New Roman"/>
                <w:sz w:val="21"/>
              </w:rPr>
              <w:t>51,480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pacing w:val="-6"/>
                <w:sz w:val="21"/>
                <w:szCs w:val="21"/>
              </w:rPr>
              <w:t>按公司《</w:t>
            </w:r>
            <w:r>
              <w:rPr>
                <w:rFonts w:ascii="Times New Roman" w:hAnsi="Times New Roman" w:cs="Times New Roman" w:eastAsia="Times New Roman" w:hint="default"/>
                <w:spacing w:val="-6"/>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股票激励计划》有关规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定锁定和解锁。</w:t>
            </w:r>
          </w:p>
        </w:tc>
      </w:tr>
      <w:tr>
        <w:trPr>
          <w:trHeight w:val="94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w w:val="100"/>
                <w:sz w:val="21"/>
              </w:rPr>
              <w:t>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胡柏耀</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01" w:right="0"/>
              <w:jc w:val="left"/>
              <w:rPr>
                <w:rFonts w:ascii="Times New Roman" w:hAnsi="Times New Roman" w:cs="Times New Roman" w:eastAsia="Times New Roman" w:hint="default"/>
                <w:sz w:val="21"/>
                <w:szCs w:val="21"/>
              </w:rPr>
            </w:pPr>
            <w:r>
              <w:rPr>
                <w:rFonts w:ascii="Times New Roman"/>
                <w:sz w:val="21"/>
              </w:rPr>
              <w:t>50,000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pacing w:val="-6"/>
                <w:sz w:val="21"/>
                <w:szCs w:val="21"/>
              </w:rPr>
              <w:t>按公司《</w:t>
            </w:r>
            <w:r>
              <w:rPr>
                <w:rFonts w:ascii="Times New Roman" w:hAnsi="Times New Roman" w:cs="Times New Roman" w:eastAsia="Times New Roman" w:hint="default"/>
                <w:spacing w:val="-6"/>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股票激励计划》有关规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定锁定和解锁。</w:t>
            </w:r>
          </w:p>
        </w:tc>
      </w:tr>
      <w:tr>
        <w:trPr>
          <w:trHeight w:val="94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w w:val="100"/>
                <w:sz w:val="21"/>
              </w:rPr>
              <w:t>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糜威</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40,560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01" w:right="0"/>
              <w:jc w:val="left"/>
              <w:rPr>
                <w:rFonts w:ascii="Times New Roman" w:hAnsi="Times New Roman" w:cs="Times New Roman" w:eastAsia="Times New Roman" w:hint="default"/>
                <w:sz w:val="21"/>
                <w:szCs w:val="21"/>
              </w:rPr>
            </w:pPr>
            <w:r>
              <w:rPr>
                <w:rFonts w:ascii="Times New Roman"/>
                <w:sz w:val="21"/>
              </w:rPr>
              <w:t>40,560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pacing w:val="-6"/>
                <w:sz w:val="21"/>
                <w:szCs w:val="21"/>
              </w:rPr>
              <w:t>按公司《</w:t>
            </w:r>
            <w:r>
              <w:rPr>
                <w:rFonts w:ascii="Times New Roman" w:hAnsi="Times New Roman" w:cs="Times New Roman" w:eastAsia="Times New Roman" w:hint="default"/>
                <w:spacing w:val="-6"/>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股票激励计划》有关规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定锁定和解锁。</w:t>
            </w:r>
          </w:p>
        </w:tc>
      </w:tr>
      <w:tr>
        <w:trPr>
          <w:trHeight w:val="94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w w:val="100"/>
                <w:sz w:val="21"/>
              </w:rPr>
              <w:t>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黄金俊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40,380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01" w:right="0"/>
              <w:jc w:val="left"/>
              <w:rPr>
                <w:rFonts w:ascii="Times New Roman" w:hAnsi="Times New Roman" w:cs="Times New Roman" w:eastAsia="Times New Roman" w:hint="default"/>
                <w:sz w:val="21"/>
                <w:szCs w:val="21"/>
              </w:rPr>
            </w:pPr>
            <w:r>
              <w:rPr>
                <w:rFonts w:ascii="Times New Roman"/>
                <w:sz w:val="21"/>
              </w:rPr>
              <w:t>40,380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pacing w:val="-6"/>
                <w:sz w:val="21"/>
                <w:szCs w:val="21"/>
              </w:rPr>
              <w:t>按公司《</w:t>
            </w:r>
            <w:r>
              <w:rPr>
                <w:rFonts w:ascii="Times New Roman" w:hAnsi="Times New Roman" w:cs="Times New Roman" w:eastAsia="Times New Roman" w:hint="default"/>
                <w:spacing w:val="-6"/>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股票激励计划》有关规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定锁定和解锁。</w:t>
            </w:r>
          </w:p>
        </w:tc>
      </w:tr>
      <w:tr>
        <w:trPr>
          <w:trHeight w:val="94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w w:val="100"/>
                <w:sz w:val="21"/>
              </w:rPr>
              <w:t>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张鹏程</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01" w:right="0"/>
              <w:jc w:val="left"/>
              <w:rPr>
                <w:rFonts w:ascii="Times New Roman" w:hAnsi="Times New Roman" w:cs="Times New Roman" w:eastAsia="Times New Roman" w:hint="default"/>
                <w:sz w:val="21"/>
                <w:szCs w:val="21"/>
              </w:rPr>
            </w:pPr>
            <w:r>
              <w:rPr>
                <w:rFonts w:ascii="Times New Roman"/>
                <w:sz w:val="21"/>
              </w:rPr>
              <w:t>36,000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pacing w:val="-6"/>
                <w:sz w:val="21"/>
                <w:szCs w:val="21"/>
              </w:rPr>
              <w:t>按公司《</w:t>
            </w:r>
            <w:r>
              <w:rPr>
                <w:rFonts w:ascii="Times New Roman" w:hAnsi="Times New Roman" w:cs="Times New Roman" w:eastAsia="Times New Roman" w:hint="default"/>
                <w:spacing w:val="-6"/>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股票激励计划》有关规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定锁定和解锁。</w:t>
            </w:r>
          </w:p>
        </w:tc>
      </w:tr>
      <w:tr>
        <w:trPr>
          <w:trHeight w:val="94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w w:val="100"/>
                <w:sz w:val="21"/>
              </w:rPr>
              <w:t>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吴丽卿</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01" w:right="0"/>
              <w:jc w:val="left"/>
              <w:rPr>
                <w:rFonts w:ascii="Times New Roman" w:hAnsi="Times New Roman" w:cs="Times New Roman" w:eastAsia="Times New Roman" w:hint="default"/>
                <w:sz w:val="21"/>
                <w:szCs w:val="21"/>
              </w:rPr>
            </w:pPr>
            <w:r>
              <w:rPr>
                <w:rFonts w:ascii="Times New Roman"/>
                <w:sz w:val="21"/>
              </w:rPr>
              <w:t>36,000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pacing w:val="-6"/>
                <w:sz w:val="21"/>
                <w:szCs w:val="21"/>
              </w:rPr>
              <w:t>按公司《</w:t>
            </w:r>
            <w:r>
              <w:rPr>
                <w:rFonts w:ascii="Times New Roman" w:hAnsi="Times New Roman" w:cs="Times New Roman" w:eastAsia="Times New Roman" w:hint="default"/>
                <w:spacing w:val="-6"/>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股票激励计划》有关规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定锁定和解锁。</w:t>
            </w:r>
          </w:p>
        </w:tc>
      </w:tr>
      <w:tr>
        <w:trPr>
          <w:trHeight w:val="948"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w w:val="100"/>
                <w:sz w:val="21"/>
              </w:rPr>
              <w:t>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廖长宝</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501" w:right="0"/>
              <w:jc w:val="left"/>
              <w:rPr>
                <w:rFonts w:ascii="Times New Roman" w:hAnsi="Times New Roman" w:cs="Times New Roman" w:eastAsia="Times New Roman" w:hint="default"/>
                <w:sz w:val="21"/>
                <w:szCs w:val="21"/>
              </w:rPr>
            </w:pPr>
            <w:r>
              <w:rPr>
                <w:rFonts w:ascii="Times New Roman"/>
                <w:sz w:val="21"/>
              </w:rPr>
              <w:t>36,000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宋体" w:hAnsi="宋体" w:cs="宋体" w:eastAsia="宋体" w:hint="default"/>
                <w:spacing w:val="-6"/>
                <w:sz w:val="21"/>
                <w:szCs w:val="21"/>
              </w:rPr>
              <w:t>按公司《</w:t>
            </w:r>
            <w:r>
              <w:rPr>
                <w:rFonts w:ascii="Times New Roman" w:hAnsi="Times New Roman" w:cs="Times New Roman" w:eastAsia="Times New Roman" w:hint="default"/>
                <w:spacing w:val="-6"/>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股票激励计划》有关规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定锁定和解锁。</w:t>
            </w:r>
          </w:p>
        </w:tc>
      </w:tr>
      <w:tr>
        <w:trPr>
          <w:trHeight w:val="946"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10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侯济恭</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01" w:right="0"/>
              <w:jc w:val="left"/>
              <w:rPr>
                <w:rFonts w:ascii="Times New Roman" w:hAnsi="Times New Roman" w:cs="Times New Roman" w:eastAsia="Times New Roman" w:hint="default"/>
                <w:sz w:val="21"/>
                <w:szCs w:val="21"/>
              </w:rPr>
            </w:pPr>
            <w:r>
              <w:rPr>
                <w:rFonts w:ascii="Times New Roman"/>
                <w:sz w:val="21"/>
              </w:rPr>
              <w:t>36,000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98"/>
              <w:jc w:val="both"/>
              <w:rPr>
                <w:rFonts w:ascii="宋体" w:hAnsi="宋体" w:cs="宋体" w:eastAsia="宋体" w:hint="default"/>
                <w:sz w:val="21"/>
                <w:szCs w:val="21"/>
              </w:rPr>
            </w:pPr>
            <w:r>
              <w:rPr>
                <w:rFonts w:ascii="宋体" w:hAnsi="宋体" w:cs="宋体" w:eastAsia="宋体" w:hint="default"/>
                <w:spacing w:val="-6"/>
                <w:sz w:val="21"/>
                <w:szCs w:val="21"/>
              </w:rPr>
              <w:t>按公司《</w:t>
            </w:r>
            <w:r>
              <w:rPr>
                <w:rFonts w:ascii="Times New Roman" w:hAnsi="Times New Roman" w:cs="Times New Roman" w:eastAsia="Times New Roman" w:hint="default"/>
                <w:spacing w:val="-6"/>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股票激励计划》有关规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定锁定和解锁。</w:t>
            </w:r>
          </w:p>
        </w:tc>
      </w:tr>
      <w:tr>
        <w:trPr>
          <w:trHeight w:val="946" w:hRule="exact"/>
        </w:trPr>
        <w:tc>
          <w:tcPr>
            <w:tcW w:w="18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both"/>
              <w:rPr>
                <w:rFonts w:ascii="宋体" w:hAnsi="宋体" w:cs="宋体" w:eastAsia="宋体" w:hint="default"/>
                <w:sz w:val="21"/>
                <w:szCs w:val="21"/>
              </w:rPr>
            </w:pPr>
            <w:r>
              <w:rPr>
                <w:rFonts w:ascii="宋体" w:hAnsi="宋体" w:cs="宋体" w:eastAsia="宋体" w:hint="default"/>
                <w:sz w:val="21"/>
                <w:szCs w:val="21"/>
              </w:rPr>
              <w:t>上述股东关联关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系或一致行动的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说明</w:t>
            </w:r>
            <w:r>
              <w:rPr>
                <w:rFonts w:ascii="宋体" w:hAnsi="宋体" w:cs="宋体" w:eastAsia="宋体" w:hint="default"/>
                <w:sz w:val="21"/>
                <w:szCs w:val="21"/>
              </w:rPr>
              <w:t> </w:t>
            </w:r>
          </w:p>
        </w:tc>
        <w:tc>
          <w:tcPr>
            <w:tcW w:w="74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62" w:lineRule="exact"/>
        <w:ind w:left="338" w:right="0"/>
        <w:jc w:val="left"/>
        <w:rPr>
          <w:rFonts w:ascii="宋体" w:hAnsi="宋体" w:cs="宋体" w:eastAsia="宋体" w:hint="default"/>
        </w:rPr>
      </w:pPr>
      <w:r>
        <w:rPr>
          <w:rFonts w:ascii="宋体"/>
          <w:w w:val="100"/>
        </w:rPr>
        <w:t> </w:t>
      </w:r>
    </w:p>
    <w:p>
      <w:pPr>
        <w:pStyle w:val="Heading4"/>
        <w:spacing w:line="240" w:lineRule="auto" w:before="97"/>
        <w:ind w:left="338" w:right="0"/>
        <w:jc w:val="left"/>
        <w:rPr>
          <w:b w:val="0"/>
          <w:bCs w:val="0"/>
        </w:rPr>
      </w:pPr>
      <w:r>
        <w:rPr>
          <w:rFonts w:ascii="宋体" w:hAnsi="宋体" w:cs="宋体" w:eastAsia="宋体" w:hint="default"/>
        </w:rPr>
        <w:t>(</w:t>
      </w:r>
      <w:r>
        <w:rPr/>
        <w:t>三</w:t>
      </w:r>
      <w:r>
        <w:rPr>
          <w:rFonts w:ascii="宋体" w:hAnsi="宋体" w:cs="宋体" w:eastAsia="宋体" w:hint="default"/>
        </w:rPr>
        <w:t>) </w:t>
      </w:r>
      <w:r>
        <w:rPr/>
        <w:t>战略投资者或一般法人因配售新股成为前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名股东</w:t>
      </w:r>
      <w:r>
        <w:rPr>
          <w:b w:val="0"/>
          <w:bCs w:val="0"/>
        </w:rPr>
      </w:r>
    </w:p>
    <w:p>
      <w:pPr>
        <w:pStyle w:val="BodyText"/>
        <w:spacing w:line="240" w:lineRule="auto" w:before="81"/>
        <w:ind w:left="3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97"/>
        <w:ind w:left="338" w:right="6190"/>
        <w:jc w:val="left"/>
        <w:rPr>
          <w:b w:val="0"/>
          <w:bCs w:val="0"/>
        </w:rPr>
      </w:pPr>
      <w:r>
        <w:rPr/>
        <w:t>四、</w:t>
      </w:r>
      <w:r>
        <w:rPr>
          <w:spacing w:val="-79"/>
        </w:rPr>
        <w:t> </w:t>
      </w:r>
      <w:r>
        <w:rPr>
          <w:rFonts w:ascii="宋体" w:hAnsi="宋体" w:cs="宋体" w:eastAsia="宋体" w:hint="default"/>
          <w:spacing w:val="-79"/>
        </w:rPr>
      </w:r>
      <w:r>
        <w:rPr/>
        <w:t>控股股东及实际控制人情况</w:t>
      </w:r>
      <w:r>
        <w:rPr>
          <w:w w:val="100"/>
        </w:rPr>
        <w:t> </w:t>
      </w:r>
      <w:r>
        <w:rPr>
          <w:rFonts w:ascii="宋体" w:hAnsi="宋体" w:cs="宋体" w:eastAsia="宋体" w:hint="default"/>
        </w:rPr>
        <w:t>(</w:t>
      </w:r>
      <w:r>
        <w:rPr/>
        <w:t>一</w:t>
      </w:r>
      <w:r>
        <w:rPr>
          <w:rFonts w:ascii="宋体" w:hAnsi="宋体" w:cs="宋体" w:eastAsia="宋体" w:hint="default"/>
        </w:rPr>
        <w:t>)</w:t>
      </w:r>
      <w:r>
        <w:rPr/>
        <w:t>控股股东情况</w:t>
      </w:r>
      <w:r>
        <w:rPr>
          <w:b w:val="0"/>
          <w:bCs w:val="0"/>
        </w:rPr>
      </w:r>
    </w:p>
    <w:p>
      <w:pPr>
        <w:pStyle w:val="Heading4"/>
        <w:spacing w:line="240" w:lineRule="auto" w:before="23"/>
        <w:ind w:left="338" w:right="0"/>
        <w:jc w:val="left"/>
        <w:rPr>
          <w:rFonts w:ascii="宋体" w:hAnsi="宋体" w:cs="宋体" w:eastAsia="宋体" w:hint="default"/>
          <w:b w:val="0"/>
          <w:bCs w:val="0"/>
        </w:rPr>
      </w:pPr>
      <w:r>
        <w:rPr>
          <w:rFonts w:ascii="Times New Roman" w:hAnsi="Times New Roman" w:cs="Times New Roman" w:eastAsia="Times New Roman" w:hint="default"/>
        </w:rPr>
        <w:t>1</w:t>
      </w:r>
      <w:r>
        <w:rPr/>
        <w:t>、</w:t>
      </w:r>
      <w:r>
        <w:rPr>
          <w:spacing w:val="-2"/>
        </w:rPr>
        <w:t> </w:t>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2"/>
        <w:ind w:left="3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338" w:right="0"/>
        <w:jc w:val="left"/>
        <w:rPr>
          <w:rFonts w:ascii="宋体" w:hAnsi="宋体" w:cs="宋体" w:eastAsia="宋体" w:hint="default"/>
        </w:rPr>
      </w:pPr>
      <w:r>
        <w:rPr>
          <w:rFonts w:ascii="宋体"/>
          <w:w w:val="100"/>
        </w:rPr>
        <w:t> </w:t>
      </w:r>
    </w:p>
    <w:p>
      <w:pPr>
        <w:pStyle w:val="Heading4"/>
        <w:spacing w:line="240" w:lineRule="auto" w:before="97"/>
        <w:ind w:left="338" w:right="0"/>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1"/>
        </w:rPr>
        <w:t> </w:t>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left="3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225" w:type="dxa"/>
        <w:tblLayout w:type="fixed"/>
        <w:tblCellMar>
          <w:top w:w="0" w:type="dxa"/>
          <w:left w:w="0" w:type="dxa"/>
          <w:bottom w:w="0" w:type="dxa"/>
          <w:right w:w="0" w:type="dxa"/>
        </w:tblCellMar>
        <w:tblLook w:val="01E0"/>
      </w:tblPr>
      <w:tblGrid>
        <w:gridCol w:w="3370"/>
        <w:gridCol w:w="5679"/>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 </w:t>
            </w:r>
          </w:p>
        </w:tc>
      </w:tr>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6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公司董事长兼总经理；武夷山国际健康管理集团有限公司执</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行董事、武夷山国际健康小镇有限公司执行董事、武夷山国</w:t>
            </w:r>
          </w:p>
        </w:tc>
      </w:tr>
    </w:tbl>
    <w:p>
      <w:pPr>
        <w:spacing w:after="0" w:line="273" w:lineRule="auto"/>
        <w:jc w:val="left"/>
        <w:rPr>
          <w:rFonts w:ascii="宋体" w:hAnsi="宋体" w:cs="宋体" w:eastAsia="宋体" w:hint="default"/>
          <w:sz w:val="21"/>
          <w:szCs w:val="21"/>
        </w:rPr>
        <w:sectPr>
          <w:pgSz w:w="11910" w:h="16840"/>
          <w:pgMar w:header="0" w:footer="979" w:top="1120" w:bottom="1160" w:left="146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p>
      <w:pPr>
        <w:spacing w:line="1591" w:lineRule="exact"/>
        <w:ind w:left="105" w:right="0" w:firstLine="0"/>
        <w:rPr>
          <w:rFonts w:ascii="宋体" w:hAnsi="宋体" w:cs="宋体" w:eastAsia="宋体" w:hint="default"/>
          <w:sz w:val="20"/>
          <w:szCs w:val="20"/>
        </w:rPr>
      </w:pPr>
      <w:r>
        <w:rPr>
          <w:rFonts w:ascii="宋体" w:hAnsi="宋体" w:cs="宋体" w:eastAsia="宋体" w:hint="default"/>
          <w:position w:val="-31"/>
          <w:sz w:val="20"/>
          <w:szCs w:val="20"/>
        </w:rPr>
        <w:pict>
          <v:group style="width:453pt;height:79.6pt;mso-position-horizontal-relative:char;mso-position-vertical-relative:line" coordorigin="0,0" coordsize="9060,1592">
            <v:group style="position:absolute;left:10;top:10;width:3361;height:2" coordorigin="10,10" coordsize="3361,2">
              <v:shape style="position:absolute;left:10;top:10;width:3361;height:2" coordorigin="10,10" coordsize="3361,0" path="m10,10l3370,10e" filled="false" stroked="true" strokeweight=".48pt" strokecolor="#000000">
                <v:path arrowok="t"/>
              </v:shape>
            </v:group>
            <v:group style="position:absolute;left:3380;top:10;width:5670;height:2" coordorigin="3380,10" coordsize="5670,2">
              <v:shape style="position:absolute;left:3380;top:10;width:5670;height:2" coordorigin="3380,10" coordsize="5670,0" path="m3380,10l9050,10e" filled="false" stroked="true" strokeweight=".48pt" strokecolor="#000000">
                <v:path arrowok="t"/>
              </v:shape>
            </v:group>
            <v:group style="position:absolute;left:5;top:5;width:2;height:1582" coordorigin="5,5" coordsize="2,1582">
              <v:shape style="position:absolute;left:5;top:5;width:2;height:1582" coordorigin="5,5" coordsize="0,1582" path="m5,5l5,1587e" filled="false" stroked="true" strokeweight=".48pt" strokecolor="#000000">
                <v:path arrowok="t"/>
              </v:shape>
            </v:group>
            <v:group style="position:absolute;left:10;top:1582;width:3361;height:2" coordorigin="10,1582" coordsize="3361,2">
              <v:shape style="position:absolute;left:10;top:1582;width:3361;height:2" coordorigin="10,1582" coordsize="3361,0" path="m10,1582l3370,1582e" filled="false" stroked="true" strokeweight=".48pt" strokecolor="#000000">
                <v:path arrowok="t"/>
              </v:shape>
            </v:group>
            <v:group style="position:absolute;left:3375;top:5;width:2;height:1582" coordorigin="3375,5" coordsize="2,1582">
              <v:shape style="position:absolute;left:3375;top:5;width:2;height:1582" coordorigin="3375,5" coordsize="0,1582" path="m3375,5l3375,1587e" filled="false" stroked="true" strokeweight=".48pt" strokecolor="#000000">
                <v:path arrowok="t"/>
              </v:shape>
            </v:group>
            <v:group style="position:absolute;left:3380;top:1582;width:5670;height:2" coordorigin="3380,1582" coordsize="5670,2">
              <v:shape style="position:absolute;left:3380;top:1582;width:5670;height:2" coordorigin="3380,1582" coordsize="5670,0" path="m3380,1582l9050,1582e" filled="false" stroked="true" strokeweight=".48pt" strokecolor="#000000">
                <v:path arrowok="t"/>
              </v:shape>
            </v:group>
            <v:group style="position:absolute;left:9054;top:5;width:2;height:1582" coordorigin="9054,5" coordsize="2,1582">
              <v:shape style="position:absolute;left:9054;top:5;width:2;height:1582" coordorigin="9054,5" coordsize="0,1582" path="m9054,5l9054,1587e" filled="false" stroked="true" strokeweight=".47998pt" strokecolor="#000000">
                <v:path arrowok="t"/>
              </v:shape>
              <v:shape style="position:absolute;left:3375;top:10;width:5680;height:1573" type="#_x0000_t202" filled="false" stroked="false">
                <v:textbox inset="0,0,0,0">
                  <w:txbxContent>
                    <w:p>
                      <w:pPr>
                        <w:spacing w:line="273" w:lineRule="auto" w:before="0"/>
                        <w:ind w:left="108" w:right="103" w:firstLine="0"/>
                        <w:jc w:val="both"/>
                        <w:rPr>
                          <w:rFonts w:ascii="宋体" w:hAnsi="宋体" w:cs="宋体" w:eastAsia="宋体" w:hint="default"/>
                          <w:sz w:val="21"/>
                          <w:szCs w:val="21"/>
                        </w:rPr>
                      </w:pPr>
                      <w:r>
                        <w:rPr>
                          <w:rFonts w:ascii="宋体" w:hAnsi="宋体" w:cs="宋体" w:eastAsia="宋体" w:hint="default"/>
                          <w:spacing w:val="-2"/>
                          <w:sz w:val="21"/>
                          <w:szCs w:val="21"/>
                        </w:rPr>
                        <w:t>际转诊中心有限公司执行董事、武夷山国际抗衰老中心有限</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公司执行董事、武夷山国际医疗旅游旅行社有限公司执行董</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事、武夷山国际康复疗养中心有限公司执行董事、武夷山国</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际体检中心有限公司执行董事、泉州匹兹堡健康中心有限公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司执行董事、武夷山国际健康论坛有限公司执行董事。</w:t>
                      </w:r>
                      <w:r>
                        <w:rPr>
                          <w:rFonts w:ascii="宋体" w:hAnsi="宋体" w:cs="宋体" w:eastAsia="宋体" w:hint="default"/>
                          <w:sz w:val="21"/>
                          <w:szCs w:val="21"/>
                        </w:rPr>
                        <w:t> </w:t>
                      </w:r>
                    </w:p>
                  </w:txbxContent>
                </v:textbox>
                <w10:wrap type="none"/>
              </v:shape>
            </v:group>
          </v:group>
        </w:pict>
      </w:r>
      <w:r>
        <w:rPr>
          <w:rFonts w:ascii="宋体" w:hAnsi="宋体" w:cs="宋体" w:eastAsia="宋体" w:hint="default"/>
          <w:position w:val="-31"/>
          <w:sz w:val="20"/>
          <w:szCs w:val="20"/>
        </w:rPr>
      </w:r>
    </w:p>
    <w:p>
      <w:pPr>
        <w:pStyle w:val="BodyText"/>
        <w:spacing w:line="258" w:lineRule="exact"/>
        <w:ind w:right="0"/>
        <w:jc w:val="left"/>
        <w:rPr>
          <w:rFonts w:ascii="宋体" w:hAnsi="宋体" w:cs="宋体" w:eastAsia="宋体" w:hint="default"/>
        </w:rPr>
      </w:pPr>
      <w:r>
        <w:rPr>
          <w:rFonts w:ascii="宋体"/>
          <w:w w:val="100"/>
        </w:rPr>
        <w:t> </w:t>
      </w:r>
    </w:p>
    <w:p>
      <w:pPr>
        <w:pStyle w:val="Heading4"/>
        <w:spacing w:line="240" w:lineRule="auto" w:before="97"/>
        <w:ind w:right="0"/>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4"/>
        </w:rPr>
        <w:t> </w:t>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before="97"/>
        <w:ind w:right="0"/>
        <w:jc w:val="left"/>
        <w:rPr>
          <w:rFonts w:ascii="宋体" w:hAnsi="宋体" w:cs="宋体" w:eastAsia="宋体" w:hint="default"/>
          <w:b w:val="0"/>
          <w:bCs w:val="0"/>
        </w:rPr>
      </w:pPr>
      <w:r>
        <w:rPr>
          <w:rFonts w:ascii="Times New Roman" w:hAnsi="Times New Roman" w:cs="Times New Roman" w:eastAsia="Times New Roman" w:hint="default"/>
        </w:rPr>
        <w:t>4</w:t>
      </w:r>
      <w:r>
        <w:rPr/>
        <w:t>、</w:t>
      </w:r>
      <w:r>
        <w:rPr>
          <w:spacing w:val="-4"/>
        </w:rPr>
        <w:t> </w:t>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before="97"/>
        <w:ind w:right="0"/>
        <w:jc w:val="left"/>
        <w:rPr>
          <w:rFonts w:ascii="宋体" w:hAnsi="宋体" w:cs="宋体" w:eastAsia="宋体" w:hint="default"/>
          <w:b w:val="0"/>
          <w:bCs w:val="0"/>
        </w:rPr>
      </w:pPr>
      <w:r>
        <w:rPr>
          <w:rFonts w:ascii="Times New Roman" w:hAnsi="Times New Roman" w:cs="Times New Roman" w:eastAsia="Times New Roman" w:hint="default"/>
        </w:rPr>
        <w:t>5</w:t>
      </w:r>
      <w:r>
        <w:rPr/>
        <w:t>、</w:t>
      </w:r>
      <w:r>
        <w:rPr>
          <w:spacing w:val="-5"/>
        </w:rPr>
        <w:t> </w:t>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2" w:lineRule="auto" w:before="110"/>
        <w:ind w:left="638" w:right="95" w:hanging="421"/>
        <w:jc w:val="left"/>
      </w:pPr>
      <w:r>
        <w:rPr/>
        <w:drawing>
          <wp:inline distT="0" distB="0" distL="0" distR="0">
            <wp:extent cx="2847594" cy="150482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36" cstate="print"/>
                    <a:stretch>
                      <a:fillRect/>
                    </a:stretch>
                  </pic:blipFill>
                  <pic:spPr>
                    <a:xfrm>
                      <a:off x="0" y="0"/>
                      <a:ext cx="2847594" cy="1504822"/>
                    </a:xfrm>
                    <a:prstGeom prst="rect">
                      <a:avLst/>
                    </a:prstGeom>
                  </pic:spPr>
                </pic:pic>
              </a:graphicData>
            </a:graphic>
          </wp:inline>
        </w:drawing>
      </w:r>
      <w:r>
        <w:rPr/>
      </w:r>
      <w:r>
        <w:rPr>
          <w:rFonts w:ascii="宋体" w:hAnsi="宋体" w:cs="宋体" w:eastAsia="宋体" w:hint="default"/>
          <w:w w:val="100"/>
        </w:rPr>
        <w:t>  </w:t>
      </w:r>
      <w:r>
        <w:rPr>
          <w:w w:val="100"/>
        </w:rPr>
        <w:t>截止</w:t>
      </w:r>
      <w:r>
        <w:rPr>
          <w:spacing w:val="-3"/>
          <w:w w:val="100"/>
        </w:rPr>
        <w:t>报</w:t>
      </w:r>
      <w:r>
        <w:rPr>
          <w:w w:val="100"/>
        </w:rPr>
        <w:t>告</w:t>
      </w:r>
      <w:r>
        <w:rPr>
          <w:spacing w:val="-3"/>
          <w:w w:val="100"/>
        </w:rPr>
        <w:t>期</w:t>
      </w:r>
      <w:r>
        <w:rPr>
          <w:w w:val="100"/>
        </w:rPr>
        <w:t>末</w:t>
      </w:r>
      <w:r>
        <w:rPr>
          <w:spacing w:val="-32"/>
          <w:w w:val="100"/>
        </w:rPr>
        <w:t>，</w:t>
      </w:r>
      <w:r>
        <w:rPr>
          <w:w w:val="100"/>
        </w:rPr>
        <w:t>公</w:t>
      </w:r>
      <w:r>
        <w:rPr>
          <w:spacing w:val="-3"/>
          <w:w w:val="100"/>
        </w:rPr>
        <w:t>司</w:t>
      </w:r>
      <w:r>
        <w:rPr>
          <w:w w:val="100"/>
        </w:rPr>
        <w:t>实</w:t>
      </w:r>
      <w:r>
        <w:rPr>
          <w:spacing w:val="-3"/>
          <w:w w:val="100"/>
        </w:rPr>
        <w:t>际</w:t>
      </w:r>
      <w:r>
        <w:rPr>
          <w:w w:val="100"/>
        </w:rPr>
        <w:t>控制</w:t>
      </w:r>
      <w:r>
        <w:rPr>
          <w:spacing w:val="-3"/>
          <w:w w:val="100"/>
        </w:rPr>
        <w:t>人</w:t>
      </w:r>
      <w:r>
        <w:rPr>
          <w:w w:val="100"/>
        </w:rPr>
        <w:t>吴</w:t>
      </w:r>
      <w:r>
        <w:rPr>
          <w:spacing w:val="-3"/>
          <w:w w:val="100"/>
        </w:rPr>
        <w:t>志</w:t>
      </w:r>
      <w:r>
        <w:rPr>
          <w:w w:val="100"/>
        </w:rPr>
        <w:t>雄</w:t>
      </w:r>
      <w:r>
        <w:rPr>
          <w:spacing w:val="-3"/>
          <w:w w:val="100"/>
        </w:rPr>
        <w:t>先</w:t>
      </w:r>
      <w:r>
        <w:rPr>
          <w:w w:val="100"/>
        </w:rPr>
        <w:t>生</w:t>
      </w:r>
      <w:r>
        <w:rPr>
          <w:spacing w:val="-3"/>
          <w:w w:val="100"/>
        </w:rPr>
        <w:t>所</w:t>
      </w:r>
      <w:r>
        <w:rPr>
          <w:w w:val="100"/>
        </w:rPr>
        <w:t>持</w:t>
      </w:r>
      <w:r>
        <w:rPr>
          <w:spacing w:val="-3"/>
          <w:w w:val="100"/>
        </w:rPr>
        <w:t>公</w:t>
      </w:r>
      <w:r>
        <w:rPr>
          <w:w w:val="100"/>
        </w:rPr>
        <w:t>司股</w:t>
      </w:r>
      <w:r>
        <w:rPr>
          <w:spacing w:val="-3"/>
          <w:w w:val="100"/>
        </w:rPr>
        <w:t>份</w:t>
      </w:r>
      <w:r>
        <w:rPr>
          <w:w w:val="100"/>
        </w:rPr>
        <w:t>的</w:t>
      </w:r>
      <w:r>
        <w:rPr>
          <w:spacing w:val="-3"/>
          <w:w w:val="100"/>
        </w:rPr>
        <w:t>比例</w:t>
      </w:r>
      <w:r>
        <w:rPr>
          <w:w w:val="100"/>
        </w:rPr>
        <w:t>为</w:t>
      </w:r>
      <w:r>
        <w:rPr>
          <w:spacing w:val="-53"/>
        </w:rPr>
        <w:t> </w:t>
      </w:r>
      <w:r>
        <w:rPr>
          <w:rFonts w:ascii="Times New Roman" w:hAnsi="Times New Roman" w:cs="Times New Roman" w:eastAsia="Times New Roman" w:hint="default"/>
          <w:w w:val="100"/>
        </w:rPr>
        <w:t>45.</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w w:val="100"/>
        </w:rPr>
        <w:t>%</w:t>
      </w:r>
      <w:r>
        <w:rPr>
          <w:spacing w:val="-32"/>
          <w:w w:val="100"/>
        </w:rPr>
        <w:t>；</w:t>
      </w:r>
      <w:r>
        <w:rPr>
          <w:w w:val="100"/>
        </w:rPr>
        <w:t>鉴于</w:t>
      </w:r>
      <w:r>
        <w:rPr>
          <w:spacing w:val="-3"/>
          <w:w w:val="100"/>
        </w:rPr>
        <w:t>“</w:t>
      </w:r>
      <w:r>
        <w:rPr>
          <w:w w:val="100"/>
        </w:rPr>
        <w:t>南</w:t>
      </w:r>
      <w:r>
        <w:rPr>
          <w:spacing w:val="-3"/>
          <w:w w:val="100"/>
        </w:rPr>
        <w:t>威转债</w:t>
      </w:r>
      <w:r>
        <w:rPr>
          <w:w w:val="100"/>
        </w:rPr>
        <w:t>”</w:t>
      </w:r>
    </w:p>
    <w:p>
      <w:pPr>
        <w:pStyle w:val="BodyText"/>
        <w:spacing w:line="256" w:lineRule="auto" w:before="19"/>
        <w:ind w:right="0"/>
        <w:jc w:val="left"/>
      </w:pPr>
      <w:r>
        <w:rPr/>
        <w:t>已于</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spacing w:val="-5"/>
        </w:rPr>
        <w:t>日完成提前转股并摘牌，公司总股本增至</w:t>
      </w:r>
      <w:r>
        <w:rPr>
          <w:spacing w:val="-45"/>
        </w:rPr>
        <w:t> </w:t>
      </w:r>
      <w:r>
        <w:rPr>
          <w:rFonts w:ascii="Times New Roman" w:hAnsi="Times New Roman" w:cs="Times New Roman" w:eastAsia="Times New Roman" w:hint="default"/>
        </w:rPr>
        <w:t>590,808,578</w:t>
      </w:r>
      <w:r>
        <w:rPr>
          <w:rFonts w:ascii="Times New Roman" w:hAnsi="Times New Roman" w:cs="Times New Roman" w:eastAsia="Times New Roman" w:hint="default"/>
          <w:spacing w:val="4"/>
        </w:rPr>
        <w:t> </w:t>
      </w:r>
      <w:r>
        <w:rPr>
          <w:spacing w:val="-7"/>
        </w:rPr>
        <w:t>股，吴志雄先生的持股</w:t>
      </w:r>
      <w:r>
        <w:rPr>
          <w:spacing w:val="-102"/>
        </w:rPr>
        <w:t> </w:t>
      </w:r>
      <w:r>
        <w:rPr>
          <w:spacing w:val="-102"/>
        </w:rPr>
      </w:r>
      <w:r>
        <w:rPr/>
        <w:t>比例下降至</w:t>
      </w:r>
      <w:r>
        <w:rPr>
          <w:spacing w:val="-53"/>
        </w:rPr>
        <w:t> </w:t>
      </w:r>
      <w:r>
        <w:rPr>
          <w:rFonts w:ascii="Times New Roman" w:hAnsi="Times New Roman" w:cs="Times New Roman" w:eastAsia="Times New Roman" w:hint="default"/>
        </w:rPr>
        <w:t>40.48%</w:t>
      </w:r>
      <w:r>
        <w:rPr/>
        <w:t>。</w:t>
      </w:r>
    </w:p>
    <w:p>
      <w:pPr>
        <w:pStyle w:val="Heading4"/>
        <w:tabs>
          <w:tab w:pos="642" w:val="left" w:leader="none"/>
        </w:tabs>
        <w:spacing w:line="324" w:lineRule="auto" w:before="5"/>
        <w:ind w:right="7245" w:firstLine="419"/>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实际控制人情况 </w:t>
      </w:r>
      <w:r>
        <w:rPr>
          <w:rFonts w:ascii="Times New Roman" w:hAnsi="Times New Roman" w:cs="Times New Roman" w:eastAsia="Times New Roman" w:hint="default"/>
          <w:w w:val="100"/>
        </w:rPr>
        <w:t>1</w:t>
      </w:r>
      <w:r>
        <w:rPr>
          <w:rFonts w:ascii="Times New Roman" w:hAnsi="Times New Roman" w:cs="Times New Roman" w:eastAsia="Times New Roman" w:hint="default"/>
        </w:rPr>
        <w:tab/>
      </w:r>
      <w:r>
        <w:rPr>
          <w:w w:val="100"/>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before="97"/>
        <w:ind w:right="0"/>
        <w:jc w:val="left"/>
        <w:rPr>
          <w:rFonts w:ascii="宋体" w:hAnsi="宋体" w:cs="宋体" w:eastAsia="宋体" w:hint="default"/>
          <w:b w:val="0"/>
          <w:bCs w:val="0"/>
        </w:rPr>
      </w:pPr>
      <w:r>
        <w:rPr>
          <w:rFonts w:ascii="Times New Roman" w:hAnsi="Times New Roman" w:cs="Times New Roman" w:eastAsia="Times New Roman" w:hint="default"/>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 </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196"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pacing w:val="-3"/>
                <w:sz w:val="21"/>
                <w:szCs w:val="21"/>
              </w:rPr>
              <w:t>公司董事长兼总经理；武夷山国际健康管理集团有限公司执</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行董事、武夷山国际健康小镇有限公司执行董事、武夷山国</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际转诊中心有限公司执行董事、武夷山国际抗衰老中心有限</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公司执行董事、武夷山国际医疗旅游旅行社有限公司执行董</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事、武夷山国际康复疗养中心有限公司执行董事、武夷山国</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际体检中心有限公司执行董事、泉州匹兹堡健康中心有限公</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司执行董事、武夷山国际健康论坛有限公司执行董事。</w:t>
            </w:r>
            <w:r>
              <w:rPr>
                <w:rFonts w:ascii="宋体" w:hAnsi="宋体" w:cs="宋体" w:eastAsia="宋体" w:hint="default"/>
                <w:sz w:val="21"/>
                <w:szCs w:val="21"/>
              </w:rPr>
              <w:t> </w:t>
            </w:r>
          </w:p>
        </w:tc>
      </w:tr>
    </w:tbl>
    <w:p>
      <w:pPr>
        <w:spacing w:after="0" w:line="273" w:lineRule="auto"/>
        <w:jc w:val="both"/>
        <w:rPr>
          <w:rFonts w:ascii="宋体" w:hAnsi="宋体" w:cs="宋体" w:eastAsia="宋体" w:hint="default"/>
          <w:sz w:val="21"/>
          <w:szCs w:val="21"/>
        </w:rPr>
        <w:sectPr>
          <w:pgSz w:w="11910" w:h="16840"/>
          <w:pgMar w:header="0" w:footer="979" w:top="1120" w:bottom="1160" w:left="158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636"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102"/>
              <w:jc w:val="left"/>
              <w:rPr>
                <w:rFonts w:ascii="宋体" w:hAnsi="宋体" w:cs="宋体" w:eastAsia="宋体" w:hint="default"/>
                <w:sz w:val="21"/>
                <w:szCs w:val="21"/>
              </w:rPr>
            </w:pPr>
            <w:r>
              <w:rPr>
                <w:rFonts w:ascii="宋体" w:hAnsi="宋体" w:cs="宋体" w:eastAsia="宋体" w:hint="default"/>
                <w:sz w:val="21"/>
                <w:szCs w:val="21"/>
              </w:rPr>
              <w:t>过去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年曾控股的境内外上市公</w:t>
            </w:r>
            <w:r>
              <w:rPr>
                <w:rFonts w:ascii="宋体" w:hAnsi="宋体" w:cs="宋体" w:eastAsia="宋体" w:hint="default"/>
                <w:w w:val="100"/>
                <w:sz w:val="21"/>
                <w:szCs w:val="21"/>
              </w:rPr>
              <w:t> </w:t>
            </w:r>
            <w:r>
              <w:rPr>
                <w:rFonts w:ascii="宋体" w:hAnsi="宋体" w:cs="宋体" w:eastAsia="宋体" w:hint="default"/>
                <w:sz w:val="21"/>
                <w:szCs w:val="21"/>
              </w:rPr>
              <w:t>司情况</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before="97"/>
        <w:ind w:right="0"/>
        <w:jc w:val="left"/>
        <w:rPr>
          <w:rFonts w:ascii="宋体" w:hAnsi="宋体" w:cs="宋体" w:eastAsia="宋体" w:hint="default"/>
          <w:b w:val="0"/>
          <w:bCs w:val="0"/>
        </w:rPr>
      </w:pPr>
      <w:r>
        <w:rPr>
          <w:rFonts w:ascii="Times New Roman" w:hAnsi="Times New Roman" w:cs="Times New Roman" w:eastAsia="Times New Roman" w:hint="default"/>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before="97"/>
        <w:ind w:right="0"/>
        <w:jc w:val="left"/>
        <w:rPr>
          <w:rFonts w:ascii="宋体" w:hAnsi="宋体" w:cs="宋体" w:eastAsia="宋体" w:hint="default"/>
          <w:b w:val="0"/>
          <w:bCs w:val="0"/>
        </w:rPr>
      </w:pPr>
      <w:r>
        <w:rPr>
          <w:rFonts w:ascii="Times New Roman" w:hAnsi="Times New Roman" w:cs="Times New Roman" w:eastAsia="Times New Roman" w:hint="default"/>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before="97"/>
        <w:ind w:right="0"/>
        <w:jc w:val="left"/>
        <w:rPr>
          <w:rFonts w:ascii="宋体" w:hAnsi="宋体" w:cs="宋体" w:eastAsia="宋体" w:hint="default"/>
          <w:b w:val="0"/>
          <w:bCs w:val="0"/>
        </w:rPr>
      </w:pPr>
      <w:r>
        <w:rPr>
          <w:rFonts w:ascii="Times New Roman" w:hAnsi="Times New Roman" w:cs="Times New Roman" w:eastAsia="Times New Roman" w:hint="default"/>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2"/>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2" w:lineRule="auto" w:before="110"/>
        <w:ind w:left="638" w:right="95" w:hanging="421"/>
        <w:jc w:val="left"/>
      </w:pPr>
      <w:r>
        <w:rPr/>
        <w:drawing>
          <wp:inline distT="0" distB="0" distL="0" distR="0">
            <wp:extent cx="2847594" cy="150482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6" cstate="print"/>
                    <a:stretch>
                      <a:fillRect/>
                    </a:stretch>
                  </pic:blipFill>
                  <pic:spPr>
                    <a:xfrm>
                      <a:off x="0" y="0"/>
                      <a:ext cx="2847594" cy="1504822"/>
                    </a:xfrm>
                    <a:prstGeom prst="rect">
                      <a:avLst/>
                    </a:prstGeom>
                  </pic:spPr>
                </pic:pic>
              </a:graphicData>
            </a:graphic>
          </wp:inline>
        </w:drawing>
      </w:r>
      <w:r>
        <w:rPr/>
      </w:r>
      <w:r>
        <w:rPr>
          <w:rFonts w:ascii="宋体" w:hAnsi="宋体" w:cs="宋体" w:eastAsia="宋体" w:hint="default"/>
          <w:w w:val="100"/>
        </w:rPr>
        <w:t> </w:t>
      </w:r>
      <w:r>
        <w:rPr>
          <w:w w:val="100"/>
        </w:rPr>
        <w:t>截止</w:t>
      </w:r>
      <w:r>
        <w:rPr>
          <w:spacing w:val="-3"/>
          <w:w w:val="100"/>
        </w:rPr>
        <w:t>报</w:t>
      </w:r>
      <w:r>
        <w:rPr>
          <w:w w:val="100"/>
        </w:rPr>
        <w:t>告</w:t>
      </w:r>
      <w:r>
        <w:rPr>
          <w:spacing w:val="-3"/>
          <w:w w:val="100"/>
        </w:rPr>
        <w:t>期</w:t>
      </w:r>
      <w:r>
        <w:rPr>
          <w:w w:val="100"/>
        </w:rPr>
        <w:t>末</w:t>
      </w:r>
      <w:r>
        <w:rPr>
          <w:spacing w:val="-32"/>
          <w:w w:val="100"/>
        </w:rPr>
        <w:t>，</w:t>
      </w:r>
      <w:r>
        <w:rPr>
          <w:w w:val="100"/>
        </w:rPr>
        <w:t>公</w:t>
      </w:r>
      <w:r>
        <w:rPr>
          <w:spacing w:val="-3"/>
          <w:w w:val="100"/>
        </w:rPr>
        <w:t>司</w:t>
      </w:r>
      <w:r>
        <w:rPr>
          <w:w w:val="100"/>
        </w:rPr>
        <w:t>实</w:t>
      </w:r>
      <w:r>
        <w:rPr>
          <w:spacing w:val="-3"/>
          <w:w w:val="100"/>
        </w:rPr>
        <w:t>际</w:t>
      </w:r>
      <w:r>
        <w:rPr>
          <w:w w:val="100"/>
        </w:rPr>
        <w:t>控制</w:t>
      </w:r>
      <w:r>
        <w:rPr>
          <w:spacing w:val="-3"/>
          <w:w w:val="100"/>
        </w:rPr>
        <w:t>人</w:t>
      </w:r>
      <w:r>
        <w:rPr>
          <w:w w:val="100"/>
        </w:rPr>
        <w:t>吴</w:t>
      </w:r>
      <w:r>
        <w:rPr>
          <w:spacing w:val="-3"/>
          <w:w w:val="100"/>
        </w:rPr>
        <w:t>志</w:t>
      </w:r>
      <w:r>
        <w:rPr>
          <w:w w:val="100"/>
        </w:rPr>
        <w:t>雄</w:t>
      </w:r>
      <w:r>
        <w:rPr>
          <w:spacing w:val="-3"/>
          <w:w w:val="100"/>
        </w:rPr>
        <w:t>先</w:t>
      </w:r>
      <w:r>
        <w:rPr>
          <w:w w:val="100"/>
        </w:rPr>
        <w:t>生</w:t>
      </w:r>
      <w:r>
        <w:rPr>
          <w:spacing w:val="-3"/>
          <w:w w:val="100"/>
        </w:rPr>
        <w:t>所</w:t>
      </w:r>
      <w:r>
        <w:rPr>
          <w:w w:val="100"/>
        </w:rPr>
        <w:t>持</w:t>
      </w:r>
      <w:r>
        <w:rPr>
          <w:spacing w:val="-3"/>
          <w:w w:val="100"/>
        </w:rPr>
        <w:t>公</w:t>
      </w:r>
      <w:r>
        <w:rPr>
          <w:w w:val="100"/>
        </w:rPr>
        <w:t>司股</w:t>
      </w:r>
      <w:r>
        <w:rPr>
          <w:spacing w:val="-3"/>
          <w:w w:val="100"/>
        </w:rPr>
        <w:t>份</w:t>
      </w:r>
      <w:r>
        <w:rPr>
          <w:w w:val="100"/>
        </w:rPr>
        <w:t>的</w:t>
      </w:r>
      <w:r>
        <w:rPr>
          <w:spacing w:val="-3"/>
          <w:w w:val="100"/>
        </w:rPr>
        <w:t>比例</w:t>
      </w:r>
      <w:r>
        <w:rPr>
          <w:w w:val="100"/>
        </w:rPr>
        <w:t>为</w:t>
      </w:r>
      <w:r>
        <w:rPr>
          <w:spacing w:val="-53"/>
        </w:rPr>
        <w:t> </w:t>
      </w:r>
      <w:r>
        <w:rPr>
          <w:rFonts w:ascii="Times New Roman" w:hAnsi="Times New Roman" w:cs="Times New Roman" w:eastAsia="Times New Roman" w:hint="default"/>
          <w:w w:val="100"/>
        </w:rPr>
        <w:t>45.</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w w:val="100"/>
        </w:rPr>
        <w:t>%</w:t>
      </w:r>
      <w:r>
        <w:rPr>
          <w:spacing w:val="-32"/>
          <w:w w:val="100"/>
        </w:rPr>
        <w:t>；</w:t>
      </w:r>
      <w:r>
        <w:rPr>
          <w:w w:val="100"/>
        </w:rPr>
        <w:t>鉴于</w:t>
      </w:r>
      <w:r>
        <w:rPr>
          <w:spacing w:val="-3"/>
          <w:w w:val="100"/>
        </w:rPr>
        <w:t>“</w:t>
      </w:r>
      <w:r>
        <w:rPr>
          <w:w w:val="100"/>
        </w:rPr>
        <w:t>南</w:t>
      </w:r>
      <w:r>
        <w:rPr>
          <w:spacing w:val="-3"/>
          <w:w w:val="100"/>
        </w:rPr>
        <w:t>威转债</w:t>
      </w:r>
      <w:r>
        <w:rPr>
          <w:w w:val="100"/>
        </w:rPr>
        <w:t>”</w:t>
      </w:r>
    </w:p>
    <w:p>
      <w:pPr>
        <w:pStyle w:val="BodyText"/>
        <w:spacing w:line="256" w:lineRule="auto" w:before="19"/>
        <w:ind w:right="0"/>
        <w:jc w:val="left"/>
      </w:pPr>
      <w:r>
        <w:rPr/>
        <w:t>已于</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spacing w:val="-5"/>
        </w:rPr>
        <w:t>日完成提前转股并摘牌，公司总股本增至</w:t>
      </w:r>
      <w:r>
        <w:rPr>
          <w:spacing w:val="-45"/>
        </w:rPr>
        <w:t> </w:t>
      </w:r>
      <w:r>
        <w:rPr>
          <w:rFonts w:ascii="Times New Roman" w:hAnsi="Times New Roman" w:cs="Times New Roman" w:eastAsia="Times New Roman" w:hint="default"/>
        </w:rPr>
        <w:t>590,808,578</w:t>
      </w:r>
      <w:r>
        <w:rPr>
          <w:rFonts w:ascii="Times New Roman" w:hAnsi="Times New Roman" w:cs="Times New Roman" w:eastAsia="Times New Roman" w:hint="default"/>
          <w:spacing w:val="4"/>
        </w:rPr>
        <w:t> </w:t>
      </w:r>
      <w:r>
        <w:rPr>
          <w:spacing w:val="-7"/>
        </w:rPr>
        <w:t>股，吴志雄先生的持股</w:t>
      </w:r>
      <w:r>
        <w:rPr>
          <w:spacing w:val="-102"/>
        </w:rPr>
        <w:t> </w:t>
      </w:r>
      <w:r>
        <w:rPr>
          <w:spacing w:val="-102"/>
        </w:rPr>
      </w:r>
      <w:r>
        <w:rPr/>
        <w:t>比例下降至</w:t>
      </w:r>
      <w:r>
        <w:rPr>
          <w:spacing w:val="-53"/>
        </w:rPr>
        <w:t> </w:t>
      </w:r>
      <w:r>
        <w:rPr>
          <w:rFonts w:ascii="Times New Roman" w:hAnsi="Times New Roman" w:cs="Times New Roman" w:eastAsia="Times New Roman" w:hint="default"/>
        </w:rPr>
        <w:t>40.48%</w:t>
      </w:r>
      <w:r>
        <w:rPr/>
        <w:t>。</w:t>
      </w:r>
    </w:p>
    <w:p>
      <w:pPr>
        <w:pStyle w:val="BodyText"/>
        <w:spacing w:line="240" w:lineRule="auto" w:before="5"/>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before="97"/>
        <w:ind w:right="0"/>
        <w:jc w:val="left"/>
        <w:rPr>
          <w:rFonts w:ascii="宋体" w:hAnsi="宋体" w:cs="宋体" w:eastAsia="宋体" w:hint="default"/>
          <w:b w:val="0"/>
          <w:bCs w:val="0"/>
        </w:rPr>
      </w:pPr>
      <w:r>
        <w:rPr>
          <w:rFonts w:ascii="Times New Roman" w:hAnsi="Times New Roman" w:cs="Times New Roman" w:eastAsia="Times New Roman" w:hint="default"/>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right="5228"/>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w w:val="99"/>
        </w:rPr>
        <w:t>)</w:t>
      </w:r>
      <w:r>
        <w:rPr>
          <w:w w:val="100"/>
        </w:rPr>
        <w:t>控股股东及实际控</w:t>
      </w:r>
      <w:r>
        <w:rPr>
          <w:spacing w:val="-3"/>
          <w:w w:val="100"/>
        </w:rPr>
        <w:t>制</w:t>
      </w:r>
      <w:r>
        <w:rPr>
          <w:w w:val="100"/>
        </w:rPr>
        <w:t>人</w:t>
      </w:r>
      <w:r>
        <w:rPr>
          <w:spacing w:val="-3"/>
          <w:w w:val="100"/>
        </w:rPr>
        <w:t>其</w:t>
      </w:r>
      <w:r>
        <w:rPr>
          <w:w w:val="100"/>
        </w:rPr>
        <w:t>他情况介绍</w:t>
      </w:r>
      <w:r>
        <w:rPr>
          <w:b w:val="0"/>
          <w:bCs w:val="0"/>
          <w:w w:val="100"/>
        </w:rPr>
      </w:r>
    </w:p>
    <w:p>
      <w:pPr>
        <w:pStyle w:val="BodyText"/>
        <w:spacing w:line="240" w:lineRule="auto" w:before="2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before="97"/>
        <w:ind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before="97"/>
        <w:ind w:right="0"/>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spacing w:line="240" w:lineRule="auto" w:before="12"/>
        <w:rPr>
          <w:rFonts w:ascii="宋体" w:hAnsi="宋体" w:cs="宋体" w:eastAsia="宋体" w:hint="default"/>
          <w:sz w:val="14"/>
          <w:szCs w:val="14"/>
        </w:rPr>
      </w:pPr>
    </w:p>
    <w:p>
      <w:pPr>
        <w:pStyle w:val="Heading1"/>
        <w:spacing w:line="240" w:lineRule="auto" w:before="0"/>
        <w:ind w:left="3140" w:right="3237"/>
        <w:jc w:val="center"/>
        <w:rPr>
          <w:b w:val="0"/>
          <w:bCs w:val="0"/>
        </w:rPr>
      </w:pPr>
      <w:bookmarkStart w:name="_bookmark6" w:id="9"/>
      <w:bookmarkEnd w:id="9"/>
      <w:r>
        <w:rPr>
          <w:b w:val="0"/>
          <w:bCs w:val="0"/>
        </w:rPr>
      </w:r>
      <w:r>
        <w:rPr/>
        <w:t>第七节</w:t>
      </w:r>
      <w:r>
        <w:rPr>
          <w:spacing w:val="-3"/>
        </w:rPr>
        <w:t> </w:t>
      </w:r>
      <w:r>
        <w:rPr/>
        <w:t>优先股相关情况</w:t>
      </w:r>
      <w:r>
        <w:rPr>
          <w:b w:val="0"/>
          <w:bCs w:val="0"/>
        </w:rPr>
      </w:r>
    </w:p>
    <w:p>
      <w:pPr>
        <w:pStyle w:val="BodyText"/>
        <w:spacing w:line="240" w:lineRule="auto" w:before="21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0" w:footer="979" w:top="1120" w:bottom="1160" w:left="1580" w:right="960"/>
        </w:sectPr>
      </w:pPr>
    </w:p>
    <w:p>
      <w:pPr>
        <w:pStyle w:val="Heading1"/>
        <w:spacing w:line="240" w:lineRule="auto" w:before="103"/>
        <w:ind w:left="4278" w:right="0"/>
        <w:jc w:val="left"/>
        <w:rPr>
          <w:b w:val="0"/>
          <w:bCs w:val="0"/>
        </w:rPr>
      </w:pPr>
      <w:bookmarkStart w:name="_bookmark7" w:id="10"/>
      <w:bookmarkEnd w:id="10"/>
      <w:r>
        <w:rPr>
          <w:b w:val="0"/>
          <w:bCs w:val="0"/>
        </w:rPr>
      </w:r>
      <w:r>
        <w:rPr/>
        <w:t>第八节</w:t>
      </w:r>
      <w:r>
        <w:rPr>
          <w:spacing w:val="-2"/>
        </w:rPr>
        <w:t> </w:t>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7"/>
          <w:footerReference w:type="default" r:id="rId38"/>
          <w:pgSz w:w="16840" w:h="11910" w:orient="landscape"/>
          <w:pgMar w:header="855" w:footer="980" w:top="1120" w:bottom="1160" w:left="1300" w:right="1200"/>
          <w:pgNumType w:start="64"/>
        </w:sectPr>
      </w:pPr>
    </w:p>
    <w:p>
      <w:pPr>
        <w:pStyle w:val="Heading4"/>
        <w:spacing w:line="290" w:lineRule="auto" w:before="36"/>
        <w:ind w:left="224" w:right="0"/>
        <w:jc w:val="left"/>
        <w:rPr>
          <w:b w:val="0"/>
          <w:bCs w:val="0"/>
        </w:rPr>
      </w:pPr>
      <w:r>
        <w:rPr/>
        <w:t>一、持股变动情况及报酬情况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现任及报告期内离任董事、监事和高级管理人员持股变动及报酬情况</w:t>
      </w:r>
      <w:r>
        <w:rPr>
          <w:b w:val="0"/>
          <w:bCs w:val="0"/>
          <w:spacing w:val="-1"/>
        </w:rPr>
      </w:r>
    </w:p>
    <w:p>
      <w:pPr>
        <w:pStyle w:val="BodyText"/>
        <w:spacing w:line="240" w:lineRule="auto" w:before="14"/>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00" w:bottom="280" w:left="1300" w:right="1200"/>
          <w:cols w:num="2" w:equalWidth="0">
            <w:col w:w="6974" w:space="6060"/>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60"/>
        <w:gridCol w:w="1651"/>
        <w:gridCol w:w="427"/>
        <w:gridCol w:w="696"/>
        <w:gridCol w:w="1265"/>
        <w:gridCol w:w="1349"/>
        <w:gridCol w:w="1316"/>
        <w:gridCol w:w="1426"/>
        <w:gridCol w:w="1459"/>
        <w:gridCol w:w="1069"/>
        <w:gridCol w:w="1351"/>
        <w:gridCol w:w="1128"/>
      </w:tblGrid>
      <w:tr>
        <w:trPr>
          <w:trHeight w:val="110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5"/>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6"/>
              <w:jc w:val="right"/>
              <w:rPr>
                <w:rFonts w:ascii="宋体" w:hAnsi="宋体" w:cs="宋体" w:eastAsia="宋体" w:hint="default"/>
                <w:sz w:val="21"/>
                <w:szCs w:val="21"/>
              </w:rPr>
            </w:pPr>
            <w:r>
              <w:rPr>
                <w:rFonts w:ascii="宋体" w:hAnsi="宋体" w:cs="宋体" w:eastAsia="宋体" w:hint="default"/>
                <w:spacing w:val="-2"/>
                <w:sz w:val="21"/>
                <w:szCs w:val="21"/>
              </w:rPr>
              <w:t>年龄</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8" w:right="204" w:hanging="212"/>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3" w:right="139"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r>
              <w:rPr>
                <w:rFonts w:ascii="宋体" w:hAnsi="宋体" w:cs="宋体" w:eastAsia="宋体" w:hint="default"/>
                <w:sz w:val="21"/>
                <w:szCs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spacing w:val="-2"/>
                <w:sz w:val="21"/>
                <w:szCs w:val="21"/>
              </w:rPr>
              <w:t>年初持股数</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pacing w:val="-2"/>
                <w:sz w:val="21"/>
                <w:szCs w:val="21"/>
              </w:rPr>
              <w:t>年末持股数</w:t>
            </w:r>
            <w:r>
              <w:rPr>
                <w:rFonts w:ascii="宋体" w:hAnsi="宋体" w:cs="宋体" w:eastAsia="宋体" w:hint="default"/>
                <w:sz w:val="21"/>
                <w:szCs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9" w:right="91"/>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r>
              <w:rPr>
                <w:rFonts w:ascii="宋体" w:hAnsi="宋体" w:cs="宋体" w:eastAsia="宋体" w:hint="default"/>
                <w:sz w:val="21"/>
                <w:szCs w:val="21"/>
              </w:rPr>
              <w:t> </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106"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46" w:right="36"/>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41" w:right="29"/>
              <w:jc w:val="both"/>
              <w:rPr>
                <w:rFonts w:ascii="宋体" w:hAnsi="宋体" w:cs="宋体" w:eastAsia="宋体" w:hint="default"/>
                <w:sz w:val="21"/>
                <w:szCs w:val="21"/>
              </w:rPr>
            </w:pPr>
            <w:r>
              <w:rPr>
                <w:rFonts w:ascii="宋体" w:hAnsi="宋体" w:cs="宋体" w:eastAsia="宋体" w:hint="default"/>
                <w:sz w:val="21"/>
                <w:szCs w:val="21"/>
              </w:rPr>
              <w:t>是否在公</w:t>
            </w:r>
            <w:r>
              <w:rPr>
                <w:rFonts w:ascii="宋体" w:hAnsi="宋体" w:cs="宋体" w:eastAsia="宋体" w:hint="default"/>
                <w:w w:val="100"/>
                <w:sz w:val="21"/>
                <w:szCs w:val="21"/>
              </w:rPr>
              <w:t> </w:t>
            </w: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71"/>
                <w:sz w:val="21"/>
                <w:szCs w:val="21"/>
              </w:rPr>
              <w:t> </w:t>
            </w:r>
            <w:r>
              <w:rPr>
                <w:rFonts w:ascii="宋体" w:hAnsi="宋体" w:cs="宋体" w:eastAsia="宋体" w:hint="default"/>
                <w:sz w:val="21"/>
                <w:szCs w:val="21"/>
              </w:rPr>
              <w:t>事</w:t>
            </w:r>
            <w:r>
              <w:rPr>
                <w:rFonts w:ascii="宋体" w:hAnsi="宋体" w:cs="宋体" w:eastAsia="宋体" w:hint="default"/>
                <w:spacing w:val="-69"/>
                <w:sz w:val="21"/>
                <w:szCs w:val="21"/>
              </w:rPr>
              <w:t> </w:t>
            </w:r>
            <w:r>
              <w:rPr>
                <w:rFonts w:ascii="宋体" w:hAnsi="宋体" w:cs="宋体" w:eastAsia="宋体" w:hint="default"/>
                <w:sz w:val="21"/>
                <w:szCs w:val="21"/>
              </w:rPr>
              <w:t>长</w:t>
            </w:r>
            <w:r>
              <w:rPr>
                <w:rFonts w:ascii="宋体" w:hAnsi="宋体" w:cs="宋体" w:eastAsia="宋体" w:hint="default"/>
                <w:spacing w:val="-71"/>
                <w:sz w:val="21"/>
                <w:szCs w:val="21"/>
              </w:rPr>
              <w:t> </w:t>
            </w:r>
            <w:r>
              <w:rPr>
                <w:rFonts w:ascii="宋体" w:hAnsi="宋体" w:cs="宋体" w:eastAsia="宋体" w:hint="default"/>
                <w:sz w:val="21"/>
                <w:szCs w:val="21"/>
              </w:rPr>
              <w:t>兼</w:t>
            </w:r>
            <w:r>
              <w:rPr>
                <w:rFonts w:ascii="宋体" w:hAnsi="宋体" w:cs="宋体" w:eastAsia="宋体" w:hint="default"/>
                <w:spacing w:val="-71"/>
                <w:sz w:val="21"/>
                <w:szCs w:val="21"/>
              </w:rPr>
              <w:t> </w:t>
            </w:r>
            <w:r>
              <w:rPr>
                <w:rFonts w:ascii="宋体" w:hAnsi="宋体" w:cs="宋体" w:eastAsia="宋体" w:hint="default"/>
                <w:sz w:val="21"/>
                <w:szCs w:val="21"/>
              </w:rPr>
              <w:t>总</w:t>
            </w:r>
            <w:r>
              <w:rPr>
                <w:rFonts w:ascii="宋体" w:hAnsi="宋体" w:cs="宋体" w:eastAsia="宋体" w:hint="default"/>
                <w:spacing w:val="-71"/>
                <w:sz w:val="21"/>
                <w:szCs w:val="21"/>
              </w:rPr>
              <w:t> </w:t>
            </w:r>
            <w:r>
              <w:rPr>
                <w:rFonts w:ascii="宋体" w:hAnsi="宋体" w:cs="宋体" w:eastAsia="宋体" w:hint="default"/>
                <w:sz w:val="21"/>
                <w:szCs w:val="21"/>
              </w:rPr>
              <w:t>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2017/3/22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2020/3/22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1" w:right="0"/>
              <w:jc w:val="left"/>
              <w:rPr>
                <w:rFonts w:ascii="Times New Roman" w:hAnsi="Times New Roman" w:cs="Times New Roman" w:eastAsia="Times New Roman" w:hint="default"/>
                <w:sz w:val="21"/>
                <w:szCs w:val="21"/>
              </w:rPr>
            </w:pPr>
            <w:r>
              <w:rPr>
                <w:rFonts w:ascii="Times New Roman"/>
                <w:sz w:val="21"/>
              </w:rPr>
              <w:t>298,976,786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239,181,429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-59,795,357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引入战略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95.11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徐春梅</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7"/>
                <w:sz w:val="21"/>
                <w:szCs w:val="21"/>
              </w:rPr>
              <w:t>董事、副总经理</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41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2017/3/22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2020/3/22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10,398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10,398</w:t>
            </w:r>
          </w:p>
        </w:tc>
        <w:tc>
          <w:tcPr>
            <w:tcW w:w="1459"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79.16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廖长宝</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left"/>
              <w:rPr>
                <w:rFonts w:ascii="宋体" w:hAnsi="宋体" w:cs="宋体" w:eastAsia="宋体" w:hint="default"/>
                <w:sz w:val="21"/>
                <w:szCs w:val="21"/>
              </w:rPr>
            </w:pPr>
            <w:r>
              <w:rPr>
                <w:rFonts w:ascii="宋体" w:hAnsi="宋体" w:cs="宋体" w:eastAsia="宋体" w:hint="default"/>
                <w:spacing w:val="-7"/>
                <w:sz w:val="21"/>
                <w:szCs w:val="21"/>
              </w:rPr>
              <w:t>董事、副总经理</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2017/3/22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2020/3/22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62" w:right="0"/>
              <w:jc w:val="left"/>
              <w:rPr>
                <w:rFonts w:ascii="Times New Roman" w:hAnsi="Times New Roman" w:cs="Times New Roman" w:eastAsia="Times New Roman" w:hint="default"/>
                <w:sz w:val="21"/>
                <w:szCs w:val="21"/>
              </w:rPr>
            </w:pPr>
            <w:r>
              <w:rPr>
                <w:rFonts w:ascii="Times New Roman"/>
                <w:sz w:val="21"/>
              </w:rPr>
              <w:t>1,625,014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1,325,014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减持</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51.43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宫志松</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2020/1/20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2020/3/22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杨鹏</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2019/7/12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2020/3/22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赵小凡</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70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2017/3/22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2020/3/22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6.00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王浩</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67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2018/4/20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2020/3/22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6.00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刘润</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2017/3/22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2020/3/22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6.00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吴丽卿</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董事会秘书、副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41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2017/3/22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2020/3/22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62" w:right="0"/>
              <w:jc w:val="left"/>
              <w:rPr>
                <w:rFonts w:ascii="Times New Roman" w:hAnsi="Times New Roman" w:cs="Times New Roman" w:eastAsia="Times New Roman" w:hint="default"/>
                <w:sz w:val="21"/>
                <w:szCs w:val="21"/>
              </w:rPr>
            </w:pPr>
            <w:r>
              <w:rPr>
                <w:rFonts w:ascii="Times New Roman"/>
                <w:sz w:val="21"/>
              </w:rPr>
              <w:t>1,273,807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1,273,807</w:t>
            </w:r>
          </w:p>
        </w:tc>
        <w:tc>
          <w:tcPr>
            <w:tcW w:w="1459"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87.64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林立成</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2017/3/22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2020/3/22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155,976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155,976</w:t>
            </w:r>
          </w:p>
        </w:tc>
        <w:tc>
          <w:tcPr>
            <w:tcW w:w="1459"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74.19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郜彤</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2019/4/12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2020/3/22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50.77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姚文宇</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2019/12/10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2020/3/22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19.36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陈平</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45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2020/4/2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11"/>
                <w:szCs w:val="11"/>
              </w:rPr>
            </w:pPr>
            <w:r>
              <w:rPr>
                <w:rFonts w:ascii="Times New Roman" w:hAnsi="Times New Roman" w:cs="Times New Roman" w:eastAsia="Times New Roman" w:hint="default"/>
                <w:sz w:val="21"/>
                <w:szCs w:val="21"/>
              </w:rPr>
              <w:t>2020/3/22</w:t>
            </w:r>
            <w:r>
              <w:rPr>
                <w:rFonts w:ascii="Times New Roman" w:hAnsi="Times New Roman" w:cs="Times New Roman" w:eastAsia="Times New Roman" w:hint="default"/>
                <w:spacing w:val="-3"/>
                <w:sz w:val="21"/>
                <w:szCs w:val="21"/>
              </w:rPr>
              <w:t> </w:t>
            </w:r>
            <w:r>
              <w:rPr>
                <w:rFonts w:ascii="宋体" w:hAnsi="宋体" w:cs="宋体" w:eastAsia="宋体" w:hint="default"/>
                <w:b/>
                <w:bCs/>
                <w:position w:val="11"/>
                <w:sz w:val="11"/>
                <w:szCs w:val="11"/>
              </w:rPr>
              <w:t>注</w:t>
            </w:r>
            <w:r>
              <w:rPr>
                <w:rFonts w:ascii="宋体" w:hAnsi="宋体" w:cs="宋体" w:eastAsia="宋体" w:hint="default"/>
                <w:sz w:val="11"/>
                <w:szCs w:val="1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100"/>
                <w:sz w:val="21"/>
              </w:rPr>
              <w:t>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陈周明</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41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2017/3/22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2020/3/22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64,990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64,990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40.40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曾文语</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z w:val="21"/>
              </w:rPr>
              <w:t>39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2017/3/22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1"/>
                <w:szCs w:val="21"/>
              </w:rPr>
            </w:pPr>
            <w:r>
              <w:rPr>
                <w:rFonts w:ascii="Times New Roman"/>
                <w:sz w:val="21"/>
              </w:rPr>
              <w:t>2020/3/22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w w:val="100"/>
                <w:sz w:val="21"/>
              </w:rPr>
              <w:t>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z w:val="21"/>
              </w:rPr>
              <w:t>34.89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翁培萍</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2020/2/18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2020/3/22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34,200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13,600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-20,600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减持</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w w:val="100"/>
                <w:sz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洪培琪</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2017/3/22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2020/2/18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17.74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type w:val="continuous"/>
          <w:pgSz w:w="16840" w:h="11910" w:orient="landscape"/>
          <w:pgMar w:top="1500" w:bottom="280" w:left="1300" w:right="1200"/>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960"/>
        <w:gridCol w:w="1651"/>
        <w:gridCol w:w="427"/>
        <w:gridCol w:w="696"/>
        <w:gridCol w:w="1265"/>
        <w:gridCol w:w="1349"/>
        <w:gridCol w:w="1316"/>
        <w:gridCol w:w="1426"/>
        <w:gridCol w:w="1459"/>
        <w:gridCol w:w="1069"/>
        <w:gridCol w:w="1351"/>
        <w:gridCol w:w="1128"/>
      </w:tblGrid>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曾志勇</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90"/>
              <w:jc w:val="right"/>
              <w:rPr>
                <w:rFonts w:ascii="宋体" w:hAnsi="宋体" w:cs="宋体" w:eastAsia="宋体" w:hint="default"/>
                <w:sz w:val="21"/>
                <w:szCs w:val="21"/>
              </w:rPr>
            </w:pPr>
            <w:r>
              <w:rPr>
                <w:rFonts w:ascii="宋体" w:hAnsi="宋体" w:cs="宋体" w:eastAsia="宋体" w:hint="default"/>
                <w:spacing w:val="-2"/>
                <w:sz w:val="21"/>
                <w:szCs w:val="21"/>
              </w:rPr>
              <w:t>财务总监</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71" w:right="0"/>
              <w:jc w:val="left"/>
              <w:rPr>
                <w:rFonts w:ascii="Times New Roman" w:hAnsi="Times New Roman" w:cs="Times New Roman" w:eastAsia="Times New Roman" w:hint="default"/>
                <w:sz w:val="21"/>
                <w:szCs w:val="21"/>
              </w:rPr>
            </w:pPr>
            <w:r>
              <w:rPr>
                <w:rFonts w:ascii="Times New Roman"/>
                <w:sz w:val="21"/>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00" w:right="0"/>
              <w:jc w:val="left"/>
              <w:rPr>
                <w:rFonts w:ascii="Times New Roman" w:hAnsi="Times New Roman" w:cs="Times New Roman" w:eastAsia="Times New Roman" w:hint="default"/>
                <w:sz w:val="21"/>
                <w:szCs w:val="21"/>
              </w:rPr>
            </w:pPr>
            <w:r>
              <w:rPr>
                <w:rFonts w:ascii="Times New Roman"/>
                <w:sz w:val="21"/>
              </w:rPr>
              <w:t>2017/3/22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2019/5/15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z w:val="21"/>
              </w:rPr>
              <w:t>51,992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z w:val="21"/>
              </w:rPr>
              <w:t>39,092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-12,900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减持</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z w:val="21"/>
              </w:rPr>
              <w:t>12.34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60"/>
              <w:jc w:val="right"/>
              <w:rPr>
                <w:rFonts w:ascii="宋体" w:hAnsi="宋体" w:cs="宋体" w:eastAsia="宋体" w:hint="default"/>
                <w:sz w:val="21"/>
                <w:szCs w:val="21"/>
              </w:rPr>
            </w:pP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
              <w:jc w:val="right"/>
              <w:rPr>
                <w:rFonts w:ascii="宋体" w:hAnsi="宋体" w:cs="宋体" w:eastAsia="宋体" w:hint="default"/>
                <w:sz w:val="21"/>
                <w:szCs w:val="21"/>
              </w:rPr>
            </w:pPr>
            <w:r>
              <w:rPr>
                <w:rFonts w:ascii="宋体"/>
                <w:sz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2"/>
                <w:szCs w:val="22"/>
              </w:rPr>
            </w:pPr>
            <w:r>
              <w:rPr>
                <w:rFonts w:ascii="Times New Roman"/>
                <w:spacing w:val="-1"/>
                <w:sz w:val="22"/>
              </w:rPr>
              <w:t>302,193,163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6"/>
              <w:jc w:val="right"/>
              <w:rPr>
                <w:rFonts w:ascii="Times New Roman" w:hAnsi="Times New Roman" w:cs="Times New Roman" w:eastAsia="Times New Roman" w:hint="default"/>
                <w:sz w:val="22"/>
                <w:szCs w:val="22"/>
              </w:rPr>
            </w:pPr>
            <w:r>
              <w:rPr>
                <w:rFonts w:ascii="Times New Roman"/>
                <w:spacing w:val="-1"/>
                <w:sz w:val="22"/>
              </w:rPr>
              <w:t>242,064,306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2"/>
                <w:szCs w:val="22"/>
              </w:rPr>
            </w:pPr>
            <w:r>
              <w:rPr>
                <w:rFonts w:ascii="Times New Roman"/>
                <w:spacing w:val="-1"/>
                <w:sz w:val="22"/>
              </w:rPr>
              <w:t>-60,128,857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581.03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7" w:lineRule="exact"/>
        <w:ind w:left="224" w:right="0"/>
        <w:jc w:val="left"/>
      </w:pPr>
      <w:r>
        <w:rPr/>
        <w:t>注：第三届董事会及监事会已于</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日任期届满。</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日，公司发布了《关于董事会、监事会延期换届的提示性公告》（公告编</w:t>
      </w:r>
    </w:p>
    <w:p>
      <w:pPr>
        <w:pStyle w:val="BodyText"/>
        <w:spacing w:line="272" w:lineRule="exact"/>
        <w:ind w:left="224" w:right="0"/>
        <w:jc w:val="left"/>
      </w:pPr>
      <w:r>
        <w:rPr/>
        <w:t>号：</w:t>
      </w:r>
      <w:r>
        <w:rPr>
          <w:rFonts w:ascii="Times New Roman" w:hAnsi="Times New Roman" w:cs="Times New Roman" w:eastAsia="Times New Roman" w:hint="default"/>
        </w:rPr>
        <w:t>2020-034</w:t>
      </w:r>
      <w:r>
        <w:rPr/>
        <w:t>），公司董事会、监事会将延期换届，董事会各专门委员会及高级管理人员的任期亦相应顺延。</w:t>
      </w:r>
    </w:p>
    <w:p>
      <w:pPr>
        <w:pStyle w:val="BodyText"/>
        <w:spacing w:line="266" w:lineRule="exact"/>
        <w:ind w:left="224"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89"/>
        <w:gridCol w:w="12875"/>
      </w:tblGrid>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191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吴志雄，男，</w:t>
            </w:r>
            <w:r>
              <w:rPr>
                <w:rFonts w:ascii="Times New Roman" w:hAnsi="Times New Roman" w:cs="Times New Roman" w:eastAsia="Times New Roman" w:hint="default"/>
                <w:sz w:val="21"/>
                <w:szCs w:val="21"/>
              </w:rPr>
              <w:t>1972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月出生，中国国籍，无永久境外居留权，硕士，福建省政协常委、泉州市政协常委，福建省软件行业协会会长，被</w:t>
            </w:r>
          </w:p>
          <w:p>
            <w:pPr>
              <w:pStyle w:val="TableParagraph"/>
              <w:spacing w:line="235" w:lineRule="auto"/>
              <w:ind w:left="103" w:right="93"/>
              <w:jc w:val="both"/>
              <w:rPr>
                <w:rFonts w:ascii="宋体" w:hAnsi="宋体" w:cs="宋体" w:eastAsia="宋体" w:hint="default"/>
                <w:sz w:val="21"/>
                <w:szCs w:val="21"/>
              </w:rPr>
            </w:pPr>
            <w:r>
              <w:rPr>
                <w:rFonts w:ascii="宋体" w:hAnsi="宋体" w:cs="宋体" w:eastAsia="宋体" w:hint="default"/>
                <w:sz w:val="21"/>
                <w:szCs w:val="21"/>
              </w:rPr>
              <w:t>评为“</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9"/>
                <w:sz w:val="21"/>
                <w:szCs w:val="21"/>
              </w:rPr>
              <w:t> </w:t>
            </w:r>
            <w:r>
              <w:rPr>
                <w:rFonts w:ascii="宋体" w:hAnsi="宋体" w:cs="宋体" w:eastAsia="宋体" w:hint="default"/>
                <w:spacing w:val="-3"/>
                <w:sz w:val="21"/>
                <w:szCs w:val="21"/>
              </w:rPr>
              <w:t>年度中国软件和信息服务十大领军人物”、“</w:t>
            </w:r>
            <w:r>
              <w:rPr>
                <w:rFonts w:ascii="Times New Roman" w:hAnsi="Times New Roman" w:cs="Times New Roman" w:eastAsia="Times New Roman" w:hint="default"/>
                <w:spacing w:val="-3"/>
                <w:sz w:val="21"/>
                <w:szCs w:val="21"/>
              </w:rPr>
              <w:t>2016</w:t>
            </w:r>
            <w:r>
              <w:rPr>
                <w:rFonts w:ascii="Times New Roman" w:hAnsi="Times New Roman" w:cs="Times New Roman" w:eastAsia="Times New Roman" w:hint="default"/>
                <w:spacing w:val="25"/>
                <w:sz w:val="21"/>
                <w:szCs w:val="21"/>
              </w:rPr>
              <w:t> </w:t>
            </w:r>
            <w:r>
              <w:rPr>
                <w:rFonts w:ascii="宋体" w:hAnsi="宋体" w:cs="宋体" w:eastAsia="宋体" w:hint="default"/>
                <w:spacing w:val="-4"/>
                <w:sz w:val="21"/>
                <w:szCs w:val="21"/>
              </w:rPr>
              <w:t>年福建省高层次人才”、“</w:t>
            </w:r>
            <w:r>
              <w:rPr>
                <w:rFonts w:ascii="Times New Roman" w:hAnsi="Times New Roman" w:cs="Times New Roman" w:eastAsia="Times New Roman" w:hint="default"/>
                <w:spacing w:val="-4"/>
                <w:sz w:val="21"/>
                <w:szCs w:val="21"/>
              </w:rPr>
              <w:t>2017</w:t>
            </w:r>
            <w:r>
              <w:rPr>
                <w:rFonts w:ascii="Times New Roman" w:hAnsi="Times New Roman" w:cs="Times New Roman" w:eastAsia="Times New Roman" w:hint="default"/>
                <w:spacing w:val="29"/>
                <w:sz w:val="21"/>
                <w:szCs w:val="21"/>
              </w:rPr>
              <w:t> </w:t>
            </w:r>
            <w:r>
              <w:rPr>
                <w:rFonts w:ascii="宋体" w:hAnsi="宋体" w:cs="宋体" w:eastAsia="宋体" w:hint="default"/>
                <w:spacing w:val="-4"/>
                <w:sz w:val="21"/>
                <w:szCs w:val="21"/>
              </w:rPr>
              <w:t>年中国软件行业年度领军人物”等。曾任万</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
                <w:sz w:val="21"/>
                <w:szCs w:val="21"/>
              </w:rPr>
              <w:t>石控股集团有限公司执行董事、福建新微科技有限公司执行董事、泰宁万石旅游投资开发有限公司执行董事，自公司成立至今任董事长兼</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1"/>
                <w:sz w:val="21"/>
                <w:szCs w:val="21"/>
              </w:rPr>
              <w:t>总经理；武夷山国际健康管理集团有限公司执行董事、武夷山国际健康小镇有限公司执行董事、武夷山国际转诊中心有限公司执行董事、</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1"/>
                <w:sz w:val="21"/>
                <w:szCs w:val="21"/>
              </w:rPr>
              <w:t>武夷山国际抗衰老中心有限公司执行董事、武夷山国际医疗旅游旅行社有限公司执行董事、武夷山国际康复疗养中心有限公司执行董事、</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武夷山国际体检中心有限公司执行董事、武夷山国际健康论坛有限公司执行董事、泉州匹兹堡健康中心有限公司执行董事、福建金证智城</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科技有限公司董事。</w:t>
            </w:r>
          </w:p>
        </w:tc>
      </w:tr>
      <w:tr>
        <w:trPr>
          <w:trHeight w:val="82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徐春梅</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徐春梅，女，</w:t>
            </w:r>
            <w:r>
              <w:rPr>
                <w:rFonts w:ascii="Times New Roman" w:hAnsi="Times New Roman" w:cs="Times New Roman" w:eastAsia="Times New Roman" w:hint="default"/>
                <w:spacing w:val="-3"/>
                <w:sz w:val="21"/>
                <w:szCs w:val="21"/>
              </w:rPr>
              <w:t>1979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pacing w:val="-3"/>
                <w:sz w:val="21"/>
                <w:szCs w:val="21"/>
              </w:rPr>
              <w:t>月出生，中国国籍，无永久境外居留权，硕士，泉州市人大代表、丰泽区人大常委，被评为“</w:t>
            </w:r>
            <w:r>
              <w:rPr>
                <w:rFonts w:ascii="Times New Roman" w:hAnsi="Times New Roman" w:cs="Times New Roman" w:eastAsia="Times New Roman" w:hint="default"/>
                <w:spacing w:val="-3"/>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年度十大巾帼闽</w:t>
            </w:r>
          </w:p>
          <w:p>
            <w:pPr>
              <w:pStyle w:val="TableParagraph"/>
              <w:spacing w:line="272" w:lineRule="exact" w:before="19"/>
              <w:ind w:left="103" w:right="93"/>
              <w:jc w:val="left"/>
              <w:rPr>
                <w:rFonts w:ascii="宋体" w:hAnsi="宋体" w:cs="宋体" w:eastAsia="宋体" w:hint="default"/>
                <w:sz w:val="21"/>
                <w:szCs w:val="21"/>
              </w:rPr>
            </w:pPr>
            <w:r>
              <w:rPr>
                <w:rFonts w:ascii="宋体" w:hAnsi="宋体" w:cs="宋体" w:eastAsia="宋体" w:hint="default"/>
                <w:spacing w:val="-2"/>
                <w:sz w:val="21"/>
                <w:szCs w:val="21"/>
              </w:rPr>
              <w:t>商”。历任福建榕基软件股份有限公司售前支持部售前工程师，</w:t>
            </w:r>
            <w:r>
              <w:rPr>
                <w:rFonts w:ascii="Times New Roman" w:hAnsi="Times New Roman" w:cs="Times New Roman" w:eastAsia="Times New Roman" w:hint="default"/>
                <w:spacing w:val="-2"/>
                <w:sz w:val="21"/>
                <w:szCs w:val="21"/>
              </w:rPr>
              <w:t>2004</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年至今历任南威软件售前支持部经理、项目总监；现任公司董事和副</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总经理。</w:t>
            </w:r>
          </w:p>
        </w:tc>
      </w:tr>
      <w:tr>
        <w:trPr>
          <w:trHeight w:val="55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廖长宝</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廖长宝，男，</w:t>
            </w:r>
            <w:r>
              <w:rPr>
                <w:rFonts w:ascii="Times New Roman" w:hAnsi="Times New Roman" w:cs="Times New Roman" w:eastAsia="Times New Roman" w:hint="default"/>
                <w:sz w:val="21"/>
                <w:szCs w:val="21"/>
              </w:rPr>
              <w:t>1971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月出生，中国国籍，无永久境外居留权，硕士。历任福州诺威亚网络有限公司工程师，福建榕基软件股份有限公司</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售前支持部经理，公司技术总监。现任公司董事、副总经理。</w:t>
            </w:r>
          </w:p>
        </w:tc>
      </w:tr>
      <w:tr>
        <w:trPr>
          <w:trHeight w:val="82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宫志松</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宫志松，男，</w:t>
            </w:r>
            <w:r>
              <w:rPr>
                <w:rFonts w:ascii="Times New Roman" w:hAnsi="Times New Roman" w:cs="Times New Roman" w:eastAsia="Times New Roman" w:hint="default"/>
                <w:sz w:val="21"/>
                <w:szCs w:val="21"/>
              </w:rPr>
              <w:t>1973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月出生，中国国籍，中共党员，研究生学历，高级工程师，无境外永久居留权。</w:t>
            </w: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月，历任</w:t>
            </w:r>
          </w:p>
          <w:p>
            <w:pPr>
              <w:pStyle w:val="TableParagraph"/>
              <w:spacing w:line="272" w:lineRule="exact" w:before="19"/>
              <w:ind w:left="103" w:right="93"/>
              <w:jc w:val="left"/>
              <w:rPr>
                <w:rFonts w:ascii="宋体" w:hAnsi="宋体" w:cs="宋体" w:eastAsia="宋体" w:hint="default"/>
                <w:sz w:val="21"/>
                <w:szCs w:val="21"/>
              </w:rPr>
            </w:pPr>
            <w:r>
              <w:rPr>
                <w:rFonts w:ascii="宋体" w:hAnsi="宋体" w:cs="宋体" w:eastAsia="宋体" w:hint="default"/>
                <w:sz w:val="21"/>
                <w:szCs w:val="21"/>
              </w:rPr>
              <w:t>中国电子科技集团有限公司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所助理工程师、工程师、高级工程师、副处长、处长，</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月，历任中国电子科技集团</w:t>
            </w:r>
            <w:r>
              <w:rPr>
                <w:rFonts w:ascii="宋体" w:hAnsi="宋体" w:cs="宋体" w:eastAsia="宋体" w:hint="default"/>
                <w:w w:val="100"/>
                <w:sz w:val="21"/>
                <w:szCs w:val="21"/>
              </w:rPr>
              <w:t> </w:t>
            </w:r>
            <w:r>
              <w:rPr>
                <w:rFonts w:ascii="宋体" w:hAnsi="宋体" w:cs="宋体" w:eastAsia="宋体" w:hint="default"/>
                <w:sz w:val="21"/>
                <w:szCs w:val="21"/>
              </w:rPr>
              <w:t>有限公司基础部、产业部处长，</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月至今，任中电科投资控股有限公司副总经理。</w:t>
            </w:r>
          </w:p>
        </w:tc>
      </w:tr>
      <w:tr>
        <w:trPr>
          <w:trHeight w:val="557"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杨鹏</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杨鹏，男，</w:t>
            </w:r>
            <w:r>
              <w:rPr>
                <w:rFonts w:ascii="Times New Roman" w:hAnsi="Times New Roman" w:cs="Times New Roman" w:eastAsia="Times New Roman" w:hint="default"/>
                <w:sz w:val="21"/>
                <w:szCs w:val="21"/>
              </w:rPr>
              <w:t>1976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月出生，中国国籍，无党派人士，中山大学岭南学院国际贸易金融系经济学学士、卡尔森商学院</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EMBA</w:t>
            </w:r>
            <w:r>
              <w:rPr>
                <w:rFonts w:ascii="宋体" w:hAnsi="宋体" w:cs="宋体" w:eastAsia="宋体" w:hint="default"/>
                <w:sz w:val="21"/>
                <w:szCs w:val="21"/>
              </w:rPr>
              <w:t>，曾任戴尔科</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技集团副总裁，现任蚂蚁金服副总裁，支付宝政务民生事业部总经理。</w:t>
            </w:r>
          </w:p>
        </w:tc>
      </w:tr>
      <w:tr>
        <w:trPr>
          <w:trHeight w:val="82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赵小凡</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赵小凡，男，</w:t>
            </w:r>
            <w:r>
              <w:rPr>
                <w:rFonts w:ascii="Times New Roman" w:hAnsi="Times New Roman" w:cs="Times New Roman" w:eastAsia="Times New Roman" w:hint="default"/>
                <w:sz w:val="21"/>
                <w:szCs w:val="21"/>
              </w:rPr>
              <w:t>1950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月出生，中国国籍，中共党员，无永久境外居留权。硕士，研究员。曾任国务院信息化工作办公室司长，工业和信</w:t>
            </w:r>
          </w:p>
          <w:p>
            <w:pPr>
              <w:pStyle w:val="TableParagraph"/>
              <w:spacing w:line="274" w:lineRule="exact" w:before="16"/>
              <w:ind w:left="103" w:right="100"/>
              <w:jc w:val="left"/>
              <w:rPr>
                <w:rFonts w:ascii="宋体" w:hAnsi="宋体" w:cs="宋体" w:eastAsia="宋体" w:hint="default"/>
                <w:sz w:val="21"/>
                <w:szCs w:val="21"/>
              </w:rPr>
            </w:pPr>
            <w:r>
              <w:rPr>
                <w:rFonts w:ascii="宋体" w:hAnsi="宋体" w:cs="宋体" w:eastAsia="宋体" w:hint="default"/>
                <w:spacing w:val="-1"/>
                <w:sz w:val="21"/>
                <w:szCs w:val="21"/>
              </w:rPr>
              <w:t>息化部司长，中国软件行业协会理事长，北京东方通科技股份有限公司独立董事，北京华宇软件股份有限公司独立董事。报告期内担任京</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华信息科技股份有限公司董事，现任公司独立董事。</w:t>
            </w:r>
          </w:p>
        </w:tc>
      </w:tr>
      <w:tr>
        <w:trPr>
          <w:trHeight w:val="110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王浩</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z w:val="21"/>
                <w:szCs w:val="21"/>
              </w:rPr>
              <w:t>王浩，男，</w:t>
            </w:r>
            <w:r>
              <w:rPr>
                <w:rFonts w:ascii="Times New Roman" w:hAnsi="Times New Roman" w:cs="Times New Roman" w:eastAsia="Times New Roman" w:hint="default"/>
                <w:sz w:val="21"/>
                <w:szCs w:val="21"/>
              </w:rPr>
              <w:t>1953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月出生，中国国籍，中共党员，无永久境外居留权，中国工程院院士，教授级高工，博导，享有国务院政府津贴。历</w:t>
            </w:r>
          </w:p>
          <w:p>
            <w:pPr>
              <w:pStyle w:val="TableParagraph"/>
              <w:spacing w:line="230" w:lineRule="auto" w:before="1"/>
              <w:ind w:left="103" w:right="93"/>
              <w:jc w:val="both"/>
              <w:rPr>
                <w:rFonts w:ascii="宋体" w:hAnsi="宋体" w:cs="宋体" w:eastAsia="宋体" w:hint="default"/>
                <w:sz w:val="21"/>
                <w:szCs w:val="21"/>
              </w:rPr>
            </w:pPr>
            <w:r>
              <w:rPr>
                <w:rFonts w:ascii="宋体" w:hAnsi="宋体" w:cs="宋体" w:eastAsia="宋体" w:hint="default"/>
                <w:sz w:val="21"/>
                <w:szCs w:val="21"/>
              </w:rPr>
              <w:t>任中国水科院水资源所工程师、副室主任、室主任、总工程师、所长。</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月至今任流域水循环模拟与调控国家重点实验室主任。曾</w:t>
            </w:r>
            <w:r>
              <w:rPr>
                <w:rFonts w:ascii="宋体" w:hAnsi="宋体" w:cs="宋体" w:eastAsia="宋体" w:hint="default"/>
                <w:w w:val="100"/>
                <w:sz w:val="21"/>
                <w:szCs w:val="21"/>
              </w:rPr>
              <w:t> </w:t>
            </w:r>
            <w:r>
              <w:rPr>
                <w:rFonts w:ascii="宋体" w:hAnsi="宋体" w:cs="宋体" w:eastAsia="宋体" w:hint="default"/>
                <w:spacing w:val="-1"/>
                <w:sz w:val="21"/>
                <w:szCs w:val="21"/>
              </w:rPr>
              <w:t>任北京超图软件股份有限公司独立董事、北京正和恒基滨水生态环境治理股份有限公司独立董事；现任流域水循环模拟与调控国家重点实</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1"/>
                <w:sz w:val="21"/>
                <w:szCs w:val="21"/>
              </w:rPr>
              <w:t>验室主任、南威软件独立董事、上海威派格智慧水务股份有限公司独立董事、北京碧水云端科技有限公司监事、金科环境股份有限公司董</w:t>
            </w:r>
          </w:p>
        </w:tc>
      </w:tr>
    </w:tbl>
    <w:p>
      <w:pPr>
        <w:spacing w:after="0" w:line="230" w:lineRule="auto"/>
        <w:jc w:val="both"/>
        <w:rPr>
          <w:rFonts w:ascii="宋体" w:hAnsi="宋体" w:cs="宋体" w:eastAsia="宋体" w:hint="default"/>
          <w:sz w:val="21"/>
          <w:szCs w:val="21"/>
        </w:rPr>
        <w:sectPr>
          <w:pgSz w:w="16840" w:h="11910" w:orient="landscape"/>
          <w:pgMar w:header="855" w:footer="980" w:top="1120" w:bottom="1160" w:left="1300" w:right="1200"/>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989"/>
        <w:gridCol w:w="12875"/>
      </w:tblGrid>
      <w:tr>
        <w:trPr>
          <w:trHeight w:val="826" w:hRule="exact"/>
        </w:trPr>
        <w:tc>
          <w:tcPr>
            <w:tcW w:w="989" w:type="dxa"/>
            <w:tcBorders>
              <w:top w:val="single" w:sz="4" w:space="0" w:color="000000"/>
              <w:left w:val="single" w:sz="4" w:space="0" w:color="000000"/>
              <w:bottom w:val="single" w:sz="4" w:space="0" w:color="000000"/>
              <w:right w:val="single" w:sz="4" w:space="0" w:color="000000"/>
            </w:tcBorders>
          </w:tcPr>
          <w:p>
            <w:pP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10"/>
              <w:jc w:val="left"/>
              <w:rPr>
                <w:rFonts w:ascii="宋体" w:hAnsi="宋体" w:cs="宋体" w:eastAsia="宋体" w:hint="default"/>
                <w:sz w:val="21"/>
                <w:szCs w:val="21"/>
              </w:rPr>
            </w:pPr>
            <w:r>
              <w:rPr>
                <w:rFonts w:ascii="宋体" w:hAnsi="宋体" w:cs="宋体" w:eastAsia="宋体" w:hint="default"/>
                <w:spacing w:val="-3"/>
                <w:sz w:val="21"/>
                <w:szCs w:val="21"/>
              </w:rPr>
              <w:t>事、天津沃佰艾斯科技有限公司董事、青岛力晨新材料科技有限公司董事长、南京马也信息技术有限公司监事、浩正嵩岳基金管理（青岛）</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
                <w:sz w:val="21"/>
                <w:szCs w:val="21"/>
              </w:rPr>
              <w:t>有限公司董事、南方海绵城市工程技术（佛山）有限公司监事、诺威生态科技有限公司董事、江苏正浩工程科技有限公司董事长、南京中</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井水环境科技研究院有限公司监事。</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刘润</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刘润，男，</w:t>
            </w:r>
            <w:r>
              <w:rPr>
                <w:rFonts w:ascii="Times New Roman" w:hAnsi="Times New Roman" w:cs="Times New Roman" w:eastAsia="Times New Roman" w:hint="default"/>
                <w:sz w:val="21"/>
                <w:szCs w:val="21"/>
              </w:rPr>
              <w:t>1978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月出生，中国国籍，无永久境外居留权，本科，注册会计师。曾任福建华兴会计师事务所（特殊普通合伙）审计师、</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项目经理等职务及致同会计师事务所（特殊普通合伙）总监，现任公司独立董事、容诚会计师事务所（特殊普通合伙）总监。</w:t>
            </w:r>
          </w:p>
        </w:tc>
      </w:tr>
      <w:tr>
        <w:trPr>
          <w:trHeight w:val="557"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sz w:val="21"/>
                <w:szCs w:val="21"/>
              </w:rPr>
              <w:t>吴丽卿</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吴丽卿，女，</w:t>
            </w:r>
            <w:r>
              <w:rPr>
                <w:rFonts w:ascii="Times New Roman" w:hAnsi="Times New Roman" w:cs="Times New Roman" w:eastAsia="Times New Roman" w:hint="default"/>
                <w:sz w:val="21"/>
                <w:szCs w:val="21"/>
              </w:rPr>
              <w:t>1979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月出生，中国国籍，无永久境外居留权，本科，泉州市丰泽区政协常委，泉州市企业经营管理领军人才。历任公司</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总经理助理、总经理办公室主任；现任公司副总经理兼董事会秘书，成都四方伟业软件股份有限公司董事。</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宋体" w:hAnsi="宋体" w:cs="宋体" w:eastAsia="宋体" w:hint="default"/>
                <w:sz w:val="21"/>
                <w:szCs w:val="21"/>
              </w:rPr>
            </w:pPr>
            <w:r>
              <w:rPr>
                <w:rFonts w:ascii="宋体" w:hAnsi="宋体" w:cs="宋体" w:eastAsia="宋体" w:hint="default"/>
                <w:sz w:val="21"/>
                <w:szCs w:val="21"/>
              </w:rPr>
              <w:t>林立成</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林立成，男，</w:t>
            </w:r>
            <w:r>
              <w:rPr>
                <w:rFonts w:ascii="Times New Roman" w:hAnsi="Times New Roman" w:cs="Times New Roman" w:eastAsia="Times New Roman" w:hint="default"/>
                <w:sz w:val="21"/>
                <w:szCs w:val="21"/>
              </w:rPr>
              <w:t>1970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月出生，中国国籍，无永久境外居留权，本科。历任福建省公安厅政治部秘书科、警务科科员，人事处地方工作科</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科员，人事处机关干部科副科长、科长，经济犯罪侦查总队副总队长。现任公司副总经理。</w:t>
            </w:r>
          </w:p>
        </w:tc>
      </w:tr>
      <w:tr>
        <w:trPr>
          <w:trHeight w:val="55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78" w:right="0"/>
              <w:jc w:val="left"/>
              <w:rPr>
                <w:rFonts w:ascii="宋体" w:hAnsi="宋体" w:cs="宋体" w:eastAsia="宋体" w:hint="default"/>
                <w:sz w:val="21"/>
                <w:szCs w:val="21"/>
              </w:rPr>
            </w:pPr>
            <w:r>
              <w:rPr>
                <w:rFonts w:ascii="宋体" w:hAnsi="宋体" w:cs="宋体" w:eastAsia="宋体" w:hint="default"/>
                <w:sz w:val="21"/>
                <w:szCs w:val="21"/>
              </w:rPr>
              <w:t>郜彤</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郜彤，男，</w:t>
            </w:r>
            <w:r>
              <w:rPr>
                <w:rFonts w:ascii="Times New Roman" w:hAnsi="Times New Roman" w:cs="Times New Roman" w:eastAsia="Times New Roman" w:hint="default"/>
                <w:spacing w:val="-3"/>
                <w:sz w:val="21"/>
                <w:szCs w:val="21"/>
              </w:rPr>
              <w:t>1970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pacing w:val="-3"/>
                <w:sz w:val="21"/>
                <w:szCs w:val="21"/>
              </w:rPr>
              <w:t>月出生，中国国籍，中共党员，研究生学历，无境外永久居留权。</w:t>
            </w:r>
            <w:r>
              <w:rPr>
                <w:rFonts w:ascii="Times New Roman" w:hAnsi="Times New Roman" w:cs="Times New Roman" w:eastAsia="Times New Roman" w:hint="default"/>
                <w:spacing w:val="-3"/>
                <w:sz w:val="21"/>
                <w:szCs w:val="21"/>
              </w:rPr>
              <w:t>1987 </w:t>
            </w:r>
            <w:r>
              <w:rPr>
                <w:rFonts w:ascii="Times New Roman" w:hAnsi="Times New Roman" w:cs="Times New Roman" w:eastAsia="Times New Roman" w:hint="default"/>
                <w:spacing w:val="41"/>
                <w:sz w:val="21"/>
                <w:szCs w:val="21"/>
              </w:rPr>
              <w:t> </w:t>
            </w:r>
            <w:r>
              <w:rPr>
                <w:rFonts w:ascii="宋体" w:hAnsi="宋体" w:cs="宋体" w:eastAsia="宋体" w:hint="default"/>
                <w:spacing w:val="-4"/>
                <w:sz w:val="21"/>
                <w:szCs w:val="21"/>
              </w:rPr>
              <w:t>年参军，历任连、营、团、师职干部。退役后</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曾担任北京蓝玛星际科技有限公司副总裁，现任公司高级副总裁兼北京运营中心总裁。</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sz w:val="21"/>
                <w:szCs w:val="21"/>
              </w:rPr>
              <w:t>姚文宇</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5"/>
              <w:jc w:val="left"/>
              <w:rPr>
                <w:rFonts w:ascii="宋体" w:hAnsi="宋体" w:cs="宋体" w:eastAsia="宋体" w:hint="default"/>
                <w:sz w:val="21"/>
                <w:szCs w:val="21"/>
              </w:rPr>
            </w:pPr>
            <w:r>
              <w:rPr>
                <w:rFonts w:ascii="宋体" w:hAnsi="宋体" w:cs="宋体" w:eastAsia="宋体" w:hint="default"/>
                <w:spacing w:val="-7"/>
                <w:sz w:val="21"/>
                <w:szCs w:val="21"/>
              </w:rPr>
              <w:t>姚文宇，男，</w:t>
            </w:r>
            <w:r>
              <w:rPr>
                <w:rFonts w:ascii="Times New Roman" w:hAnsi="Times New Roman" w:cs="Times New Roman" w:eastAsia="Times New Roman" w:hint="default"/>
                <w:spacing w:val="-7"/>
                <w:sz w:val="21"/>
                <w:szCs w:val="21"/>
              </w:rPr>
              <w:t>1976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pacing w:val="-5"/>
                <w:sz w:val="21"/>
                <w:szCs w:val="21"/>
              </w:rPr>
              <w:t>月出生，中国国籍，中共党员，研究生学历，无境外永久居留权。历任启明星辰信息技术集团股份有限公司副总裁、</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北京智通汇达科技有限公司</w:t>
            </w:r>
            <w:r>
              <w:rPr>
                <w:rFonts w:ascii="宋体" w:hAnsi="宋体" w:cs="宋体" w:eastAsia="宋体" w:hint="default"/>
                <w:spacing w:val="36"/>
                <w:sz w:val="21"/>
                <w:szCs w:val="21"/>
              </w:rPr>
              <w:t> </w:t>
            </w:r>
            <w:r>
              <w:rPr>
                <w:rFonts w:ascii="Times New Roman" w:hAnsi="Times New Roman" w:cs="Times New Roman" w:eastAsia="Times New Roman" w:hint="default"/>
                <w:spacing w:val="-2"/>
                <w:sz w:val="21"/>
                <w:szCs w:val="21"/>
              </w:rPr>
              <w:t>CEO</w:t>
            </w:r>
            <w:r>
              <w:rPr>
                <w:rFonts w:ascii="宋体" w:hAnsi="宋体" w:cs="宋体" w:eastAsia="宋体" w:hint="default"/>
                <w:spacing w:val="-2"/>
                <w:sz w:val="21"/>
                <w:szCs w:val="21"/>
              </w:rPr>
              <w:t>、珠海汇金科技股份有限公司副总裁，现任公司高级副总裁兼运营中心总裁。</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陈平</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陈平，男，</w:t>
            </w:r>
            <w:r>
              <w:rPr>
                <w:rFonts w:ascii="Times New Roman" w:hAnsi="Times New Roman" w:cs="Times New Roman" w:eastAsia="Times New Roman" w:hint="default"/>
                <w:spacing w:val="-4"/>
                <w:sz w:val="21"/>
                <w:szCs w:val="21"/>
              </w:rPr>
              <w:t>1975  </w:t>
            </w:r>
            <w:r>
              <w:rPr>
                <w:rFonts w:ascii="宋体" w:hAnsi="宋体" w:cs="宋体" w:eastAsia="宋体" w:hint="default"/>
                <w:sz w:val="21"/>
                <w:szCs w:val="21"/>
              </w:rPr>
              <w:t>年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7"/>
                <w:sz w:val="21"/>
                <w:szCs w:val="21"/>
              </w:rPr>
              <w:t> </w:t>
            </w:r>
            <w:r>
              <w:rPr>
                <w:rFonts w:ascii="宋体" w:hAnsi="宋体" w:cs="宋体" w:eastAsia="宋体" w:hint="default"/>
                <w:spacing w:val="-3"/>
                <w:sz w:val="21"/>
                <w:szCs w:val="21"/>
              </w:rPr>
              <w:t>月出生，中国国籍，无境外永久居留权，本科学历，高级会计师、注册会计师。曾任福建立信闽都会计师事务所厦门</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分所审计员、经理，厦门银祥集团有限公司财务总监，漳州雅宝电子有限公司财务总监，公司财务中心总经理，现任公司财务总监。</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sz w:val="21"/>
                <w:szCs w:val="21"/>
              </w:rPr>
              <w:t>陈周明</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陈周明，男，</w:t>
            </w:r>
            <w:r>
              <w:rPr>
                <w:rFonts w:ascii="Times New Roman" w:hAnsi="Times New Roman" w:cs="Times New Roman" w:eastAsia="Times New Roman" w:hint="default"/>
                <w:spacing w:val="-4"/>
                <w:sz w:val="21"/>
                <w:szCs w:val="21"/>
              </w:rPr>
              <w:t>1979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9"/>
                <w:sz w:val="21"/>
                <w:szCs w:val="21"/>
              </w:rPr>
              <w:t> </w:t>
            </w:r>
            <w:r>
              <w:rPr>
                <w:rFonts w:ascii="宋体" w:hAnsi="宋体" w:cs="宋体" w:eastAsia="宋体" w:hint="default"/>
                <w:spacing w:val="-3"/>
                <w:sz w:val="21"/>
                <w:szCs w:val="21"/>
              </w:rPr>
              <w:t>月出生，中国国籍，无永久境外居留权，本科。历任中国联通泉州市分公司集团客户部总经理、县分公司总经理等</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职务。现任公司监事会主席、营销中心总裁。</w:t>
            </w:r>
          </w:p>
        </w:tc>
      </w:tr>
      <w:tr>
        <w:trPr>
          <w:trHeight w:val="55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sz w:val="21"/>
                <w:szCs w:val="21"/>
              </w:rPr>
              <w:t>曾文语</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曾文语，男，</w:t>
            </w:r>
            <w:r>
              <w:rPr>
                <w:rFonts w:ascii="Times New Roman" w:hAnsi="Times New Roman" w:cs="Times New Roman" w:eastAsia="Times New Roman" w:hint="default"/>
                <w:spacing w:val="-4"/>
                <w:sz w:val="21"/>
                <w:szCs w:val="21"/>
              </w:rPr>
              <w:t>1981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8"/>
                <w:sz w:val="21"/>
                <w:szCs w:val="21"/>
              </w:rPr>
              <w:t> </w:t>
            </w:r>
            <w:r>
              <w:rPr>
                <w:rFonts w:ascii="宋体" w:hAnsi="宋体" w:cs="宋体" w:eastAsia="宋体" w:hint="default"/>
                <w:spacing w:val="-3"/>
                <w:sz w:val="21"/>
                <w:szCs w:val="21"/>
              </w:rPr>
              <w:t>月出生，中国国籍，无永久境外居留权，本科。历任福州弘扬软件有限公司软件开发工程师、厦门西雅电子信息技</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术有限公司软件开发工程师。</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月至今历任技术主管、部门经理、政务事业部副总经理。现任公司监事、政务事业一部总经理。</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sz w:val="21"/>
                <w:szCs w:val="21"/>
              </w:rPr>
              <w:t>翁培萍</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翁培萍，女，</w:t>
            </w:r>
            <w:r>
              <w:rPr>
                <w:rFonts w:ascii="Times New Roman" w:hAnsi="Times New Roman" w:cs="Times New Roman" w:eastAsia="Times New Roman" w:hint="default"/>
                <w:spacing w:val="-3"/>
                <w:sz w:val="21"/>
                <w:szCs w:val="21"/>
              </w:rPr>
              <w:t>1982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月出生，中国国籍，中共党员，研究生学历，无境外永久居留权。</w:t>
            </w:r>
            <w:r>
              <w:rPr>
                <w:rFonts w:ascii="Times New Roman" w:hAnsi="Times New Roman" w:cs="Times New Roman" w:eastAsia="Times New Roman" w:hint="default"/>
                <w:spacing w:val="-3"/>
                <w:sz w:val="21"/>
                <w:szCs w:val="21"/>
              </w:rPr>
              <w:t>2014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月任南威软件市场推广</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部经理，</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月至今，任南威软件总裁办主任、职工代表监事。</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sz w:val="21"/>
                <w:szCs w:val="21"/>
              </w:rPr>
              <w:t>洪培琪</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洪培琪，男，</w:t>
            </w:r>
            <w:r>
              <w:rPr>
                <w:rFonts w:ascii="Times New Roman" w:hAnsi="Times New Roman" w:cs="Times New Roman" w:eastAsia="Times New Roman" w:hint="default"/>
                <w:spacing w:val="-4"/>
                <w:sz w:val="21"/>
                <w:szCs w:val="21"/>
              </w:rPr>
              <w:t>1978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8"/>
                <w:sz w:val="21"/>
                <w:szCs w:val="21"/>
              </w:rPr>
              <w:t> </w:t>
            </w:r>
            <w:r>
              <w:rPr>
                <w:rFonts w:ascii="宋体" w:hAnsi="宋体" w:cs="宋体" w:eastAsia="宋体" w:hint="default"/>
                <w:spacing w:val="-3"/>
                <w:sz w:val="21"/>
                <w:szCs w:val="21"/>
              </w:rPr>
              <w:t>月出生，中国国籍，无永久境外居留权，硕士。曾就职于中国平安保险厦门寿险分公司、东莞市石碣溢年塑胶五金</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制品厂，历任公司软件工程师、项目经理等职务。曾任公司职工代表监事、运营监管部经理。</w:t>
            </w:r>
          </w:p>
        </w:tc>
      </w:tr>
      <w:tr>
        <w:trPr>
          <w:trHeight w:val="557"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sz w:val="21"/>
                <w:szCs w:val="21"/>
              </w:rPr>
              <w:t>曾志勇</w:t>
            </w:r>
            <w:r>
              <w:rPr>
                <w:rFonts w:ascii="宋体" w:hAnsi="宋体" w:cs="宋体" w:eastAsia="宋体" w:hint="default"/>
                <w:sz w:val="21"/>
                <w:szCs w:val="21"/>
              </w:rPr>
              <w:t> </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曾志勇，男，</w:t>
            </w:r>
            <w:r>
              <w:rPr>
                <w:rFonts w:ascii="Times New Roman" w:hAnsi="Times New Roman" w:cs="Times New Roman" w:eastAsia="Times New Roman" w:hint="default"/>
                <w:sz w:val="21"/>
                <w:szCs w:val="21"/>
              </w:rPr>
              <w:t>1970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月出生，中国国籍，无永久境外居留权，本科。历任中国绿色食品集团有限公司财务副总监、福建金山医药实业集</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团有限公司财务总监、公司财务中心总经理、财务总监。</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24"/>
        <w:ind w:left="224" w:right="0" w:firstLine="420"/>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9"/>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日经公司第三届董事会第三十三次会议审议通过，聘任郜彤先生为公司高级副总裁兼北京运营中心总裁，任期至本届董事会届满</w:t>
      </w:r>
      <w:r>
        <w:rPr>
          <w:w w:val="100"/>
        </w:rPr>
        <w:t> </w:t>
      </w:r>
      <w:r>
        <w:rPr/>
        <w:t>之日止。</w:t>
      </w:r>
    </w:p>
    <w:p>
      <w:pPr>
        <w:pStyle w:val="BodyText"/>
        <w:spacing w:line="262" w:lineRule="exact"/>
        <w:ind w:left="644" w:right="0"/>
        <w:jc w:val="left"/>
      </w:pPr>
      <w:r>
        <w:rPr>
          <w:rFonts w:ascii="Times New Roman" w:hAnsi="Times New Roman" w:cs="Times New Roman" w:eastAsia="Times New Roman" w:hint="default"/>
        </w:rPr>
        <w:t>2</w:t>
      </w:r>
      <w:r>
        <w:rPr/>
        <w:t>、公司于</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日收到公司财务总监曾志勇先提交的辞职报告，其因个人工作原因，申请辞去公司财务总监。</w:t>
      </w:r>
    </w:p>
    <w:p>
      <w:pPr>
        <w:spacing w:after="0" w:line="262" w:lineRule="exact"/>
        <w:jc w:val="left"/>
        <w:sectPr>
          <w:pgSz w:w="16840" w:h="11910" w:orient="landscape"/>
          <w:pgMar w:header="855" w:footer="980" w:top="1120" w:bottom="1160" w:left="1300" w:right="1320"/>
        </w:sectPr>
      </w:pPr>
    </w:p>
    <w:p>
      <w:pPr>
        <w:pStyle w:val="BodyText"/>
        <w:spacing w:line="281" w:lineRule="exact" w:before="117"/>
        <w:ind w:left="64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日经公司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年第一次临时股东大会审议通过，选举杨鹏先生为公司第三届董事会董事，任期至第三届董事会届满之日止。</w:t>
      </w:r>
    </w:p>
    <w:p>
      <w:pPr>
        <w:pStyle w:val="BodyText"/>
        <w:spacing w:line="272" w:lineRule="exact"/>
        <w:ind w:left="644"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日经公司第三届董事会第四十二次会议审议通过，聘任姚文宇先生为公司副总经理，任期至本届董事会届满之日止。</w:t>
      </w:r>
    </w:p>
    <w:p>
      <w:pPr>
        <w:pStyle w:val="BodyText"/>
        <w:spacing w:line="272" w:lineRule="exact"/>
        <w:ind w:left="644"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日经公司</w:t>
      </w:r>
      <w:r>
        <w:rPr>
          <w:spacing w:val="-5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年第一次临时股东大会审议通过，选举宫志松先生为公司第三届董事会董事，任期至第三届董事会届满之日止。</w:t>
      </w:r>
    </w:p>
    <w:p>
      <w:pPr>
        <w:pStyle w:val="BodyText"/>
        <w:spacing w:line="272" w:lineRule="exact"/>
        <w:ind w:left="644" w:right="0"/>
        <w:jc w:val="left"/>
      </w:pPr>
      <w:r>
        <w:rPr>
          <w:rFonts w:ascii="Times New Roman" w:hAnsi="Times New Roman" w:cs="Times New Roman" w:eastAsia="Times New Roman" w:hint="default"/>
        </w:rPr>
        <w:t>6</w:t>
      </w:r>
      <w:r>
        <w:rPr/>
        <w:t>、公司于</w:t>
      </w:r>
      <w:r>
        <w:rPr>
          <w:spacing w:val="-5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日收到公司职工代表监事洪培琪先生提交的辞职报告，其因个人工作原因，申请辞去公司职工代表监事。</w:t>
      </w:r>
    </w:p>
    <w:p>
      <w:pPr>
        <w:pStyle w:val="BodyText"/>
        <w:spacing w:line="272" w:lineRule="exact"/>
        <w:ind w:left="644" w:right="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日经公司职工代表大会与会职工代表民主选举，选举翁培萍女士担任公司职工代表监事，任期至第三届监事会届满之日止。</w:t>
      </w:r>
    </w:p>
    <w:p>
      <w:pPr>
        <w:pStyle w:val="BodyText"/>
        <w:spacing w:line="274" w:lineRule="exact" w:before="16"/>
        <w:ind w:left="224" w:right="113" w:firstLine="420"/>
        <w:jc w:val="left"/>
      </w:pPr>
      <w:r>
        <w:rPr>
          <w:rFonts w:ascii="Times New Roman" w:hAnsi="Times New Roman" w:cs="Times New Roman" w:eastAsia="Times New Roman" w:hint="default"/>
        </w:rPr>
        <w:t>8</w:t>
      </w:r>
      <w:r>
        <w:rPr/>
        <w:t>、第三届董事会及监事会已于</w:t>
      </w:r>
      <w:r>
        <w:rPr>
          <w:spacing w:val="-4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日任期届满。</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spacing w:val="-3"/>
        </w:rPr>
        <w:t>日，公司发布了《关于董事会、监事会延期换届的提示性公告》（公告</w:t>
      </w:r>
      <w:r>
        <w:rPr>
          <w:w w:val="100"/>
        </w:rPr>
        <w:t> </w:t>
      </w:r>
      <w:r>
        <w:rPr/>
        <w:t>编号：</w:t>
      </w:r>
      <w:r>
        <w:rPr>
          <w:rFonts w:ascii="Times New Roman" w:hAnsi="Times New Roman" w:cs="Times New Roman" w:eastAsia="Times New Roman" w:hint="default"/>
        </w:rPr>
        <w:t>2020-034</w:t>
      </w:r>
      <w:r>
        <w:rPr/>
        <w:t>），公司董事会、监事会将延期换届，董事会各专门委员会及高级管理人员的任期亦相应顺延。</w:t>
      </w:r>
    </w:p>
    <w:p>
      <w:pPr>
        <w:pStyle w:val="BodyText"/>
        <w:spacing w:line="262" w:lineRule="exact"/>
        <w:ind w:left="644" w:right="0"/>
        <w:jc w:val="left"/>
        <w:rPr>
          <w:rFonts w:ascii="宋体" w:hAnsi="宋体" w:cs="宋体" w:eastAsia="宋体" w:hint="default"/>
        </w:rPr>
      </w:pPr>
      <w:r>
        <w:rPr>
          <w:rFonts w:ascii="Times New Roman" w:hAnsi="Times New Roman" w:cs="Times New Roman" w:eastAsia="Times New Roman" w:hint="default"/>
        </w:rPr>
        <w:t>9</w:t>
      </w:r>
      <w:r>
        <w:rPr/>
        <w:t>、</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日经公司第三届董事会第四十六次会议审议通过，聘任陈平先生为公司财务总监，任期至第三届董事会届满之日止。</w:t>
      </w:r>
      <w:r>
        <w:rPr>
          <w:rFonts w:ascii="宋体" w:hAnsi="宋体" w:cs="宋体" w:eastAsia="宋体" w:hint="default"/>
        </w:rPr>
        <w:t> </w:t>
      </w:r>
    </w:p>
    <w:p>
      <w:pPr>
        <w:pStyle w:val="BodyText"/>
        <w:spacing w:line="255" w:lineRule="exact"/>
        <w:ind w:left="224" w:right="0"/>
        <w:jc w:val="left"/>
        <w:rPr>
          <w:rFonts w:ascii="宋体" w:hAnsi="宋体" w:cs="宋体" w:eastAsia="宋体" w:hint="default"/>
        </w:rPr>
      </w:pPr>
      <w:r>
        <w:rPr>
          <w:rFonts w:ascii="宋体"/>
          <w:w w:val="100"/>
        </w:rPr>
        <w:t> </w:t>
      </w:r>
    </w:p>
    <w:p>
      <w:pPr>
        <w:pStyle w:val="Heading4"/>
        <w:spacing w:line="240" w:lineRule="auto" w:before="59"/>
        <w:ind w:left="224" w:right="0"/>
        <w:jc w:val="left"/>
        <w:rPr>
          <w:b w:val="0"/>
          <w:bCs w:val="0"/>
        </w:rPr>
      </w:pPr>
      <w:r>
        <w:rPr>
          <w:rFonts w:ascii="宋体" w:hAnsi="宋体" w:cs="宋体" w:eastAsia="宋体" w:hint="default"/>
        </w:rPr>
        <w:t>(</w:t>
      </w:r>
      <w:r>
        <w:rPr/>
        <w:t>二</w:t>
      </w:r>
      <w:r>
        <w:rPr>
          <w:rFonts w:ascii="宋体" w:hAnsi="宋体" w:cs="宋体" w:eastAsia="宋体" w:hint="default"/>
        </w:rPr>
        <w:t>)</w:t>
      </w:r>
      <w:r>
        <w:rPr/>
        <w:t>董事、高级管理人员报告期内被授予的股权激励情况</w:t>
      </w:r>
      <w:r>
        <w:rPr>
          <w:b w:val="0"/>
          <w:bCs w:val="0"/>
        </w:rPr>
      </w:r>
    </w:p>
    <w:p>
      <w:pPr>
        <w:pStyle w:val="Heading4"/>
        <w:spacing w:line="290" w:lineRule="auto" w:before="56"/>
        <w:ind w:left="224" w:right="7797"/>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122"/>
        <w:gridCol w:w="4253"/>
        <w:gridCol w:w="2787"/>
        <w:gridCol w:w="2353"/>
        <w:gridCol w:w="2350"/>
      </w:tblGrid>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万石控股集团有限公司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Times New Roman" w:hAnsi="Times New Roman" w:cs="Times New Roman" w:eastAsia="Times New Roman" w:hint="default"/>
                <w:sz w:val="22"/>
                <w:szCs w:val="22"/>
              </w:rPr>
            </w:pPr>
            <w:r>
              <w:rPr>
                <w:rFonts w:ascii="Times New Roman"/>
                <w:sz w:val="22"/>
              </w:rPr>
              <w:t>2015/12/1</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2019/9/12</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福建新微科技有限公司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Times New Roman" w:hAnsi="Times New Roman" w:cs="Times New Roman" w:eastAsia="Times New Roman" w:hint="default"/>
                <w:sz w:val="22"/>
                <w:szCs w:val="22"/>
              </w:rPr>
            </w:pPr>
            <w:r>
              <w:rPr>
                <w:rFonts w:ascii="Times New Roman"/>
                <w:sz w:val="22"/>
              </w:rPr>
              <w:t>2016/1/1</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2019/10/21</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泰宁万石旅游投资开发有限公司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Times New Roman" w:hAnsi="Times New Roman" w:cs="Times New Roman" w:eastAsia="Times New Roman" w:hint="default"/>
                <w:sz w:val="22"/>
                <w:szCs w:val="22"/>
              </w:rPr>
            </w:pPr>
            <w:r>
              <w:rPr>
                <w:rFonts w:ascii="Times New Roman"/>
                <w:sz w:val="22"/>
              </w:rPr>
              <w:t>2016/12/1</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2019/10/31</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武夷山国际健康管理集团有限公司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Times New Roman" w:hAnsi="Times New Roman" w:cs="Times New Roman" w:eastAsia="Times New Roman" w:hint="default"/>
                <w:sz w:val="22"/>
                <w:szCs w:val="22"/>
              </w:rPr>
            </w:pPr>
            <w:r>
              <w:rPr>
                <w:rFonts w:ascii="Times New Roman"/>
                <w:sz w:val="22"/>
              </w:rPr>
              <w:t>2017/3/21</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武夷山国际健康小镇有限公司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Times New Roman" w:hAnsi="Times New Roman" w:cs="Times New Roman" w:eastAsia="Times New Roman" w:hint="default"/>
                <w:sz w:val="22"/>
                <w:szCs w:val="22"/>
              </w:rPr>
            </w:pPr>
            <w:r>
              <w:rPr>
                <w:rFonts w:ascii="Times New Roman"/>
                <w:sz w:val="22"/>
              </w:rPr>
              <w:t>2017/4/19</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武夷山国际转诊中心有限公司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Times New Roman" w:hAnsi="Times New Roman" w:cs="Times New Roman" w:eastAsia="Times New Roman" w:hint="default"/>
                <w:sz w:val="22"/>
                <w:szCs w:val="22"/>
              </w:rPr>
            </w:pPr>
            <w:r>
              <w:rPr>
                <w:rFonts w:ascii="Times New Roman"/>
                <w:sz w:val="22"/>
              </w:rPr>
              <w:t>2017/4/19</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武夷山国际抗衰老中心有限公司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Times New Roman" w:hAnsi="Times New Roman" w:cs="Times New Roman" w:eastAsia="Times New Roman" w:hint="default"/>
                <w:sz w:val="22"/>
                <w:szCs w:val="22"/>
              </w:rPr>
            </w:pPr>
            <w:r>
              <w:rPr>
                <w:rFonts w:ascii="Times New Roman"/>
                <w:sz w:val="22"/>
              </w:rPr>
              <w:t>2017/4/19</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武夷山国际医疗旅游旅行社有限公司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Times New Roman" w:hAnsi="Times New Roman" w:cs="Times New Roman" w:eastAsia="Times New Roman" w:hint="default"/>
                <w:sz w:val="22"/>
                <w:szCs w:val="22"/>
              </w:rPr>
            </w:pPr>
            <w:r>
              <w:rPr>
                <w:rFonts w:ascii="Times New Roman"/>
                <w:sz w:val="22"/>
              </w:rPr>
              <w:t>2017/4/19</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武夷山国际康复疗养中心有限公司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Times New Roman" w:hAnsi="Times New Roman" w:cs="Times New Roman" w:eastAsia="Times New Roman" w:hint="default"/>
                <w:sz w:val="22"/>
                <w:szCs w:val="22"/>
              </w:rPr>
            </w:pPr>
            <w:r>
              <w:rPr>
                <w:rFonts w:ascii="Times New Roman"/>
                <w:sz w:val="22"/>
              </w:rPr>
              <w:t>2017/4/19</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武夷山国际体检中心有限公司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Times New Roman" w:hAnsi="Times New Roman" w:cs="Times New Roman" w:eastAsia="Times New Roman" w:hint="default"/>
                <w:sz w:val="22"/>
                <w:szCs w:val="22"/>
              </w:rPr>
            </w:pPr>
            <w:r>
              <w:rPr>
                <w:rFonts w:ascii="Times New Roman"/>
                <w:sz w:val="22"/>
              </w:rPr>
              <w:t>2017/4/19</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武夷山国际健康论坛有限公司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Times New Roman" w:hAnsi="Times New Roman" w:cs="Times New Roman" w:eastAsia="Times New Roman" w:hint="default"/>
                <w:sz w:val="22"/>
                <w:szCs w:val="22"/>
              </w:rPr>
            </w:pPr>
            <w:r>
              <w:rPr>
                <w:rFonts w:ascii="Times New Roman"/>
                <w:sz w:val="22"/>
              </w:rPr>
              <w:t>2017/4/25</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泉州匹兹堡健康中心有限公司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Times New Roman" w:hAnsi="Times New Roman" w:cs="Times New Roman" w:eastAsia="Times New Roman" w:hint="default"/>
                <w:sz w:val="22"/>
                <w:szCs w:val="22"/>
              </w:rPr>
            </w:pPr>
            <w:r>
              <w:rPr>
                <w:rFonts w:ascii="Times New Roman"/>
                <w:sz w:val="22"/>
              </w:rPr>
              <w:t>2017/9/13</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福建金证智城科技有限公司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Times New Roman" w:hAnsi="Times New Roman" w:cs="Times New Roman" w:eastAsia="Times New Roman" w:hint="default"/>
                <w:sz w:val="22"/>
                <w:szCs w:val="22"/>
              </w:rPr>
            </w:pPr>
            <w:r>
              <w:rPr>
                <w:rFonts w:ascii="Times New Roman"/>
                <w:sz w:val="22"/>
              </w:rPr>
              <w:t>2019/8/21</w:t>
            </w:r>
          </w:p>
        </w:tc>
        <w:tc>
          <w:tcPr>
            <w:tcW w:w="23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5" w:footer="980" w:top="1120" w:bottom="1160" w:left="1300" w:right="1320"/>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122"/>
        <w:gridCol w:w="4253"/>
        <w:gridCol w:w="2787"/>
        <w:gridCol w:w="2353"/>
        <w:gridCol w:w="2350"/>
      </w:tblGrid>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赵小凡</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京华信息科技股份有限公司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776"/>
              <w:jc w:val="right"/>
              <w:rPr>
                <w:rFonts w:ascii="Times New Roman" w:hAnsi="Times New Roman" w:cs="Times New Roman" w:eastAsia="Times New Roman" w:hint="default"/>
                <w:sz w:val="22"/>
                <w:szCs w:val="22"/>
              </w:rPr>
            </w:pPr>
            <w:r>
              <w:rPr>
                <w:rFonts w:ascii="Times New Roman"/>
                <w:spacing w:val="-1"/>
                <w:sz w:val="22"/>
              </w:rPr>
              <w:t>2016/9/2</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王浩</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上海威派格智慧水务股份有限公司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721"/>
              <w:jc w:val="right"/>
              <w:rPr>
                <w:rFonts w:ascii="Times New Roman" w:hAnsi="Times New Roman" w:cs="Times New Roman" w:eastAsia="Times New Roman" w:hint="default"/>
                <w:sz w:val="22"/>
                <w:szCs w:val="22"/>
              </w:rPr>
            </w:pPr>
            <w:r>
              <w:rPr>
                <w:rFonts w:ascii="Times New Roman"/>
                <w:spacing w:val="-1"/>
                <w:sz w:val="22"/>
              </w:rPr>
              <w:t>2017/2/27</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王浩</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北京碧水云端科技有限公司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721"/>
              <w:jc w:val="right"/>
              <w:rPr>
                <w:rFonts w:ascii="Times New Roman" w:hAnsi="Times New Roman" w:cs="Times New Roman" w:eastAsia="Times New Roman" w:hint="default"/>
                <w:sz w:val="22"/>
                <w:szCs w:val="22"/>
              </w:rPr>
            </w:pPr>
            <w:r>
              <w:rPr>
                <w:rFonts w:ascii="Times New Roman"/>
                <w:spacing w:val="-1"/>
                <w:sz w:val="22"/>
              </w:rPr>
              <w:t>2019/1/18</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王浩</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南京中井水环境科技研究院有限公司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42"/>
              <w:jc w:val="right"/>
              <w:rPr>
                <w:rFonts w:ascii="Times New Roman" w:hAnsi="Times New Roman" w:cs="Times New Roman" w:eastAsia="Times New Roman" w:hint="default"/>
                <w:sz w:val="21"/>
                <w:szCs w:val="21"/>
              </w:rPr>
            </w:pPr>
            <w:r>
              <w:rPr>
                <w:rFonts w:ascii="Times New Roman"/>
                <w:spacing w:val="-1"/>
                <w:sz w:val="21"/>
              </w:rPr>
              <w:t>2020/1/19</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王浩</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江苏正浩工程科技有限公司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42"/>
              <w:jc w:val="right"/>
              <w:rPr>
                <w:rFonts w:ascii="Times New Roman" w:hAnsi="Times New Roman" w:cs="Times New Roman" w:eastAsia="Times New Roman" w:hint="default"/>
                <w:sz w:val="21"/>
                <w:szCs w:val="21"/>
              </w:rPr>
            </w:pPr>
            <w:r>
              <w:rPr>
                <w:rFonts w:ascii="Times New Roman"/>
                <w:spacing w:val="-1"/>
                <w:sz w:val="21"/>
              </w:rPr>
              <w:t>2018/5/23</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王浩</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诺威生态科技有限公司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42"/>
              <w:jc w:val="right"/>
              <w:rPr>
                <w:rFonts w:ascii="Times New Roman" w:hAnsi="Times New Roman" w:cs="Times New Roman" w:eastAsia="Times New Roman" w:hint="default"/>
                <w:sz w:val="21"/>
                <w:szCs w:val="21"/>
              </w:rPr>
            </w:pPr>
            <w:r>
              <w:rPr>
                <w:rFonts w:ascii="Times New Roman"/>
                <w:spacing w:val="-1"/>
                <w:sz w:val="21"/>
              </w:rPr>
              <w:t>2018/5/25</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王浩</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南方海绵城市工程技术（佛山）有限公司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42"/>
              <w:jc w:val="right"/>
              <w:rPr>
                <w:rFonts w:ascii="Times New Roman" w:hAnsi="Times New Roman" w:cs="Times New Roman" w:eastAsia="Times New Roman" w:hint="default"/>
                <w:sz w:val="21"/>
                <w:szCs w:val="21"/>
              </w:rPr>
            </w:pPr>
            <w:r>
              <w:rPr>
                <w:rFonts w:ascii="Times New Roman"/>
                <w:spacing w:val="-1"/>
                <w:sz w:val="21"/>
              </w:rPr>
              <w:t>2017/9/13</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王浩</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浩正嵩岳基金管理（青岛）有限公司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89"/>
              <w:jc w:val="right"/>
              <w:rPr>
                <w:rFonts w:ascii="Times New Roman" w:hAnsi="Times New Roman" w:cs="Times New Roman" w:eastAsia="Times New Roman" w:hint="default"/>
                <w:sz w:val="21"/>
                <w:szCs w:val="21"/>
              </w:rPr>
            </w:pPr>
            <w:r>
              <w:rPr>
                <w:rFonts w:ascii="Times New Roman"/>
                <w:spacing w:val="-1"/>
                <w:sz w:val="21"/>
              </w:rPr>
              <w:t>2017/12/21</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王浩</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南京马也信息技术有限公司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5"/>
              <w:jc w:val="right"/>
              <w:rPr>
                <w:rFonts w:ascii="Times New Roman" w:hAnsi="Times New Roman" w:cs="Times New Roman" w:eastAsia="Times New Roman" w:hint="default"/>
                <w:sz w:val="21"/>
                <w:szCs w:val="21"/>
              </w:rPr>
            </w:pPr>
            <w:r>
              <w:rPr>
                <w:rFonts w:ascii="Times New Roman"/>
                <w:spacing w:val="-1"/>
                <w:sz w:val="21"/>
              </w:rPr>
              <w:t>2012/5/7</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王浩</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0" w:right="0"/>
              <w:jc w:val="center"/>
              <w:rPr>
                <w:rFonts w:ascii="宋体" w:hAnsi="宋体" w:cs="宋体" w:eastAsia="宋体" w:hint="default"/>
                <w:sz w:val="21"/>
                <w:szCs w:val="21"/>
              </w:rPr>
            </w:pPr>
            <w:r>
              <w:rPr>
                <w:rFonts w:ascii="宋体" w:hAnsi="宋体" w:cs="宋体" w:eastAsia="宋体" w:hint="default"/>
                <w:sz w:val="21"/>
                <w:szCs w:val="21"/>
              </w:rPr>
              <w:t>青岛力晨新材料科技有限公司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42"/>
              <w:jc w:val="right"/>
              <w:rPr>
                <w:rFonts w:ascii="Times New Roman" w:hAnsi="Times New Roman" w:cs="Times New Roman" w:eastAsia="Times New Roman" w:hint="default"/>
                <w:sz w:val="21"/>
                <w:szCs w:val="21"/>
              </w:rPr>
            </w:pPr>
            <w:r>
              <w:rPr>
                <w:rFonts w:ascii="Times New Roman"/>
                <w:spacing w:val="-1"/>
                <w:sz w:val="21"/>
              </w:rPr>
              <w:t>2019/6/19</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王浩</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天津沃佰艾斯科技有限公司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42"/>
              <w:jc w:val="right"/>
              <w:rPr>
                <w:rFonts w:ascii="Times New Roman" w:hAnsi="Times New Roman" w:cs="Times New Roman" w:eastAsia="Times New Roman" w:hint="default"/>
                <w:sz w:val="21"/>
                <w:szCs w:val="21"/>
              </w:rPr>
            </w:pPr>
            <w:r>
              <w:rPr>
                <w:rFonts w:ascii="Times New Roman"/>
                <w:spacing w:val="-1"/>
                <w:sz w:val="21"/>
              </w:rPr>
              <w:t>2015/8/24</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王浩</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金科环境股份有限公司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42"/>
              <w:jc w:val="right"/>
              <w:rPr>
                <w:rFonts w:ascii="Times New Roman" w:hAnsi="Times New Roman" w:cs="Times New Roman" w:eastAsia="Times New Roman" w:hint="default"/>
                <w:sz w:val="21"/>
                <w:szCs w:val="21"/>
              </w:rPr>
            </w:pPr>
            <w:r>
              <w:rPr>
                <w:rFonts w:ascii="Times New Roman"/>
                <w:spacing w:val="-1"/>
                <w:sz w:val="21"/>
              </w:rPr>
              <w:t>2019/3/30</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刘润</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致同会计师事务所（特殊普通合伙）</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总监</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2013</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4" w:right="0"/>
              <w:jc w:val="left"/>
              <w:rPr>
                <w:rFonts w:ascii="Times New Roman" w:hAnsi="Times New Roman" w:cs="Times New Roman" w:eastAsia="Times New Roman" w:hint="default"/>
                <w:sz w:val="21"/>
                <w:szCs w:val="21"/>
              </w:rPr>
            </w:pPr>
            <w:r>
              <w:rPr>
                <w:rFonts w:ascii="Times New Roman"/>
                <w:sz w:val="21"/>
              </w:rPr>
              <w:t>2019/6/10</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刘润</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容诚会计师事务所（特殊普通合伙）</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总监</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42"/>
              <w:jc w:val="right"/>
              <w:rPr>
                <w:rFonts w:ascii="Times New Roman" w:hAnsi="Times New Roman" w:cs="Times New Roman" w:eastAsia="Times New Roman" w:hint="default"/>
                <w:sz w:val="21"/>
                <w:szCs w:val="21"/>
              </w:rPr>
            </w:pPr>
            <w:r>
              <w:rPr>
                <w:rFonts w:ascii="Times New Roman"/>
                <w:spacing w:val="-1"/>
                <w:sz w:val="21"/>
              </w:rPr>
              <w:t>2019/6/11</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吴丽卿</w:t>
            </w:r>
            <w:r>
              <w:rPr>
                <w:rFonts w:ascii="宋体" w:hAnsi="宋体" w:cs="宋体" w:eastAsia="宋体" w:hint="default"/>
                <w:sz w:val="21"/>
                <w:szCs w:val="21"/>
              </w:rPr>
              <w:t> </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成都四方伟业软件股份有限公司</w:t>
            </w:r>
            <w:r>
              <w:rPr>
                <w:rFonts w:ascii="宋体" w:hAnsi="宋体" w:cs="宋体" w:eastAsia="宋体" w:hint="default"/>
                <w:sz w:val="21"/>
                <w:szCs w:val="21"/>
              </w:rPr>
              <w:t> </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42"/>
              <w:jc w:val="right"/>
              <w:rPr>
                <w:rFonts w:ascii="Times New Roman" w:hAnsi="Times New Roman" w:cs="Times New Roman" w:eastAsia="Times New Roman" w:hint="default"/>
                <w:sz w:val="21"/>
                <w:szCs w:val="21"/>
              </w:rPr>
            </w:pPr>
            <w:r>
              <w:rPr>
                <w:rFonts w:ascii="Times New Roman"/>
                <w:spacing w:val="-1"/>
                <w:sz w:val="21"/>
              </w:rPr>
              <w:t>2018/6/29</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r>
              <w:rPr>
                <w:rFonts w:ascii="宋体" w:hAnsi="宋体" w:cs="宋体" w:eastAsia="宋体" w:hint="default"/>
                <w:sz w:val="21"/>
                <w:szCs w:val="21"/>
              </w:rPr>
              <w:t> </w:t>
            </w:r>
          </w:p>
        </w:tc>
        <w:tc>
          <w:tcPr>
            <w:tcW w:w="117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Heading4"/>
        <w:spacing w:line="290" w:lineRule="auto" w:before="0"/>
        <w:ind w:left="224" w:right="10173"/>
        <w:jc w:val="left"/>
        <w:rPr>
          <w:b w:val="0"/>
          <w:bCs w:val="0"/>
        </w:rPr>
      </w:pPr>
      <w:r>
        <w:rPr>
          <w:rFonts w:ascii="宋体" w:hAnsi="宋体" w:cs="宋体" w:eastAsia="宋体" w:hint="default"/>
          <w:b w:val="0"/>
          <w:bCs w:val="0"/>
          <w:w w:val="100"/>
        </w:rPr>
        <w:t> </w:t>
      </w:r>
      <w:r>
        <w:rPr>
          <w:w w:val="100"/>
        </w:rPr>
        <w:t>三、董事、监事、高级</w:t>
      </w:r>
      <w:r>
        <w:rPr>
          <w:spacing w:val="-3"/>
          <w:w w:val="100"/>
        </w:rPr>
        <w:t>管</w:t>
      </w:r>
      <w:r>
        <w:rPr>
          <w:w w:val="100"/>
        </w:rPr>
        <w:t>理</w:t>
      </w:r>
      <w:r>
        <w:rPr>
          <w:spacing w:val="-3"/>
          <w:w w:val="100"/>
        </w:rPr>
        <w:t>人</w:t>
      </w:r>
      <w:r>
        <w:rPr>
          <w:w w:val="100"/>
        </w:rPr>
        <w:t>员报酬情况</w:t>
      </w:r>
      <w:r>
        <w:rPr>
          <w:b w:val="0"/>
          <w:bCs w:val="0"/>
          <w:w w:val="100"/>
        </w:rPr>
      </w:r>
    </w:p>
    <w:p>
      <w:pPr>
        <w:pStyle w:val="BodyText"/>
        <w:spacing w:line="240" w:lineRule="auto" w:before="1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根据公司章程，董事、监事报酬由股东大会确定；高级管理人员报酬由董事会确定。</w:t>
            </w:r>
            <w:r>
              <w:rPr>
                <w:rFonts w:ascii="宋体" w:hAnsi="宋体" w:cs="宋体" w:eastAsia="宋体" w:hint="default"/>
                <w:sz w:val="21"/>
                <w:szCs w:val="21"/>
              </w:rPr>
              <w:t> </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结合公司所处行业及地区的薪酬水平，根据公司《薪酬管理制度》确定。</w:t>
            </w:r>
            <w:r>
              <w:rPr>
                <w:rFonts w:ascii="宋体" w:hAnsi="宋体" w:cs="宋体" w:eastAsia="宋体" w:hint="default"/>
                <w:sz w:val="21"/>
                <w:szCs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581.03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581.03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BodyText"/>
        <w:spacing w:line="274" w:lineRule="exact"/>
        <w:ind w:left="224"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6840" w:h="11910" w:orient="landscape"/>
          <w:pgMar w:header="855" w:footer="980" w:top="1120" w:bottom="1160" w:left="1300" w:right="1220"/>
        </w:sectPr>
      </w:pPr>
    </w:p>
    <w:p>
      <w:pPr>
        <w:pStyle w:val="Heading4"/>
        <w:spacing w:line="240" w:lineRule="auto" w:before="117"/>
        <w:ind w:left="224" w:right="0"/>
        <w:jc w:val="left"/>
        <w:rPr>
          <w:b w:val="0"/>
          <w:bCs w:val="0"/>
        </w:rPr>
      </w:pPr>
      <w:r>
        <w:rPr/>
        <w:t>四、公司董事、监事、高级管理人员变动情况</w:t>
      </w:r>
      <w:r>
        <w:rPr>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宫志松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选举董事</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杨鹏</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选举董事</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郜彤</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董事会聘任</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姚文宇</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董事会聘任</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陈平</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董事会聘任</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翁培萍</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职工代表大会选举</w:t>
            </w:r>
            <w:r>
              <w:rPr>
                <w:rFonts w:ascii="宋体" w:hAnsi="宋体" w:cs="宋体" w:eastAsia="宋体" w:hint="default"/>
                <w:sz w:val="21"/>
                <w:szCs w:val="21"/>
              </w:rPr>
              <w:t> </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洪培琪</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个人原因辞职</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曾志勇</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个人原因辞职</w:t>
            </w:r>
            <w:r>
              <w:rPr>
                <w:rFonts w:ascii="宋体" w:hAnsi="宋体" w:cs="宋体" w:eastAsia="宋体" w:hint="default"/>
                <w:sz w:val="21"/>
                <w:szCs w:val="21"/>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Heading4"/>
        <w:spacing w:line="290" w:lineRule="auto" w:before="0"/>
        <w:ind w:left="224" w:right="9962"/>
        <w:jc w:val="left"/>
        <w:rPr>
          <w:b w:val="0"/>
          <w:bCs w:val="0"/>
        </w:rPr>
      </w:pPr>
      <w:r>
        <w:rPr>
          <w:rFonts w:ascii="宋体" w:hAnsi="宋体" w:cs="宋体" w:eastAsia="宋体" w:hint="default"/>
          <w:b w:val="0"/>
          <w:bCs w:val="0"/>
          <w:w w:val="100"/>
        </w:rPr>
        <w:t> </w:t>
      </w:r>
      <w:r>
        <w:rPr>
          <w:w w:val="100"/>
        </w:rPr>
        <w:t>五、近三年受证券监管</w:t>
      </w:r>
      <w:r>
        <w:rPr>
          <w:spacing w:val="-3"/>
          <w:w w:val="100"/>
        </w:rPr>
        <w:t>机</w:t>
      </w:r>
      <w:r>
        <w:rPr>
          <w:w w:val="100"/>
        </w:rPr>
        <w:t>构</w:t>
      </w:r>
      <w:r>
        <w:rPr>
          <w:spacing w:val="-3"/>
          <w:w w:val="100"/>
        </w:rPr>
        <w:t>处</w:t>
      </w:r>
      <w:r>
        <w:rPr>
          <w:w w:val="100"/>
        </w:rPr>
        <w:t>罚的情况说明</w:t>
      </w:r>
      <w:r>
        <w:rPr>
          <w:b w:val="0"/>
          <w:bCs w:val="0"/>
          <w:w w:val="100"/>
        </w:rPr>
      </w:r>
    </w:p>
    <w:p>
      <w:pPr>
        <w:pStyle w:val="BodyText"/>
        <w:spacing w:line="273" w:lineRule="exact" w:before="1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6840" w:h="11910" w:orient="landscape"/>
          <w:pgMar w:header="855" w:footer="980" w:top="1120" w:bottom="1160" w:left="1300" w:right="1220"/>
        </w:sectPr>
      </w:pPr>
    </w:p>
    <w:p>
      <w:pPr>
        <w:spacing w:line="240" w:lineRule="auto" w:before="3"/>
        <w:rPr>
          <w:rFonts w:ascii="宋体" w:hAnsi="宋体" w:cs="宋体" w:eastAsia="宋体" w:hint="default"/>
          <w:sz w:val="25"/>
          <w:szCs w:val="25"/>
        </w:rPr>
      </w:pPr>
    </w:p>
    <w:p>
      <w:pPr>
        <w:pStyle w:val="Heading4"/>
        <w:spacing w:line="290" w:lineRule="auto" w:before="36"/>
        <w:ind w:right="5675"/>
        <w:jc w:val="left"/>
        <w:rPr>
          <w:b w:val="0"/>
          <w:bCs w:val="0"/>
        </w:rPr>
      </w:pPr>
      <w:r>
        <w:rPr>
          <w:rFonts w:ascii="宋体" w:hAnsi="宋体" w:cs="宋体" w:eastAsia="宋体" w:hint="default"/>
          <w:b w:val="0"/>
          <w:bCs w:val="0"/>
          <w:w w:val="100"/>
        </w:rPr>
        <w:t> </w:t>
      </w:r>
      <w:r>
        <w:rPr/>
        <w:t>六、母公司和主要子公司的员工情况       </w:t>
      </w:r>
      <w:r>
        <w:rPr>
          <w:spacing w:val="95"/>
        </w:rPr>
        <w:t> </w:t>
      </w:r>
      <w:r>
        <w:rPr>
          <w:spacing w:val="95"/>
        </w:rPr>
      </w:r>
      <w:r>
        <w:rPr>
          <w:rFonts w:ascii="宋体" w:hAnsi="宋体" w:cs="宋体" w:eastAsia="宋体" w:hint="default"/>
          <w:w w:val="99"/>
        </w:rPr>
        <w:t>(</w:t>
      </w:r>
      <w:r>
        <w:rPr>
          <w:spacing w:val="-1"/>
          <w:w w:val="100"/>
        </w:rPr>
        <w:t>一</w:t>
      </w:r>
      <w:r>
        <w:rPr>
          <w:rFonts w:ascii="宋体" w:hAnsi="宋体" w:cs="宋体" w:eastAsia="宋体" w:hint="default"/>
          <w:spacing w:val="2"/>
          <w:w w:val="99"/>
        </w:rPr>
        <w:t>)</w:t>
      </w:r>
      <w:r>
        <w:rPr>
          <w:w w:val="100"/>
        </w:rPr>
        <w:t>员工情况</w:t>
      </w:r>
      <w:r>
        <w:rPr>
          <w:b w:val="0"/>
          <w:bCs w:val="0"/>
          <w:w w:val="10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768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1,950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2,718</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202</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2,034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435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2,718</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69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668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1,905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研究生及以上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76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2,718</w:t>
            </w:r>
          </w:p>
        </w:tc>
      </w:tr>
    </w:tbl>
    <w:p>
      <w:pPr>
        <w:pStyle w:val="BodyText"/>
        <w:spacing w:line="239" w:lineRule="exact"/>
        <w:ind w:right="0"/>
        <w:jc w:val="both"/>
        <w:rPr>
          <w:rFonts w:ascii="宋体" w:hAnsi="宋体" w:cs="宋体" w:eastAsia="宋体" w:hint="default"/>
        </w:rPr>
      </w:pPr>
      <w:r>
        <w:rPr>
          <w:rFonts w:ascii="宋体"/>
          <w:w w:val="100"/>
        </w:rPr>
        <w:t> </w:t>
      </w:r>
    </w:p>
    <w:p>
      <w:pPr>
        <w:pStyle w:val="Heading4"/>
        <w:spacing w:line="292" w:lineRule="auto" w:before="0"/>
        <w:ind w:right="767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2"/>
          <w:w w:val="99"/>
        </w:rPr>
        <w:t>)</w:t>
      </w:r>
      <w:r>
        <w:rPr>
          <w:w w:val="100"/>
        </w:rPr>
        <w:t>薪酬政策</w:t>
      </w:r>
      <w:r>
        <w:rPr>
          <w:b w:val="0"/>
          <w:bCs w:val="0"/>
          <w:w w:val="100"/>
        </w:rPr>
      </w:r>
    </w:p>
    <w:p>
      <w:pPr>
        <w:pStyle w:val="BodyText"/>
        <w:spacing w:line="240" w:lineRule="auto" w:before="10"/>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公司遵循成本可控、兼顾公平和“</w:t>
      </w:r>
      <w:r>
        <w:rPr>
          <w:rFonts w:ascii="Times New Roman" w:hAnsi="Times New Roman" w:cs="Times New Roman" w:eastAsia="Times New Roman" w:hint="default"/>
          <w:spacing w:val="-4"/>
        </w:rPr>
        <w:t>3P1M</w:t>
      </w:r>
      <w:r>
        <w:rPr>
          <w:spacing w:val="-4"/>
        </w:rPr>
        <w:t>”（个人薪酬与岗位价值、个人绩效、公司效益相匹</w:t>
      </w:r>
    </w:p>
    <w:p>
      <w:pPr>
        <w:pStyle w:val="BodyText"/>
        <w:spacing w:line="255" w:lineRule="exact"/>
        <w:ind w:right="0"/>
        <w:jc w:val="both"/>
      </w:pPr>
      <w:r>
        <w:rPr>
          <w:spacing w:val="-6"/>
        </w:rPr>
        <w:t>配及市场行情相匹配）的基本原则，严格根据国家法律法规政策，不断深化和完善薪酬管理体系，</w:t>
      </w:r>
    </w:p>
    <w:p>
      <w:pPr>
        <w:pStyle w:val="BodyText"/>
        <w:spacing w:line="237" w:lineRule="auto" w:before="2"/>
        <w:ind w:right="228"/>
        <w:jc w:val="both"/>
        <w:rPr>
          <w:rFonts w:ascii="宋体" w:hAnsi="宋体" w:cs="宋体" w:eastAsia="宋体" w:hint="default"/>
        </w:rPr>
      </w:pPr>
      <w:r>
        <w:rPr>
          <w:spacing w:val="-1"/>
        </w:rPr>
        <w:t>打造有竞争力的薪酬福利体系。不断完善及优化薪酬管理制度、年度调薪方案，使员工个人的薪</w:t>
      </w:r>
      <w:r>
        <w:rPr>
          <w:spacing w:val="-55"/>
        </w:rPr>
        <w:t> </w:t>
      </w:r>
      <w:r>
        <w:rPr>
          <w:spacing w:val="-55"/>
        </w:rPr>
      </w:r>
      <w:r>
        <w:rPr>
          <w:spacing w:val="-1"/>
        </w:rPr>
        <w:t>酬与集团的经营业绩、岗位责任、个人效绩（贡献）指标相匹配，逐步建立以岗位价值为导向的</w:t>
      </w:r>
      <w:r>
        <w:rPr>
          <w:spacing w:val="-55"/>
        </w:rPr>
        <w:t> </w:t>
      </w:r>
      <w:r>
        <w:rPr>
          <w:spacing w:val="-55"/>
        </w:rPr>
      </w:r>
      <w:r>
        <w:rPr>
          <w:spacing w:val="-1"/>
        </w:rPr>
        <w:t>合理薪酬分配机制，客观地体现员工的贡献、价值和能力。紧随集团的发展战略，进一步落实公</w:t>
      </w:r>
      <w:r>
        <w:rPr>
          <w:spacing w:val="-55"/>
        </w:rPr>
        <w:t> </w:t>
      </w:r>
      <w:r>
        <w:rPr>
          <w:spacing w:val="-55"/>
        </w:rPr>
      </w:r>
      <w:r>
        <w:rPr/>
        <w:t>司“一才一议、一事一议”的弹性薪酬政策，着力引进一些关键岗位、重要岗位的人才。</w:t>
      </w:r>
      <w:r>
        <w:rPr>
          <w:rFonts w:ascii="宋体" w:hAnsi="宋体" w:cs="宋体" w:eastAsia="宋体" w:hint="default"/>
        </w:rPr>
        <w:t> </w:t>
      </w:r>
    </w:p>
    <w:p>
      <w:pPr>
        <w:pStyle w:val="Heading4"/>
        <w:spacing w:line="290" w:lineRule="auto" w:before="0"/>
        <w:ind w:right="767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2"/>
          <w:w w:val="99"/>
        </w:rPr>
        <w:t>)</w:t>
      </w:r>
      <w:r>
        <w:rPr>
          <w:w w:val="100"/>
        </w:rPr>
        <w:t>培训计划</w:t>
      </w:r>
      <w:r>
        <w:rPr>
          <w:b w:val="0"/>
          <w:bCs w:val="0"/>
          <w:w w:val="100"/>
        </w:rPr>
      </w:r>
    </w:p>
    <w:p>
      <w:pPr>
        <w:pStyle w:val="BodyText"/>
        <w:spacing w:line="274" w:lineRule="exact" w:before="12"/>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2" w:lineRule="auto" w:before="6"/>
        <w:ind w:right="228" w:firstLine="419"/>
        <w:jc w:val="both"/>
      </w:pPr>
      <w:r>
        <w:rPr>
          <w:rFonts w:ascii="Times New Roman" w:hAnsi="Times New Roman" w:cs="Times New Roman" w:eastAsia="Times New Roman" w:hint="default"/>
        </w:rPr>
        <w:t>2019 </w:t>
      </w:r>
      <w:r>
        <w:rPr/>
        <w:t>年，为推动集团 </w:t>
      </w:r>
      <w:r>
        <w:rPr>
          <w:rFonts w:ascii="Times New Roman" w:hAnsi="Times New Roman" w:cs="Times New Roman" w:eastAsia="Times New Roman" w:hint="default"/>
        </w:rPr>
        <w:t>2025</w:t>
      </w:r>
      <w:r>
        <w:rPr>
          <w:rFonts w:ascii="Times New Roman" w:hAnsi="Times New Roman" w:cs="Times New Roman" w:eastAsia="Times New Roman" w:hint="default"/>
          <w:spacing w:val="6"/>
        </w:rPr>
        <w:t> </w:t>
      </w:r>
      <w:r>
        <w:rPr/>
        <w:t>战略规划的落地，为集团的快速发展提供强有力的人才保障，集</w:t>
      </w:r>
      <w:r>
        <w:rPr>
          <w:w w:val="100"/>
        </w:rPr>
        <w:t> </w:t>
      </w:r>
      <w:r>
        <w:rPr>
          <w:spacing w:val="-1"/>
        </w:rPr>
        <w:t>团实施人才战略规划，不断深化人才发展体系。建立南威大学，开展高管讲堂、总裁百人计划培</w:t>
      </w:r>
      <w:r>
        <w:rPr>
          <w:spacing w:val="-55"/>
        </w:rPr>
        <w:t> </w:t>
      </w:r>
      <w:r>
        <w:rPr>
          <w:spacing w:val="-55"/>
        </w:rPr>
      </w:r>
      <w:r>
        <w:rPr>
          <w:spacing w:val="-1"/>
        </w:rPr>
        <w:t>训班、百日大练兵以及构建狼性团队建设等系列培训，参训人员覆盖管理干部及全体员工；出版</w:t>
      </w:r>
    </w:p>
    <w:p>
      <w:pPr>
        <w:pStyle w:val="BodyText"/>
        <w:spacing w:line="274" w:lineRule="exact" w:before="23"/>
        <w:ind w:right="0"/>
        <w:jc w:val="left"/>
      </w:pPr>
      <w:r>
        <w:rPr/>
        <w:t>《南威</w:t>
      </w:r>
      <w:r>
        <w:rPr>
          <w:spacing w:val="-31"/>
        </w:rPr>
        <w:t> </w:t>
      </w:r>
      <w:r>
        <w:rPr>
          <w:rFonts w:ascii="Times New Roman" w:hAnsi="Times New Roman" w:cs="Times New Roman" w:eastAsia="Times New Roman" w:hint="default"/>
        </w:rPr>
        <w:t>77</w:t>
      </w:r>
      <w:r>
        <w:rPr>
          <w:rFonts w:ascii="Times New Roman" w:hAnsi="Times New Roman" w:cs="Times New Roman" w:eastAsia="Times New Roman" w:hint="default"/>
          <w:spacing w:val="18"/>
        </w:rPr>
        <w:t> </w:t>
      </w:r>
      <w:r>
        <w:rPr>
          <w:spacing w:val="-4"/>
        </w:rPr>
        <w:t>个工作法则》并进行全员学习；加强南威软件学习平台的建设，不断丰富员工的学习内</w:t>
      </w:r>
      <w:r>
        <w:rPr>
          <w:spacing w:val="-96"/>
        </w:rPr>
        <w:t> </w:t>
      </w:r>
      <w:r>
        <w:rPr>
          <w:spacing w:val="-96"/>
        </w:rPr>
      </w:r>
      <w:r>
        <w:rPr/>
        <w:t>容和模块，为建立积极学习型的组织奠定基础。</w:t>
      </w:r>
    </w:p>
    <w:p>
      <w:pPr>
        <w:pStyle w:val="BodyText"/>
        <w:spacing w:line="253" w:lineRule="exact"/>
        <w:ind w:left="638"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年集团共组织开展</w:t>
      </w:r>
      <w:r>
        <w:rPr>
          <w:spacing w:val="-46"/>
        </w:rPr>
        <w:t> </w:t>
      </w:r>
      <w:r>
        <w:rPr>
          <w:rFonts w:ascii="Times New Roman" w:hAnsi="Times New Roman" w:cs="Times New Roman" w:eastAsia="Times New Roman" w:hint="default"/>
        </w:rPr>
        <w:t>82</w:t>
      </w:r>
      <w:r>
        <w:rPr>
          <w:rFonts w:ascii="Times New Roman" w:hAnsi="Times New Roman" w:cs="Times New Roman" w:eastAsia="Times New Roman" w:hint="default"/>
          <w:spacing w:val="8"/>
        </w:rPr>
        <w:t> </w:t>
      </w:r>
      <w:r>
        <w:rPr/>
        <w:t>场公司级培训活动，培训人次达</w:t>
      </w:r>
      <w:r>
        <w:rPr>
          <w:spacing w:val="-44"/>
        </w:rPr>
        <w:t> </w:t>
      </w:r>
      <w:r>
        <w:rPr>
          <w:rFonts w:ascii="Times New Roman" w:hAnsi="Times New Roman" w:cs="Times New Roman" w:eastAsia="Times New Roman" w:hint="default"/>
        </w:rPr>
        <w:t>5,724</w:t>
      </w:r>
      <w:r>
        <w:rPr>
          <w:rFonts w:ascii="Times New Roman" w:hAnsi="Times New Roman" w:cs="Times New Roman" w:eastAsia="Times New Roman" w:hint="default"/>
          <w:spacing w:val="8"/>
        </w:rPr>
        <w:t> </w:t>
      </w:r>
      <w:r>
        <w:rPr/>
        <w:t>场次，总时长达</w:t>
      </w:r>
      <w:r>
        <w:rPr>
          <w:spacing w:val="-44"/>
        </w:rPr>
        <w:t> </w:t>
      </w:r>
      <w:r>
        <w:rPr>
          <w:rFonts w:ascii="Times New Roman" w:hAnsi="Times New Roman" w:cs="Times New Roman" w:eastAsia="Times New Roman" w:hint="default"/>
        </w:rPr>
        <w:t>44,596</w:t>
      </w:r>
      <w:r>
        <w:rPr>
          <w:rFonts w:ascii="Times New Roman" w:hAnsi="Times New Roman" w:cs="Times New Roman" w:eastAsia="Times New Roman" w:hint="default"/>
          <w:spacing w:val="6"/>
        </w:rPr>
        <w:t> </w:t>
      </w:r>
      <w:r>
        <w:rPr/>
        <w:t>课</w:t>
      </w:r>
    </w:p>
    <w:p>
      <w:pPr>
        <w:pStyle w:val="BodyText"/>
        <w:spacing w:line="230" w:lineRule="auto" w:before="1"/>
        <w:ind w:right="227"/>
        <w:jc w:val="both"/>
        <w:rPr>
          <w:rFonts w:ascii="宋体" w:hAnsi="宋体" w:cs="宋体" w:eastAsia="宋体" w:hint="default"/>
        </w:rPr>
      </w:pPr>
      <w:r>
        <w:rPr/>
        <w:t>时；线上学习平台学习人数</w:t>
      </w:r>
      <w:r>
        <w:rPr>
          <w:spacing w:val="-45"/>
        </w:rPr>
        <w:t> </w:t>
      </w:r>
      <w:r>
        <w:rPr>
          <w:rFonts w:ascii="Times New Roman" w:hAnsi="Times New Roman" w:cs="Times New Roman" w:eastAsia="Times New Roman" w:hint="default"/>
        </w:rPr>
        <w:t>2,774</w:t>
      </w:r>
      <w:r>
        <w:rPr>
          <w:rFonts w:ascii="Times New Roman" w:hAnsi="Times New Roman" w:cs="Times New Roman" w:eastAsia="Times New Roman" w:hint="default"/>
          <w:spacing w:val="7"/>
        </w:rPr>
        <w:t> </w:t>
      </w:r>
      <w:r>
        <w:rPr/>
        <w:t>人，学习平台学习总时长</w:t>
      </w:r>
      <w:r>
        <w:rPr>
          <w:spacing w:val="-45"/>
        </w:rPr>
        <w:t> </w:t>
      </w:r>
      <w:r>
        <w:rPr>
          <w:rFonts w:ascii="Times New Roman" w:hAnsi="Times New Roman" w:cs="Times New Roman" w:eastAsia="Times New Roman" w:hint="default"/>
        </w:rPr>
        <w:t>42,477</w:t>
      </w:r>
      <w:r>
        <w:rPr>
          <w:rFonts w:ascii="Times New Roman" w:hAnsi="Times New Roman" w:cs="Times New Roman" w:eastAsia="Times New Roman" w:hint="default"/>
          <w:spacing w:val="7"/>
        </w:rPr>
        <w:t> </w:t>
      </w:r>
      <w:r>
        <w:rPr/>
        <w:t>小时，同比增长</w:t>
      </w:r>
      <w:r>
        <w:rPr>
          <w:spacing w:val="-45"/>
        </w:rPr>
        <w:t> </w:t>
      </w:r>
      <w:r>
        <w:rPr>
          <w:rFonts w:ascii="Times New Roman" w:hAnsi="Times New Roman" w:cs="Times New Roman" w:eastAsia="Times New Roman" w:hint="default"/>
        </w:rPr>
        <w:t>94.8%</w:t>
      </w:r>
      <w:r>
        <w:rPr/>
        <w:t>。各项</w:t>
      </w:r>
      <w:r>
        <w:rPr>
          <w:w w:val="100"/>
        </w:rPr>
        <w:t> </w:t>
      </w:r>
      <w:r>
        <w:rPr>
          <w:spacing w:val="-1"/>
        </w:rPr>
        <w:t>工作的开展有利于激发员工自身的内在潜能，提升其综合素质，为集团各项经营战略目标的落地</w:t>
      </w:r>
      <w:r>
        <w:rPr>
          <w:spacing w:val="-55"/>
        </w:rPr>
        <w:t> </w:t>
      </w:r>
      <w:r>
        <w:rPr>
          <w:spacing w:val="-55"/>
        </w:rPr>
      </w:r>
      <w:r>
        <w:rPr/>
        <w:t>提供有力保障。</w:t>
      </w:r>
      <w:r>
        <w:rPr>
          <w:rFonts w:ascii="宋体" w:hAnsi="宋体" w:cs="宋体" w:eastAsia="宋体" w:hint="default"/>
        </w:rPr>
        <w:t> </w:t>
      </w:r>
    </w:p>
    <w:p>
      <w:pPr>
        <w:pStyle w:val="Heading4"/>
        <w:spacing w:line="290" w:lineRule="auto" w:before="0"/>
        <w:ind w:right="7252"/>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四</w:t>
      </w:r>
      <w:r>
        <w:rPr>
          <w:rFonts w:ascii="宋体" w:hAnsi="宋体" w:cs="宋体" w:eastAsia="宋体" w:hint="default"/>
          <w:spacing w:val="2"/>
          <w:w w:val="99"/>
        </w:rPr>
        <w:t>)</w:t>
      </w:r>
      <w:r>
        <w:rPr>
          <w:w w:val="100"/>
        </w:rPr>
        <w:t>劳务外包情况</w:t>
      </w:r>
      <w:r>
        <w:rPr>
          <w:b w:val="0"/>
          <w:bCs w:val="0"/>
          <w:w w:val="100"/>
        </w:rPr>
      </w:r>
    </w:p>
    <w:p>
      <w:pPr>
        <w:pStyle w:val="BodyText"/>
        <w:spacing w:line="240" w:lineRule="auto" w:before="12"/>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headerReference w:type="default" r:id="rId39"/>
          <w:footerReference w:type="default" r:id="rId40"/>
          <w:pgSz w:w="11910" w:h="16840"/>
          <w:pgMar w:header="852" w:footer="979" w:top="1120" w:bottom="1160" w:left="1580" w:right="1040"/>
          <w:pgNumType w:start="70"/>
        </w:sectPr>
      </w:pPr>
    </w:p>
    <w:p>
      <w:pPr>
        <w:spacing w:line="240" w:lineRule="auto" w:before="3"/>
        <w:rPr>
          <w:rFonts w:ascii="宋体" w:hAnsi="宋体" w:cs="宋体" w:eastAsia="宋体" w:hint="default"/>
          <w:sz w:val="25"/>
          <w:szCs w:val="25"/>
        </w:rPr>
      </w:pPr>
    </w:p>
    <w:p>
      <w:pPr>
        <w:pStyle w:val="Heading4"/>
        <w:spacing w:line="240" w:lineRule="auto" w:before="36"/>
        <w:ind w:left="138" w:right="0"/>
        <w:jc w:val="left"/>
        <w:rPr>
          <w:b w:val="0"/>
          <w:bCs w:val="0"/>
        </w:rPr>
      </w:pPr>
      <w:r>
        <w:rPr/>
        <w:t>七、其他</w:t>
      </w:r>
      <w:r>
        <w:rPr>
          <w:b w:val="0"/>
          <w:bCs w:val="0"/>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52" w:footer="979" w:top="1120" w:bottom="1160" w:left="1660" w:right="1140"/>
        </w:sectPr>
      </w:pPr>
    </w:p>
    <w:p>
      <w:pPr>
        <w:spacing w:line="240" w:lineRule="auto" w:before="11"/>
        <w:rPr>
          <w:rFonts w:ascii="宋体" w:hAnsi="宋体" w:cs="宋体" w:eastAsia="宋体" w:hint="default"/>
          <w:sz w:val="25"/>
          <w:szCs w:val="25"/>
        </w:rPr>
      </w:pPr>
    </w:p>
    <w:p>
      <w:pPr>
        <w:pStyle w:val="Heading1"/>
        <w:spacing w:line="240" w:lineRule="auto"/>
        <w:ind w:right="2113"/>
        <w:jc w:val="center"/>
        <w:rPr>
          <w:b w:val="0"/>
          <w:bCs w:val="0"/>
        </w:rPr>
      </w:pPr>
      <w:bookmarkStart w:name="_bookmark8" w:id="11"/>
      <w:bookmarkEnd w:id="11"/>
      <w:r>
        <w:rPr>
          <w:b w:val="0"/>
          <w:bCs w:val="0"/>
        </w:rPr>
      </w:r>
      <w:r>
        <w:rPr/>
        <w:t>第九节</w:t>
      </w:r>
      <w:r>
        <w:rPr>
          <w:spacing w:val="-3"/>
        </w:rPr>
        <w:t> </w:t>
      </w:r>
      <w:r>
        <w:rPr/>
        <w:t>公司治理</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138" w:right="0"/>
        <w:jc w:val="both"/>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72" w:lineRule="exact" w:before="8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报告期内，公司严格按照《公司法》、《证券法》、《上市公司治理准则》和《上海证券交</w:t>
      </w:r>
    </w:p>
    <w:p>
      <w:pPr>
        <w:pStyle w:val="BodyText"/>
        <w:spacing w:line="272" w:lineRule="exact" w:before="1"/>
        <w:ind w:left="138" w:right="0"/>
        <w:jc w:val="left"/>
      </w:pPr>
      <w:r>
        <w:rPr>
          <w:spacing w:val="-1"/>
        </w:rPr>
        <w:t>易所股票上市规则》等有关上市公司治理法律法规及《公司章程》的要求，不断完善公司的法人</w:t>
      </w:r>
      <w:r>
        <w:rPr>
          <w:spacing w:val="-55"/>
        </w:rPr>
        <w:t> </w:t>
      </w:r>
      <w:r>
        <w:rPr>
          <w:spacing w:val="-55"/>
        </w:rPr>
      </w:r>
      <w:r>
        <w:rPr>
          <w:spacing w:val="-1"/>
        </w:rPr>
        <w:t>治理结构，制定、修订各项管理制度，积极履行信息披露义务，加强内幕信息知情人登记管理，</w:t>
      </w:r>
    </w:p>
    <w:p>
      <w:pPr>
        <w:pStyle w:val="BodyText"/>
        <w:spacing w:line="272" w:lineRule="exact" w:before="1"/>
        <w:ind w:left="138" w:right="0"/>
        <w:jc w:val="left"/>
      </w:pPr>
      <w:r>
        <w:rPr>
          <w:spacing w:val="-1"/>
        </w:rPr>
        <w:t>同时建立健全公司内部管理和内控制度，有效运行公司内控体系，公司股东大会、董事会、监事</w:t>
      </w:r>
      <w:r>
        <w:rPr>
          <w:spacing w:val="-56"/>
        </w:rPr>
        <w:t> </w:t>
      </w:r>
      <w:r>
        <w:rPr>
          <w:spacing w:val="-56"/>
        </w:rPr>
      </w:r>
      <w:r>
        <w:rPr>
          <w:spacing w:val="-1"/>
        </w:rPr>
        <w:t>会、独立董事和管理层均严格按照内控制度分别在各自的权限范围内履行职责，实现了公司投资</w:t>
      </w:r>
    </w:p>
    <w:p>
      <w:pPr>
        <w:pStyle w:val="BodyText"/>
        <w:spacing w:line="247" w:lineRule="exact"/>
        <w:ind w:left="138" w:right="0"/>
        <w:jc w:val="both"/>
      </w:pPr>
      <w:r>
        <w:rPr>
          <w:spacing w:val="-7"/>
        </w:rPr>
        <w:t>决策、生产经营和监督管理的制度化和规范化，切实维护公司和股东的合法权益。具体内容如下：</w:t>
      </w:r>
    </w:p>
    <w:p>
      <w:pPr>
        <w:pStyle w:val="BodyText"/>
        <w:spacing w:line="280" w:lineRule="exact"/>
        <w:ind w:left="558" w:right="0"/>
        <w:jc w:val="left"/>
      </w:pPr>
      <w:r>
        <w:rPr>
          <w:rFonts w:ascii="Times New Roman" w:hAnsi="Times New Roman" w:cs="Times New Roman" w:eastAsia="Times New Roman" w:hint="default"/>
        </w:rPr>
        <w:t>1</w:t>
      </w:r>
      <w:r>
        <w:rPr/>
        <w:t>、股东和股东大会</w:t>
      </w:r>
    </w:p>
    <w:p>
      <w:pPr>
        <w:pStyle w:val="BodyText"/>
        <w:spacing w:line="272" w:lineRule="exact"/>
        <w:ind w:left="558" w:right="0"/>
        <w:jc w:val="left"/>
      </w:pPr>
      <w:r>
        <w:rPr>
          <w:w w:val="100"/>
        </w:rPr>
        <w:t>报告</w:t>
      </w:r>
      <w:r>
        <w:rPr>
          <w:spacing w:val="-3"/>
          <w:w w:val="100"/>
        </w:rPr>
        <w:t>期</w:t>
      </w:r>
      <w:r>
        <w:rPr>
          <w:w w:val="100"/>
        </w:rPr>
        <w:t>内</w:t>
      </w:r>
      <w:r>
        <w:rPr>
          <w:spacing w:val="-85"/>
          <w:w w:val="100"/>
        </w:rPr>
        <w:t>，</w:t>
      </w:r>
      <w:r>
        <w:rPr>
          <w:w w:val="100"/>
        </w:rPr>
        <w:t>公</w:t>
      </w:r>
      <w:r>
        <w:rPr>
          <w:spacing w:val="-3"/>
          <w:w w:val="100"/>
        </w:rPr>
        <w:t>司</w:t>
      </w:r>
      <w:r>
        <w:rPr>
          <w:w w:val="100"/>
        </w:rPr>
        <w:t>共</w:t>
      </w:r>
      <w:r>
        <w:rPr>
          <w:spacing w:val="-3"/>
          <w:w w:val="100"/>
        </w:rPr>
        <w:t>计</w:t>
      </w:r>
      <w:r>
        <w:rPr>
          <w:w w:val="100"/>
        </w:rPr>
        <w:t>召</w:t>
      </w:r>
      <w:r>
        <w:rPr>
          <w:spacing w:val="-3"/>
          <w:w w:val="100"/>
        </w:rPr>
        <w:t>开</w:t>
      </w:r>
      <w:r>
        <w:rPr>
          <w:w w:val="100"/>
        </w:rPr>
        <w:t>了</w:t>
      </w:r>
      <w:r>
        <w:rPr>
          <w:spacing w:val="-52"/>
        </w:rPr>
        <w:t> </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spacing w:val="-3"/>
          <w:w w:val="100"/>
        </w:rPr>
        <w:t>次</w:t>
      </w:r>
      <w:r>
        <w:rPr>
          <w:w w:val="100"/>
        </w:rPr>
        <w:t>股</w:t>
      </w:r>
      <w:r>
        <w:rPr>
          <w:spacing w:val="-3"/>
          <w:w w:val="100"/>
        </w:rPr>
        <w:t>东</w:t>
      </w:r>
      <w:r>
        <w:rPr>
          <w:w w:val="100"/>
        </w:rPr>
        <w:t>大</w:t>
      </w:r>
      <w:r>
        <w:rPr>
          <w:spacing w:val="-3"/>
          <w:w w:val="100"/>
        </w:rPr>
        <w:t>会</w:t>
      </w:r>
      <w:r>
        <w:rPr>
          <w:spacing w:val="-82"/>
          <w:w w:val="100"/>
        </w:rPr>
        <w:t>。</w:t>
      </w:r>
      <w:r>
        <w:rPr>
          <w:spacing w:val="-3"/>
          <w:w w:val="100"/>
        </w:rPr>
        <w:t>股</w:t>
      </w:r>
      <w:r>
        <w:rPr>
          <w:w w:val="100"/>
        </w:rPr>
        <w:t>东</w:t>
      </w:r>
      <w:r>
        <w:rPr>
          <w:spacing w:val="-3"/>
          <w:w w:val="100"/>
        </w:rPr>
        <w:t>大会</w:t>
      </w:r>
      <w:r>
        <w:rPr>
          <w:w w:val="100"/>
        </w:rPr>
        <w:t>的召</w:t>
      </w:r>
      <w:r>
        <w:rPr>
          <w:spacing w:val="-3"/>
          <w:w w:val="100"/>
        </w:rPr>
        <w:t>集</w:t>
      </w:r>
      <w:r>
        <w:rPr>
          <w:spacing w:val="-82"/>
          <w:w w:val="100"/>
        </w:rPr>
        <w:t>、</w:t>
      </w:r>
      <w:r>
        <w:rPr>
          <w:spacing w:val="-3"/>
          <w:w w:val="100"/>
        </w:rPr>
        <w:t>召</w:t>
      </w:r>
      <w:r>
        <w:rPr>
          <w:w w:val="100"/>
        </w:rPr>
        <w:t>开</w:t>
      </w:r>
      <w:r>
        <w:rPr>
          <w:spacing w:val="-3"/>
          <w:w w:val="100"/>
        </w:rPr>
        <w:t>及</w:t>
      </w:r>
      <w:r>
        <w:rPr>
          <w:w w:val="100"/>
        </w:rPr>
        <w:t>表</w:t>
      </w:r>
      <w:r>
        <w:rPr>
          <w:spacing w:val="-3"/>
          <w:w w:val="100"/>
        </w:rPr>
        <w:t>决</w:t>
      </w:r>
      <w:r>
        <w:rPr>
          <w:w w:val="100"/>
        </w:rPr>
        <w:t>程</w:t>
      </w:r>
      <w:r>
        <w:rPr>
          <w:spacing w:val="-3"/>
          <w:w w:val="100"/>
        </w:rPr>
        <w:t>序符</w:t>
      </w:r>
      <w:r>
        <w:rPr>
          <w:spacing w:val="-82"/>
          <w:w w:val="100"/>
        </w:rPr>
        <w:t>合</w:t>
      </w:r>
      <w:r>
        <w:rPr>
          <w:w w:val="100"/>
        </w:rPr>
        <w:t>《</w:t>
      </w:r>
      <w:r>
        <w:rPr>
          <w:spacing w:val="-3"/>
          <w:w w:val="100"/>
        </w:rPr>
        <w:t>公</w:t>
      </w:r>
      <w:r>
        <w:rPr>
          <w:w w:val="100"/>
        </w:rPr>
        <w:t>司</w:t>
      </w:r>
      <w:r>
        <w:rPr>
          <w:spacing w:val="-3"/>
          <w:w w:val="100"/>
        </w:rPr>
        <w:t>法</w:t>
      </w:r>
      <w:r>
        <w:rPr>
          <w:spacing w:val="-82"/>
          <w:w w:val="100"/>
        </w:rPr>
        <w:t>》</w:t>
      </w:r>
      <w:r>
        <w:rPr>
          <w:w w:val="100"/>
        </w:rPr>
        <w:t>、</w:t>
      </w:r>
    </w:p>
    <w:p>
      <w:pPr>
        <w:pStyle w:val="BodyText"/>
        <w:spacing w:line="237" w:lineRule="auto"/>
        <w:ind w:left="138" w:right="128"/>
        <w:jc w:val="both"/>
      </w:pPr>
      <w:r>
        <w:rPr>
          <w:spacing w:val="-1"/>
        </w:rPr>
        <w:t>《公司章程》、《股东大会议事规则》的规定，且经律师现场见证并对其合法性出具了法律意见</w:t>
      </w:r>
      <w:r>
        <w:rPr>
          <w:spacing w:val="-55"/>
        </w:rPr>
        <w:t> </w:t>
      </w:r>
      <w:r>
        <w:rPr>
          <w:spacing w:val="-55"/>
        </w:rPr>
      </w:r>
      <w:r>
        <w:rPr>
          <w:spacing w:val="-1"/>
        </w:rPr>
        <w:t>书。公司与股东沟通渠道畅通，平等对待全体股东，并确保股东能充分行使自己的权利，使其对</w:t>
      </w:r>
      <w:r>
        <w:rPr>
          <w:spacing w:val="-55"/>
        </w:rPr>
        <w:t> </w:t>
      </w:r>
      <w:r>
        <w:rPr>
          <w:spacing w:val="-55"/>
        </w:rPr>
      </w:r>
      <w:r>
        <w:rPr/>
        <w:t>重大事项享有知情权和决策参与权。</w:t>
      </w:r>
    </w:p>
    <w:p>
      <w:pPr>
        <w:pStyle w:val="BodyText"/>
        <w:spacing w:line="272" w:lineRule="exact" w:before="26"/>
        <w:ind w:left="558" w:right="0"/>
        <w:jc w:val="left"/>
      </w:pPr>
      <w:r>
        <w:rPr>
          <w:rFonts w:ascii="Times New Roman" w:hAnsi="Times New Roman" w:cs="Times New Roman" w:eastAsia="Times New Roman" w:hint="default"/>
        </w:rPr>
        <w:t>2</w:t>
      </w:r>
      <w:r>
        <w:rPr/>
        <w:t>、控股股东与上市公司</w:t>
      </w:r>
      <w:r>
        <w:rPr>
          <w:w w:val="100"/>
        </w:rPr>
        <w:t> </w:t>
      </w:r>
      <w:r>
        <w:rPr>
          <w:spacing w:val="-2"/>
        </w:rPr>
        <w:t>控股股东行为规范，未超越股东大会直接或间接干预公司的决策及日常经营；公司的重大决</w:t>
      </w:r>
    </w:p>
    <w:p>
      <w:pPr>
        <w:pStyle w:val="BodyText"/>
        <w:spacing w:line="272" w:lineRule="exact" w:before="1"/>
        <w:ind w:left="138" w:right="128"/>
        <w:jc w:val="both"/>
      </w:pPr>
      <w:r>
        <w:rPr>
          <w:spacing w:val="-1"/>
        </w:rPr>
        <w:t>策均由股东大会和董事会规范作出。公司与控股股东在人员、资产、财务方面完全分开，机构与</w:t>
      </w:r>
      <w:r>
        <w:rPr>
          <w:spacing w:val="-55"/>
        </w:rPr>
        <w:t> </w:t>
      </w:r>
      <w:r>
        <w:rPr>
          <w:spacing w:val="-55"/>
        </w:rPr>
      </w:r>
      <w:r>
        <w:rPr>
          <w:spacing w:val="-1"/>
        </w:rPr>
        <w:t>业务独立。公司与控股股东的关联交易公平合理，符合市场定价原则，不存在控股股东占用公司</w:t>
      </w:r>
      <w:r>
        <w:rPr>
          <w:spacing w:val="-55"/>
        </w:rPr>
        <w:t> </w:t>
      </w:r>
      <w:r>
        <w:rPr>
          <w:spacing w:val="-55"/>
        </w:rPr>
      </w:r>
      <w:r>
        <w:rPr/>
        <w:t>资金的情况。</w:t>
      </w:r>
    </w:p>
    <w:p>
      <w:pPr>
        <w:pStyle w:val="BodyText"/>
        <w:spacing w:line="272" w:lineRule="exact" w:before="1"/>
        <w:ind w:left="558" w:right="0"/>
        <w:jc w:val="left"/>
      </w:pPr>
      <w:r>
        <w:rPr>
          <w:rFonts w:ascii="Times New Roman" w:hAnsi="Times New Roman" w:cs="Times New Roman" w:eastAsia="Times New Roman" w:hint="default"/>
        </w:rPr>
        <w:t>3</w:t>
      </w:r>
      <w:r>
        <w:rPr/>
        <w:t>、董事会</w:t>
      </w:r>
      <w:r>
        <w:rPr>
          <w:spacing w:val="-103"/>
        </w:rPr>
        <w:t> </w:t>
      </w:r>
      <w:r>
        <w:rPr>
          <w:spacing w:val="-103"/>
        </w:rPr>
      </w:r>
      <w:r>
        <w:rPr>
          <w:spacing w:val="-2"/>
        </w:rPr>
        <w:t>公司董事会的人数和人员构成符合法律、法规的要求，公司董事勤勉尽责。公司共有独立董</w:t>
      </w:r>
    </w:p>
    <w:p>
      <w:pPr>
        <w:pStyle w:val="BodyText"/>
        <w:spacing w:line="255" w:lineRule="exact"/>
        <w:ind w:left="138" w:right="0"/>
        <w:jc w:val="both"/>
      </w:pPr>
      <w:r>
        <w:rPr/>
        <w:t>事</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名，符合相关规定，独立董事未在公司及股东关联方担任任何职务。</w:t>
      </w:r>
    </w:p>
    <w:p>
      <w:pPr>
        <w:pStyle w:val="BodyText"/>
        <w:spacing w:line="235" w:lineRule="auto"/>
        <w:ind w:left="138" w:right="128" w:firstLine="419"/>
        <w:jc w:val="both"/>
      </w:pPr>
      <w:r>
        <w:rPr>
          <w:spacing w:val="-7"/>
          <w:w w:val="100"/>
        </w:rPr>
        <w:t>报告期内，公司共召开</w:t>
      </w:r>
      <w:r>
        <w:rPr>
          <w:spacing w:val="-46"/>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3"/>
          <w:w w:val="100"/>
        </w:rPr>
        <w:t> </w:t>
      </w:r>
      <w:r>
        <w:rPr>
          <w:spacing w:val="-10"/>
          <w:w w:val="100"/>
        </w:rPr>
        <w:t>次董事会会议，会议的召集、召开及表决程序均符合《公司法》《公</w:t>
      </w:r>
      <w:r>
        <w:rPr>
          <w:w w:val="100"/>
        </w:rPr>
        <w:t> </w:t>
      </w:r>
      <w:r>
        <w:rPr>
          <w:spacing w:val="-1"/>
        </w:rPr>
        <w:t>司章程》《董事会议事规则》的规定。公司董事会下设战略委员会、审计巡察委员会、提名与薪</w:t>
      </w:r>
      <w:r>
        <w:rPr>
          <w:spacing w:val="-55"/>
        </w:rPr>
        <w:t> </w:t>
      </w:r>
      <w:r>
        <w:rPr>
          <w:spacing w:val="-55"/>
        </w:rPr>
      </w:r>
      <w:r>
        <w:rPr>
          <w:spacing w:val="-1"/>
        </w:rPr>
        <w:t>酬委员会四个专门委员会。报告期内，上述委员会分别在战略、审计、提名与薪酬等方面协助董</w:t>
      </w:r>
      <w:r>
        <w:rPr>
          <w:spacing w:val="-55"/>
        </w:rPr>
        <w:t> </w:t>
      </w:r>
      <w:r>
        <w:rPr>
          <w:spacing w:val="-55"/>
        </w:rPr>
      </w:r>
      <w:r>
        <w:rPr>
          <w:spacing w:val="-1"/>
        </w:rPr>
        <w:t>事会履行决策和监控职能，同时充分发挥专业优势，有力保证了董事会集体决策的合法性、科学</w:t>
      </w:r>
      <w:r>
        <w:rPr>
          <w:spacing w:val="-55"/>
        </w:rPr>
        <w:t> </w:t>
      </w:r>
      <w:r>
        <w:rPr>
          <w:spacing w:val="-55"/>
        </w:rPr>
      </w:r>
      <w:r>
        <w:rPr/>
        <w:t>性、正确性，降低了公司运营风险。</w:t>
      </w:r>
    </w:p>
    <w:p>
      <w:pPr>
        <w:pStyle w:val="BodyText"/>
        <w:spacing w:line="280" w:lineRule="exact"/>
        <w:ind w:left="558" w:right="0"/>
        <w:jc w:val="left"/>
      </w:pPr>
      <w:r>
        <w:rPr>
          <w:rFonts w:ascii="Times New Roman" w:hAnsi="Times New Roman" w:cs="Times New Roman" w:eastAsia="Times New Roman" w:hint="default"/>
        </w:rPr>
        <w:t>4</w:t>
      </w:r>
      <w:r>
        <w:rPr/>
        <w:t>、监事会</w:t>
      </w:r>
    </w:p>
    <w:p>
      <w:pPr>
        <w:pStyle w:val="BodyText"/>
        <w:spacing w:line="230" w:lineRule="auto"/>
        <w:ind w:left="138" w:right="128" w:firstLine="419"/>
        <w:jc w:val="both"/>
      </w:pPr>
      <w:r>
        <w:rPr/>
        <w:t>报告期内，公司召开了</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次监事会，会议的召集、召开及表决程序均符合《公司法》《公司</w:t>
      </w:r>
      <w:r>
        <w:rPr>
          <w:w w:val="100"/>
        </w:rPr>
        <w:t> </w:t>
      </w:r>
      <w:r>
        <w:rPr>
          <w:spacing w:val="-1"/>
        </w:rPr>
        <w:t>章程》及《监事会议事规则》的规定。监事会能够认真履行职责，对公司的董事、高级管理人员</w:t>
      </w:r>
      <w:r>
        <w:rPr>
          <w:spacing w:val="-55"/>
        </w:rPr>
        <w:t> </w:t>
      </w:r>
      <w:r>
        <w:rPr>
          <w:spacing w:val="-55"/>
        </w:rPr>
      </w:r>
      <w:r>
        <w:rPr/>
        <w:t>履职行为的合法、合规性进行监督，维护股东的合法权益。</w:t>
      </w:r>
    </w:p>
    <w:p>
      <w:pPr>
        <w:pStyle w:val="BodyText"/>
        <w:spacing w:line="272" w:lineRule="exact" w:before="27"/>
        <w:ind w:left="558" w:right="0"/>
        <w:jc w:val="left"/>
      </w:pPr>
      <w:r>
        <w:rPr>
          <w:rFonts w:ascii="Times New Roman" w:hAnsi="Times New Roman" w:cs="Times New Roman" w:eastAsia="Times New Roman" w:hint="default"/>
        </w:rPr>
        <w:t>5</w:t>
      </w:r>
      <w:r>
        <w:rPr/>
        <w:t>、内幕信息管理</w:t>
      </w:r>
      <w:r>
        <w:rPr>
          <w:w w:val="100"/>
        </w:rPr>
        <w:t> </w:t>
      </w:r>
      <w:r>
        <w:rPr>
          <w:spacing w:val="-2"/>
        </w:rPr>
        <w:t>公司严格按照《内幕信息管理制度》的有关要求，针对各定期报告等事宜，实施内幕信息保</w:t>
      </w:r>
    </w:p>
    <w:p>
      <w:pPr>
        <w:pStyle w:val="BodyText"/>
        <w:spacing w:line="247" w:lineRule="exact"/>
        <w:ind w:left="138" w:right="0"/>
        <w:jc w:val="both"/>
      </w:pPr>
      <w:r>
        <w:rPr/>
        <w:t>密制度和内幕信息知情人登记制度。</w:t>
      </w:r>
    </w:p>
    <w:p>
      <w:pPr>
        <w:pStyle w:val="BodyText"/>
        <w:spacing w:line="274" w:lineRule="exact" w:before="24"/>
        <w:ind w:left="558" w:right="0"/>
        <w:jc w:val="left"/>
      </w:pPr>
      <w:r>
        <w:rPr>
          <w:rFonts w:ascii="Times New Roman" w:hAnsi="Times New Roman" w:cs="Times New Roman" w:eastAsia="Times New Roman" w:hint="default"/>
        </w:rPr>
        <w:t>6</w:t>
      </w:r>
      <w:r>
        <w:rPr/>
        <w:t>、信息披露及透明度</w:t>
      </w:r>
      <w:r>
        <w:rPr>
          <w:w w:val="100"/>
        </w:rPr>
        <w:t> </w:t>
      </w:r>
      <w:r>
        <w:rPr>
          <w:spacing w:val="-2"/>
        </w:rPr>
        <w:t>公公司董事会严格按照《股票上市规则》、《公司章程》等规定，坚持真实、准确、完整、</w:t>
      </w:r>
    </w:p>
    <w:p>
      <w:pPr>
        <w:pStyle w:val="BodyText"/>
        <w:spacing w:line="245" w:lineRule="exact"/>
        <w:ind w:left="138" w:right="0"/>
        <w:jc w:val="both"/>
      </w:pPr>
      <w:r>
        <w:rPr/>
        <w:t>及时和公平的原则，忠实履行信息披露义务，确保投资者及时了解公司重大事项，保障了公司股</w:t>
      </w:r>
    </w:p>
    <w:p>
      <w:pPr>
        <w:pStyle w:val="BodyText"/>
        <w:spacing w:line="273" w:lineRule="exact"/>
        <w:ind w:left="138" w:right="0"/>
        <w:jc w:val="both"/>
      </w:pPr>
      <w:r>
        <w:rPr/>
        <w:t>东尤其是中小股东的知情权。</w:t>
      </w:r>
    </w:p>
    <w:p>
      <w:pPr>
        <w:pStyle w:val="BodyText"/>
        <w:spacing w:line="272" w:lineRule="exact" w:before="26"/>
        <w:ind w:left="558" w:right="0"/>
        <w:jc w:val="left"/>
      </w:pPr>
      <w:r>
        <w:rPr>
          <w:rFonts w:ascii="Times New Roman" w:hAnsi="Times New Roman" w:cs="Times New Roman" w:eastAsia="Times New Roman" w:hint="default"/>
        </w:rPr>
        <w:t>7</w:t>
      </w:r>
      <w:r>
        <w:rPr/>
        <w:t>、投资者关系管理</w:t>
      </w:r>
      <w:r>
        <w:rPr>
          <w:w w:val="100"/>
        </w:rPr>
        <w:t> </w:t>
      </w:r>
      <w:r>
        <w:rPr>
          <w:spacing w:val="-2"/>
        </w:rPr>
        <w:t>报告期内，公司高度重视投资者关系管理工作，通过现场调研、投资者服务热线、投资者集</w:t>
      </w:r>
    </w:p>
    <w:p>
      <w:pPr>
        <w:pStyle w:val="BodyText"/>
        <w:spacing w:line="272" w:lineRule="exact" w:before="1"/>
        <w:ind w:left="138" w:right="0"/>
        <w:jc w:val="left"/>
      </w:pPr>
      <w:r>
        <w:rPr>
          <w:spacing w:val="-1"/>
        </w:rPr>
        <w:t>体接待日活动、投资者邮箱、投资者互动平台、网上业绩说明会等多渠道，不断加强投资者关系</w:t>
      </w:r>
      <w:r>
        <w:rPr>
          <w:spacing w:val="-55"/>
        </w:rPr>
        <w:t> </w:t>
      </w:r>
      <w:r>
        <w:rPr>
          <w:spacing w:val="-55"/>
        </w:rPr>
      </w:r>
      <w:r>
        <w:rPr>
          <w:spacing w:val="-6"/>
        </w:rPr>
        <w:t>管理，建立与投资者良好的互动互信关系，增强了投资者对公司的理解和信心。公司严格按照《投</w:t>
      </w:r>
    </w:p>
    <w:p>
      <w:pPr>
        <w:pStyle w:val="BodyText"/>
        <w:spacing w:line="272" w:lineRule="exact" w:before="1"/>
        <w:ind w:left="138" w:right="0"/>
        <w:jc w:val="left"/>
      </w:pPr>
      <w:r>
        <w:rPr>
          <w:spacing w:val="-1"/>
        </w:rPr>
        <w:t>资者关系管理制度》的规定，全面采用现场会议和网络投票相结合的方式召开股东大会，以便于</w:t>
      </w:r>
      <w:r>
        <w:rPr>
          <w:spacing w:val="-55"/>
        </w:rPr>
        <w:t> </w:t>
      </w:r>
      <w:r>
        <w:rPr>
          <w:spacing w:val="-55"/>
        </w:rPr>
      </w:r>
      <w:r>
        <w:rPr/>
        <w:t>广大投资者的积极参与股东大会审议事项的决策。</w:t>
      </w:r>
    </w:p>
    <w:p>
      <w:pPr>
        <w:pStyle w:val="BodyText"/>
        <w:spacing w:line="272" w:lineRule="exact" w:before="1"/>
        <w:ind w:left="138"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47" w:lineRule="exact"/>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spacing w:after="0" w:line="273" w:lineRule="exact"/>
        <w:jc w:val="both"/>
        <w:rPr>
          <w:rFonts w:ascii="宋体" w:hAnsi="宋体" w:cs="宋体" w:eastAsia="宋体" w:hint="default"/>
        </w:rPr>
        <w:sectPr>
          <w:pgSz w:w="11910" w:h="16840"/>
          <w:pgMar w:header="852" w:footer="979" w:top="1120" w:bottom="1160" w:left="1660" w:right="1140"/>
        </w:sectPr>
      </w:pPr>
    </w:p>
    <w:p>
      <w:pPr>
        <w:spacing w:line="240" w:lineRule="auto" w:before="3"/>
        <w:rPr>
          <w:rFonts w:ascii="宋体" w:hAnsi="宋体" w:cs="宋体" w:eastAsia="宋体" w:hint="default"/>
          <w:sz w:val="25"/>
          <w:szCs w:val="25"/>
        </w:rPr>
      </w:pPr>
    </w:p>
    <w:p>
      <w:pPr>
        <w:pStyle w:val="Heading4"/>
        <w:spacing w:line="240" w:lineRule="auto" w:before="36"/>
        <w:ind w:right="0"/>
        <w:jc w:val="left"/>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2019-05-06</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hyperlink r:id="rId13">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2019-05-07</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年第一次临时股</w:t>
            </w:r>
          </w:p>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2019-07-12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hyperlink r:id="rId13">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2019-07-13</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2" w:lineRule="exact" w:before="27"/>
        <w:ind w:left="638" w:right="3298"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报告期内，公司股东大会审议的所有议案均获通过。</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4"/>
        <w:spacing w:line="290" w:lineRule="auto" w:before="56"/>
        <w:ind w:right="5463"/>
        <w:jc w:val="left"/>
        <w:rPr>
          <w:b w:val="0"/>
          <w:bCs w:val="0"/>
        </w:rPr>
      </w:pPr>
      <w:r>
        <w:rPr/>
        <w:t>三、</w:t>
      </w:r>
      <w:r>
        <w:rPr>
          <w:spacing w:val="-105"/>
        </w:rPr>
        <w:t> </w:t>
      </w:r>
      <w:r>
        <w:rPr>
          <w:rFonts w:ascii="宋体" w:hAnsi="宋体" w:cs="宋体" w:eastAsia="宋体" w:hint="default"/>
          <w:spacing w:val="-105"/>
        </w:rPr>
      </w:r>
      <w:r>
        <w:rPr/>
        <w:t>董事履行职责情况</w:t>
      </w:r>
      <w:r>
        <w:rPr>
          <w:spacing w:val="-104"/>
        </w:rPr>
        <w:t> </w:t>
      </w:r>
      <w:r>
        <w:rPr>
          <w:rFonts w:ascii="宋体" w:hAnsi="宋体" w:cs="宋体" w:eastAsia="宋体" w:hint="default"/>
        </w:rPr>
        <w:t>(</w:t>
      </w:r>
      <w:r>
        <w:rPr/>
        <w:t>一</w:t>
      </w:r>
      <w:r>
        <w:rPr>
          <w:rFonts w:ascii="宋体" w:hAnsi="宋体" w:cs="宋体" w:eastAsia="宋体" w:hint="default"/>
        </w:rPr>
        <w:t>)</w:t>
      </w:r>
      <w:r>
        <w:rPr/>
        <w:t>董事参加董事会和股东大会的情况</w:t>
      </w:r>
      <w:r>
        <w:rPr>
          <w:b w:val="0"/>
          <w:bCs w:val="0"/>
        </w:rPr>
      </w:r>
    </w:p>
    <w:p>
      <w:pPr>
        <w:spacing w:line="240" w:lineRule="auto" w:before="8"/>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982"/>
        <w:gridCol w:w="847"/>
        <w:gridCol w:w="1100"/>
        <w:gridCol w:w="852"/>
        <w:gridCol w:w="967"/>
        <w:gridCol w:w="905"/>
        <w:gridCol w:w="845"/>
        <w:gridCol w:w="1498"/>
        <w:gridCol w:w="1054"/>
      </w:tblGrid>
      <w:tr>
        <w:trPr>
          <w:trHeight w:val="828" w:hRule="exact"/>
        </w:trPr>
        <w:tc>
          <w:tcPr>
            <w:tcW w:w="9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75"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00" w:right="-1"/>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616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参加股</w:t>
            </w:r>
          </w:p>
          <w:p>
            <w:pPr>
              <w:pStyle w:val="TableParagraph"/>
              <w:spacing w:line="272" w:lineRule="exact" w:before="27"/>
              <w:ind w:left="311" w:right="203" w:hanging="106"/>
              <w:jc w:val="left"/>
              <w:rPr>
                <w:rFonts w:ascii="宋体" w:hAnsi="宋体" w:cs="宋体" w:eastAsia="宋体" w:hint="default"/>
                <w:sz w:val="21"/>
                <w:szCs w:val="21"/>
              </w:rPr>
            </w:pPr>
            <w:r>
              <w:rPr>
                <w:rFonts w:ascii="宋体" w:hAnsi="宋体" w:cs="宋体" w:eastAsia="宋体" w:hint="default"/>
                <w:sz w:val="21"/>
                <w:szCs w:val="21"/>
              </w:rPr>
              <w:t>东大会</w:t>
            </w:r>
            <w:r>
              <w:rPr>
                <w:rFonts w:ascii="宋体" w:hAnsi="宋体" w:cs="宋体" w:eastAsia="宋体" w:hint="default"/>
                <w:spacing w:val="-102"/>
                <w:sz w:val="21"/>
                <w:szCs w:val="21"/>
              </w:rPr>
              <w:t> </w:t>
            </w:r>
            <w:r>
              <w:rPr>
                <w:rFonts w:ascii="宋体" w:hAnsi="宋体" w:cs="宋体" w:eastAsia="宋体" w:hint="default"/>
                <w:sz w:val="21"/>
                <w:szCs w:val="21"/>
              </w:rPr>
              <w:t>情况</w:t>
            </w:r>
            <w:r>
              <w:rPr>
                <w:rFonts w:ascii="宋体" w:hAnsi="宋体" w:cs="宋体" w:eastAsia="宋体" w:hint="default"/>
                <w:sz w:val="21"/>
                <w:szCs w:val="21"/>
              </w:rPr>
              <w:t> </w:t>
            </w:r>
          </w:p>
        </w:tc>
      </w:tr>
      <w:tr>
        <w:trPr>
          <w:trHeight w:val="826" w:hRule="exact"/>
        </w:trPr>
        <w:tc>
          <w:tcPr>
            <w:tcW w:w="982"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1" w:right="123"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0"/>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0"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2" w:right="24"/>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6" w:right="101"/>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是否连续两次</w:t>
            </w:r>
          </w:p>
          <w:p>
            <w:pPr>
              <w:pStyle w:val="TableParagraph"/>
              <w:spacing w:line="272" w:lineRule="exact" w:before="27"/>
              <w:ind w:left="638" w:right="111" w:hanging="526"/>
              <w:jc w:val="left"/>
              <w:rPr>
                <w:rFonts w:ascii="宋体" w:hAnsi="宋体" w:cs="宋体" w:eastAsia="宋体" w:hint="default"/>
                <w:sz w:val="21"/>
                <w:szCs w:val="21"/>
              </w:rPr>
            </w:pPr>
            <w:r>
              <w:rPr>
                <w:rFonts w:ascii="宋体" w:hAnsi="宋体" w:cs="宋体" w:eastAsia="宋体" w:hint="default"/>
                <w:sz w:val="21"/>
                <w:szCs w:val="21"/>
              </w:rPr>
              <w:t>未亲自参加会</w:t>
            </w:r>
            <w:r>
              <w:rPr>
                <w:rFonts w:ascii="宋体" w:hAnsi="宋体" w:cs="宋体" w:eastAsia="宋体" w:hint="default"/>
                <w:w w:val="100"/>
                <w:sz w:val="21"/>
                <w:szCs w:val="21"/>
              </w:rPr>
              <w:t> </w:t>
            </w:r>
            <w:r>
              <w:rPr>
                <w:rFonts w:ascii="宋体" w:hAnsi="宋体" w:cs="宋体" w:eastAsia="宋体" w:hint="default"/>
                <w:sz w:val="21"/>
                <w:szCs w:val="21"/>
              </w:rPr>
              <w:t>议</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出席股</w:t>
            </w:r>
          </w:p>
          <w:p>
            <w:pPr>
              <w:pStyle w:val="TableParagraph"/>
              <w:spacing w:line="272" w:lineRule="exact" w:before="27"/>
              <w:ind w:left="206" w:right="98"/>
              <w:jc w:val="left"/>
              <w:rPr>
                <w:rFonts w:ascii="宋体" w:hAnsi="宋体" w:cs="宋体" w:eastAsia="宋体" w:hint="default"/>
                <w:sz w:val="21"/>
                <w:szCs w:val="21"/>
              </w:rPr>
            </w:pPr>
            <w:r>
              <w:rPr>
                <w:rFonts w:ascii="宋体" w:hAnsi="宋体" w:cs="宋体" w:eastAsia="宋体" w:hint="default"/>
                <w:sz w:val="21"/>
                <w:szCs w:val="21"/>
              </w:rPr>
              <w:t>东大会</w:t>
            </w:r>
            <w:r>
              <w:rPr>
                <w:rFonts w:ascii="宋体" w:hAnsi="宋体" w:cs="宋体" w:eastAsia="宋体" w:hint="default"/>
                <w:spacing w:val="-102"/>
                <w:sz w:val="21"/>
                <w:szCs w:val="21"/>
              </w:rPr>
              <w:t> </w:t>
            </w:r>
            <w:r>
              <w:rPr>
                <w:rFonts w:ascii="宋体" w:hAnsi="宋体" w:cs="宋体" w:eastAsia="宋体" w:hint="default"/>
                <w:sz w:val="21"/>
                <w:szCs w:val="21"/>
              </w:rPr>
              <w:t>的次数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吴志雄</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sz w:val="21"/>
              </w:rPr>
              <w:t>12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徐春梅</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sz w:val="21"/>
              </w:rPr>
              <w:t>12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廖长宝</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sz w:val="21"/>
              </w:rPr>
              <w:t>12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杨鹏</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赵小凡</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sz w:val="21"/>
              </w:rPr>
              <w:t>12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王浩</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sz w:val="21"/>
              </w:rPr>
              <w:t>12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刘润</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sz w:val="21"/>
              </w:rPr>
              <w:t>12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1</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12</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b w:val="0"/>
          <w:bCs w:val="0"/>
        </w:rPr>
      </w:pPr>
      <w:r>
        <w:rPr>
          <w:rFonts w:ascii="宋体" w:hAnsi="宋体" w:cs="宋体" w:eastAsia="宋体" w:hint="default"/>
        </w:rPr>
        <w:t>(</w:t>
      </w:r>
      <w:r>
        <w:rPr/>
        <w:t>二</w:t>
      </w:r>
      <w:r>
        <w:rPr>
          <w:rFonts w:ascii="宋体" w:hAnsi="宋体" w:cs="宋体" w:eastAsia="宋体" w:hint="default"/>
        </w:rPr>
        <w:t>)</w:t>
      </w:r>
      <w:r>
        <w:rPr/>
        <w:t>独立董事对公司有关事项提出异议的情况</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8097"/>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2"/>
          <w:w w:val="99"/>
        </w:rPr>
        <w:t>)</w:t>
      </w:r>
      <w:r>
        <w:rPr>
          <w:w w:val="100"/>
        </w:rPr>
        <w:t>其他</w:t>
      </w:r>
      <w:r>
        <w:rPr>
          <w:b w:val="0"/>
          <w:bCs w:val="0"/>
          <w:w w:val="10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2" w:footer="979" w:top="1120" w:bottom="1160" w:left="1580" w:right="1040"/>
        </w:sectPr>
      </w:pPr>
    </w:p>
    <w:p>
      <w:pPr>
        <w:spacing w:line="240" w:lineRule="auto" w:before="3"/>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4"/>
        <w:spacing w:line="272" w:lineRule="exact" w:before="87"/>
        <w:ind w:left="56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3" w:lineRule="exact" w:before="34"/>
        <w:ind w:left="138" w:right="281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2819"/>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71" w:lineRule="exact"/>
        <w:ind w:left="138" w:right="281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before="56"/>
        <w:ind w:left="138"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72" w:lineRule="exact" w:before="86"/>
        <w:ind w:left="558" w:right="101" w:hanging="420"/>
        <w:jc w:val="left"/>
      </w:pPr>
      <w:r>
        <w:rPr/>
        <w:t>√适用  </w:t>
      </w:r>
      <w:r>
        <w:rPr>
          <w:spacing w:val="25"/>
        </w:rPr>
        <w:t> </w:t>
      </w:r>
      <w:r>
        <w:rPr>
          <w:rFonts w:ascii="宋体" w:hAnsi="宋体" w:cs="宋体" w:eastAsia="宋体" w:hint="default"/>
          <w:spacing w:val="25"/>
        </w:rPr>
      </w:r>
      <w:r>
        <w:rPr/>
        <w:t>□不适用</w:t>
      </w:r>
      <w:r>
        <w:rPr>
          <w:rFonts w:ascii="宋体" w:hAnsi="宋体" w:cs="宋体" w:eastAsia="宋体" w:hint="default"/>
          <w:spacing w:val="-3"/>
          <w:w w:val="100"/>
        </w:rPr>
        <w:t> </w:t>
      </w:r>
      <w:r>
        <w:rPr>
          <w:rFonts w:ascii="宋体" w:hAnsi="宋体" w:cs="宋体" w:eastAsia="宋体" w:hint="default"/>
          <w:w w:val="100"/>
        </w:rPr>
        <w:t> </w:t>
      </w:r>
      <w:r>
        <w:rPr/>
        <w:t>公司已建了较为完善的绩效管理体系，建立了高级管理人员的考评机制。</w:t>
      </w:r>
      <w:r>
        <w:rPr>
          <w:rFonts w:ascii="Times New Roman" w:hAnsi="Times New Roman" w:cs="Times New Roman" w:eastAsia="Times New Roman" w:hint="default"/>
        </w:rPr>
        <w:t>2020</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日，</w:t>
      </w:r>
    </w:p>
    <w:p>
      <w:pPr>
        <w:pStyle w:val="BodyText"/>
        <w:spacing w:line="272" w:lineRule="exact" w:before="1"/>
        <w:ind w:left="138" w:right="0"/>
        <w:jc w:val="left"/>
      </w:pPr>
      <w:r>
        <w:rPr>
          <w:spacing w:val="-1"/>
        </w:rPr>
        <w:t>根据股东大会的授权，公司分别召开第三届董事会第四十三次会议及第三届监事会第二十八次会</w:t>
      </w:r>
      <w:r>
        <w:rPr>
          <w:spacing w:val="-55"/>
        </w:rPr>
        <w:t> </w:t>
      </w:r>
      <w:r>
        <w:rPr>
          <w:spacing w:val="-55"/>
        </w:rPr>
      </w:r>
      <w:r>
        <w:rPr>
          <w:spacing w:val="-1"/>
        </w:rPr>
        <w:t>议，审议通过了《关于限制性股票激励计划首次授予股票第三期解锁及预留授予股票第二期解锁</w:t>
      </w:r>
    </w:p>
    <w:p>
      <w:pPr>
        <w:pStyle w:val="BodyText"/>
        <w:spacing w:line="225" w:lineRule="auto"/>
        <w:ind w:left="138" w:right="98"/>
        <w:jc w:val="left"/>
        <w:rPr>
          <w:rFonts w:ascii="宋体" w:hAnsi="宋体" w:cs="宋体" w:eastAsia="宋体" w:hint="default"/>
        </w:rPr>
      </w:pPr>
      <w:r>
        <w:rPr/>
        <w:t>的议案》。同意对符合条件的</w:t>
      </w:r>
      <w:r>
        <w:rPr>
          <w:spacing w:val="-50"/>
        </w:rPr>
        <w:t> </w:t>
      </w:r>
      <w:r>
        <w:rPr>
          <w:rFonts w:ascii="Times New Roman" w:hAnsi="Times New Roman" w:cs="Times New Roman" w:eastAsia="Times New Roman" w:hint="default"/>
        </w:rPr>
        <w:t>130</w:t>
      </w:r>
      <w:r>
        <w:rPr>
          <w:rFonts w:ascii="Times New Roman" w:hAnsi="Times New Roman" w:cs="Times New Roman" w:eastAsia="Times New Roman" w:hint="default"/>
          <w:spacing w:val="5"/>
        </w:rPr>
        <w:t> </w:t>
      </w:r>
      <w:r>
        <w:rPr/>
        <w:t>名首次授予激励对象的限制性股票实施第三期解锁，可解锁比</w:t>
      </w:r>
      <w:r>
        <w:rPr>
          <w:w w:val="100"/>
        </w:rPr>
        <w:t> </w:t>
      </w:r>
      <w:r>
        <w:rPr/>
        <w:t>例 </w:t>
      </w:r>
      <w:r>
        <w:rPr>
          <w:rFonts w:ascii="Times New Roman" w:hAnsi="Times New Roman" w:cs="Times New Roman" w:eastAsia="Times New Roman" w:hint="default"/>
        </w:rPr>
        <w:t>30%</w:t>
      </w:r>
      <w:r>
        <w:rPr/>
        <w:t>；对符合条件的 </w:t>
      </w:r>
      <w:r>
        <w:rPr>
          <w:rFonts w:ascii="Times New Roman" w:hAnsi="Times New Roman" w:cs="Times New Roman" w:eastAsia="Times New Roman" w:hint="default"/>
        </w:rPr>
        <w:t>8 </w:t>
      </w:r>
      <w:r>
        <w:rPr/>
        <w:t>名预留授予激励对象的限制性股票实施第二期解锁，可解锁比例</w:t>
      </w:r>
      <w:r>
        <w:rPr>
          <w:spacing w:val="-82"/>
        </w:rPr>
        <w:t> </w:t>
      </w:r>
      <w:r>
        <w:rPr>
          <w:rFonts w:ascii="Times New Roman" w:hAnsi="Times New Roman" w:cs="Times New Roman" w:eastAsia="Times New Roman" w:hint="default"/>
        </w:rPr>
        <w:t>50%</w:t>
      </w:r>
      <w:r>
        <w:rPr/>
        <w:t>，</w:t>
      </w:r>
      <w:r>
        <w:rPr>
          <w:w w:val="100"/>
        </w:rPr>
        <w:t> </w:t>
      </w:r>
      <w:r>
        <w:rPr/>
        <w:t>本次合计解锁股份</w:t>
      </w:r>
      <w:r>
        <w:rPr>
          <w:spacing w:val="-55"/>
        </w:rPr>
        <w:t> </w:t>
      </w:r>
      <w:r>
        <w:rPr>
          <w:rFonts w:ascii="Times New Roman" w:hAnsi="Times New Roman" w:cs="Times New Roman" w:eastAsia="Times New Roman" w:hint="default"/>
        </w:rPr>
        <w:t>1,823,216</w:t>
      </w:r>
      <w:r>
        <w:rPr>
          <w:rFonts w:ascii="Times New Roman" w:hAnsi="Times New Roman" w:cs="Times New Roman" w:eastAsia="Times New Roman" w:hint="default"/>
          <w:spacing w:val="-2"/>
        </w:rPr>
        <w:t> </w:t>
      </w:r>
      <w:r>
        <w:rPr>
          <w:spacing w:val="-3"/>
        </w:rPr>
        <w:t>股。</w:t>
      </w:r>
      <w:r>
        <w:rPr>
          <w:rFonts w:ascii="宋体" w:hAnsi="宋体" w:cs="宋体" w:eastAsia="宋体" w:hint="default"/>
        </w:rPr>
        <w:t> </w:t>
      </w:r>
    </w:p>
    <w:p>
      <w:pPr>
        <w:pStyle w:val="BodyText"/>
        <w:spacing w:line="258"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2819"/>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73" w:lineRule="exact" w:before="56"/>
        <w:ind w:left="138" w:right="28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24"/>
        <w:ind w:left="138" w:right="0" w:firstLine="419"/>
        <w:jc w:val="left"/>
        <w:rPr>
          <w:rFonts w:ascii="宋体" w:hAnsi="宋体" w:cs="宋体" w:eastAsia="宋体" w:hint="default"/>
        </w:rPr>
      </w:pPr>
      <w:r>
        <w:rPr>
          <w:spacing w:val="-2"/>
          <w:w w:val="100"/>
        </w:rPr>
        <w:t>内部控制自我评价报告详见公司</w:t>
      </w:r>
      <w:r>
        <w:rPr>
          <w:spacing w:val="-52"/>
          <w:w w:val="100"/>
        </w:rPr>
        <w:t> </w:t>
      </w:r>
      <w:r>
        <w:rPr>
          <w:rFonts w:ascii="Times New Roman" w:hAnsi="Times New Roman" w:cs="Times New Roman" w:eastAsia="Times New Roman" w:hint="default"/>
          <w:spacing w:val="-1"/>
          <w:w w:val="100"/>
        </w:rPr>
        <w:t>2020</w:t>
      </w:r>
      <w:r>
        <w:rPr>
          <w:rFonts w:ascii="Times New Roman" w:hAnsi="Times New Roman" w:cs="Times New Roman" w:eastAsia="Times New Roman" w:hint="default"/>
          <w:spacing w:val="1"/>
          <w:w w:val="100"/>
        </w:rPr>
        <w:t> </w:t>
      </w:r>
      <w:r>
        <w:rPr>
          <w:w w:val="100"/>
        </w:rPr>
        <w:t>年</w:t>
      </w:r>
      <w:r>
        <w:rPr>
          <w:spacing w:val="-55"/>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1"/>
          <w:w w:val="100"/>
        </w:rPr>
        <w:t> </w:t>
      </w:r>
      <w:r>
        <w:rPr>
          <w:w w:val="100"/>
        </w:rPr>
        <w:t>月</w:t>
      </w:r>
      <w:r>
        <w:rPr>
          <w:spacing w:val="-55"/>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w w:val="100"/>
        </w:rPr>
        <w:t> </w:t>
      </w:r>
      <w:r>
        <w:rPr>
          <w:spacing w:val="-6"/>
          <w:w w:val="100"/>
        </w:rPr>
        <w:t>日披露的《南威软件股份有限公司内部控制自</w:t>
      </w:r>
      <w:r>
        <w:rPr>
          <w:w w:val="100"/>
        </w:rPr>
        <w:t> </w:t>
      </w:r>
      <w:r>
        <w:rPr/>
        <w:t>我评价报告》。</w:t>
      </w:r>
      <w:r>
        <w:rPr>
          <w:rFonts w:ascii="宋体" w:hAnsi="宋体" w:cs="宋体" w:eastAsia="宋体" w:hint="default"/>
        </w:rPr>
        <w:t> </w:t>
      </w:r>
    </w:p>
    <w:p>
      <w:pPr>
        <w:pStyle w:val="BodyText"/>
        <w:spacing w:line="245" w:lineRule="exact"/>
        <w:ind w:left="138" w:right="0"/>
        <w:jc w:val="left"/>
        <w:rPr>
          <w:rFonts w:ascii="宋体" w:hAnsi="宋体" w:cs="宋体" w:eastAsia="宋体" w:hint="default"/>
        </w:rPr>
      </w:pPr>
      <w:r>
        <w:rPr>
          <w:rFonts w:ascii="宋体"/>
          <w:w w:val="100"/>
        </w:rPr>
        <w:t> </w:t>
      </w:r>
    </w:p>
    <w:p>
      <w:pPr>
        <w:pStyle w:val="BodyText"/>
        <w:spacing w:line="272" w:lineRule="exact"/>
        <w:ind w:left="138" w:right="2819"/>
        <w:jc w:val="left"/>
        <w:rPr>
          <w:rFonts w:ascii="宋体" w:hAnsi="宋体" w:cs="宋体" w:eastAsia="宋体" w:hint="default"/>
        </w:rPr>
      </w:pPr>
      <w:r>
        <w:rPr/>
        <w:t>报告期内部控制存在重大缺陷情况的说明</w:t>
      </w:r>
      <w:r>
        <w:rPr>
          <w:rFonts w:ascii="宋体" w:hAnsi="宋体" w:cs="宋体" w:eastAsia="宋体" w:hint="default"/>
        </w:rPr>
        <w:t> </w:t>
      </w:r>
    </w:p>
    <w:p>
      <w:pPr>
        <w:pStyle w:val="BodyText"/>
        <w:spacing w:line="272" w:lineRule="exact"/>
        <w:ind w:left="138" w:right="28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before="56"/>
        <w:ind w:left="138" w:right="2819"/>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73" w:lineRule="exact" w:before="58"/>
        <w:ind w:left="138" w:right="281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24"/>
        <w:ind w:left="138" w:right="0" w:firstLine="419"/>
        <w:jc w:val="left"/>
      </w:pPr>
      <w:r>
        <w:rPr>
          <w:spacing w:val="-12"/>
          <w:w w:val="100"/>
        </w:rPr>
        <w:t>大华会计师事务所（特殊普通合伙）对公司</w:t>
      </w:r>
      <w:r>
        <w:rPr>
          <w:spacing w:val="-47"/>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7"/>
          <w:w w:val="100"/>
        </w:rPr>
        <w:t> </w:t>
      </w:r>
      <w:r>
        <w:rPr>
          <w:spacing w:val="-2"/>
          <w:w w:val="100"/>
        </w:rPr>
        <w:t>年度财务报告内部控制的有效性进行了审计，</w:t>
      </w:r>
      <w:r>
        <w:rPr>
          <w:w w:val="100"/>
        </w:rPr>
        <w:t> </w:t>
      </w:r>
      <w:r>
        <w:rPr/>
        <w:t>并出具了标准无保留意见的审计报告。</w:t>
      </w:r>
    </w:p>
    <w:p>
      <w:pPr>
        <w:pStyle w:val="BodyText"/>
        <w:spacing w:line="253" w:lineRule="exact"/>
        <w:ind w:left="558" w:right="0"/>
        <w:jc w:val="left"/>
      </w:pPr>
      <w:r>
        <w:rPr>
          <w:spacing w:val="-3"/>
        </w:rPr>
        <w:t>大华会计师事务所（特殊普通合伙）出具的《</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20"/>
        </w:rPr>
        <w:t> </w:t>
      </w:r>
      <w:r>
        <w:rPr/>
        <w:t>年度内部控制审计报告》与本公司的年度</w:t>
      </w:r>
    </w:p>
    <w:p>
      <w:pPr>
        <w:pStyle w:val="BodyText"/>
        <w:spacing w:line="272" w:lineRule="exact" w:before="19"/>
        <w:ind w:left="138" w:right="0"/>
        <w:jc w:val="left"/>
        <w:rPr>
          <w:rFonts w:ascii="宋体" w:hAnsi="宋体" w:cs="宋体" w:eastAsia="宋体" w:hint="default"/>
        </w:rPr>
      </w:pPr>
      <w:r>
        <w:rPr>
          <w:spacing w:val="-2"/>
        </w:rPr>
        <w:t>报告同时披露，具体内容详见上海证券交易所网站（</w:t>
      </w:r>
      <w:hyperlink r:id="rId13">
        <w:r>
          <w:rPr>
            <w:rFonts w:ascii="Times New Roman" w:hAnsi="Times New Roman" w:cs="Times New Roman" w:eastAsia="Times New Roman" w:hint="default"/>
            <w:spacing w:val="-2"/>
          </w:rPr>
          <w:t>www.sse.com.cn</w:t>
        </w:r>
      </w:hyperlink>
      <w:r>
        <w:rPr>
          <w:spacing w:val="-2"/>
        </w:rPr>
        <w:t>）。</w:t>
      </w:r>
      <w:r>
        <w:rPr>
          <w:spacing w:val="-32"/>
        </w:rPr>
        <w:t> </w:t>
      </w:r>
      <w:r>
        <w:rPr/>
        <w:t>是否披露内部控制审计报告：是</w:t>
      </w:r>
      <w:r>
        <w:rPr>
          <w:rFonts w:ascii="宋体" w:hAnsi="宋体" w:cs="宋体" w:eastAsia="宋体" w:hint="default"/>
        </w:rPr>
        <w:t> </w:t>
      </w:r>
    </w:p>
    <w:p>
      <w:pPr>
        <w:pStyle w:val="BodyText"/>
        <w:spacing w:line="249" w:lineRule="exact"/>
        <w:ind w:left="138" w:right="0"/>
        <w:jc w:val="left"/>
        <w:rPr>
          <w:rFonts w:ascii="宋体" w:hAnsi="宋体" w:cs="宋体" w:eastAsia="宋体" w:hint="default"/>
        </w:rPr>
      </w:pPr>
      <w:r>
        <w:rPr>
          <w:rFonts w:ascii="宋体"/>
          <w:w w:val="100"/>
        </w:rPr>
        <w:t> </w:t>
      </w:r>
    </w:p>
    <w:p>
      <w:pPr>
        <w:pStyle w:val="Heading4"/>
        <w:spacing w:line="240" w:lineRule="auto" w:before="56"/>
        <w:ind w:left="138" w:right="2819"/>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40" w:lineRule="auto" w:before="58"/>
        <w:ind w:left="138" w:right="281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1"/>
        <w:spacing w:line="240" w:lineRule="auto" w:before="42"/>
        <w:ind w:left="2937" w:right="2819"/>
        <w:jc w:val="left"/>
        <w:rPr>
          <w:b w:val="0"/>
          <w:bCs w:val="0"/>
        </w:rPr>
      </w:pPr>
      <w:bookmarkStart w:name="_bookmark9" w:id="12"/>
      <w:bookmarkEnd w:id="12"/>
      <w:r>
        <w:rPr>
          <w:b w:val="0"/>
          <w:bCs w:val="0"/>
        </w:rPr>
      </w:r>
      <w:r>
        <w:rPr/>
        <w:t>第十节</w:t>
      </w:r>
      <w:r>
        <w:rPr>
          <w:spacing w:val="-2"/>
        </w:rPr>
        <w:t> </w:t>
      </w:r>
      <w:r>
        <w:rPr/>
        <w:t>公司债券相关情况</w:t>
      </w:r>
      <w:r>
        <w:rPr>
          <w:b w:val="0"/>
          <w:bCs w:val="0"/>
        </w:rPr>
      </w:r>
    </w:p>
    <w:p>
      <w:pPr>
        <w:spacing w:line="240" w:lineRule="auto" w:before="8"/>
        <w:rPr>
          <w:rFonts w:ascii="黑体" w:hAnsi="黑体" w:cs="黑体" w:eastAsia="黑体" w:hint="default"/>
          <w:b/>
          <w:bCs/>
          <w:sz w:val="16"/>
          <w:szCs w:val="16"/>
        </w:rPr>
      </w:pPr>
    </w:p>
    <w:p>
      <w:pPr>
        <w:pStyle w:val="BodyText"/>
        <w:spacing w:line="274" w:lineRule="exact" w:before="36"/>
        <w:ind w:left="138" w:right="28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52" w:footer="979" w:top="1120" w:bottom="1160" w:left="1660" w:right="1060"/>
        </w:sectPr>
      </w:pPr>
    </w:p>
    <w:p>
      <w:pPr>
        <w:spacing w:line="240" w:lineRule="auto" w:before="0"/>
        <w:rPr>
          <w:rFonts w:ascii="宋体" w:hAnsi="宋体" w:cs="宋体" w:eastAsia="宋体" w:hint="default"/>
          <w:sz w:val="20"/>
          <w:szCs w:val="20"/>
        </w:rPr>
      </w:pPr>
    </w:p>
    <w:p>
      <w:pPr>
        <w:pStyle w:val="Heading1"/>
        <w:spacing w:line="240" w:lineRule="auto" w:before="151"/>
        <w:ind w:left="3200" w:right="3277"/>
        <w:jc w:val="center"/>
        <w:rPr>
          <w:b w:val="0"/>
          <w:bCs w:val="0"/>
        </w:rPr>
      </w:pPr>
      <w:bookmarkStart w:name="_bookmark10" w:id="13"/>
      <w:bookmarkEnd w:id="13"/>
      <w:r>
        <w:rPr>
          <w:b w:val="0"/>
          <w:bCs w:val="0"/>
        </w:rPr>
      </w:r>
      <w:r>
        <w:rPr/>
        <w:t>第十一节</w:t>
      </w:r>
      <w:r>
        <w:rPr>
          <w:spacing w:val="-3"/>
        </w:rPr>
        <w:t> </w:t>
      </w:r>
      <w:r>
        <w:rPr/>
        <w:t>财务报告</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138" w:right="2819"/>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78" w:lineRule="auto" w:before="58"/>
        <w:ind w:left="558" w:right="4343"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南威软件股份有限公司全体股东：</w:t>
      </w:r>
      <w:r>
        <w:rPr>
          <w:w w:val="100"/>
        </w:rPr>
        <w:t> </w:t>
      </w:r>
      <w:r>
        <w:rPr/>
        <w:t>一、审计意见</w:t>
      </w:r>
    </w:p>
    <w:p>
      <w:pPr>
        <w:pStyle w:val="BodyText"/>
        <w:spacing w:line="264" w:lineRule="auto" w:before="10"/>
        <w:ind w:left="138" w:right="208" w:firstLine="419"/>
        <w:jc w:val="both"/>
      </w:pPr>
      <w:r>
        <w:rPr/>
        <w:t>我们审计了南威软件股份有限公司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南威软件</w:t>
      </w:r>
      <w:r>
        <w:rPr>
          <w:rFonts w:ascii="Times New Roman" w:hAnsi="Times New Roman" w:cs="Times New Roman" w:eastAsia="Times New Roman" w:hint="default"/>
        </w:rPr>
        <w:t>”)</w:t>
      </w:r>
      <w:r>
        <w:rPr/>
        <w:t>财务报表，包括</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r>
        <w:rPr>
          <w:w w:val="100"/>
        </w:rPr>
        <w:t> </w:t>
      </w:r>
      <w:r>
        <w:rPr/>
        <w:t>的合并及母公司资产负债表，</w:t>
      </w:r>
      <w:r>
        <w:rPr>
          <w:rFonts w:ascii="Times New Roman" w:hAnsi="Times New Roman" w:cs="Times New Roman" w:eastAsia="Times New Roman" w:hint="default"/>
        </w:rPr>
        <w:t>2019</w:t>
      </w:r>
      <w:r>
        <w:rPr>
          <w:rFonts w:ascii="Times New Roman" w:hAnsi="Times New Roman" w:cs="Times New Roman" w:eastAsia="Times New Roman" w:hint="default"/>
          <w:spacing w:val="22"/>
        </w:rPr>
        <w:t> </w:t>
      </w:r>
      <w:r>
        <w:rPr>
          <w:spacing w:val="-3"/>
        </w:rPr>
        <w:t>年度的合并及母公司利润表、合并及母公司现金流量表、合并</w:t>
      </w:r>
      <w:r>
        <w:rPr>
          <w:spacing w:val="-96"/>
        </w:rPr>
        <w:t> </w:t>
      </w:r>
      <w:r>
        <w:rPr>
          <w:spacing w:val="-96"/>
        </w:rPr>
      </w:r>
      <w:r>
        <w:rPr/>
        <w:t>及母公司股东权益变动表以及相关财务报表附注。</w:t>
      </w:r>
    </w:p>
    <w:p>
      <w:pPr>
        <w:pStyle w:val="BodyText"/>
        <w:spacing w:line="271" w:lineRule="auto" w:before="23"/>
        <w:ind w:left="138" w:right="208" w:firstLine="419"/>
        <w:jc w:val="both"/>
      </w:pPr>
      <w:r>
        <w:rPr>
          <w:spacing w:val="-2"/>
        </w:rPr>
        <w:t>我们认为，后附的财务报表在所有重大方面按照企业会计准则的规定编制，公允反映了南威</w:t>
      </w:r>
      <w:r>
        <w:rPr>
          <w:w w:val="100"/>
        </w:rPr>
        <w:t> </w:t>
      </w:r>
      <w:r>
        <w:rPr/>
        <w:t>软件</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日的合并及母公司财务状况以及</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年度的合并及母公司经营成果和现金</w:t>
      </w:r>
      <w:r>
        <w:rPr>
          <w:w w:val="100"/>
        </w:rPr>
        <w:t> </w:t>
      </w:r>
      <w:r>
        <w:rPr/>
        <w:t>流量。</w:t>
      </w:r>
    </w:p>
    <w:p>
      <w:pPr>
        <w:pStyle w:val="BodyText"/>
        <w:spacing w:line="278" w:lineRule="auto" w:before="17"/>
        <w:ind w:left="558" w:right="0"/>
        <w:jc w:val="left"/>
      </w:pPr>
      <w:r>
        <w:rPr/>
        <w:t>二、形成审计意见的基础</w:t>
      </w:r>
      <w:r>
        <w:rPr>
          <w:w w:val="100"/>
        </w:rPr>
        <w:t> </w:t>
      </w:r>
      <w:r>
        <w:rPr>
          <w:spacing w:val="-4"/>
        </w:rPr>
        <w:t>我们按照中国注册会计师审计准则的规定执行了审计工作。审计报告的</w:t>
      </w:r>
      <w:r>
        <w:rPr>
          <w:rFonts w:ascii="Times New Roman" w:hAnsi="Times New Roman" w:cs="Times New Roman" w:eastAsia="Times New Roman" w:hint="default"/>
          <w:spacing w:val="-4"/>
        </w:rPr>
        <w:t>“</w:t>
      </w:r>
      <w:r>
        <w:rPr>
          <w:spacing w:val="-4"/>
        </w:rPr>
        <w:t>注册会计师对财务报</w:t>
      </w:r>
    </w:p>
    <w:p>
      <w:pPr>
        <w:pStyle w:val="BodyText"/>
        <w:spacing w:line="271" w:lineRule="auto"/>
        <w:ind w:left="138" w:right="0"/>
        <w:jc w:val="left"/>
      </w:pPr>
      <w:r>
        <w:rPr>
          <w:spacing w:val="-1"/>
        </w:rPr>
        <w:t>表审计的责任</w:t>
      </w:r>
      <w:r>
        <w:rPr>
          <w:rFonts w:ascii="Times New Roman" w:hAnsi="Times New Roman" w:cs="Times New Roman" w:eastAsia="Times New Roman" w:hint="default"/>
          <w:spacing w:val="-1"/>
        </w:rPr>
        <w:t>”</w:t>
      </w:r>
      <w:r>
        <w:rPr>
          <w:spacing w:val="-1"/>
        </w:rPr>
        <w:t>部分进一步阐述了我们在这些准则下的责任。按照中国注册会计师职业道德守则，</w:t>
      </w:r>
      <w:r>
        <w:rPr>
          <w:spacing w:val="-42"/>
        </w:rPr>
        <w:t> </w:t>
      </w:r>
      <w:r>
        <w:rPr>
          <w:spacing w:val="-42"/>
        </w:rPr>
      </w:r>
      <w:r>
        <w:rPr/>
        <w:t>我们独立于南威软件，并履行了职业道德方面的其他责任。我们相信，我们获取的审计证据是充</w:t>
      </w:r>
      <w:r>
        <w:rPr>
          <w:spacing w:val="-97"/>
        </w:rPr>
        <w:t> </w:t>
      </w:r>
      <w:r>
        <w:rPr>
          <w:spacing w:val="-97"/>
        </w:rPr>
      </w:r>
      <w:r>
        <w:rPr/>
        <w:t>分、适当的，为发表审计意见提供了基础。</w:t>
      </w:r>
    </w:p>
    <w:p>
      <w:pPr>
        <w:pStyle w:val="BodyText"/>
        <w:spacing w:line="278" w:lineRule="auto" w:before="19"/>
        <w:ind w:left="558" w:right="0"/>
        <w:jc w:val="left"/>
      </w:pPr>
      <w:r>
        <w:rPr/>
        <w:t>三、关键审计事项</w:t>
      </w:r>
      <w:r>
        <w:rPr>
          <w:w w:val="100"/>
        </w:rPr>
        <w:t> </w:t>
      </w:r>
      <w:r>
        <w:rPr>
          <w:spacing w:val="-2"/>
        </w:rPr>
        <w:t>关键审计事项是我们根据职业判断，认为对本期财务报表审计最为重要的事项。这些事项的</w:t>
      </w:r>
    </w:p>
    <w:p>
      <w:pPr>
        <w:pStyle w:val="BodyText"/>
        <w:spacing w:line="280" w:lineRule="auto" w:before="10"/>
        <w:ind w:left="558" w:right="0" w:hanging="420"/>
        <w:jc w:val="left"/>
      </w:pPr>
      <w:r>
        <w:rPr>
          <w:spacing w:val="-2"/>
        </w:rPr>
        <w:t>应对以对财务报表整体进行审计并形成审计意见为背景，我们不对这些事项单独发表意见。</w:t>
      </w:r>
      <w:r>
        <w:rPr>
          <w:spacing w:val="-28"/>
        </w:rPr>
        <w:t> </w:t>
      </w:r>
      <w:r>
        <w:rPr>
          <w:spacing w:val="-28"/>
        </w:rPr>
      </w:r>
      <w:r>
        <w:rPr/>
        <w:t>我们确定下列事项是需要在审计报告中沟通的关键审计事项。</w:t>
      </w:r>
    </w:p>
    <w:p>
      <w:pPr>
        <w:pStyle w:val="BodyText"/>
        <w:spacing w:line="240" w:lineRule="auto" w:before="8"/>
        <w:ind w:left="558" w:right="2819"/>
        <w:jc w:val="left"/>
      </w:pPr>
      <w:r>
        <w:rPr>
          <w:rFonts w:ascii="Times New Roman" w:hAnsi="Times New Roman" w:cs="Times New Roman" w:eastAsia="Times New Roman" w:hint="default"/>
        </w:rPr>
        <w:t>1.</w:t>
      </w:r>
      <w:r>
        <w:rPr/>
        <w:t>收入确认</w:t>
      </w:r>
    </w:p>
    <w:p>
      <w:pPr>
        <w:pStyle w:val="BodyText"/>
        <w:spacing w:line="264" w:lineRule="auto" w:before="29"/>
        <w:ind w:left="558" w:right="6994"/>
        <w:jc w:val="both"/>
      </w:pPr>
      <w:r>
        <w:rPr>
          <w:rFonts w:ascii="Times New Roman" w:hAnsi="Times New Roman" w:cs="Times New Roman" w:eastAsia="Times New Roman" w:hint="default"/>
          <w:spacing w:val="-1"/>
        </w:rPr>
        <w:t>2.</w:t>
      </w:r>
      <w:r>
        <w:rPr>
          <w:spacing w:val="-1"/>
        </w:rPr>
        <w:t>商誉的减值测试</w:t>
      </w:r>
      <w:r>
        <w:rPr>
          <w:spacing w:val="-93"/>
        </w:rPr>
        <w:t> </w:t>
      </w:r>
      <w:r>
        <w:rPr>
          <w:spacing w:val="-93"/>
        </w:rPr>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收入确认事项</w:t>
      </w:r>
      <w:r>
        <w:rPr>
          <w:w w:val="100"/>
        </w:rPr>
        <w:t> </w:t>
      </w:r>
      <w:r>
        <w:rPr>
          <w:rFonts w:ascii="Times New Roman" w:hAnsi="Times New Roman" w:cs="Times New Roman" w:eastAsia="Times New Roman" w:hint="default"/>
        </w:rPr>
        <w:t>1.</w:t>
      </w:r>
      <w:r>
        <w:rPr/>
        <w:t>事项描述</w:t>
      </w:r>
    </w:p>
    <w:p>
      <w:pPr>
        <w:pStyle w:val="BodyText"/>
        <w:spacing w:line="240" w:lineRule="auto" w:before="5"/>
        <w:ind w:left="558" w:right="0"/>
        <w:jc w:val="left"/>
        <w:rPr>
          <w:rFonts w:ascii="Times New Roman" w:hAnsi="Times New Roman" w:cs="Times New Roman" w:eastAsia="Times New Roman" w:hint="default"/>
        </w:rPr>
      </w:pPr>
      <w:r>
        <w:rPr>
          <w:w w:val="100"/>
        </w:rPr>
        <w:t>（</w:t>
      </w:r>
      <w:r>
        <w:rPr>
          <w:rFonts w:ascii="Times New Roman" w:hAnsi="Times New Roman" w:cs="Times New Roman" w:eastAsia="Times New Roman" w:hint="default"/>
          <w:spacing w:val="-3"/>
          <w:w w:val="100"/>
        </w:rPr>
        <w:t>1</w:t>
      </w:r>
      <w:r>
        <w:rPr>
          <w:spacing w:val="-87"/>
          <w:w w:val="100"/>
        </w:rPr>
        <w:t>）</w:t>
      </w:r>
      <w:r>
        <w:rPr>
          <w:w w:val="100"/>
        </w:rPr>
        <w:t>如</w:t>
      </w:r>
      <w:r>
        <w:rPr>
          <w:spacing w:val="-3"/>
          <w:w w:val="100"/>
        </w:rPr>
        <w:t>本</w:t>
      </w:r>
      <w:r>
        <w:rPr>
          <w:w w:val="100"/>
        </w:rPr>
        <w:t>节</w:t>
      </w:r>
      <w:r>
        <w:rPr>
          <w:rFonts w:ascii="Times New Roman" w:hAnsi="Times New Roman" w:cs="Times New Roman" w:eastAsia="Times New Roman" w:hint="default"/>
          <w:spacing w:val="-2"/>
          <w:w w:val="100"/>
        </w:rPr>
        <w:t>/</w:t>
      </w:r>
      <w:r>
        <w:rPr>
          <w:w w:val="100"/>
        </w:rPr>
        <w:t>七</w:t>
      </w:r>
      <w:r>
        <w:rPr>
          <w:rFonts w:ascii="Times New Roman" w:hAnsi="Times New Roman" w:cs="Times New Roman" w:eastAsia="Times New Roman" w:hint="default"/>
          <w:spacing w:val="-2"/>
          <w:w w:val="100"/>
        </w:rPr>
        <w:t>/</w:t>
      </w:r>
      <w:r>
        <w:rPr>
          <w:rFonts w:ascii="Times New Roman" w:hAnsi="Times New Roman" w:cs="Times New Roman" w:eastAsia="Times New Roman" w:hint="default"/>
          <w:w w:val="100"/>
        </w:rPr>
        <w:t>59</w:t>
      </w:r>
      <w:r>
        <w:rPr>
          <w:rFonts w:ascii="Times New Roman" w:hAnsi="Times New Roman" w:cs="Times New Roman" w:eastAsia="Times New Roman" w:hint="default"/>
          <w:spacing w:val="-3"/>
        </w:rPr>
        <w:t> </w:t>
      </w:r>
      <w:r>
        <w:rPr>
          <w:w w:val="100"/>
        </w:rPr>
        <w:t>所</w:t>
      </w:r>
      <w:r>
        <w:rPr>
          <w:spacing w:val="-3"/>
          <w:w w:val="100"/>
        </w:rPr>
        <w:t>述</w:t>
      </w:r>
      <w:r>
        <w:rPr>
          <w:spacing w:val="-89"/>
          <w:w w:val="100"/>
        </w:rPr>
        <w:t>，</w:t>
      </w:r>
      <w:r>
        <w:rPr>
          <w:spacing w:val="-3"/>
          <w:w w:val="100"/>
        </w:rPr>
        <w:t>南</w:t>
      </w:r>
      <w:r>
        <w:rPr>
          <w:w w:val="100"/>
        </w:rPr>
        <w:t>威</w:t>
      </w:r>
      <w:r>
        <w:rPr>
          <w:spacing w:val="-3"/>
          <w:w w:val="100"/>
        </w:rPr>
        <w:t>软</w:t>
      </w:r>
      <w:r>
        <w:rPr>
          <w:w w:val="100"/>
        </w:rPr>
        <w:t>件</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年</w:t>
      </w:r>
      <w:r>
        <w:rPr>
          <w:w w:val="100"/>
        </w:rPr>
        <w:t>度</w:t>
      </w:r>
      <w:r>
        <w:rPr>
          <w:spacing w:val="-3"/>
          <w:w w:val="100"/>
        </w:rPr>
        <w:t>营</w:t>
      </w:r>
      <w:r>
        <w:rPr>
          <w:w w:val="100"/>
        </w:rPr>
        <w:t>业</w:t>
      </w:r>
      <w:r>
        <w:rPr>
          <w:spacing w:val="-3"/>
          <w:w w:val="100"/>
        </w:rPr>
        <w:t>收</w:t>
      </w:r>
      <w:r>
        <w:rPr>
          <w:w w:val="100"/>
        </w:rPr>
        <w:t>入</w:t>
      </w:r>
      <w:r>
        <w:rPr>
          <w:spacing w:val="-53"/>
        </w:rPr>
        <w:t> </w:t>
      </w:r>
      <w:r>
        <w:rPr>
          <w:rFonts w:ascii="Times New Roman" w:hAnsi="Times New Roman" w:cs="Times New Roman" w:eastAsia="Times New Roman" w:hint="default"/>
          <w:w w:val="100"/>
        </w:rPr>
        <w:t>137</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925</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89</w:t>
      </w:r>
      <w:r>
        <w:rPr>
          <w:rFonts w:ascii="Times New Roman" w:hAnsi="Times New Roman" w:cs="Times New Roman" w:eastAsia="Times New Roman" w:hint="default"/>
        </w:rPr>
        <w:t> </w:t>
      </w:r>
      <w:r>
        <w:rPr>
          <w:spacing w:val="-3"/>
          <w:w w:val="100"/>
        </w:rPr>
        <w:t>万元</w:t>
      </w:r>
      <w:r>
        <w:rPr>
          <w:spacing w:val="-87"/>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spacing w:val="-2"/>
        </w:rPr>
        <w:t> </w:t>
      </w:r>
      <w:r>
        <w:rPr>
          <w:w w:val="100"/>
        </w:rPr>
        <w:t>年</w:t>
      </w:r>
      <w:r>
        <w:rPr>
          <w:spacing w:val="-3"/>
          <w:w w:val="100"/>
        </w:rPr>
        <w:t>度</w:t>
      </w:r>
      <w:r>
        <w:rPr>
          <w:w w:val="100"/>
        </w:rPr>
        <w:t>为</w:t>
      </w:r>
      <w:r>
        <w:rPr>
          <w:spacing w:val="-53"/>
        </w:rPr>
        <w:t> </w:t>
      </w:r>
      <w:r>
        <w:rPr>
          <w:rFonts w:ascii="Times New Roman" w:hAnsi="Times New Roman" w:cs="Times New Roman" w:eastAsia="Times New Roman" w:hint="default"/>
          <w:w w:val="100"/>
        </w:rPr>
        <w:t>97,</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04.</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9</w:t>
      </w:r>
    </w:p>
    <w:p>
      <w:pPr>
        <w:pStyle w:val="BodyText"/>
        <w:spacing w:line="240" w:lineRule="auto" w:before="31"/>
        <w:ind w:left="138" w:right="0"/>
        <w:jc w:val="left"/>
      </w:pPr>
      <w:r>
        <w:rPr>
          <w:spacing w:val="-2"/>
        </w:rPr>
        <w:t>万元，营业收入同比增长</w:t>
      </w:r>
      <w:r>
        <w:rPr>
          <w:spacing w:val="20"/>
        </w:rPr>
        <w:t> </w:t>
      </w:r>
      <w:r>
        <w:rPr>
          <w:rFonts w:ascii="Times New Roman" w:hAnsi="Times New Roman" w:cs="Times New Roman" w:eastAsia="Times New Roman" w:hint="default"/>
          <w:spacing w:val="-2"/>
        </w:rPr>
        <w:t>40.88%</w:t>
      </w:r>
      <w:r>
        <w:rPr>
          <w:spacing w:val="-2"/>
        </w:rPr>
        <w:t>，公司营业收入增长较大，对经营业绩影响重大；</w:t>
      </w:r>
    </w:p>
    <w:p>
      <w:pPr>
        <w:pStyle w:val="BodyText"/>
        <w:spacing w:line="264" w:lineRule="auto" w:before="28"/>
        <w:ind w:left="138" w:right="208" w:firstLine="419"/>
        <w:jc w:val="both"/>
        <w:rPr>
          <w:rFonts w:ascii="Times New Roman" w:hAnsi="Times New Roman" w:cs="Times New Roman" w:eastAsia="Times New Roman" w:hint="default"/>
        </w:rPr>
      </w:pPr>
      <w:r>
        <w:rPr>
          <w:spacing w:val="-8"/>
        </w:rPr>
        <w:t>（</w:t>
      </w:r>
      <w:r>
        <w:rPr>
          <w:rFonts w:ascii="Times New Roman" w:hAnsi="Times New Roman" w:cs="Times New Roman" w:eastAsia="Times New Roman" w:hint="default"/>
          <w:spacing w:val="-8"/>
        </w:rPr>
        <w:t>2</w:t>
      </w:r>
      <w:r>
        <w:rPr>
          <w:spacing w:val="-8"/>
        </w:rPr>
        <w:t>）如本节七</w:t>
      </w:r>
      <w:r>
        <w:rPr>
          <w:rFonts w:ascii="Times New Roman" w:hAnsi="Times New Roman" w:cs="Times New Roman" w:eastAsia="Times New Roman" w:hint="default"/>
          <w:spacing w:val="-8"/>
        </w:rPr>
        <w:t>/5</w:t>
      </w:r>
      <w:r>
        <w:rPr>
          <w:rFonts w:ascii="Times New Roman" w:hAnsi="Times New Roman" w:cs="Times New Roman" w:eastAsia="Times New Roman" w:hint="default"/>
          <w:spacing w:val="8"/>
        </w:rPr>
        <w:t> </w:t>
      </w:r>
      <w:r>
        <w:rPr/>
        <w:t>及</w:t>
      </w:r>
      <w:r>
        <w:rPr>
          <w:spacing w:val="-44"/>
        </w:rPr>
        <w:t> </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spacing w:val="-7"/>
        </w:rPr>
        <w:t>所述，应收账款期末余额为</w:t>
      </w:r>
      <w:r>
        <w:rPr>
          <w:spacing w:val="-45"/>
        </w:rPr>
        <w:t> </w:t>
      </w:r>
      <w:r>
        <w:rPr>
          <w:rFonts w:ascii="Times New Roman" w:hAnsi="Times New Roman" w:cs="Times New Roman" w:eastAsia="Times New Roman" w:hint="default"/>
        </w:rPr>
        <w:t>48,479.74</w:t>
      </w:r>
      <w:r>
        <w:rPr>
          <w:rFonts w:ascii="Times New Roman" w:hAnsi="Times New Roman" w:cs="Times New Roman" w:eastAsia="Times New Roman" w:hint="default"/>
          <w:spacing w:val="8"/>
        </w:rPr>
        <w:t> </w:t>
      </w:r>
      <w:r>
        <w:rPr>
          <w:spacing w:val="-8"/>
        </w:rPr>
        <w:t>万元，较上年同期上升</w:t>
      </w:r>
      <w:r>
        <w:rPr>
          <w:spacing w:val="-45"/>
        </w:rPr>
        <w:t> </w:t>
      </w:r>
      <w:r>
        <w:rPr>
          <w:rFonts w:ascii="Times New Roman" w:hAnsi="Times New Roman" w:cs="Times New Roman" w:eastAsia="Times New Roman" w:hint="default"/>
        </w:rPr>
        <w:t>98.95%</w:t>
      </w:r>
      <w:r>
        <w:rPr/>
        <w:t>；</w:t>
      </w:r>
      <w:r>
        <w:rPr>
          <w:w w:val="100"/>
        </w:rPr>
        <w:t> </w:t>
      </w:r>
      <w:r>
        <w:rPr/>
        <w:t>长期应收款</w:t>
      </w:r>
      <w:r>
        <w:rPr>
          <w:rFonts w:ascii="Times New Roman" w:hAnsi="Times New Roman" w:cs="Times New Roman" w:eastAsia="Times New Roman" w:hint="default"/>
        </w:rPr>
        <w:t>(</w:t>
      </w:r>
      <w:r>
        <w:rPr/>
        <w:t>含一上内到期的非流动资产</w:t>
      </w:r>
      <w:r>
        <w:rPr>
          <w:rFonts w:ascii="Times New Roman" w:hAnsi="Times New Roman" w:cs="Times New Roman" w:eastAsia="Times New Roman" w:hint="default"/>
        </w:rPr>
        <w:t>)</w:t>
      </w:r>
      <w:r>
        <w:rPr/>
        <w:t>期末余额合计</w:t>
      </w:r>
      <w:r>
        <w:rPr>
          <w:spacing w:val="-52"/>
        </w:rPr>
        <w:t> </w:t>
      </w:r>
      <w:r>
        <w:rPr>
          <w:rFonts w:ascii="Times New Roman" w:hAnsi="Times New Roman" w:cs="Times New Roman" w:eastAsia="Times New Roman" w:hint="default"/>
        </w:rPr>
        <w:t>106,104.49</w:t>
      </w:r>
      <w:r>
        <w:rPr>
          <w:rFonts w:ascii="Times New Roman" w:hAnsi="Times New Roman" w:cs="Times New Roman" w:eastAsia="Times New Roman" w:hint="default"/>
          <w:spacing w:val="1"/>
        </w:rPr>
        <w:t> </w:t>
      </w:r>
      <w:r>
        <w:rPr>
          <w:spacing w:val="-6"/>
        </w:rPr>
        <w:t>万元，较上年同期增长</w:t>
      </w:r>
      <w:r>
        <w:rPr>
          <w:spacing w:val="-51"/>
        </w:rPr>
        <w:t> </w:t>
      </w:r>
      <w:r>
        <w:rPr>
          <w:rFonts w:ascii="Times New Roman" w:hAnsi="Times New Roman" w:cs="Times New Roman" w:eastAsia="Times New Roman" w:hint="default"/>
        </w:rPr>
        <w:t>50.46%;</w:t>
      </w:r>
    </w:p>
    <w:p>
      <w:pPr>
        <w:pStyle w:val="BodyText"/>
        <w:spacing w:line="264" w:lineRule="auto" w:before="7"/>
        <w:ind w:left="558" w:right="2819"/>
        <w:jc w:val="left"/>
      </w:pPr>
      <w:r>
        <w:rPr>
          <w:spacing w:val="-2"/>
        </w:rPr>
        <w:t>（</w:t>
      </w:r>
      <w:r>
        <w:rPr>
          <w:rFonts w:ascii="Times New Roman" w:hAnsi="Times New Roman" w:cs="Times New Roman" w:eastAsia="Times New Roman" w:hint="default"/>
          <w:spacing w:val="-2"/>
        </w:rPr>
        <w:t>3</w:t>
      </w:r>
      <w:r>
        <w:rPr>
          <w:spacing w:val="-2"/>
        </w:rPr>
        <w:t>）本节五</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36</w:t>
      </w:r>
      <w:r>
        <w:rPr>
          <w:spacing w:val="-2"/>
        </w:rPr>
        <w:t>）所表述</w:t>
      </w:r>
      <w:r>
        <w:rPr>
          <w:rFonts w:ascii="Times New Roman" w:hAnsi="Times New Roman" w:cs="Times New Roman" w:eastAsia="Times New Roman" w:hint="default"/>
          <w:spacing w:val="-2"/>
        </w:rPr>
        <w:t>,</w:t>
      </w:r>
      <w:r>
        <w:rPr>
          <w:spacing w:val="-2"/>
        </w:rPr>
        <w:t>南威软件存在多种业务模式。</w:t>
      </w:r>
      <w:r>
        <w:rPr>
          <w:spacing w:val="-54"/>
        </w:rPr>
        <w:t> </w:t>
      </w:r>
      <w:r>
        <w:rPr>
          <w:spacing w:val="-54"/>
        </w:rPr>
      </w:r>
      <w:r>
        <w:rPr/>
        <w:t>综上，我们确定收入确认为关键审计事项。</w:t>
      </w:r>
    </w:p>
    <w:p>
      <w:pPr>
        <w:pStyle w:val="BodyText"/>
        <w:spacing w:line="266" w:lineRule="auto" w:before="23"/>
        <w:ind w:left="558" w:right="3282"/>
        <w:jc w:val="left"/>
      </w:pPr>
      <w:r>
        <w:rPr>
          <w:rFonts w:ascii="Times New Roman" w:hAnsi="Times New Roman" w:cs="Times New Roman" w:eastAsia="Times New Roman" w:hint="default"/>
        </w:rPr>
        <w:t>2.</w:t>
      </w:r>
      <w:r>
        <w:rPr/>
        <w:t>审计应对</w:t>
      </w:r>
      <w:r>
        <w:rPr>
          <w:spacing w:val="-103"/>
        </w:rPr>
        <w:t> </w:t>
      </w:r>
      <w:r>
        <w:rPr>
          <w:spacing w:val="-103"/>
        </w:rPr>
      </w:r>
      <w:r>
        <w:rPr>
          <w:spacing w:val="-2"/>
        </w:rPr>
        <w:t>我们对于收入确认所实施的重要审计程序包括：</w:t>
      </w:r>
    </w:p>
    <w:p>
      <w:pPr>
        <w:pStyle w:val="BodyText"/>
        <w:spacing w:line="240" w:lineRule="auto" w:before="22"/>
        <w:ind w:left="558" w:right="2819"/>
        <w:jc w:val="left"/>
      </w:pPr>
      <w:r>
        <w:rPr/>
        <w:t>（</w:t>
      </w:r>
      <w:r>
        <w:rPr>
          <w:rFonts w:ascii="Times New Roman" w:hAnsi="Times New Roman" w:cs="Times New Roman" w:eastAsia="Times New Roman" w:hint="default"/>
        </w:rPr>
        <w:t>1</w:t>
      </w:r>
      <w:r>
        <w:rPr/>
        <w:t>）了解、测试与销售及收款相关的内部控制制度；</w:t>
      </w:r>
    </w:p>
    <w:p>
      <w:pPr>
        <w:pStyle w:val="BodyText"/>
        <w:spacing w:line="240" w:lineRule="auto" w:before="28"/>
        <w:ind w:left="558" w:right="0"/>
        <w:jc w:val="left"/>
      </w:pPr>
      <w:r>
        <w:rPr/>
        <w:t>（</w:t>
      </w:r>
      <w:r>
        <w:rPr>
          <w:rFonts w:ascii="Times New Roman" w:hAnsi="Times New Roman" w:cs="Times New Roman" w:eastAsia="Times New Roman" w:hint="default"/>
        </w:rPr>
        <w:t>2</w:t>
      </w:r>
      <w:r>
        <w:rPr/>
        <w:t>）访谈了解业绩增长原因并与实际收入进行比较，检查主要项目的收入情况；</w:t>
      </w:r>
    </w:p>
    <w:p>
      <w:pPr>
        <w:pStyle w:val="BodyText"/>
        <w:spacing w:line="264" w:lineRule="auto" w:before="31"/>
        <w:ind w:left="138" w:right="208" w:firstLine="419"/>
        <w:jc w:val="both"/>
      </w:pPr>
      <w:r>
        <w:rPr>
          <w:spacing w:val="-4"/>
        </w:rPr>
        <w:t>（</w:t>
      </w:r>
      <w:r>
        <w:rPr>
          <w:rFonts w:ascii="Times New Roman" w:hAnsi="Times New Roman" w:cs="Times New Roman" w:eastAsia="Times New Roman" w:hint="default"/>
          <w:spacing w:val="-4"/>
        </w:rPr>
        <w:t>3</w:t>
      </w:r>
      <w:r>
        <w:rPr>
          <w:spacing w:val="-4"/>
        </w:rPr>
        <w:t>）区别不同的业务类型，结合具体业务的实际情况，检查相关合同的约定，评价收入确认</w:t>
      </w:r>
      <w:r>
        <w:rPr>
          <w:w w:val="100"/>
        </w:rPr>
        <w:t> </w:t>
      </w:r>
      <w:r>
        <w:rPr/>
        <w:t>是否符合企业会计准则的要求；</w:t>
      </w:r>
    </w:p>
    <w:p>
      <w:pPr>
        <w:pStyle w:val="BodyText"/>
        <w:spacing w:line="266" w:lineRule="auto" w:before="23"/>
        <w:ind w:left="138" w:right="208" w:firstLine="419"/>
        <w:jc w:val="both"/>
      </w:pPr>
      <w:r>
        <w:rPr>
          <w:spacing w:val="-4"/>
        </w:rPr>
        <w:t>（</w:t>
      </w:r>
      <w:r>
        <w:rPr>
          <w:rFonts w:ascii="Times New Roman" w:hAnsi="Times New Roman" w:cs="Times New Roman" w:eastAsia="Times New Roman" w:hint="default"/>
          <w:spacing w:val="-4"/>
        </w:rPr>
        <w:t>4</w:t>
      </w:r>
      <w:r>
        <w:rPr>
          <w:spacing w:val="-4"/>
        </w:rPr>
        <w:t>）对不同类型收入选取样本进行测，试检查项目合同，将客户的验收报告与收入确认记录</w:t>
      </w:r>
      <w:r>
        <w:rPr>
          <w:w w:val="100"/>
        </w:rPr>
        <w:t> </w:t>
      </w:r>
      <w:r>
        <w:rPr/>
        <w:t>进行核对；</w:t>
      </w:r>
    </w:p>
    <w:p>
      <w:pPr>
        <w:pStyle w:val="BodyText"/>
        <w:spacing w:line="264" w:lineRule="auto" w:before="21"/>
        <w:ind w:left="138" w:right="208" w:firstLine="419"/>
        <w:jc w:val="both"/>
      </w:pPr>
      <w:r>
        <w:rPr>
          <w:spacing w:val="-4"/>
        </w:rPr>
        <w:t>（</w:t>
      </w:r>
      <w:r>
        <w:rPr>
          <w:rFonts w:ascii="Times New Roman" w:hAnsi="Times New Roman" w:cs="Times New Roman" w:eastAsia="Times New Roman" w:hint="default"/>
          <w:spacing w:val="-4"/>
        </w:rPr>
        <w:t>5</w:t>
      </w:r>
      <w:r>
        <w:rPr>
          <w:spacing w:val="-4"/>
        </w:rPr>
        <w:t>）根据收入的发生额及应收款项的余额，挑选样本执行函证程序以确认应收账款、长期应</w:t>
      </w:r>
      <w:r>
        <w:rPr>
          <w:w w:val="100"/>
        </w:rPr>
        <w:t> </w:t>
      </w:r>
      <w:r>
        <w:rPr/>
        <w:t>收款余额及营业收入金额的真实性及准确性。</w:t>
      </w:r>
    </w:p>
    <w:p>
      <w:pPr>
        <w:pStyle w:val="BodyText"/>
        <w:spacing w:line="278" w:lineRule="auto" w:before="25"/>
        <w:ind w:left="138" w:right="210" w:firstLine="419"/>
        <w:jc w:val="both"/>
      </w:pPr>
      <w:r>
        <w:rPr>
          <w:spacing w:val="-2"/>
        </w:rPr>
        <w:t>基于已执行的审计工作，我们认为，基于获取的审计证据，我们认为，南威软件管理层对收</w:t>
      </w:r>
      <w:r>
        <w:rPr>
          <w:w w:val="100"/>
        </w:rPr>
        <w:t> </w:t>
      </w:r>
      <w:r>
        <w:rPr/>
        <w:t>入确认的列报与披露是适当的。</w:t>
      </w:r>
    </w:p>
    <w:p>
      <w:pPr>
        <w:spacing w:after="0" w:line="278" w:lineRule="auto"/>
        <w:jc w:val="both"/>
        <w:sectPr>
          <w:pgSz w:w="11910" w:h="16840"/>
          <w:pgMar w:header="852" w:footer="979" w:top="1120" w:bottom="1160" w:left="1660" w:right="1060"/>
        </w:sectPr>
      </w:pPr>
    </w:p>
    <w:p>
      <w:pPr>
        <w:spacing w:line="240" w:lineRule="auto" w:before="10"/>
        <w:rPr>
          <w:rFonts w:ascii="宋体" w:hAnsi="宋体" w:cs="宋体" w:eastAsia="宋体" w:hint="default"/>
          <w:sz w:val="28"/>
          <w:szCs w:val="28"/>
        </w:rPr>
      </w:pPr>
    </w:p>
    <w:p>
      <w:pPr>
        <w:pStyle w:val="BodyText"/>
        <w:spacing w:line="240" w:lineRule="auto" w:before="36"/>
        <w:ind w:left="558" w:right="281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商誉的减值测试</w:t>
      </w:r>
    </w:p>
    <w:p>
      <w:pPr>
        <w:pStyle w:val="BodyText"/>
        <w:spacing w:line="271" w:lineRule="auto" w:before="31"/>
        <w:ind w:left="138" w:right="207" w:firstLine="419"/>
        <w:jc w:val="both"/>
      </w:pPr>
      <w:r>
        <w:rPr/>
        <w:t>如本节</w:t>
      </w:r>
      <w:r>
        <w:rPr>
          <w:rFonts w:ascii="Times New Roman" w:hAnsi="Times New Roman" w:cs="Times New Roman" w:eastAsia="Times New Roman" w:hint="default"/>
        </w:rPr>
        <w:t>/</w:t>
      </w:r>
      <w:r>
        <w:rPr/>
        <w:t>七</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t>所列示，截至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日，南威软件商誉的账面价值合计</w:t>
      </w:r>
      <w:r>
        <w:rPr>
          <w:spacing w:val="-47"/>
        </w:rPr>
        <w:t> </w:t>
      </w:r>
      <w:r>
        <w:rPr>
          <w:rFonts w:ascii="Times New Roman" w:hAnsi="Times New Roman" w:cs="Times New Roman" w:eastAsia="Times New Roman" w:hint="default"/>
        </w:rPr>
        <w:t>17,855.05</w:t>
      </w:r>
      <w:r>
        <w:rPr>
          <w:rFonts w:ascii="Times New Roman" w:hAnsi="Times New Roman" w:cs="Times New Roman" w:eastAsia="Times New Roman" w:hint="default"/>
          <w:spacing w:val="5"/>
        </w:rPr>
        <w:t> </w:t>
      </w:r>
      <w:r>
        <w:rPr/>
        <w:t>万</w:t>
      </w:r>
      <w:r>
        <w:rPr>
          <w:w w:val="100"/>
        </w:rPr>
        <w:t> </w:t>
      </w:r>
      <w:r>
        <w:rPr>
          <w:spacing w:val="-1"/>
        </w:rPr>
        <w:t>元。在对包含商誉的相关资产组或者资产组组合进行减值测试时，公司估计相关资产组或者资产</w:t>
      </w:r>
      <w:r>
        <w:rPr>
          <w:spacing w:val="-55"/>
        </w:rPr>
        <w:t> </w:t>
      </w:r>
      <w:r>
        <w:rPr>
          <w:spacing w:val="-55"/>
        </w:rPr>
      </w:r>
      <w:r>
        <w:rPr>
          <w:spacing w:val="-1"/>
        </w:rPr>
        <w:t>组组合未来的现金流入以及确定合适的折现率去计算现值。若相关资产组的现金流量现值低于其</w:t>
      </w:r>
      <w:r>
        <w:rPr>
          <w:spacing w:val="-55"/>
        </w:rPr>
        <w:t> </w:t>
      </w:r>
      <w:r>
        <w:rPr>
          <w:spacing w:val="-55"/>
        </w:rPr>
      </w:r>
      <w:r>
        <w:rPr/>
        <w:t>账面价值的，确认商誉的减值损失。由于商誉金额占比公司合并资产总额的</w:t>
      </w:r>
      <w:r>
        <w:rPr>
          <w:spacing w:val="-12"/>
        </w:rPr>
        <w:t> </w:t>
      </w:r>
      <w:r>
        <w:rPr>
          <w:rFonts w:ascii="Times New Roman" w:hAnsi="Times New Roman" w:cs="Times New Roman" w:eastAsia="Times New Roman" w:hint="default"/>
        </w:rPr>
        <w:t>4.68%</w:t>
      </w:r>
      <w:r>
        <w:rPr/>
        <w:t>，相关减值评</w:t>
      </w:r>
      <w:r>
        <w:rPr>
          <w:w w:val="100"/>
        </w:rPr>
        <w:t> </w:t>
      </w:r>
      <w:r>
        <w:rPr/>
        <w:t>估与测试需要管理层作出重大判断，因此我们将该类资产的减值评估确认为重要审计领域。</w:t>
      </w:r>
    </w:p>
    <w:p>
      <w:pPr>
        <w:pStyle w:val="BodyText"/>
        <w:spacing w:line="266" w:lineRule="auto" w:before="17"/>
        <w:ind w:left="558" w:right="2819"/>
        <w:jc w:val="left"/>
      </w:pPr>
      <w:r>
        <w:rPr>
          <w:rFonts w:ascii="Times New Roman" w:hAnsi="Times New Roman" w:cs="Times New Roman" w:eastAsia="Times New Roman" w:hint="default"/>
        </w:rPr>
        <w:t>1.</w:t>
      </w:r>
      <w:r>
        <w:rPr/>
        <w:t>审计应对</w:t>
      </w:r>
      <w:r>
        <w:rPr>
          <w:spacing w:val="-103"/>
        </w:rPr>
        <w:t> </w:t>
      </w:r>
      <w:r>
        <w:rPr>
          <w:spacing w:val="-103"/>
        </w:rPr>
      </w:r>
      <w:r>
        <w:rPr>
          <w:spacing w:val="-2"/>
        </w:rPr>
        <w:t>我们对于商誉的减值测试所实施的重要审计程序包括：</w:t>
      </w:r>
    </w:p>
    <w:p>
      <w:pPr>
        <w:pStyle w:val="BodyText"/>
        <w:spacing w:line="264" w:lineRule="auto" w:before="21"/>
        <w:ind w:left="138" w:right="208" w:firstLine="419"/>
        <w:jc w:val="both"/>
      </w:pPr>
      <w:r>
        <w:rPr>
          <w:spacing w:val="-4"/>
        </w:rPr>
        <w:t>（</w:t>
      </w:r>
      <w:r>
        <w:rPr>
          <w:rFonts w:ascii="Times New Roman" w:hAnsi="Times New Roman" w:cs="Times New Roman" w:eastAsia="Times New Roman" w:hint="default"/>
          <w:spacing w:val="-4"/>
        </w:rPr>
        <w:t>1</w:t>
      </w:r>
      <w:r>
        <w:rPr>
          <w:spacing w:val="-4"/>
        </w:rPr>
        <w:t>）了解南威软件商誉减值测试的控制程序，包括了解公司划分的资产组及公司对资产组价</w:t>
      </w:r>
      <w:r>
        <w:rPr>
          <w:w w:val="100"/>
        </w:rPr>
        <w:t> </w:t>
      </w:r>
      <w:r>
        <w:rPr/>
        <w:t>值的判定；</w:t>
      </w:r>
    </w:p>
    <w:p>
      <w:pPr>
        <w:pStyle w:val="BodyText"/>
        <w:spacing w:line="240" w:lineRule="auto" w:before="25"/>
        <w:ind w:left="558" w:right="0"/>
        <w:jc w:val="left"/>
      </w:pPr>
      <w:r>
        <w:rPr/>
        <w:t>（</w:t>
      </w:r>
      <w:r>
        <w:rPr>
          <w:rFonts w:ascii="Times New Roman" w:hAnsi="Times New Roman" w:cs="Times New Roman" w:eastAsia="Times New Roman" w:hint="default"/>
        </w:rPr>
        <w:t>2</w:t>
      </w:r>
      <w:r>
        <w:rPr/>
        <w:t>）了解并评价南威软件管理层聘用的外部评估专家的胜任能力、专业素质和客观性；</w:t>
      </w:r>
    </w:p>
    <w:p>
      <w:pPr>
        <w:pStyle w:val="BodyText"/>
        <w:spacing w:line="264" w:lineRule="auto" w:before="29"/>
        <w:ind w:left="138" w:right="0" w:firstLine="419"/>
        <w:jc w:val="left"/>
      </w:pPr>
      <w:r>
        <w:rPr>
          <w:spacing w:val="-1"/>
        </w:rPr>
        <w:t>（</w:t>
      </w:r>
      <w:r>
        <w:rPr>
          <w:rFonts w:ascii="Times New Roman" w:hAnsi="Times New Roman" w:cs="Times New Roman" w:eastAsia="Times New Roman" w:hint="default"/>
          <w:spacing w:val="-1"/>
        </w:rPr>
        <w:t>3</w:t>
      </w:r>
      <w:r>
        <w:rPr>
          <w:spacing w:val="-1"/>
        </w:rPr>
        <w:t>）评估南威软件管理层进行减值测试时所用的主要输入数据，包括营业收入、营业成本、</w:t>
      </w:r>
      <w:r>
        <w:rPr>
          <w:w w:val="100"/>
        </w:rPr>
        <w:t> </w:t>
      </w:r>
      <w:r>
        <w:rPr/>
        <w:t>资本性支出、增长率及折现率等，分析是否存在重大差异；</w:t>
      </w:r>
    </w:p>
    <w:p>
      <w:pPr>
        <w:pStyle w:val="BodyText"/>
        <w:spacing w:line="264" w:lineRule="auto" w:before="25"/>
        <w:ind w:left="558" w:right="0"/>
        <w:jc w:val="left"/>
      </w:pPr>
      <w:r>
        <w:rPr/>
        <w:t>（</w:t>
      </w:r>
      <w:r>
        <w:rPr>
          <w:rFonts w:ascii="Times New Roman" w:hAnsi="Times New Roman" w:cs="Times New Roman" w:eastAsia="Times New Roman" w:hint="default"/>
        </w:rPr>
        <w:t>4</w:t>
      </w:r>
      <w:r>
        <w:rPr/>
        <w:t>）评价商誉减值测试的评估方法是否合理。</w:t>
      </w:r>
      <w:r>
        <w:rPr>
          <w:w w:val="100"/>
        </w:rPr>
        <w:t> </w:t>
      </w:r>
      <w:r>
        <w:rPr>
          <w:spacing w:val="-2"/>
        </w:rPr>
        <w:t>基于已执行的审计工作，我们认为，南威软件管理层在商誉减值测试中采用的假设和方法是</w:t>
      </w:r>
    </w:p>
    <w:p>
      <w:pPr>
        <w:pStyle w:val="BodyText"/>
        <w:spacing w:line="280" w:lineRule="auto" w:before="23"/>
        <w:ind w:left="558" w:right="4705" w:hanging="420"/>
        <w:jc w:val="left"/>
      </w:pPr>
      <w:r>
        <w:rPr>
          <w:spacing w:val="-2"/>
        </w:rPr>
        <w:t>可接受的、公司商誉不存在减值。</w:t>
      </w:r>
      <w:r>
        <w:rPr>
          <w:spacing w:val="-75"/>
        </w:rPr>
        <w:t> </w:t>
      </w:r>
      <w:r>
        <w:rPr>
          <w:spacing w:val="-75"/>
        </w:rPr>
      </w:r>
      <w:r>
        <w:rPr/>
        <w:t>四、其他信息</w:t>
      </w:r>
    </w:p>
    <w:p>
      <w:pPr>
        <w:pStyle w:val="BodyText"/>
        <w:spacing w:line="264" w:lineRule="auto" w:before="8"/>
        <w:ind w:left="138" w:right="210" w:firstLine="419"/>
        <w:jc w:val="both"/>
      </w:pPr>
      <w:r>
        <w:rPr>
          <w:spacing w:val="-4"/>
        </w:rPr>
        <w:t>南威软件管理层对其他信息负责。其他信息包括南威软件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spacing w:val="-6"/>
        </w:rPr>
        <w:t>年年度报告中涵盖的信息，但</w:t>
      </w:r>
      <w:r>
        <w:rPr>
          <w:w w:val="100"/>
        </w:rPr>
        <w:t> </w:t>
      </w:r>
      <w:r>
        <w:rPr/>
        <w:t>不包括财务报表和我们的审计报告。</w:t>
      </w:r>
    </w:p>
    <w:p>
      <w:pPr>
        <w:pStyle w:val="BodyText"/>
        <w:spacing w:line="278" w:lineRule="auto" w:before="25"/>
        <w:ind w:left="138" w:right="210" w:firstLine="419"/>
        <w:jc w:val="both"/>
      </w:pPr>
      <w:r>
        <w:rPr>
          <w:spacing w:val="-2"/>
        </w:rPr>
        <w:t>我们对财务报表发表的审计意见不涵盖其他信息，我们也不对其他信息发表任何形式的鉴证</w:t>
      </w:r>
      <w:r>
        <w:rPr>
          <w:w w:val="100"/>
        </w:rPr>
        <w:t> </w:t>
      </w:r>
      <w:r>
        <w:rPr/>
        <w:t>结论。</w:t>
      </w:r>
    </w:p>
    <w:p>
      <w:pPr>
        <w:pStyle w:val="BodyText"/>
        <w:spacing w:line="280" w:lineRule="auto" w:before="10"/>
        <w:ind w:left="138" w:right="210" w:firstLine="419"/>
        <w:jc w:val="both"/>
      </w:pPr>
      <w:r>
        <w:rPr>
          <w:spacing w:val="-2"/>
        </w:rPr>
        <w:t>结合我们对财务报表的审计，我们的责任是阅读其他信息，在此过程中，考虑其他信息是否</w:t>
      </w:r>
      <w:r>
        <w:rPr>
          <w:w w:val="100"/>
        </w:rPr>
        <w:t> </w:t>
      </w:r>
      <w:r>
        <w:rPr/>
        <w:t>与财务报表或我们在审计过程中了解的情况存在重大不一致或者似乎存在重大错报。</w:t>
      </w:r>
    </w:p>
    <w:p>
      <w:pPr>
        <w:pStyle w:val="BodyText"/>
        <w:spacing w:line="278" w:lineRule="auto" w:before="8"/>
        <w:ind w:left="138" w:right="210" w:firstLine="419"/>
        <w:jc w:val="both"/>
      </w:pPr>
      <w:r>
        <w:rPr>
          <w:spacing w:val="-2"/>
        </w:rPr>
        <w:t>基于我们已执行的工作，如果我们确定其他信息存在重大错报，我们应当报告该事实。在这</w:t>
      </w:r>
      <w:r>
        <w:rPr>
          <w:w w:val="100"/>
        </w:rPr>
        <w:t> </w:t>
      </w:r>
      <w:r>
        <w:rPr/>
        <w:t>方面，我们无任何事项需要报告。</w:t>
      </w:r>
    </w:p>
    <w:p>
      <w:pPr>
        <w:pStyle w:val="BodyText"/>
        <w:spacing w:line="278" w:lineRule="auto" w:before="13"/>
        <w:ind w:left="558" w:right="0"/>
        <w:jc w:val="left"/>
      </w:pPr>
      <w:r>
        <w:rPr/>
        <w:t>五、管理层和治理层对财务报表的责任</w:t>
      </w:r>
      <w:r>
        <w:rPr>
          <w:w w:val="100"/>
        </w:rPr>
        <w:t> </w:t>
      </w:r>
      <w:r>
        <w:rPr>
          <w:spacing w:val="-2"/>
        </w:rPr>
        <w:t>南威软件管理层负责按照企业会计准则的规定编制财务报表，使其实现公允反映，并设计、</w:t>
      </w:r>
    </w:p>
    <w:p>
      <w:pPr>
        <w:pStyle w:val="BodyText"/>
        <w:spacing w:line="280" w:lineRule="auto" w:before="10"/>
        <w:ind w:left="558" w:right="0" w:hanging="420"/>
        <w:jc w:val="left"/>
      </w:pPr>
      <w:r>
        <w:rPr/>
        <w:t>执行和维护必要的内部控制，以使财务报表不存在由于舞弊或错误导致的重大错报。</w:t>
      </w:r>
      <w:r>
        <w:rPr>
          <w:w w:val="100"/>
        </w:rPr>
        <w:t> </w:t>
      </w:r>
      <w:r>
        <w:rPr>
          <w:spacing w:val="-2"/>
        </w:rPr>
        <w:t>在编制财务报表时，南威软件管理层负责评估南威软件的持续经营能力，披露与持续经营相</w:t>
      </w:r>
    </w:p>
    <w:p>
      <w:pPr>
        <w:pStyle w:val="BodyText"/>
        <w:spacing w:line="278" w:lineRule="auto" w:before="8"/>
        <w:ind w:left="138" w:right="0"/>
        <w:jc w:val="left"/>
      </w:pPr>
      <w:r>
        <w:rPr>
          <w:spacing w:val="-1"/>
        </w:rPr>
        <w:t>关的事项（如适用），并运用持续经营假设，除非管理层计划清算南威软件、终止运营或别无其</w:t>
      </w:r>
      <w:r>
        <w:rPr>
          <w:spacing w:val="-55"/>
        </w:rPr>
        <w:t> </w:t>
      </w:r>
      <w:r>
        <w:rPr>
          <w:spacing w:val="-55"/>
        </w:rPr>
      </w:r>
      <w:r>
        <w:rPr/>
        <w:t>他现实的选择。</w:t>
      </w:r>
    </w:p>
    <w:p>
      <w:pPr>
        <w:pStyle w:val="BodyText"/>
        <w:spacing w:line="278" w:lineRule="auto" w:before="13"/>
        <w:ind w:left="558" w:right="2819"/>
        <w:jc w:val="left"/>
      </w:pPr>
      <w:r>
        <w:rPr>
          <w:spacing w:val="-2"/>
        </w:rPr>
        <w:t>治理层负责监督南威软件的财务报告过程。</w:t>
      </w:r>
      <w:r>
        <w:rPr>
          <w:spacing w:val="-70"/>
        </w:rPr>
        <w:t> </w:t>
      </w:r>
      <w:r>
        <w:rPr>
          <w:spacing w:val="-70"/>
        </w:rPr>
      </w:r>
      <w:r>
        <w:rPr/>
        <w:t>六、注册会计师对财务报表审计的责任</w:t>
      </w:r>
    </w:p>
    <w:p>
      <w:pPr>
        <w:pStyle w:val="BodyText"/>
        <w:spacing w:line="278" w:lineRule="auto" w:before="11"/>
        <w:ind w:left="138" w:right="208" w:firstLine="419"/>
        <w:jc w:val="both"/>
      </w:pPr>
      <w:r>
        <w:rPr>
          <w:spacing w:val="-2"/>
        </w:rPr>
        <w:t>我们的目标是对财务报表整体是否不存在由于舞弊或错误导致的重大错报获取合理保证，并</w:t>
      </w:r>
      <w:r>
        <w:rPr>
          <w:w w:val="100"/>
        </w:rPr>
        <w:t> </w:t>
      </w: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p>
    <w:p>
      <w:pPr>
        <w:pStyle w:val="BodyText"/>
        <w:spacing w:line="278" w:lineRule="auto" w:before="13"/>
        <w:ind w:left="138" w:right="210"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273" w:lineRule="auto" w:before="10"/>
        <w:ind w:left="138" w:right="207" w:firstLine="419"/>
        <w:jc w:val="both"/>
      </w:pPr>
      <w:r>
        <w:rPr>
          <w:rFonts w:ascii="Times New Roman" w:hAnsi="Times New Roman" w:cs="Times New Roman" w:eastAsia="Times New Roman" w:hint="default"/>
          <w:spacing w:val="-4"/>
        </w:rPr>
        <w:t>1</w:t>
      </w:r>
      <w:r>
        <w:rPr>
          <w:spacing w:val="-4"/>
        </w:rPr>
        <w:t>．识别和评估由于舞弊或错误导致的财务报表重大错报风险，设计和实施审计程序以应对这</w:t>
      </w:r>
      <w:r>
        <w:rPr>
          <w:w w:val="100"/>
        </w:rPr>
        <w:t> </w:t>
      </w:r>
      <w:r>
        <w:rPr>
          <w:spacing w:val="-1"/>
        </w:rPr>
        <w:t>些风险，并获取充分、适当的审计证据，作为发表审计意见的基础。由于舞弊可能涉及串通、伪</w:t>
      </w:r>
      <w:r>
        <w:rPr>
          <w:spacing w:val="-55"/>
        </w:rPr>
        <w:t> </w:t>
      </w:r>
      <w:r>
        <w:rPr>
          <w:spacing w:val="-55"/>
        </w:rPr>
      </w:r>
      <w:r>
        <w:rPr>
          <w:spacing w:val="-1"/>
        </w:rPr>
        <w:t>造、故意遗漏、虚假陈述或凌驾于内部控制之上，未能发现由于舞弊导致的重大错报的风险高于</w:t>
      </w:r>
      <w:r>
        <w:rPr>
          <w:spacing w:val="-55"/>
        </w:rPr>
        <w:t> </w:t>
      </w:r>
      <w:r>
        <w:rPr>
          <w:spacing w:val="-55"/>
        </w:rPr>
      </w:r>
      <w:r>
        <w:rPr/>
        <w:t>未能发现由于错误导致的重大错报的风险。</w:t>
      </w:r>
    </w:p>
    <w:p>
      <w:pPr>
        <w:spacing w:after="0" w:line="273" w:lineRule="auto"/>
        <w:jc w:val="both"/>
        <w:sectPr>
          <w:pgSz w:w="11910" w:h="16840"/>
          <w:pgMar w:header="852" w:footer="979" w:top="1120" w:bottom="1160" w:left="1660" w:right="1060"/>
        </w:sectPr>
      </w:pPr>
    </w:p>
    <w:p>
      <w:pPr>
        <w:spacing w:line="240" w:lineRule="auto" w:before="10"/>
        <w:rPr>
          <w:rFonts w:ascii="宋体" w:hAnsi="宋体" w:cs="宋体" w:eastAsia="宋体" w:hint="default"/>
          <w:sz w:val="28"/>
          <w:szCs w:val="28"/>
        </w:rPr>
      </w:pPr>
    </w:p>
    <w:p>
      <w:pPr>
        <w:pStyle w:val="BodyText"/>
        <w:spacing w:line="240" w:lineRule="auto" w:before="36"/>
        <w:ind w:left="638" w:right="0"/>
        <w:jc w:val="left"/>
      </w:pP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31"/>
        <w:ind w:left="638" w:right="0"/>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76" w:lineRule="auto" w:before="28"/>
        <w:ind w:right="228" w:firstLine="419"/>
        <w:jc w:val="both"/>
      </w:pPr>
      <w:r>
        <w:rPr>
          <w:rFonts w:ascii="Times New Roman" w:hAnsi="Times New Roman" w:cs="Times New Roman" w:eastAsia="Times New Roman" w:hint="default"/>
          <w:spacing w:val="-4"/>
        </w:rPr>
        <w:t>4</w:t>
      </w:r>
      <w:r>
        <w:rPr>
          <w:spacing w:val="-4"/>
        </w:rPr>
        <w:t>．对管理层使用持续经营假设的恰当性得出结论。同时，根据获取的审计证据，就可能导致</w:t>
      </w:r>
      <w:r>
        <w:rPr>
          <w:w w:val="100"/>
        </w:rPr>
        <w:t> </w:t>
      </w:r>
      <w:r>
        <w:rPr>
          <w:spacing w:val="-1"/>
        </w:rPr>
        <w:t>对南威软件持续经营能力产生重大疑虑的事项或情况是否存在重大不确定性得出结论。如果我们</w:t>
      </w:r>
      <w:r>
        <w:rPr>
          <w:spacing w:val="-55"/>
        </w:rPr>
        <w:t> </w:t>
      </w:r>
      <w:r>
        <w:rPr>
          <w:spacing w:val="-55"/>
        </w:rPr>
      </w:r>
      <w:r>
        <w:rPr>
          <w:spacing w:val="-1"/>
        </w:rPr>
        <w:t>得出结论认为存在重大不确定性，审计准则要求我们在审计报告中提请报告使用者注意财务报表</w:t>
      </w:r>
      <w:r>
        <w:rPr>
          <w:spacing w:val="-55"/>
        </w:rPr>
        <w:t> </w:t>
      </w:r>
      <w:r>
        <w:rPr>
          <w:spacing w:val="-55"/>
        </w:rPr>
      </w:r>
      <w:r>
        <w:rPr>
          <w:spacing w:val="-1"/>
        </w:rPr>
        <w:t>中的相关披露；如果披露不充分，我们应当发表非无保留意见。我们的结论基于截至审计报告日</w:t>
      </w:r>
      <w:r>
        <w:rPr>
          <w:spacing w:val="-55"/>
        </w:rPr>
        <w:t> </w:t>
      </w:r>
      <w:r>
        <w:rPr>
          <w:spacing w:val="-55"/>
        </w:rPr>
      </w:r>
      <w:r>
        <w:rPr/>
        <w:t>可获得的信息。然而，未来的事项或情况可能导致南威软件不能持续经营。</w:t>
      </w:r>
    </w:p>
    <w:p>
      <w:pPr>
        <w:pStyle w:val="BodyText"/>
        <w:spacing w:line="240" w:lineRule="auto" w:before="15"/>
        <w:ind w:left="638" w:right="0"/>
        <w:jc w:val="left"/>
      </w:pP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BodyText"/>
        <w:spacing w:line="264" w:lineRule="auto" w:before="28"/>
        <w:ind w:right="228" w:firstLine="419"/>
        <w:jc w:val="both"/>
      </w:pPr>
      <w:r>
        <w:rPr>
          <w:rFonts w:ascii="Times New Roman" w:hAnsi="Times New Roman" w:cs="Times New Roman" w:eastAsia="Times New Roman" w:hint="default"/>
          <w:spacing w:val="-4"/>
        </w:rPr>
        <w:t>6</w:t>
      </w:r>
      <w:r>
        <w:rPr>
          <w:spacing w:val="-4"/>
        </w:rPr>
        <w:t>．就南威软件中实体或业务活动的财务信息获取充分、适当的审计证据，以对财务报表发表</w:t>
      </w:r>
      <w:r>
        <w:rPr>
          <w:w w:val="100"/>
        </w:rPr>
        <w:t> </w:t>
      </w:r>
      <w:r>
        <w:rPr/>
        <w:t>意见。我们负责指导、监督和执行集团审计。我们对审计意见承担全部责任。</w:t>
      </w:r>
    </w:p>
    <w:p>
      <w:pPr>
        <w:pStyle w:val="BodyText"/>
        <w:spacing w:line="264" w:lineRule="auto" w:before="25"/>
        <w:ind w:right="228" w:firstLine="419"/>
        <w:jc w:val="both"/>
      </w:pPr>
      <w:r>
        <w:rPr>
          <w:rFonts w:ascii="Times New Roman" w:hAnsi="Times New Roman" w:cs="Times New Roman" w:eastAsia="Times New Roman" w:hint="default"/>
          <w:spacing w:val="-4"/>
        </w:rPr>
        <w:t>7</w:t>
      </w:r>
      <w:r>
        <w:rPr>
          <w:spacing w:val="-4"/>
        </w:rPr>
        <w:t>．我们与治理层就计划的审计范围、时间安排和重大审计发现等事项进行沟通，包括沟通我</w:t>
      </w:r>
      <w:r>
        <w:rPr>
          <w:w w:val="100"/>
        </w:rPr>
        <w:t> </w:t>
      </w:r>
      <w:r>
        <w:rPr/>
        <w:t>们在审计中识别出的值得关注的内部控制缺陷。</w:t>
      </w:r>
    </w:p>
    <w:p>
      <w:pPr>
        <w:pStyle w:val="BodyText"/>
        <w:spacing w:line="266" w:lineRule="auto" w:before="23"/>
        <w:ind w:right="228" w:firstLine="419"/>
        <w:jc w:val="both"/>
      </w:pPr>
      <w:r>
        <w:rPr>
          <w:rFonts w:ascii="Times New Roman" w:hAnsi="Times New Roman" w:cs="Times New Roman" w:eastAsia="Times New Roman" w:hint="default"/>
          <w:spacing w:val="-4"/>
        </w:rPr>
        <w:t>8</w:t>
      </w:r>
      <w:r>
        <w:rPr>
          <w:spacing w:val="-4"/>
        </w:rPr>
        <w:t>．我们还就已遵守与独立性相关的职业道德要求向治理层提供声明，并与治理层沟通可能被</w:t>
      </w:r>
      <w:r>
        <w:rPr>
          <w:w w:val="100"/>
        </w:rPr>
        <w:t> </w:t>
      </w:r>
      <w:r>
        <w:rPr/>
        <w:t>合理认为影响我们独立性的所有关系和其他事项，以及相关的防范措施（如适用）。</w:t>
      </w:r>
    </w:p>
    <w:p>
      <w:pPr>
        <w:pStyle w:val="BodyText"/>
        <w:spacing w:line="273" w:lineRule="auto" w:before="21"/>
        <w:ind w:right="228" w:firstLine="419"/>
        <w:jc w:val="both"/>
      </w:pPr>
      <w:r>
        <w:rPr>
          <w:rFonts w:ascii="Times New Roman" w:hAnsi="Times New Roman" w:cs="Times New Roman" w:eastAsia="Times New Roman" w:hint="default"/>
          <w:spacing w:val="-4"/>
        </w:rPr>
        <w:t>9</w:t>
      </w:r>
      <w:r>
        <w:rPr>
          <w:spacing w:val="-4"/>
        </w:rPr>
        <w:t>．从与治理层沟通过的事项中，我们确定哪些事项对本期财务报表审计最为重要，因而构成</w:t>
      </w:r>
      <w:r>
        <w:rPr>
          <w:w w:val="100"/>
        </w:rPr>
        <w:t> </w:t>
      </w:r>
      <w:r>
        <w:rPr>
          <w:spacing w:val="-1"/>
        </w:rPr>
        <w:t>关键审计事项。我们在审计报告中描述这些事项，除非法律法规禁止公开披露这些事项，或在极</w:t>
      </w:r>
      <w:r>
        <w:rPr>
          <w:spacing w:val="-55"/>
        </w:rPr>
        <w:t> </w:t>
      </w:r>
      <w:r>
        <w:rPr>
          <w:spacing w:val="-55"/>
        </w:rPr>
      </w:r>
      <w:r>
        <w:rPr>
          <w:spacing w:val="-1"/>
        </w:rPr>
        <w:t>少数情形下，如果合理预期在审计报告中沟通某事项造成的负面后果超过在公众利益方面产生的</w:t>
      </w:r>
      <w:r>
        <w:rPr>
          <w:spacing w:val="-55"/>
        </w:rPr>
        <w:t> </w:t>
      </w:r>
      <w:r>
        <w:rPr>
          <w:spacing w:val="-55"/>
        </w:rPr>
      </w:r>
      <w:r>
        <w:rPr/>
        <w:t>益处，我们确定不应在审计报告中沟通该事项。</w:t>
      </w:r>
    </w:p>
    <w:p>
      <w:pPr>
        <w:pStyle w:val="BodyText"/>
        <w:spacing w:line="240" w:lineRule="auto" w:before="15"/>
        <w:ind w:left="638" w:right="0"/>
        <w:jc w:val="left"/>
        <w:rPr>
          <w:rFonts w:ascii="宋体" w:hAnsi="宋体" w:cs="宋体" w:eastAsia="宋体" w:hint="default"/>
        </w:rPr>
      </w:pPr>
      <w:r>
        <w:rPr>
          <w:rFonts w:ascii="宋体"/>
          <w:w w:val="100"/>
        </w:rPr>
        <w:t> </w:t>
      </w:r>
    </w:p>
    <w:p>
      <w:pPr>
        <w:pStyle w:val="BodyText"/>
        <w:spacing w:line="278" w:lineRule="auto" w:before="46"/>
        <w:ind w:left="1478" w:right="1851" w:hanging="840"/>
        <w:jc w:val="left"/>
        <w:rPr>
          <w:rFonts w:ascii="宋体" w:hAnsi="宋体" w:cs="宋体" w:eastAsia="宋体" w:hint="default"/>
        </w:rPr>
      </w:pPr>
      <w:r>
        <w:rPr/>
        <w:t>大华会计师事务所</w:t>
      </w:r>
      <w:r>
        <w:rPr>
          <w:rFonts w:ascii="宋体" w:hAnsi="宋体" w:cs="宋体" w:eastAsia="宋体" w:hint="default"/>
        </w:rPr>
        <w:t>(</w:t>
      </w:r>
      <w:r>
        <w:rPr/>
        <w:t>特殊普通合伙</w:t>
      </w:r>
      <w:r>
        <w:rPr>
          <w:rFonts w:ascii="宋体" w:hAnsi="宋体" w:cs="宋体" w:eastAsia="宋体" w:hint="default"/>
        </w:rPr>
        <w:t>)       </w:t>
      </w:r>
      <w:r>
        <w:rPr>
          <w:rFonts w:ascii="宋体" w:hAnsi="宋体" w:cs="宋体" w:eastAsia="宋体" w:hint="default"/>
          <w:spacing w:val="97"/>
        </w:rPr>
        <w:t> </w:t>
      </w:r>
      <w:r>
        <w:rPr/>
        <w:t>中国注册会计师：</w:t>
      </w:r>
      <w:r>
        <w:rPr>
          <w:rFonts w:ascii="宋体" w:hAnsi="宋体" w:cs="宋体" w:eastAsia="宋体" w:hint="default"/>
          <w:w w:val="100"/>
        </w:rPr>
        <w:t> </w:t>
      </w:r>
      <w:r>
        <w:rPr/>
        <w:t>中国·北京                            </w:t>
      </w:r>
      <w:r>
        <w:rPr>
          <w:spacing w:val="98"/>
        </w:rPr>
        <w:t> </w:t>
      </w:r>
      <w:r>
        <w:rPr>
          <w:rFonts w:ascii="宋体" w:hAnsi="宋体" w:cs="宋体" w:eastAsia="宋体" w:hint="default"/>
          <w:spacing w:val="98"/>
        </w:rPr>
      </w:r>
      <w:r>
        <w:rPr/>
        <w:t>（项目合伙人）</w:t>
      </w:r>
      <w:r>
        <w:rPr>
          <w:rFonts w:ascii="宋体" w:hAnsi="宋体" w:cs="宋体" w:eastAsia="宋体" w:hint="default"/>
        </w:rPr>
        <w:t> </w:t>
      </w:r>
    </w:p>
    <w:p>
      <w:pPr>
        <w:pStyle w:val="BodyText"/>
        <w:spacing w:line="240" w:lineRule="auto" w:before="10"/>
        <w:ind w:left="638" w:right="0"/>
        <w:jc w:val="left"/>
        <w:rPr>
          <w:rFonts w:ascii="宋体" w:hAnsi="宋体" w:cs="宋体" w:eastAsia="宋体" w:hint="default"/>
        </w:rPr>
      </w:pPr>
      <w:r>
        <w:rPr>
          <w:rFonts w:ascii="宋体"/>
          <w:w w:val="100"/>
        </w:rPr>
        <w:t> </w:t>
      </w:r>
    </w:p>
    <w:p>
      <w:pPr>
        <w:pStyle w:val="BodyText"/>
        <w:spacing w:line="240" w:lineRule="auto" w:before="47"/>
        <w:ind w:left="6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t>中国注册会计师：</w:t>
      </w:r>
      <w:r>
        <w:rPr>
          <w:rFonts w:ascii="宋体" w:hAnsi="宋体" w:cs="宋体" w:eastAsia="宋体" w:hint="default"/>
        </w:rPr>
        <w:t> </w:t>
      </w:r>
    </w:p>
    <w:p>
      <w:pPr>
        <w:pStyle w:val="BodyText"/>
        <w:spacing w:line="240" w:lineRule="auto" w:before="44"/>
        <w:ind w:left="638" w:right="0"/>
        <w:jc w:val="left"/>
        <w:rPr>
          <w:rFonts w:ascii="宋体" w:hAnsi="宋体" w:cs="宋体" w:eastAsia="宋体" w:hint="default"/>
        </w:rPr>
      </w:pPr>
      <w:r>
        <w:rPr>
          <w:rFonts w:ascii="宋体"/>
          <w:w w:val="100"/>
        </w:rPr>
        <w:t> </w:t>
      </w:r>
    </w:p>
    <w:p>
      <w:pPr>
        <w:pStyle w:val="BodyText"/>
        <w:spacing w:line="240" w:lineRule="auto" w:before="44"/>
        <w:ind w:left="6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t>二〇二〇年四月二日</w:t>
      </w:r>
      <w:r>
        <w:rPr>
          <w:rFonts w:ascii="宋体" w:hAnsi="宋体" w:cs="宋体" w:eastAsia="宋体" w:hint="default"/>
        </w:rPr>
        <w:t> </w:t>
      </w: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2" w:footer="979" w:top="1120" w:bottom="1160" w:left="1580" w:right="1040"/>
        </w:sectPr>
      </w:pPr>
    </w:p>
    <w:p>
      <w:pPr>
        <w:pStyle w:val="Heading4"/>
        <w:spacing w:line="240" w:lineRule="auto" w:before="36"/>
        <w:ind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40"/>
        <w:ind w:right="0"/>
        <w:jc w:val="left"/>
        <w:rPr>
          <w:rFonts w:ascii="宋体" w:hAnsi="宋体" w:cs="宋体" w:eastAsia="宋体" w:hint="default"/>
          <w:sz w:val="24"/>
          <w:szCs w:val="24"/>
        </w:rPr>
      </w:pPr>
      <w:r>
        <w:rPr/>
        <w:t>编制单位</w:t>
      </w:r>
      <w:r>
        <w:rPr>
          <w:rFonts w:ascii="宋体" w:hAnsi="宋体" w:cs="宋体" w:eastAsia="宋体" w:hint="default"/>
        </w:rPr>
        <w:t>:</w:t>
      </w:r>
      <w:r>
        <w:rPr>
          <w:rFonts w:ascii="宋体" w:hAnsi="宋体" w:cs="宋体" w:eastAsia="宋体" w:hint="default"/>
          <w:spacing w:val="-4"/>
        </w:rPr>
        <w:t> </w:t>
      </w:r>
      <w:r>
        <w:rPr/>
        <w:t>南威软件股份有限公司</w:t>
      </w:r>
      <w:r>
        <w:rPr>
          <w:rFonts w:ascii="宋体" w:hAnsi="宋体" w:cs="宋体" w:eastAsia="宋体" w:hint="default"/>
          <w:sz w:val="24"/>
          <w:szCs w:val="24"/>
        </w:rPr>
        <w:t> </w:t>
      </w:r>
    </w:p>
    <w:p>
      <w:pPr>
        <w:spacing w:line="240" w:lineRule="auto" w:before="3"/>
        <w:rPr>
          <w:rFonts w:ascii="宋体" w:hAnsi="宋体" w:cs="宋体" w:eastAsia="宋体" w:hint="default"/>
          <w:sz w:val="28"/>
          <w:szCs w:val="28"/>
        </w:rPr>
      </w:pPr>
      <w:r>
        <w:rPr/>
        <w:br w:type="column"/>
      </w:r>
      <w:r>
        <w:rPr>
          <w:rFonts w:ascii="宋体"/>
          <w:sz w:val="28"/>
        </w:rPr>
      </w:r>
    </w:p>
    <w:p>
      <w:pPr>
        <w:pStyle w:val="Heading4"/>
        <w:spacing w:line="240" w:lineRule="auto" w:before="0"/>
        <w:ind w:left="215" w:right="0"/>
        <w:jc w:val="center"/>
        <w:rPr>
          <w:b w:val="0"/>
          <w:bCs w:val="0"/>
        </w:rPr>
      </w:pPr>
      <w:r>
        <w:rPr/>
        <w:t>合并资产负债表</w:t>
      </w:r>
      <w:r>
        <w:rPr>
          <w:b w:val="0"/>
          <w:bCs w:val="0"/>
        </w:rPr>
      </w:r>
    </w:p>
    <w:p>
      <w:pPr>
        <w:pStyle w:val="BodyText"/>
        <w:spacing w:line="240" w:lineRule="auto" w:before="56"/>
        <w:ind w:right="0"/>
        <w:jc w:val="center"/>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sz w:val="24"/>
          <w:szCs w:val="24"/>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580" w:right="1040"/>
          <w:cols w:num="3" w:equalWidth="0">
            <w:col w:w="3490" w:space="60"/>
            <w:col w:w="1954" w:space="1229"/>
            <w:col w:w="25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07"/>
        <w:gridCol w:w="725"/>
        <w:gridCol w:w="2768"/>
        <w:gridCol w:w="3241"/>
      </w:tblGrid>
      <w:tr>
        <w:trPr>
          <w:trHeight w:val="28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0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74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b/>
                <w:w w:val="99"/>
                <w:sz w:val="21"/>
              </w:rPr>
              <w:t> </w:t>
            </w:r>
            <w:r>
              <w:rPr>
                <w:rFonts w:ascii="宋体"/>
                <w:sz w:val="21"/>
              </w:rPr>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b/>
                <w:w w:val="99"/>
                <w:sz w:val="24"/>
              </w:rPr>
              <w:t> </w:t>
            </w:r>
            <w:r>
              <w:rPr>
                <w:rFonts w:ascii="宋体"/>
                <w:sz w:val="24"/>
              </w:rPr>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b/>
                <w:w w:val="99"/>
                <w:sz w:val="24"/>
              </w:rPr>
              <w:t> </w:t>
            </w:r>
            <w:r>
              <w:rPr>
                <w:rFonts w:ascii="宋体"/>
                <w:sz w:val="24"/>
              </w:rPr>
            </w:r>
          </w:p>
        </w:tc>
      </w:tr>
      <w:tr>
        <w:trPr>
          <w:trHeight w:val="288"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736,672,511.69</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599,856,207.80</w:t>
            </w:r>
          </w:p>
        </w:tc>
      </w:tr>
      <w:tr>
        <w:trPr>
          <w:trHeight w:val="288"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833"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211"/>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允</w:t>
            </w:r>
            <w:r>
              <w:rPr>
                <w:rFonts w:ascii="宋体" w:hAnsi="宋体" w:cs="宋体" w:eastAsia="宋体" w:hint="default"/>
                <w:spacing w:val="-76"/>
                <w:sz w:val="21"/>
                <w:szCs w:val="21"/>
              </w:rPr>
              <w:t> </w:t>
            </w:r>
            <w:r>
              <w:rPr>
                <w:rFonts w:ascii="宋体" w:hAnsi="宋体" w:cs="宋体" w:eastAsia="宋体" w:hint="default"/>
                <w:sz w:val="21"/>
                <w:szCs w:val="21"/>
              </w:rPr>
              <w:t>价</w:t>
            </w:r>
            <w:r>
              <w:rPr>
                <w:rFonts w:ascii="宋体" w:hAnsi="宋体" w:cs="宋体" w:eastAsia="宋体" w:hint="default"/>
                <w:spacing w:val="-78"/>
                <w:sz w:val="21"/>
                <w:szCs w:val="21"/>
              </w:rPr>
              <w:t> </w:t>
            </w:r>
            <w:r>
              <w:rPr>
                <w:rFonts w:ascii="宋体" w:hAnsi="宋体" w:cs="宋体" w:eastAsia="宋体" w:hint="default"/>
                <w:sz w:val="21"/>
                <w:szCs w:val="21"/>
              </w:rPr>
              <w:t>值</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8"/>
                <w:sz w:val="21"/>
                <w:szCs w:val="21"/>
              </w:rPr>
              <w:t> </w:t>
            </w:r>
            <w:r>
              <w:rPr>
                <w:rFonts w:ascii="宋体" w:hAnsi="宋体" w:cs="宋体" w:eastAsia="宋体" w:hint="default"/>
                <w:sz w:val="21"/>
                <w:szCs w:val="21"/>
              </w:rPr>
              <w:t>量</w:t>
            </w:r>
            <w:r>
              <w:rPr>
                <w:rFonts w:ascii="宋体" w:hAnsi="宋体" w:cs="宋体" w:eastAsia="宋体" w:hint="default"/>
                <w:spacing w:val="-76"/>
                <w:sz w:val="21"/>
                <w:szCs w:val="21"/>
              </w:rPr>
              <w:t> </w:t>
            </w:r>
            <w:r>
              <w:rPr>
                <w:rFonts w:ascii="宋体" w:hAnsi="宋体" w:cs="宋体" w:eastAsia="宋体" w:hint="default"/>
                <w:sz w:val="21"/>
                <w:szCs w:val="21"/>
              </w:rPr>
              <w:t>且</w:t>
            </w:r>
          </w:p>
          <w:p>
            <w:pPr>
              <w:pStyle w:val="TableParagraph"/>
              <w:spacing w:line="272" w:lineRule="exact" w:before="27"/>
              <w:ind w:left="100" w:right="72"/>
              <w:jc w:val="left"/>
              <w:rPr>
                <w:rFonts w:ascii="宋体" w:hAnsi="宋体" w:cs="宋体" w:eastAsia="宋体" w:hint="default"/>
                <w:sz w:val="21"/>
                <w:szCs w:val="21"/>
              </w:rPr>
            </w:pPr>
            <w:r>
              <w:rPr>
                <w:rFonts w:ascii="宋体" w:hAnsi="宋体" w:cs="宋体" w:eastAsia="宋体" w:hint="default"/>
                <w:spacing w:val="20"/>
                <w:sz w:val="21"/>
                <w:szCs w:val="21"/>
              </w:rPr>
              <w:t>其变动计入当期损益</w:t>
            </w:r>
            <w:r>
              <w:rPr>
                <w:rFonts w:ascii="宋体" w:hAnsi="宋体" w:cs="宋体" w:eastAsia="宋体" w:hint="default"/>
                <w:spacing w:val="-83"/>
                <w:sz w:val="21"/>
                <w:szCs w:val="21"/>
              </w:rPr>
              <w:t> </w:t>
            </w:r>
            <w:r>
              <w:rPr>
                <w:rFonts w:ascii="宋体" w:hAnsi="宋体" w:cs="宋体" w:eastAsia="宋体" w:hint="default"/>
                <w:sz w:val="21"/>
                <w:szCs w:val="21"/>
              </w:rPr>
              <w:t>的金融资产</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484,797,355.58</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248,911,241.15</w:t>
            </w:r>
          </w:p>
        </w:tc>
      </w:tr>
      <w:tr>
        <w:trPr>
          <w:trHeight w:val="288"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1,920,405.10</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11,119,996.35</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17,532,076.25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307"/>
        <w:gridCol w:w="725"/>
        <w:gridCol w:w="2768"/>
        <w:gridCol w:w="3241"/>
      </w:tblGrid>
      <w:tr>
        <w:trPr>
          <w:trHeight w:val="288"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559"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55,328,891.90</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46,538,474.95</w:t>
            </w:r>
          </w:p>
        </w:tc>
      </w:tr>
      <w:tr>
        <w:trPr>
          <w:trHeight w:val="288"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183,156.53</w:t>
            </w:r>
          </w:p>
        </w:tc>
      </w:tr>
      <w:tr>
        <w:trPr>
          <w:trHeight w:val="28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2"/>
                <w:sz w:val="21"/>
                <w:szCs w:val="21"/>
              </w:rPr>
              <w:t>买入返售金融资产</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323,728,802.32</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482,156,808.68</w:t>
            </w:r>
          </w:p>
        </w:tc>
      </w:tr>
      <w:tr>
        <w:trPr>
          <w:trHeight w:val="28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562"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动资产</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150,620,793.35</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147,117,207.27</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82,961,615.43</w:t>
            </w:r>
          </w:p>
        </w:tc>
      </w:tr>
      <w:tr>
        <w:trPr>
          <w:trHeight w:val="289"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1,911,305,963.56</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1,477,956,424.26</w:t>
            </w:r>
          </w:p>
        </w:tc>
      </w:tr>
      <w:tr>
        <w:trPr>
          <w:trHeight w:val="288"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324"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4"/>
              <w:jc w:val="right"/>
              <w:rPr>
                <w:rFonts w:ascii="宋体" w:hAnsi="宋体" w:cs="宋体" w:eastAsia="宋体" w:hint="default"/>
                <w:sz w:val="21"/>
                <w:szCs w:val="21"/>
              </w:rPr>
            </w:pPr>
            <w:r>
              <w:rPr>
                <w:rFonts w:ascii="宋体" w:hAnsi="宋体" w:cs="宋体" w:eastAsia="宋体" w:hint="default"/>
                <w:spacing w:val="-2"/>
                <w:sz w:val="21"/>
                <w:szCs w:val="21"/>
              </w:rPr>
              <w:t>可供出售金融资产</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910,424,126.63</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702,889,910.08</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289,452,674.15</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195,522,147.61</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4"/>
              <w:jc w:val="right"/>
              <w:rPr>
                <w:rFonts w:ascii="宋体" w:hAnsi="宋体" w:cs="宋体" w:eastAsia="宋体" w:hint="default"/>
                <w:sz w:val="21"/>
                <w:szCs w:val="21"/>
              </w:rPr>
            </w:pPr>
            <w:r>
              <w:rPr>
                <w:rFonts w:ascii="宋体" w:hAnsi="宋体" w:cs="宋体" w:eastAsia="宋体" w:hint="default"/>
                <w:spacing w:val="-2"/>
                <w:sz w:val="21"/>
                <w:szCs w:val="21"/>
              </w:rPr>
              <w:t>其他权益工具投资</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560"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21,992,241.81</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29,980,207.55</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209,600,331.96</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178,738,710.34</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4,153,972.29</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9,376,590.56</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190,378,857.24</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133,540,580.83</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53,558,660.23</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60,889,912.97</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178,550,549.69</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178,550,549.69</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7,816,835.69</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1,640,129.31</w:t>
            </w:r>
          </w:p>
        </w:tc>
      </w:tr>
      <w:tr>
        <w:trPr>
          <w:trHeight w:val="327"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26,652,431.61</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18,732,010.43</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5,874,919.71</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7,435,996.89</w:t>
            </w:r>
          </w:p>
        </w:tc>
      </w:tr>
      <w:tr>
        <w:trPr>
          <w:trHeight w:val="324"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94"/>
              <w:jc w:val="right"/>
              <w:rPr>
                <w:rFonts w:ascii="宋体" w:hAnsi="宋体" w:cs="宋体" w:eastAsia="宋体" w:hint="default"/>
                <w:sz w:val="21"/>
                <w:szCs w:val="21"/>
              </w:rPr>
            </w:pPr>
            <w:r>
              <w:rPr>
                <w:rFonts w:ascii="宋体" w:hAnsi="宋体" w:cs="宋体" w:eastAsia="宋体" w:hint="default"/>
                <w:spacing w:val="-2"/>
                <w:sz w:val="21"/>
                <w:szCs w:val="21"/>
              </w:rPr>
              <w:t>非流动资产合计</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1,900,455,601.01</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1,519,296,746.26</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3,811,761,564.57</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2,997,253,170.52</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19,532,734.25</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32,200,000.00</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979" w:top="1120" w:bottom="116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307"/>
        <w:gridCol w:w="725"/>
        <w:gridCol w:w="2768"/>
        <w:gridCol w:w="3241"/>
      </w:tblGrid>
      <w:tr>
        <w:trPr>
          <w:trHeight w:val="833"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211"/>
              <w:jc w:val="left"/>
              <w:rPr>
                <w:rFonts w:ascii="宋体" w:hAnsi="宋体" w:cs="宋体" w:eastAsia="宋体" w:hint="default"/>
                <w:sz w:val="21"/>
                <w:szCs w:val="21"/>
              </w:rPr>
            </w:pPr>
            <w:r>
              <w:rPr>
                <w:rFonts w:ascii="宋体" w:hAnsi="宋体" w:cs="宋体" w:eastAsia="宋体" w:hint="default"/>
                <w:sz w:val="21"/>
                <w:szCs w:val="21"/>
              </w:rPr>
              <w:t>以公允价值计量且</w:t>
            </w:r>
          </w:p>
          <w:p>
            <w:pPr>
              <w:pStyle w:val="TableParagraph"/>
              <w:spacing w:line="240" w:lineRule="auto"/>
              <w:ind w:left="100" w:right="295"/>
              <w:jc w:val="left"/>
              <w:rPr>
                <w:rFonts w:ascii="宋体" w:hAnsi="宋体" w:cs="宋体" w:eastAsia="宋体" w:hint="default"/>
                <w:sz w:val="21"/>
                <w:szCs w:val="21"/>
              </w:rPr>
            </w:pPr>
            <w:r>
              <w:rPr>
                <w:rFonts w:ascii="宋体" w:hAnsi="宋体" w:cs="宋体" w:eastAsia="宋体" w:hint="default"/>
                <w:sz w:val="21"/>
                <w:szCs w:val="21"/>
              </w:rPr>
              <w:t>其变动计入当期损益</w:t>
            </w:r>
            <w:r>
              <w:rPr>
                <w:rFonts w:ascii="宋体" w:hAnsi="宋体" w:cs="宋体" w:eastAsia="宋体" w:hint="default"/>
                <w:w w:val="100"/>
                <w:sz w:val="21"/>
                <w:szCs w:val="21"/>
              </w:rPr>
              <w:t> </w:t>
            </w:r>
            <w:r>
              <w:rPr>
                <w:rFonts w:ascii="宋体" w:hAnsi="宋体" w:cs="宋体" w:eastAsia="宋体" w:hint="default"/>
                <w:sz w:val="21"/>
                <w:szCs w:val="21"/>
              </w:rPr>
              <w:t>的金融负债</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95,100,582.60</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116,825,048.45</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438,240,105.33</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361,212,717.38</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175,580,331.57</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248,242,126.49</w:t>
            </w:r>
          </w:p>
        </w:tc>
      </w:tr>
      <w:tr>
        <w:trPr>
          <w:trHeight w:val="559"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放</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62,501,980.30</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55,131,616.56</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128,980,916.60</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91,517,931.60</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31,128,729.77</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34,413,595.22</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58,187.27</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动负债</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139,369,118.54</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55,823,267.50</w:t>
            </w:r>
          </w:p>
        </w:tc>
      </w:tr>
      <w:tr>
        <w:trPr>
          <w:trHeight w:val="327"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1,090,434,498.96</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998,366,303.20</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485,788,885.59</w:t>
            </w: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84,169,802.50</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209,824,635.34</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16,353,622.22</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4,023,852.66</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28,361,359.13</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16,831,783.07</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614,673,669.44</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230,680,271.07</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1,705,108,168.40</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1,229,046,574.27</w:t>
            </w:r>
          </w:p>
        </w:tc>
      </w:tr>
      <w:tr>
        <w:trPr>
          <w:trHeight w:val="559"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益）：</w:t>
            </w:r>
            <w:r>
              <w:rPr>
                <w:rFonts w:ascii="宋体" w:hAnsi="宋体" w:cs="宋体" w:eastAsia="宋体" w:hint="default"/>
                <w:w w:val="100"/>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5"/>
              <w:jc w:val="left"/>
              <w:rPr>
                <w:rFonts w:ascii="宋体" w:hAnsi="宋体" w:cs="宋体" w:eastAsia="宋体" w:hint="default"/>
                <w:sz w:val="21"/>
                <w:szCs w:val="21"/>
              </w:rPr>
            </w:pPr>
            <w:r>
              <w:rPr>
                <w:rFonts w:ascii="宋体" w:hAnsi="宋体" w:cs="宋体" w:eastAsia="宋体" w:hint="default"/>
                <w:spacing w:val="-3"/>
                <w:sz w:val="21"/>
                <w:szCs w:val="21"/>
              </w:rPr>
              <w:t>实收资本（或股本）</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526,487,912.00</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526,684,472.00</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180,222,023.21</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979" w:top="1120" w:bottom="116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307"/>
        <w:gridCol w:w="725"/>
        <w:gridCol w:w="2768"/>
        <w:gridCol w:w="3241"/>
      </w:tblGrid>
      <w:tr>
        <w:trPr>
          <w:trHeight w:val="327"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738,926,076.56</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708,204,790.83</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57,446,600.28</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15,732,668.62</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69,204,233.82</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64,084,066.25</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605,041,071.29</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464,516,842.15</w:t>
            </w:r>
          </w:p>
        </w:tc>
      </w:tr>
      <w:tr>
        <w:trPr>
          <w:trHeight w:val="833"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211"/>
              <w:jc w:val="left"/>
              <w:rPr>
                <w:rFonts w:ascii="宋体" w:hAnsi="宋体" w:cs="宋体" w:eastAsia="宋体" w:hint="default"/>
                <w:sz w:val="21"/>
                <w:szCs w:val="21"/>
              </w:rPr>
            </w:pPr>
            <w:r>
              <w:rPr>
                <w:rFonts w:ascii="宋体" w:hAnsi="宋体" w:cs="宋体" w:eastAsia="宋体" w:hint="default"/>
                <w:sz w:val="21"/>
                <w:szCs w:val="21"/>
              </w:rPr>
              <w:t>归属于母公司所有</w:t>
            </w:r>
          </w:p>
          <w:p>
            <w:pPr>
              <w:pStyle w:val="TableParagraph"/>
              <w:spacing w:line="272" w:lineRule="exact" w:before="27"/>
              <w:ind w:left="100" w:right="87"/>
              <w:jc w:val="left"/>
              <w:rPr>
                <w:rFonts w:ascii="宋体" w:hAnsi="宋体" w:cs="宋体" w:eastAsia="宋体" w:hint="default"/>
                <w:sz w:val="21"/>
                <w:szCs w:val="21"/>
              </w:rPr>
            </w:pPr>
            <w:r>
              <w:rPr>
                <w:rFonts w:ascii="宋体" w:hAnsi="宋体" w:cs="宋体" w:eastAsia="宋体" w:hint="default"/>
                <w:sz w:val="21"/>
                <w:szCs w:val="21"/>
              </w:rPr>
              <w:t>者权益（或股东权益）</w:t>
            </w:r>
            <w:r>
              <w:rPr>
                <w:rFonts w:ascii="宋体" w:hAnsi="宋体" w:cs="宋体" w:eastAsia="宋体" w:hint="default"/>
                <w:w w:val="100"/>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2,062,434,716.60</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1,747,757,502.61</w:t>
            </w:r>
          </w:p>
        </w:tc>
      </w:tr>
      <w:tr>
        <w:trPr>
          <w:trHeight w:val="324"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44,218,679.57</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20,449,093.64</w:t>
            </w:r>
          </w:p>
        </w:tc>
      </w:tr>
      <w:tr>
        <w:trPr>
          <w:trHeight w:val="562"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2,106,653,396.17</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1,768,206,596.25</w:t>
            </w:r>
          </w:p>
        </w:tc>
      </w:tr>
      <w:tr>
        <w:trPr>
          <w:trHeight w:val="559" w:hRule="exact"/>
        </w:trPr>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3,811,761,564.57</w:t>
            </w:r>
          </w:p>
        </w:tc>
        <w:tc>
          <w:tcPr>
            <w:tcW w:w="3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2,997,253,170.52</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法定代表人：吴志雄      </w:t>
      </w:r>
      <w:r>
        <w:rPr>
          <w:rFonts w:ascii="宋体" w:hAnsi="宋体" w:cs="宋体" w:eastAsia="宋体" w:hint="default"/>
        </w:rPr>
      </w:r>
      <w:r>
        <w:rPr/>
        <w:t>主管会计工作负责人：陈平     </w:t>
      </w:r>
      <w:r>
        <w:rPr>
          <w:spacing w:val="92"/>
        </w:rPr>
        <w:t> </w:t>
      </w:r>
      <w:r>
        <w:rPr>
          <w:rFonts w:ascii="宋体" w:hAnsi="宋体" w:cs="宋体" w:eastAsia="宋体" w:hint="default"/>
          <w:spacing w:val="92"/>
        </w:rPr>
      </w:r>
      <w:r>
        <w:rPr/>
        <w:t>会计机构负责人：陈平</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52" w:footer="979" w:top="1120" w:bottom="1160" w:left="1580" w:right="1040"/>
        </w:sect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1"/>
          <w:szCs w:val="31"/>
        </w:rPr>
      </w:pPr>
    </w:p>
    <w:p>
      <w:pPr>
        <w:pStyle w:val="BodyText"/>
        <w:spacing w:line="240" w:lineRule="auto"/>
        <w:ind w:right="0"/>
        <w:jc w:val="left"/>
        <w:rPr>
          <w:rFonts w:ascii="宋体" w:hAnsi="宋体" w:cs="宋体" w:eastAsia="宋体" w:hint="default"/>
          <w:sz w:val="24"/>
          <w:szCs w:val="24"/>
        </w:rPr>
      </w:pPr>
      <w:r>
        <w:rPr/>
        <w:t>编制单位</w:t>
      </w:r>
      <w:r>
        <w:rPr>
          <w:rFonts w:ascii="宋体" w:hAnsi="宋体" w:cs="宋体" w:eastAsia="宋体" w:hint="default"/>
        </w:rPr>
        <w:t>:</w:t>
      </w:r>
      <w:r>
        <w:rPr/>
        <w:t>南威软件股份有限公司</w:t>
      </w:r>
      <w:r>
        <w:rPr>
          <w:rFonts w:ascii="宋体" w:hAnsi="宋体" w:cs="宋体" w:eastAsia="宋体" w:hint="default"/>
          <w:sz w:val="24"/>
          <w:szCs w:val="24"/>
        </w:rPr>
        <w:t> </w:t>
      </w:r>
      <w:r>
        <w:rPr>
          <w:rFonts w:ascii="宋体" w:hAnsi="宋体" w:cs="宋体" w:eastAsia="宋体" w:hint="default"/>
          <w:spacing w:val="-3"/>
          <w:sz w:val="24"/>
          <w:szCs w:val="24"/>
        </w:rPr>
        <w:t> </w:t>
      </w:r>
      <w:r>
        <w:rPr>
          <w:rFonts w:ascii="宋体" w:hAnsi="宋体" w:cs="宋体" w:eastAsia="宋体" w:hint="default"/>
          <w:sz w:val="24"/>
          <w:szCs w:val="24"/>
        </w:rPr>
        <w:t> </w:t>
      </w:r>
    </w:p>
    <w:p>
      <w:pPr>
        <w:pStyle w:val="Heading4"/>
        <w:spacing w:line="240" w:lineRule="auto" w:before="58"/>
        <w:ind w:left="125" w:right="0"/>
        <w:jc w:val="left"/>
        <w:rPr>
          <w:b w:val="0"/>
          <w:bCs w:val="0"/>
        </w:rPr>
      </w:pPr>
      <w:r>
        <w:rPr>
          <w:b w:val="0"/>
          <w:bCs w:val="0"/>
        </w:rPr>
        <w:br w:type="column"/>
      </w:r>
      <w:r>
        <w:rPr/>
        <w:t>母公司资产负债表</w:t>
      </w:r>
      <w:r>
        <w:rPr>
          <w:b w:val="0"/>
          <w:bCs w:val="0"/>
        </w:rPr>
      </w:r>
    </w:p>
    <w:p>
      <w:pPr>
        <w:pStyle w:val="BodyText"/>
        <w:spacing w:line="240" w:lineRule="auto" w:before="50"/>
        <w:ind w:left="89" w:right="0"/>
        <w:jc w:val="left"/>
        <w:rPr>
          <w:rFonts w:ascii="宋体" w:hAnsi="宋体" w:cs="宋体" w:eastAsia="宋体" w:hint="default"/>
          <w:sz w:val="24"/>
          <w:szCs w:val="24"/>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 </w:t>
      </w:r>
      <w:r>
        <w:rPr>
          <w:spacing w:val="-3"/>
          <w:sz w:val="24"/>
          <w:szCs w:val="24"/>
        </w:rPr>
        <w:t>日</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9"/>
          <w:szCs w:val="29"/>
        </w:rPr>
      </w:pPr>
    </w:p>
    <w:p>
      <w:pPr>
        <w:pStyle w:val="BodyText"/>
        <w:spacing w:line="240" w:lineRule="auto"/>
        <w:ind w:right="0"/>
        <w:jc w:val="left"/>
        <w:rPr>
          <w:rFonts w:ascii="宋体" w:hAnsi="宋体" w:cs="宋体" w:eastAsia="宋体" w:hint="default"/>
          <w:sz w:val="24"/>
          <w:szCs w:val="24"/>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580" w:right="1040"/>
          <w:cols w:num="3" w:equalWidth="0">
            <w:col w:w="3625" w:space="40"/>
            <w:col w:w="1972" w:space="1097"/>
            <w:col w:w="255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95"/>
        <w:gridCol w:w="898"/>
        <w:gridCol w:w="2583"/>
        <w:gridCol w:w="3238"/>
      </w:tblGrid>
      <w:tr>
        <w:trPr>
          <w:trHeight w:val="288"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附注</w:t>
            </w:r>
            <w:r>
              <w:rPr>
                <w:rFonts w:ascii="宋体" w:hAnsi="宋体" w:cs="宋体" w:eastAsia="宋体" w:hint="default"/>
                <w:sz w:val="21"/>
                <w:szCs w:val="21"/>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7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b/>
                <w:w w:val="99"/>
                <w:sz w:val="24"/>
              </w:rPr>
              <w:t> </w:t>
            </w:r>
            <w:r>
              <w:rPr>
                <w:rFonts w:ascii="宋体"/>
                <w:sz w:val="24"/>
              </w:rPr>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b/>
                <w:w w:val="99"/>
                <w:sz w:val="24"/>
              </w:rPr>
              <w:t> </w:t>
            </w:r>
            <w:r>
              <w:rPr>
                <w:rFonts w:ascii="宋体"/>
                <w:sz w:val="24"/>
              </w:rPr>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b/>
                <w:w w:val="99"/>
                <w:sz w:val="24"/>
              </w:rPr>
              <w:t> </w:t>
            </w:r>
            <w:r>
              <w:rPr>
                <w:rFonts w:ascii="宋体"/>
                <w:sz w:val="24"/>
              </w:rPr>
            </w:r>
          </w:p>
        </w:tc>
      </w:tr>
      <w:tr>
        <w:trPr>
          <w:trHeight w:val="324"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554,103,744.80</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3"/>
              <w:jc w:val="right"/>
              <w:rPr>
                <w:rFonts w:ascii="Times New Roman" w:hAnsi="Times New Roman" w:cs="Times New Roman" w:eastAsia="Times New Roman" w:hint="default"/>
                <w:sz w:val="21"/>
                <w:szCs w:val="21"/>
              </w:rPr>
            </w:pPr>
            <w:r>
              <w:rPr>
                <w:rFonts w:ascii="Times New Roman"/>
                <w:spacing w:val="-1"/>
                <w:sz w:val="21"/>
              </w:rPr>
              <w:t>419,602,595.60</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89"/>
              <w:jc w:val="right"/>
              <w:rPr>
                <w:rFonts w:ascii="宋体" w:hAnsi="宋体" w:cs="宋体" w:eastAsia="宋体" w:hint="default"/>
                <w:sz w:val="21"/>
                <w:szCs w:val="21"/>
              </w:rPr>
            </w:pPr>
            <w:r>
              <w:rPr>
                <w:rFonts w:ascii="宋体" w:hAnsi="宋体" w:cs="宋体" w:eastAsia="宋体" w:hint="default"/>
                <w:spacing w:val="-2"/>
                <w:sz w:val="21"/>
                <w:szCs w:val="21"/>
              </w:rPr>
              <w:t>交易性金融资产</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firstLine="211"/>
              <w:jc w:val="left"/>
              <w:rPr>
                <w:rFonts w:ascii="宋体" w:hAnsi="宋体" w:cs="宋体" w:eastAsia="宋体" w:hint="default"/>
                <w:sz w:val="21"/>
                <w:szCs w:val="21"/>
              </w:rPr>
            </w:pPr>
            <w:r>
              <w:rPr>
                <w:rFonts w:ascii="宋体" w:hAnsi="宋体" w:cs="宋体" w:eastAsia="宋体" w:hint="default"/>
                <w:sz w:val="21"/>
                <w:szCs w:val="21"/>
              </w:rPr>
              <w:t>以公允价值计量且</w:t>
            </w:r>
          </w:p>
          <w:p>
            <w:pPr>
              <w:pStyle w:val="TableParagraph"/>
              <w:spacing w:line="240" w:lineRule="auto"/>
              <w:ind w:left="100" w:right="283"/>
              <w:jc w:val="left"/>
              <w:rPr>
                <w:rFonts w:ascii="宋体" w:hAnsi="宋体" w:cs="宋体" w:eastAsia="宋体" w:hint="default"/>
                <w:sz w:val="21"/>
                <w:szCs w:val="21"/>
              </w:rPr>
            </w:pPr>
            <w:r>
              <w:rPr>
                <w:rFonts w:ascii="宋体" w:hAnsi="宋体" w:cs="宋体" w:eastAsia="宋体" w:hint="default"/>
                <w:sz w:val="21"/>
                <w:szCs w:val="21"/>
              </w:rPr>
              <w:t>其变动计入当期损益</w:t>
            </w:r>
            <w:r>
              <w:rPr>
                <w:rFonts w:ascii="宋体" w:hAnsi="宋体" w:cs="宋体" w:eastAsia="宋体" w:hint="default"/>
                <w:w w:val="100"/>
                <w:sz w:val="21"/>
                <w:szCs w:val="21"/>
              </w:rPr>
              <w:t> </w:t>
            </w:r>
            <w:r>
              <w:rPr>
                <w:rFonts w:ascii="宋体" w:hAnsi="宋体" w:cs="宋体" w:eastAsia="宋体" w:hint="default"/>
                <w:sz w:val="21"/>
                <w:szCs w:val="21"/>
              </w:rPr>
              <w:t>的金融资产</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380,467,266.20</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195,680,383.64</w:t>
            </w:r>
          </w:p>
        </w:tc>
      </w:tr>
      <w:tr>
        <w:trPr>
          <w:trHeight w:val="32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8,485,738.45</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16,000,441.58</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171,556,532.94</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70,418,302.72</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89"/>
              <w:jc w:val="right"/>
              <w:rPr>
                <w:rFonts w:ascii="宋体" w:hAnsi="宋体" w:cs="宋体" w:eastAsia="宋体" w:hint="default"/>
                <w:sz w:val="21"/>
                <w:szCs w:val="21"/>
              </w:rPr>
            </w:pPr>
            <w:r>
              <w:rPr>
                <w:rFonts w:ascii="宋体" w:hAnsi="宋体" w:cs="宋体" w:eastAsia="宋体" w:hint="default"/>
                <w:spacing w:val="-2"/>
                <w:sz w:val="21"/>
                <w:szCs w:val="21"/>
              </w:rPr>
              <w:t>其中：应收利息</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183,156.53</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92"/>
              <w:jc w:val="right"/>
              <w:rPr>
                <w:rFonts w:ascii="宋体" w:hAnsi="宋体" w:cs="宋体" w:eastAsia="宋体" w:hint="default"/>
                <w:sz w:val="21"/>
                <w:szCs w:val="21"/>
              </w:rPr>
            </w:pPr>
            <w:r>
              <w:rPr>
                <w:rFonts w:ascii="宋体" w:hAnsi="宋体" w:cs="宋体" w:eastAsia="宋体" w:hint="default"/>
                <w:spacing w:val="-2"/>
                <w:sz w:val="21"/>
                <w:szCs w:val="21"/>
              </w:rPr>
              <w:t>应收股利</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231,727,295.96</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3"/>
              <w:jc w:val="right"/>
              <w:rPr>
                <w:rFonts w:ascii="Times New Roman" w:hAnsi="Times New Roman" w:cs="Times New Roman" w:eastAsia="Times New Roman" w:hint="default"/>
                <w:sz w:val="21"/>
                <w:szCs w:val="21"/>
              </w:rPr>
            </w:pPr>
            <w:r>
              <w:rPr>
                <w:rFonts w:ascii="Times New Roman"/>
                <w:spacing w:val="-1"/>
                <w:sz w:val="21"/>
              </w:rPr>
              <w:t>368,300,023.70</w:t>
            </w:r>
          </w:p>
        </w:tc>
      </w:tr>
      <w:tr>
        <w:trPr>
          <w:trHeight w:val="324"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动资产</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71,070,628.42</w:t>
            </w: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121,948,703.65</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3"/>
              <w:jc w:val="right"/>
              <w:rPr>
                <w:rFonts w:ascii="Times New Roman" w:hAnsi="Times New Roman" w:cs="Times New Roman" w:eastAsia="Times New Roman" w:hint="default"/>
                <w:sz w:val="21"/>
                <w:szCs w:val="21"/>
              </w:rPr>
            </w:pPr>
            <w:r>
              <w:rPr>
                <w:rFonts w:ascii="Times New Roman"/>
                <w:spacing w:val="-1"/>
                <w:sz w:val="21"/>
              </w:rPr>
              <w:t>67,116,037.75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295"/>
        <w:gridCol w:w="898"/>
        <w:gridCol w:w="2583"/>
        <w:gridCol w:w="3238"/>
      </w:tblGrid>
      <w:tr>
        <w:trPr>
          <w:trHeight w:val="32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1"/>
                <w:szCs w:val="21"/>
              </w:rPr>
            </w:pPr>
            <w:r>
              <w:rPr>
                <w:rFonts w:ascii="Times New Roman"/>
                <w:spacing w:val="-1"/>
                <w:sz w:val="21"/>
              </w:rPr>
              <w:t>1,539,359,910.42</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3"/>
              <w:jc w:val="right"/>
              <w:rPr>
                <w:rFonts w:ascii="Times New Roman" w:hAnsi="Times New Roman" w:cs="Times New Roman" w:eastAsia="Times New Roman" w:hint="default"/>
                <w:sz w:val="21"/>
                <w:szCs w:val="21"/>
              </w:rPr>
            </w:pPr>
            <w:r>
              <w:rPr>
                <w:rFonts w:ascii="Times New Roman"/>
                <w:spacing w:val="-1"/>
                <w:sz w:val="21"/>
              </w:rPr>
              <w:t>1,137,117,784.99</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82"/>
              <w:jc w:val="right"/>
              <w:rPr>
                <w:rFonts w:ascii="宋体" w:hAnsi="宋体" w:cs="宋体" w:eastAsia="宋体" w:hint="default"/>
                <w:sz w:val="21"/>
                <w:szCs w:val="21"/>
              </w:rPr>
            </w:pPr>
            <w:r>
              <w:rPr>
                <w:rFonts w:ascii="宋体" w:hAnsi="宋体" w:cs="宋体" w:eastAsia="宋体" w:hint="default"/>
                <w:spacing w:val="-2"/>
                <w:sz w:val="21"/>
                <w:szCs w:val="21"/>
              </w:rPr>
              <w:t>可供出售金融资产</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423,799,809.01</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194,262,332.89</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1,144,088,109.83</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1,222,048,799.96</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82"/>
              <w:jc w:val="right"/>
              <w:rPr>
                <w:rFonts w:ascii="宋体" w:hAnsi="宋体" w:cs="宋体" w:eastAsia="宋体" w:hint="default"/>
                <w:sz w:val="21"/>
                <w:szCs w:val="21"/>
              </w:rPr>
            </w:pPr>
            <w:r>
              <w:rPr>
                <w:rFonts w:ascii="宋体" w:hAnsi="宋体" w:cs="宋体" w:eastAsia="宋体" w:hint="default"/>
                <w:spacing w:val="-2"/>
                <w:sz w:val="21"/>
                <w:szCs w:val="21"/>
              </w:rPr>
              <w:t>其他权益工具投资</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1"/>
                <w:szCs w:val="21"/>
              </w:rPr>
            </w:pPr>
            <w:r>
              <w:rPr>
                <w:rFonts w:ascii="Times New Roman"/>
                <w:spacing w:val="-1"/>
                <w:sz w:val="21"/>
              </w:rPr>
              <w:t>21,992,241.81</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3"/>
              <w:jc w:val="right"/>
              <w:rPr>
                <w:rFonts w:ascii="Times New Roman" w:hAnsi="Times New Roman" w:cs="Times New Roman" w:eastAsia="Times New Roman" w:hint="default"/>
                <w:sz w:val="21"/>
                <w:szCs w:val="21"/>
              </w:rPr>
            </w:pPr>
            <w:r>
              <w:rPr>
                <w:rFonts w:ascii="Times New Roman"/>
                <w:spacing w:val="-1"/>
                <w:sz w:val="21"/>
              </w:rPr>
              <w:t>29,980,207.55</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97,765,518.52</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88,869,734.90</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1,047,698.68</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3,715,293.57</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无形资产</w:t>
            </w:r>
            <w:r>
              <w:rPr>
                <w:rFonts w:ascii="宋体" w:hAnsi="宋体" w:cs="宋体" w:eastAsia="宋体" w:hint="default"/>
                <w:sz w:val="24"/>
                <w:szCs w:val="24"/>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118,843,908.53</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3"/>
              <w:jc w:val="right"/>
              <w:rPr>
                <w:rFonts w:ascii="Times New Roman" w:hAnsi="Times New Roman" w:cs="Times New Roman" w:eastAsia="Times New Roman" w:hint="default"/>
                <w:sz w:val="21"/>
                <w:szCs w:val="21"/>
              </w:rPr>
            </w:pPr>
            <w:r>
              <w:rPr>
                <w:rFonts w:ascii="Times New Roman"/>
                <w:spacing w:val="-1"/>
                <w:sz w:val="21"/>
              </w:rPr>
              <w:t>68,542,567.41</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开发支出</w:t>
            </w:r>
            <w:r>
              <w:rPr>
                <w:rFonts w:ascii="宋体" w:hAnsi="宋体" w:cs="宋体" w:eastAsia="宋体" w:hint="default"/>
                <w:sz w:val="24"/>
                <w:szCs w:val="24"/>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37,052,221.74</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3"/>
              <w:jc w:val="right"/>
              <w:rPr>
                <w:rFonts w:ascii="Times New Roman" w:hAnsi="Times New Roman" w:cs="Times New Roman" w:eastAsia="Times New Roman" w:hint="default"/>
                <w:sz w:val="21"/>
                <w:szCs w:val="21"/>
              </w:rPr>
            </w:pPr>
            <w:r>
              <w:rPr>
                <w:rFonts w:ascii="Times New Roman"/>
                <w:spacing w:val="-1"/>
                <w:sz w:val="21"/>
              </w:rPr>
              <w:t>44,312,413.84</w:t>
            </w:r>
          </w:p>
        </w:tc>
      </w:tr>
      <w:tr>
        <w:trPr>
          <w:trHeight w:val="324"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商誉</w:t>
            </w:r>
            <w:r>
              <w:rPr>
                <w:rFonts w:ascii="宋体" w:hAnsi="宋体" w:cs="宋体" w:eastAsia="宋体" w:hint="default"/>
                <w:sz w:val="24"/>
                <w:szCs w:val="24"/>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长期待摊费用</w:t>
            </w:r>
            <w:r>
              <w:rPr>
                <w:rFonts w:ascii="宋体" w:hAnsi="宋体" w:cs="宋体" w:eastAsia="宋体" w:hint="default"/>
                <w:sz w:val="24"/>
                <w:szCs w:val="24"/>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1,540,758.91</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61,415.17</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37"/>
              <w:jc w:val="right"/>
              <w:rPr>
                <w:rFonts w:ascii="宋体" w:hAnsi="宋体" w:cs="宋体" w:eastAsia="宋体" w:hint="default"/>
                <w:sz w:val="24"/>
                <w:szCs w:val="24"/>
              </w:rPr>
            </w:pPr>
            <w:r>
              <w:rPr>
                <w:rFonts w:ascii="宋体" w:hAnsi="宋体" w:cs="宋体" w:eastAsia="宋体" w:hint="default"/>
                <w:sz w:val="24"/>
                <w:szCs w:val="24"/>
              </w:rPr>
              <w:t>递延所得税资产</w:t>
            </w:r>
            <w:r>
              <w:rPr>
                <w:rFonts w:ascii="宋体" w:hAnsi="宋体" w:cs="宋体" w:eastAsia="宋体" w:hint="default"/>
                <w:sz w:val="24"/>
                <w:szCs w:val="24"/>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21,581,719.91</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11,703,286.97</w:t>
            </w:r>
          </w:p>
        </w:tc>
      </w:tr>
      <w:tr>
        <w:trPr>
          <w:trHeight w:val="32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1"/>
                <w:szCs w:val="21"/>
              </w:rPr>
            </w:pPr>
            <w:r>
              <w:rPr>
                <w:rFonts w:ascii="Times New Roman"/>
                <w:spacing w:val="-1"/>
                <w:sz w:val="21"/>
              </w:rPr>
              <w:t>1,988,714.51</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3"/>
              <w:jc w:val="right"/>
              <w:rPr>
                <w:rFonts w:ascii="Times New Roman" w:hAnsi="Times New Roman" w:cs="Times New Roman" w:eastAsia="Times New Roman" w:hint="default"/>
                <w:sz w:val="21"/>
                <w:szCs w:val="21"/>
              </w:rPr>
            </w:pPr>
            <w:r>
              <w:rPr>
                <w:rFonts w:ascii="Times New Roman"/>
                <w:spacing w:val="-1"/>
                <w:sz w:val="21"/>
              </w:rPr>
              <w:t>3,597,606.89</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82"/>
              <w:jc w:val="right"/>
              <w:rPr>
                <w:rFonts w:ascii="宋体" w:hAnsi="宋体" w:cs="宋体" w:eastAsia="宋体" w:hint="default"/>
                <w:sz w:val="21"/>
                <w:szCs w:val="21"/>
              </w:rPr>
            </w:pPr>
            <w:r>
              <w:rPr>
                <w:rFonts w:ascii="宋体" w:hAnsi="宋体" w:cs="宋体" w:eastAsia="宋体" w:hint="default"/>
                <w:spacing w:val="-2"/>
                <w:sz w:val="21"/>
                <w:szCs w:val="21"/>
              </w:rPr>
              <w:t>非流动资产合计</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1,869,700,701.45</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1,667,093,659.15</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3,409,060,611.87</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2,804,211,444.14</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211"/>
              <w:jc w:val="left"/>
              <w:rPr>
                <w:rFonts w:ascii="宋体" w:hAnsi="宋体" w:cs="宋体" w:eastAsia="宋体" w:hint="default"/>
                <w:sz w:val="21"/>
                <w:szCs w:val="21"/>
              </w:rPr>
            </w:pPr>
            <w:r>
              <w:rPr>
                <w:rFonts w:ascii="宋体" w:hAnsi="宋体" w:cs="宋体" w:eastAsia="宋体" w:hint="default"/>
                <w:sz w:val="21"/>
                <w:szCs w:val="21"/>
              </w:rPr>
              <w:t>以公允价值计量且</w:t>
            </w:r>
          </w:p>
          <w:p>
            <w:pPr>
              <w:pStyle w:val="TableParagraph"/>
              <w:spacing w:line="272" w:lineRule="exact" w:before="27"/>
              <w:ind w:left="100" w:right="283"/>
              <w:jc w:val="left"/>
              <w:rPr>
                <w:rFonts w:ascii="宋体" w:hAnsi="宋体" w:cs="宋体" w:eastAsia="宋体" w:hint="default"/>
                <w:sz w:val="21"/>
                <w:szCs w:val="21"/>
              </w:rPr>
            </w:pPr>
            <w:r>
              <w:rPr>
                <w:rFonts w:ascii="宋体" w:hAnsi="宋体" w:cs="宋体" w:eastAsia="宋体" w:hint="default"/>
                <w:sz w:val="21"/>
                <w:szCs w:val="21"/>
              </w:rPr>
              <w:t>其变动计入当期损益</w:t>
            </w:r>
            <w:r>
              <w:rPr>
                <w:rFonts w:ascii="宋体" w:hAnsi="宋体" w:cs="宋体" w:eastAsia="宋体" w:hint="default"/>
                <w:w w:val="100"/>
                <w:sz w:val="21"/>
                <w:szCs w:val="21"/>
              </w:rPr>
              <w:t> </w:t>
            </w:r>
            <w:r>
              <w:rPr>
                <w:rFonts w:ascii="宋体" w:hAnsi="宋体" w:cs="宋体" w:eastAsia="宋体" w:hint="default"/>
                <w:sz w:val="21"/>
                <w:szCs w:val="21"/>
              </w:rPr>
              <w:t>的金融负债</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91,647,190.00</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3"/>
              <w:jc w:val="right"/>
              <w:rPr>
                <w:rFonts w:ascii="Times New Roman" w:hAnsi="Times New Roman" w:cs="Times New Roman" w:eastAsia="Times New Roman" w:hint="default"/>
                <w:sz w:val="21"/>
                <w:szCs w:val="21"/>
              </w:rPr>
            </w:pPr>
            <w:r>
              <w:rPr>
                <w:rFonts w:ascii="Times New Roman"/>
                <w:spacing w:val="-1"/>
                <w:sz w:val="21"/>
              </w:rPr>
              <w:t>112,924,409.85</w:t>
            </w:r>
          </w:p>
        </w:tc>
      </w:tr>
      <w:tr>
        <w:trPr>
          <w:trHeight w:val="325"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634,448,194.07</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3"/>
              <w:jc w:val="right"/>
              <w:rPr>
                <w:rFonts w:ascii="Times New Roman" w:hAnsi="Times New Roman" w:cs="Times New Roman" w:eastAsia="Times New Roman" w:hint="default"/>
                <w:sz w:val="21"/>
                <w:szCs w:val="21"/>
              </w:rPr>
            </w:pPr>
            <w:r>
              <w:rPr>
                <w:rFonts w:ascii="Times New Roman"/>
                <w:spacing w:val="-1"/>
                <w:sz w:val="21"/>
              </w:rPr>
              <w:t>457,988,042.67</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156,398,811.92</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234,249,373.59</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18,112,092.09</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14,482,033.79</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73,157,895.24</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57,130,605.12</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62,170,263.87</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45,465,132.81</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动负债</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55,823,267.50</w:t>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979" w:top="1120" w:bottom="1160" w:left="1580" w:right="10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295"/>
        <w:gridCol w:w="898"/>
        <w:gridCol w:w="2583"/>
        <w:gridCol w:w="3238"/>
      </w:tblGrid>
      <w:tr>
        <w:trPr>
          <w:trHeight w:val="32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1,035,934,447.19</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978,062,865.33</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485,788,885.59</w:t>
            </w: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114,967,492.50</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1"/>
                <w:szCs w:val="21"/>
              </w:rPr>
            </w:pPr>
            <w:r>
              <w:rPr>
                <w:rFonts w:ascii="Times New Roman"/>
                <w:spacing w:val="-1"/>
                <w:sz w:val="21"/>
              </w:rPr>
              <w:t>13,493,622.23</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3"/>
              <w:jc w:val="right"/>
              <w:rPr>
                <w:rFonts w:ascii="Times New Roman" w:hAnsi="Times New Roman" w:cs="Times New Roman" w:eastAsia="Times New Roman" w:hint="default"/>
                <w:sz w:val="21"/>
                <w:szCs w:val="21"/>
              </w:rPr>
            </w:pPr>
            <w:r>
              <w:rPr>
                <w:rFonts w:ascii="Times New Roman"/>
                <w:spacing w:val="-1"/>
                <w:sz w:val="21"/>
              </w:rPr>
              <w:t>833,852.66</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11,346,930.38</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3"/>
              <w:jc w:val="right"/>
              <w:rPr>
                <w:rFonts w:ascii="Times New Roman" w:hAnsi="Times New Roman" w:cs="Times New Roman" w:eastAsia="Times New Roman" w:hint="default"/>
                <w:sz w:val="21"/>
                <w:szCs w:val="21"/>
              </w:rPr>
            </w:pPr>
            <w:r>
              <w:rPr>
                <w:rFonts w:ascii="Times New Roman"/>
                <w:spacing w:val="-1"/>
                <w:sz w:val="21"/>
              </w:rPr>
              <w:t>4,825,506.00</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510,629,438.20</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3"/>
              <w:jc w:val="right"/>
              <w:rPr>
                <w:rFonts w:ascii="Times New Roman" w:hAnsi="Times New Roman" w:cs="Times New Roman" w:eastAsia="Times New Roman" w:hint="default"/>
                <w:sz w:val="21"/>
                <w:szCs w:val="21"/>
              </w:rPr>
            </w:pPr>
            <w:r>
              <w:rPr>
                <w:rFonts w:ascii="Times New Roman"/>
                <w:spacing w:val="-1"/>
                <w:sz w:val="21"/>
              </w:rPr>
              <w:t>120,626,851.16</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1,546,563,885.39</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1,098,689,716.49</w:t>
            </w:r>
          </w:p>
        </w:tc>
      </w:tr>
      <w:tr>
        <w:trPr>
          <w:trHeight w:val="562"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pacing w:val="-4"/>
                <w:sz w:val="21"/>
                <w:szCs w:val="21"/>
              </w:rPr>
              <w:t>所有者权益（或股东权</w:t>
            </w:r>
            <w:r>
              <w:rPr>
                <w:rFonts w:ascii="宋体" w:hAnsi="宋体" w:cs="宋体" w:eastAsia="宋体" w:hint="default"/>
                <w:spacing w:val="-4"/>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益）：</w:t>
            </w:r>
            <w:r>
              <w:rPr>
                <w:rFonts w:ascii="宋体" w:hAnsi="宋体" w:cs="宋体" w:eastAsia="宋体" w:hint="default"/>
                <w:w w:val="100"/>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86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11" w:right="-5"/>
              <w:jc w:val="left"/>
              <w:rPr>
                <w:rFonts w:ascii="宋体" w:hAnsi="宋体" w:cs="宋体" w:eastAsia="宋体" w:hint="default"/>
                <w:sz w:val="21"/>
                <w:szCs w:val="21"/>
              </w:rPr>
            </w:pPr>
            <w:r>
              <w:rPr>
                <w:rFonts w:ascii="宋体" w:hAnsi="宋体" w:cs="宋体" w:eastAsia="宋体" w:hint="default"/>
                <w:spacing w:val="-5"/>
                <w:sz w:val="21"/>
                <w:szCs w:val="21"/>
              </w:rPr>
              <w:t>实收资本（或股本）</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526,487,912.00</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526,684,472.00</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180,222,023.21</w:t>
            </w: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
        </w:tc>
        <w:tc>
          <w:tcPr>
            <w:tcW w:w="32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743,107,492.50</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3"/>
              <w:jc w:val="right"/>
              <w:rPr>
                <w:rFonts w:ascii="Times New Roman" w:hAnsi="Times New Roman" w:cs="Times New Roman" w:eastAsia="Times New Roman" w:hint="default"/>
                <w:sz w:val="21"/>
                <w:szCs w:val="21"/>
              </w:rPr>
            </w:pPr>
            <w:r>
              <w:rPr>
                <w:rFonts w:ascii="Times New Roman"/>
                <w:spacing w:val="-1"/>
                <w:sz w:val="21"/>
              </w:rPr>
              <w:t>712,443,564.32</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57,446,600.28</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3"/>
              <w:jc w:val="right"/>
              <w:rPr>
                <w:rFonts w:ascii="Times New Roman" w:hAnsi="Times New Roman" w:cs="Times New Roman" w:eastAsia="Times New Roman" w:hint="default"/>
                <w:sz w:val="21"/>
                <w:szCs w:val="21"/>
              </w:rPr>
            </w:pPr>
            <w:r>
              <w:rPr>
                <w:rFonts w:ascii="Times New Roman"/>
                <w:spacing w:val="-1"/>
                <w:sz w:val="21"/>
              </w:rPr>
              <w:t>15,732,668.62</w:t>
            </w:r>
          </w:p>
        </w:tc>
      </w:tr>
      <w:tr>
        <w:trPr>
          <w:trHeight w:val="324"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w w:val="100"/>
                <w:sz w:val="21"/>
              </w:rPr>
              <w:t>-</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w w:val="100"/>
                <w:sz w:val="21"/>
              </w:rPr>
              <w:t>-</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69,204,233.82</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64,084,066.25</w:t>
            </w:r>
          </w:p>
        </w:tc>
      </w:tr>
      <w:tr>
        <w:trPr>
          <w:trHeight w:val="326"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400,921,665.23</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418,042,293.70</w:t>
            </w:r>
          </w:p>
        </w:tc>
      </w:tr>
      <w:tr>
        <w:trPr>
          <w:trHeight w:val="562"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1,862,496,726.48</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1,705,521,727.65</w:t>
            </w:r>
          </w:p>
        </w:tc>
      </w:tr>
      <w:tr>
        <w:trPr>
          <w:trHeight w:val="559"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负债和所有者权益（或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3,409,060,611.87</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2,804,211,444.14</w:t>
            </w:r>
          </w:p>
        </w:tc>
      </w:tr>
    </w:tbl>
    <w:p>
      <w:pPr>
        <w:pStyle w:val="BodyText"/>
        <w:spacing w:line="240" w:lineRule="exact"/>
        <w:ind w:right="0"/>
        <w:jc w:val="left"/>
        <w:rPr>
          <w:rFonts w:ascii="宋体" w:hAnsi="宋体" w:cs="宋体" w:eastAsia="宋体" w:hint="default"/>
          <w:sz w:val="24"/>
          <w:szCs w:val="24"/>
        </w:rPr>
      </w:pPr>
      <w:r>
        <w:rPr/>
        <w:t>法定代表人：吴志雄    </w:t>
      </w:r>
      <w:r>
        <w:rPr>
          <w:rFonts w:ascii="宋体" w:hAnsi="宋体" w:cs="宋体" w:eastAsia="宋体" w:hint="default"/>
        </w:rPr>
      </w:r>
      <w:r>
        <w:rPr/>
        <w:t>主管会计工作负责人：陈平  </w:t>
      </w:r>
      <w:r>
        <w:rPr>
          <w:spacing w:val="100"/>
        </w:rPr>
        <w:t> </w:t>
      </w:r>
      <w:r>
        <w:rPr>
          <w:rFonts w:ascii="宋体" w:hAnsi="宋体" w:cs="宋体" w:eastAsia="宋体" w:hint="default"/>
          <w:spacing w:val="100"/>
        </w:rPr>
      </w:r>
      <w:r>
        <w:rPr/>
        <w:t>会计机构负责人：陈平</w:t>
      </w:r>
      <w:r>
        <w:rPr>
          <w:rFonts w:ascii="宋体" w:hAnsi="宋体" w:cs="宋体" w:eastAsia="宋体" w:hint="default"/>
          <w:sz w:val="24"/>
          <w:szCs w:val="24"/>
        </w:rPr>
        <w:t> </w:t>
      </w:r>
    </w:p>
    <w:p>
      <w:pPr>
        <w:pStyle w:val="BodyText"/>
        <w:spacing w:line="269" w:lineRule="exact"/>
        <w:ind w:right="0"/>
        <w:jc w:val="left"/>
        <w:rPr>
          <w:rFonts w:ascii="宋体" w:hAnsi="宋体" w:cs="宋体" w:eastAsia="宋体" w:hint="default"/>
        </w:rPr>
      </w:pPr>
      <w:r>
        <w:rPr>
          <w:rFonts w:ascii="宋体"/>
          <w:w w:val="100"/>
        </w:rPr>
        <w:t> </w:t>
      </w:r>
    </w:p>
    <w:p>
      <w:pPr>
        <w:pStyle w:val="Heading3"/>
        <w:spacing w:line="310" w:lineRule="exact"/>
        <w:ind w:left="218" w:right="0"/>
        <w:jc w:val="left"/>
      </w:pPr>
      <w:r>
        <w:rPr>
          <w:color w:val="FF0000"/>
        </w:rPr>
        <w:t> </w:t>
      </w:r>
      <w:r>
        <w:rPr/>
      </w:r>
    </w:p>
    <w:p>
      <w:pPr>
        <w:spacing w:after="0" w:line="310" w:lineRule="exact"/>
        <w:jc w:val="left"/>
        <w:sectPr>
          <w:pgSz w:w="11910" w:h="16840"/>
          <w:pgMar w:header="852" w:footer="979" w:top="1120" w:bottom="1160" w:left="1580" w:right="1040"/>
        </w:sectPr>
      </w:pPr>
    </w:p>
    <w:p>
      <w:pPr>
        <w:pStyle w:val="Heading4"/>
        <w:spacing w:line="240" w:lineRule="auto"/>
        <w:ind w:left="0" w:right="365"/>
        <w:jc w:val="right"/>
        <w:rPr>
          <w:b w:val="0"/>
          <w:bCs w:val="0"/>
        </w:rPr>
      </w:pPr>
      <w:r>
        <w:rPr/>
        <w:t>合并利润表</w:t>
      </w:r>
      <w:r>
        <w:rPr>
          <w:b w:val="0"/>
          <w:bCs w:val="0"/>
        </w:rPr>
      </w:r>
    </w:p>
    <w:p>
      <w:pPr>
        <w:pStyle w:val="BodyText"/>
        <w:spacing w:line="240" w:lineRule="auto" w:before="50"/>
        <w:ind w:left="0" w:right="0"/>
        <w:jc w:val="right"/>
        <w:rPr>
          <w:rFonts w:ascii="宋体" w:hAnsi="宋体" w:cs="宋体" w:eastAsia="宋体" w:hint="default"/>
          <w:sz w:val="24"/>
          <w:szCs w:val="24"/>
        </w:rPr>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sz w:val="24"/>
          <w:szCs w:val="24"/>
        </w:rPr>
        <w:t>月</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
        <w:rPr>
          <w:rFonts w:ascii="宋体" w:hAnsi="宋体" w:cs="宋体" w:eastAsia="宋体" w:hint="default"/>
          <w:b/>
          <w:bCs/>
          <w:sz w:val="30"/>
          <w:szCs w:val="30"/>
        </w:rPr>
      </w:pPr>
    </w:p>
    <w:p>
      <w:pPr>
        <w:pStyle w:val="BodyText"/>
        <w:spacing w:line="240" w:lineRule="auto"/>
        <w:ind w:left="1380" w:right="0"/>
        <w:jc w:val="left"/>
        <w:rPr>
          <w:rFonts w:ascii="宋体" w:hAnsi="宋体" w:cs="宋体" w:eastAsia="宋体" w:hint="default"/>
          <w:sz w:val="24"/>
          <w:szCs w:val="24"/>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580" w:right="1040"/>
          <w:cols w:num="2" w:equalWidth="0">
            <w:col w:w="5531" w:space="40"/>
            <w:col w:w="371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1311"/>
        <w:gridCol w:w="2326"/>
        <w:gridCol w:w="1892"/>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1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9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41" w:right="0"/>
              <w:jc w:val="left"/>
              <w:rPr>
                <w:rFonts w:ascii="Times New Roman" w:hAnsi="Times New Roman" w:cs="Times New Roman" w:eastAsia="Times New Roman" w:hint="default"/>
                <w:sz w:val="21"/>
                <w:szCs w:val="21"/>
              </w:rPr>
            </w:pPr>
            <w:r>
              <w:rPr>
                <w:rFonts w:ascii="Times New Roman"/>
                <w:sz w:val="21"/>
              </w:rPr>
              <w:t>1,379,258,881.22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63" w:right="0"/>
              <w:jc w:val="left"/>
              <w:rPr>
                <w:rFonts w:ascii="Times New Roman" w:hAnsi="Times New Roman" w:cs="Times New Roman" w:eastAsia="Times New Roman" w:hint="default"/>
                <w:sz w:val="21"/>
                <w:szCs w:val="21"/>
              </w:rPr>
            </w:pPr>
            <w:r>
              <w:rPr>
                <w:rFonts w:ascii="Times New Roman"/>
                <w:sz w:val="21"/>
              </w:rPr>
              <w:t>979,043,905.27</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41" w:right="0"/>
              <w:jc w:val="left"/>
              <w:rPr>
                <w:rFonts w:ascii="Times New Roman" w:hAnsi="Times New Roman" w:cs="Times New Roman" w:eastAsia="Times New Roman" w:hint="default"/>
                <w:sz w:val="21"/>
                <w:szCs w:val="21"/>
              </w:rPr>
            </w:pPr>
            <w:r>
              <w:rPr>
                <w:rFonts w:ascii="Times New Roman"/>
                <w:sz w:val="21"/>
              </w:rPr>
              <w:t>1,379,258,881.22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63" w:right="0"/>
              <w:jc w:val="left"/>
              <w:rPr>
                <w:rFonts w:ascii="Times New Roman" w:hAnsi="Times New Roman" w:cs="Times New Roman" w:eastAsia="Times New Roman" w:hint="default"/>
                <w:sz w:val="21"/>
                <w:szCs w:val="21"/>
              </w:rPr>
            </w:pPr>
            <w:r>
              <w:rPr>
                <w:rFonts w:ascii="Times New Roman"/>
                <w:sz w:val="21"/>
              </w:rPr>
              <w:t>979,043,905.27</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0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483"/>
        <w:gridCol w:w="1311"/>
        <w:gridCol w:w="2326"/>
        <w:gridCol w:w="1892"/>
      </w:tblGrid>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1,130,789,041.20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63" w:right="0"/>
              <w:jc w:val="left"/>
              <w:rPr>
                <w:rFonts w:ascii="Times New Roman" w:hAnsi="Times New Roman" w:cs="Times New Roman" w:eastAsia="Times New Roman" w:hint="default"/>
                <w:sz w:val="21"/>
                <w:szCs w:val="21"/>
              </w:rPr>
            </w:pPr>
            <w:r>
              <w:rPr>
                <w:rFonts w:ascii="Times New Roman"/>
                <w:sz w:val="21"/>
              </w:rPr>
              <w:t>780,208,108.73</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803,864,541.42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63" w:right="0"/>
              <w:jc w:val="left"/>
              <w:rPr>
                <w:rFonts w:ascii="Times New Roman" w:hAnsi="Times New Roman" w:cs="Times New Roman" w:eastAsia="Times New Roman" w:hint="default"/>
                <w:sz w:val="21"/>
                <w:szCs w:val="21"/>
              </w:rPr>
            </w:pPr>
            <w:r>
              <w:rPr>
                <w:rFonts w:ascii="Times New Roman"/>
                <w:sz w:val="21"/>
              </w:rPr>
              <w:t>535,668,213.24</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1"/>
                <w:szCs w:val="21"/>
              </w:rPr>
            </w:pPr>
            <w:r>
              <w:rPr>
                <w:rFonts w:ascii="Times New Roman"/>
                <w:spacing w:val="-1"/>
                <w:sz w:val="21"/>
              </w:rPr>
              <w:t>7,324,649.82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74" w:right="0"/>
              <w:jc w:val="left"/>
              <w:rPr>
                <w:rFonts w:ascii="Times New Roman" w:hAnsi="Times New Roman" w:cs="Times New Roman" w:eastAsia="Times New Roman" w:hint="default"/>
                <w:sz w:val="21"/>
                <w:szCs w:val="21"/>
              </w:rPr>
            </w:pPr>
            <w:r>
              <w:rPr>
                <w:rFonts w:ascii="Times New Roman"/>
                <w:sz w:val="21"/>
              </w:rPr>
              <w:t>9,582,598.24</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92,336,341.88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69" w:right="0"/>
              <w:jc w:val="left"/>
              <w:rPr>
                <w:rFonts w:ascii="Times New Roman" w:hAnsi="Times New Roman" w:cs="Times New Roman" w:eastAsia="Times New Roman" w:hint="default"/>
                <w:sz w:val="21"/>
                <w:szCs w:val="21"/>
              </w:rPr>
            </w:pPr>
            <w:r>
              <w:rPr>
                <w:rFonts w:ascii="Times New Roman"/>
                <w:sz w:val="21"/>
              </w:rPr>
              <w:t>56,974,256.64</w:t>
            </w:r>
          </w:p>
        </w:tc>
      </w:tr>
      <w:tr>
        <w:trPr>
          <w:trHeight w:val="31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165,007,130.17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63" w:right="0"/>
              <w:jc w:val="left"/>
              <w:rPr>
                <w:rFonts w:ascii="Times New Roman" w:hAnsi="Times New Roman" w:cs="Times New Roman" w:eastAsia="Times New Roman" w:hint="default"/>
                <w:sz w:val="21"/>
                <w:szCs w:val="21"/>
              </w:rPr>
            </w:pPr>
            <w:r>
              <w:rPr>
                <w:rFonts w:ascii="Times New Roman"/>
                <w:sz w:val="21"/>
              </w:rPr>
              <w:t>134,915,189.08</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75,063,537.48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69" w:right="0"/>
              <w:jc w:val="left"/>
              <w:rPr>
                <w:rFonts w:ascii="Times New Roman" w:hAnsi="Times New Roman" w:cs="Times New Roman" w:eastAsia="Times New Roman" w:hint="default"/>
                <w:sz w:val="21"/>
                <w:szCs w:val="21"/>
              </w:rPr>
            </w:pPr>
            <w:r>
              <w:rPr>
                <w:rFonts w:ascii="Times New Roman"/>
                <w:sz w:val="21"/>
              </w:rPr>
              <w:t>45,779,686.48</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-12,807,159.57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02" w:right="0"/>
              <w:jc w:val="left"/>
              <w:rPr>
                <w:rFonts w:ascii="Times New Roman" w:hAnsi="Times New Roman" w:cs="Times New Roman" w:eastAsia="Times New Roman" w:hint="default"/>
                <w:sz w:val="21"/>
                <w:szCs w:val="21"/>
              </w:rPr>
            </w:pPr>
            <w:r>
              <w:rPr>
                <w:rFonts w:ascii="Times New Roman"/>
                <w:sz w:val="21"/>
              </w:rPr>
              <w:t>-2,711,834.95</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19,625,496.55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69" w:right="0"/>
              <w:jc w:val="left"/>
              <w:rPr>
                <w:rFonts w:ascii="Times New Roman" w:hAnsi="Times New Roman" w:cs="Times New Roman" w:eastAsia="Times New Roman" w:hint="default"/>
                <w:sz w:val="21"/>
                <w:szCs w:val="21"/>
              </w:rPr>
            </w:pPr>
            <w:r>
              <w:rPr>
                <w:rFonts w:ascii="Times New Roman"/>
                <w:sz w:val="21"/>
              </w:rPr>
              <w:t>13,895,326.24</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33,473,301.05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69" w:right="0"/>
              <w:jc w:val="left"/>
              <w:rPr>
                <w:rFonts w:ascii="Times New Roman" w:hAnsi="Times New Roman" w:cs="Times New Roman" w:eastAsia="Times New Roman" w:hint="default"/>
                <w:sz w:val="21"/>
                <w:szCs w:val="21"/>
              </w:rPr>
            </w:pPr>
            <w:r>
              <w:rPr>
                <w:rFonts w:ascii="Times New Roman"/>
                <w:sz w:val="21"/>
              </w:rPr>
              <w:t>17,011,887.53</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14,970,212.70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69" w:right="0"/>
              <w:jc w:val="left"/>
              <w:rPr>
                <w:rFonts w:ascii="Times New Roman" w:hAnsi="Times New Roman" w:cs="Times New Roman" w:eastAsia="Times New Roman" w:hint="default"/>
                <w:sz w:val="21"/>
                <w:szCs w:val="21"/>
              </w:rPr>
            </w:pPr>
            <w:r>
              <w:rPr>
                <w:rFonts w:ascii="Times New Roman"/>
                <w:sz w:val="21"/>
              </w:rPr>
              <w:t>20,114,008.08</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3,685,302.21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69" w:right="0"/>
              <w:jc w:val="left"/>
              <w:rPr>
                <w:rFonts w:ascii="Times New Roman" w:hAnsi="Times New Roman" w:cs="Times New Roman" w:eastAsia="Times New Roman" w:hint="default"/>
                <w:sz w:val="21"/>
                <w:szCs w:val="21"/>
              </w:rPr>
            </w:pPr>
            <w:r>
              <w:rPr>
                <w:rFonts w:ascii="Times New Roman"/>
                <w:sz w:val="21"/>
              </w:rPr>
              <w:t>12,431,018.98</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97"/>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联</w:t>
            </w:r>
            <w:r>
              <w:rPr>
                <w:rFonts w:ascii="宋体" w:hAnsi="宋体" w:cs="宋体" w:eastAsia="宋体" w:hint="default"/>
                <w:w w:val="100"/>
                <w:sz w:val="21"/>
                <w:szCs w:val="21"/>
              </w:rPr>
              <w:t>营</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和</w:t>
            </w:r>
            <w:r>
              <w:rPr>
                <w:rFonts w:ascii="宋体" w:hAnsi="宋体" w:cs="宋体" w:eastAsia="宋体" w:hint="default"/>
                <w:w w:val="100"/>
                <w:sz w:val="21"/>
                <w:szCs w:val="21"/>
              </w:rPr>
              <w:t>合</w:t>
            </w:r>
            <w:r>
              <w:rPr>
                <w:rFonts w:ascii="宋体" w:hAnsi="宋体" w:cs="宋体" w:eastAsia="宋体" w:hint="default"/>
                <w:spacing w:val="-3"/>
                <w:w w:val="100"/>
                <w:sz w:val="21"/>
                <w:szCs w:val="21"/>
              </w:rPr>
              <w:t>营企</w:t>
            </w:r>
            <w:r>
              <w:rPr>
                <w:rFonts w:ascii="宋体" w:hAnsi="宋体" w:cs="宋体" w:eastAsia="宋体" w:hint="default"/>
                <w:w w:val="100"/>
                <w:sz w:val="21"/>
                <w:szCs w:val="21"/>
              </w:rPr>
              <w:t>业的</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4,924,983.20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30" w:right="0"/>
              <w:jc w:val="left"/>
              <w:rPr>
                <w:rFonts w:ascii="Times New Roman" w:hAnsi="Times New Roman" w:cs="Times New Roman" w:eastAsia="Times New Roman" w:hint="default"/>
                <w:sz w:val="21"/>
                <w:szCs w:val="21"/>
              </w:rPr>
            </w:pPr>
            <w:r>
              <w:rPr>
                <w:rFonts w:ascii="Times New Roman"/>
                <w:sz w:val="21"/>
              </w:rPr>
              <w:t>228,688.21</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以摊余成本计量的金融资产终止确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认收益</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净敞口套期收益（损失以</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号填列）</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公允价值变动收益（损失以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3,000,000.00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674" w:right="0"/>
              <w:jc w:val="left"/>
              <w:rPr>
                <w:rFonts w:ascii="Times New Roman" w:hAnsi="Times New Roman" w:cs="Times New Roman" w:eastAsia="Times New Roman" w:hint="default"/>
                <w:sz w:val="21"/>
                <w:szCs w:val="21"/>
              </w:rPr>
            </w:pPr>
            <w:r>
              <w:rPr>
                <w:rFonts w:ascii="Times New Roman"/>
                <w:sz w:val="21"/>
              </w:rPr>
              <w:t>3,289,240.73</w:t>
            </w:r>
          </w:p>
        </w:tc>
      </w:tr>
      <w:tr>
        <w:trPr>
          <w:trHeight w:val="31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-18,432,168.93</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-824,135.26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99" w:right="0"/>
              <w:jc w:val="left"/>
              <w:rPr>
                <w:rFonts w:ascii="Times New Roman" w:hAnsi="Times New Roman" w:cs="Times New Roman" w:eastAsia="Times New Roman" w:hint="default"/>
                <w:sz w:val="21"/>
                <w:szCs w:val="21"/>
              </w:rPr>
            </w:pPr>
            <w:r>
              <w:rPr>
                <w:rFonts w:ascii="Times New Roman"/>
                <w:sz w:val="21"/>
              </w:rPr>
              <w:t>-17,759,912.50</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708,997.90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42" w:right="0"/>
              <w:jc w:val="left"/>
              <w:rPr>
                <w:rFonts w:ascii="Times New Roman" w:hAnsi="Times New Roman" w:cs="Times New Roman" w:eastAsia="Times New Roman" w:hint="default"/>
                <w:sz w:val="21"/>
                <w:szCs w:val="21"/>
              </w:rPr>
            </w:pPr>
            <w:r>
              <w:rPr>
                <w:rFonts w:ascii="Times New Roman"/>
                <w:sz w:val="21"/>
              </w:rPr>
              <w:t>3,603.94</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251,578,048.64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63" w:right="0"/>
              <w:jc w:val="left"/>
              <w:rPr>
                <w:rFonts w:ascii="Times New Roman" w:hAnsi="Times New Roman" w:cs="Times New Roman" w:eastAsia="Times New Roman" w:hint="default"/>
                <w:sz w:val="21"/>
                <w:szCs w:val="21"/>
              </w:rPr>
            </w:pPr>
            <w:r>
              <w:rPr>
                <w:rFonts w:ascii="Times New Roman"/>
                <w:sz w:val="21"/>
              </w:rPr>
              <w:t>216,913,755.77</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7,301,536.00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74" w:right="0"/>
              <w:jc w:val="left"/>
              <w:rPr>
                <w:rFonts w:ascii="Times New Roman" w:hAnsi="Times New Roman" w:cs="Times New Roman" w:eastAsia="Times New Roman" w:hint="default"/>
                <w:sz w:val="21"/>
                <w:szCs w:val="21"/>
              </w:rPr>
            </w:pPr>
            <w:r>
              <w:rPr>
                <w:rFonts w:ascii="Times New Roman"/>
                <w:sz w:val="21"/>
              </w:rPr>
              <w:t>3,260,862.70</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3,305,325.79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74" w:right="0"/>
              <w:jc w:val="left"/>
              <w:rPr>
                <w:rFonts w:ascii="Times New Roman" w:hAnsi="Times New Roman" w:cs="Times New Roman" w:eastAsia="Times New Roman" w:hint="default"/>
                <w:sz w:val="21"/>
                <w:szCs w:val="21"/>
              </w:rPr>
            </w:pPr>
            <w:r>
              <w:rPr>
                <w:rFonts w:ascii="Times New Roman"/>
                <w:sz w:val="21"/>
              </w:rPr>
              <w:t>1,735,924.56</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255,574,258.85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63" w:right="0"/>
              <w:jc w:val="left"/>
              <w:rPr>
                <w:rFonts w:ascii="Times New Roman" w:hAnsi="Times New Roman" w:cs="Times New Roman" w:eastAsia="Times New Roman" w:hint="default"/>
                <w:sz w:val="21"/>
                <w:szCs w:val="21"/>
              </w:rPr>
            </w:pPr>
            <w:r>
              <w:rPr>
                <w:rFonts w:ascii="Times New Roman"/>
                <w:sz w:val="21"/>
              </w:rPr>
              <w:t>218,438,693.91</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30,271,951.92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69" w:right="0"/>
              <w:jc w:val="left"/>
              <w:rPr>
                <w:rFonts w:ascii="Times New Roman" w:hAnsi="Times New Roman" w:cs="Times New Roman" w:eastAsia="Times New Roman" w:hint="default"/>
                <w:sz w:val="21"/>
                <w:szCs w:val="21"/>
              </w:rPr>
            </w:pPr>
            <w:r>
              <w:rPr>
                <w:rFonts w:ascii="Times New Roman"/>
                <w:sz w:val="21"/>
              </w:rPr>
              <w:t>48,596,294.24</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225,302,306.93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63" w:right="0"/>
              <w:jc w:val="left"/>
              <w:rPr>
                <w:rFonts w:ascii="Times New Roman" w:hAnsi="Times New Roman" w:cs="Times New Roman" w:eastAsia="Times New Roman" w:hint="default"/>
                <w:sz w:val="21"/>
                <w:szCs w:val="21"/>
              </w:rPr>
            </w:pPr>
            <w:r>
              <w:rPr>
                <w:rFonts w:ascii="Times New Roman"/>
                <w:sz w:val="21"/>
              </w:rPr>
              <w:t>169,842,399.67</w:t>
            </w:r>
          </w:p>
        </w:tc>
      </w:tr>
      <w:tr>
        <w:trPr>
          <w:trHeight w:val="281" w:hRule="exact"/>
        </w:trPr>
        <w:tc>
          <w:tcPr>
            <w:tcW w:w="90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持续经营净利润（净亏损以</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225,302,306.93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63" w:right="0"/>
              <w:jc w:val="left"/>
              <w:rPr>
                <w:rFonts w:ascii="Times New Roman" w:hAnsi="Times New Roman" w:cs="Times New Roman" w:eastAsia="Times New Roman" w:hint="default"/>
                <w:sz w:val="21"/>
                <w:szCs w:val="21"/>
              </w:rPr>
            </w:pPr>
            <w:r>
              <w:rPr>
                <w:rFonts w:ascii="Times New Roman"/>
                <w:sz w:val="21"/>
              </w:rPr>
              <w:t>169,842,399.67</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终止经营净利润（净亏损以</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283" w:hRule="exact"/>
        </w:trPr>
        <w:tc>
          <w:tcPr>
            <w:tcW w:w="90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归属于母公司股东的净利润</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213,534,967.18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63" w:right="0"/>
              <w:jc w:val="left"/>
              <w:rPr>
                <w:rFonts w:ascii="Times New Roman" w:hAnsi="Times New Roman" w:cs="Times New Roman" w:eastAsia="Times New Roman" w:hint="default"/>
                <w:sz w:val="21"/>
                <w:szCs w:val="21"/>
              </w:rPr>
            </w:pPr>
            <w:r>
              <w:rPr>
                <w:rFonts w:ascii="Times New Roman"/>
                <w:sz w:val="21"/>
              </w:rPr>
              <w:t>172,523,315.83</w:t>
            </w:r>
          </w:p>
        </w:tc>
      </w:tr>
    </w:tbl>
    <w:p>
      <w:pPr>
        <w:spacing w:after="0" w:line="240" w:lineRule="auto"/>
        <w:jc w:val="left"/>
        <w:rPr>
          <w:rFonts w:ascii="Times New Roman" w:hAnsi="Times New Roman" w:cs="Times New Roman" w:eastAsia="Times New Roman" w:hint="default"/>
          <w:sz w:val="21"/>
          <w:szCs w:val="21"/>
        </w:rPr>
        <w:sectPr>
          <w:pgSz w:w="11910" w:h="16840"/>
          <w:pgMar w:header="852" w:footer="979" w:top="1120" w:bottom="1160" w:left="1580" w:right="10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483"/>
        <w:gridCol w:w="1311"/>
        <w:gridCol w:w="2326"/>
        <w:gridCol w:w="1892"/>
      </w:tblGrid>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311"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少数股东损益（净亏损以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11,767,339.75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02" w:right="0"/>
              <w:jc w:val="left"/>
              <w:rPr>
                <w:rFonts w:ascii="Times New Roman" w:hAnsi="Times New Roman" w:cs="Times New Roman" w:eastAsia="Times New Roman" w:hint="default"/>
                <w:sz w:val="21"/>
                <w:szCs w:val="21"/>
              </w:rPr>
            </w:pPr>
            <w:r>
              <w:rPr>
                <w:rFonts w:ascii="Times New Roman"/>
                <w:sz w:val="21"/>
              </w:rPr>
              <w:t>-2,680,916.16</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7"/>
                <w:w w:val="100"/>
                <w:sz w:val="21"/>
                <w:szCs w:val="21"/>
              </w:rPr>
              <w:t>）</w:t>
            </w:r>
            <w:r>
              <w:rPr>
                <w:rFonts w:ascii="宋体" w:hAnsi="宋体" w:cs="宋体" w:eastAsia="宋体" w:hint="default"/>
                <w:w w:val="100"/>
                <w:sz w:val="21"/>
                <w:szCs w:val="21"/>
              </w:rPr>
              <w:t>归</w:t>
            </w:r>
            <w:r>
              <w:rPr>
                <w:rFonts w:ascii="宋体" w:hAnsi="宋体" w:cs="宋体" w:eastAsia="宋体" w:hint="default"/>
                <w:spacing w:val="-3"/>
                <w:w w:val="100"/>
                <w:sz w:val="21"/>
                <w:szCs w:val="21"/>
              </w:rPr>
              <w:t>属</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者的</w:t>
            </w:r>
            <w:r>
              <w:rPr>
                <w:rFonts w:ascii="宋体" w:hAnsi="宋体" w:cs="宋体" w:eastAsia="宋体" w:hint="default"/>
                <w:w w:val="100"/>
                <w:sz w:val="21"/>
                <w:szCs w:val="21"/>
              </w:rPr>
              <w:t>其他</w:t>
            </w:r>
            <w:r>
              <w:rPr>
                <w:rFonts w:ascii="宋体" w:hAnsi="宋体" w:cs="宋体" w:eastAsia="宋体" w:hint="default"/>
                <w:spacing w:val="-3"/>
                <w:w w:val="100"/>
                <w:sz w:val="21"/>
                <w:szCs w:val="21"/>
              </w:rPr>
              <w:t>综</w:t>
            </w:r>
            <w:r>
              <w:rPr>
                <w:rFonts w:ascii="宋体" w:hAnsi="宋体" w:cs="宋体" w:eastAsia="宋体" w:hint="default"/>
                <w:w w:val="100"/>
                <w:sz w:val="21"/>
                <w:szCs w:val="21"/>
              </w:rPr>
              <w:t>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．不能重分类进损益的其他综</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）权益法下不能转损益的其他综</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）其他权益工具投资公允价值变</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动</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）企业自身信用风险公允价值变</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动</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5"/>
              <w:jc w:val="right"/>
              <w:rPr>
                <w:rFonts w:ascii="宋体" w:hAnsi="宋体" w:cs="宋体" w:eastAsia="宋体" w:hint="default"/>
                <w:sz w:val="24"/>
                <w:szCs w:val="24"/>
              </w:rPr>
            </w:pPr>
            <w:r>
              <w:rPr>
                <w:rFonts w:ascii="宋体"/>
                <w:sz w:val="24"/>
              </w:rPr>
              <w:t> </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．将重分类进损益的其他综合</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8"/>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）其他债权投资公允价值变动</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）可供出售金融资产公允价值</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）金融资产重分类计入其他综</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）持有至到期投资重分类为可</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8"/>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）其他债权投资信用减值准备</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）现金流量套期储备（现金流</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6"/>
                <w:w w:val="100"/>
                <w:sz w:val="21"/>
                <w:szCs w:val="21"/>
              </w:rPr>
              <w:t>）</w:t>
            </w:r>
            <w:r>
              <w:rPr>
                <w:rFonts w:ascii="宋体" w:hAnsi="宋体" w:cs="宋体" w:eastAsia="宋体" w:hint="default"/>
                <w:w w:val="100"/>
                <w:sz w:val="21"/>
                <w:szCs w:val="21"/>
              </w:rPr>
              <w:t>归</w:t>
            </w:r>
            <w:r>
              <w:rPr>
                <w:rFonts w:ascii="宋体" w:hAnsi="宋体" w:cs="宋体" w:eastAsia="宋体" w:hint="default"/>
                <w:spacing w:val="-3"/>
                <w:w w:val="100"/>
                <w:sz w:val="21"/>
                <w:szCs w:val="21"/>
              </w:rPr>
              <w:t>属</w:t>
            </w:r>
            <w:r>
              <w:rPr>
                <w:rFonts w:ascii="宋体" w:hAnsi="宋体" w:cs="宋体" w:eastAsia="宋体" w:hint="default"/>
                <w:w w:val="100"/>
                <w:sz w:val="21"/>
                <w:szCs w:val="21"/>
              </w:rPr>
              <w:t>于</w:t>
            </w:r>
            <w:r>
              <w:rPr>
                <w:rFonts w:ascii="宋体" w:hAnsi="宋体" w:cs="宋体" w:eastAsia="宋体" w:hint="default"/>
                <w:spacing w:val="-3"/>
                <w:w w:val="100"/>
                <w:sz w:val="21"/>
                <w:szCs w:val="21"/>
              </w:rPr>
              <w:t>少</w:t>
            </w:r>
            <w:r>
              <w:rPr>
                <w:rFonts w:ascii="宋体" w:hAnsi="宋体" w:cs="宋体" w:eastAsia="宋体" w:hint="default"/>
                <w:w w:val="100"/>
                <w:sz w:val="21"/>
                <w:szCs w:val="21"/>
              </w:rPr>
              <w:t>数</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的其</w:t>
            </w:r>
            <w:r>
              <w:rPr>
                <w:rFonts w:ascii="宋体" w:hAnsi="宋体" w:cs="宋体" w:eastAsia="宋体" w:hint="default"/>
                <w:w w:val="100"/>
                <w:sz w:val="21"/>
                <w:szCs w:val="21"/>
              </w:rPr>
              <w:t>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225,302,306.93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63" w:right="0"/>
              <w:jc w:val="left"/>
              <w:rPr>
                <w:rFonts w:ascii="Times New Roman" w:hAnsi="Times New Roman" w:cs="Times New Roman" w:eastAsia="Times New Roman" w:hint="default"/>
                <w:sz w:val="21"/>
                <w:szCs w:val="21"/>
              </w:rPr>
            </w:pPr>
            <w:r>
              <w:rPr>
                <w:rFonts w:ascii="Times New Roman"/>
                <w:sz w:val="21"/>
              </w:rPr>
              <w:t>169,842,399.67</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7"/>
                <w:w w:val="100"/>
                <w:sz w:val="21"/>
                <w:szCs w:val="21"/>
              </w:rPr>
              <w:t>）</w:t>
            </w:r>
            <w:r>
              <w:rPr>
                <w:rFonts w:ascii="宋体" w:hAnsi="宋体" w:cs="宋体" w:eastAsia="宋体" w:hint="default"/>
                <w:w w:val="100"/>
                <w:sz w:val="21"/>
                <w:szCs w:val="21"/>
              </w:rPr>
              <w:t>归</w:t>
            </w:r>
            <w:r>
              <w:rPr>
                <w:rFonts w:ascii="宋体" w:hAnsi="宋体" w:cs="宋体" w:eastAsia="宋体" w:hint="default"/>
                <w:spacing w:val="-3"/>
                <w:w w:val="100"/>
                <w:sz w:val="21"/>
                <w:szCs w:val="21"/>
              </w:rPr>
              <w:t>属</w:t>
            </w:r>
            <w:r>
              <w:rPr>
                <w:rFonts w:ascii="宋体" w:hAnsi="宋体" w:cs="宋体" w:eastAsia="宋体" w:hint="default"/>
                <w:w w:val="100"/>
                <w:sz w:val="21"/>
                <w:szCs w:val="21"/>
              </w:rPr>
              <w:t>于</w:t>
            </w:r>
            <w:r>
              <w:rPr>
                <w:rFonts w:ascii="宋体" w:hAnsi="宋体" w:cs="宋体" w:eastAsia="宋体" w:hint="default"/>
                <w:spacing w:val="-3"/>
                <w:w w:val="100"/>
                <w:sz w:val="21"/>
                <w:szCs w:val="21"/>
              </w:rPr>
              <w:t>母</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所</w:t>
            </w:r>
            <w:r>
              <w:rPr>
                <w:rFonts w:ascii="宋体" w:hAnsi="宋体" w:cs="宋体" w:eastAsia="宋体" w:hint="default"/>
                <w:spacing w:val="-3"/>
                <w:w w:val="100"/>
                <w:sz w:val="21"/>
                <w:szCs w:val="21"/>
              </w:rPr>
              <w:t>有者</w:t>
            </w:r>
            <w:r>
              <w:rPr>
                <w:rFonts w:ascii="宋体" w:hAnsi="宋体" w:cs="宋体" w:eastAsia="宋体" w:hint="default"/>
                <w:w w:val="100"/>
                <w:sz w:val="21"/>
                <w:szCs w:val="21"/>
              </w:rPr>
              <w:t>的综</w:t>
            </w:r>
            <w:r>
              <w:rPr>
                <w:rFonts w:ascii="宋体" w:hAnsi="宋体" w:cs="宋体" w:eastAsia="宋体" w:hint="default"/>
                <w:spacing w:val="-3"/>
                <w:w w:val="100"/>
                <w:sz w:val="21"/>
                <w:szCs w:val="21"/>
              </w:rPr>
              <w:t>合</w:t>
            </w:r>
            <w:r>
              <w:rPr>
                <w:rFonts w:ascii="宋体" w:hAnsi="宋体" w:cs="宋体" w:eastAsia="宋体" w:hint="default"/>
                <w:w w:val="100"/>
                <w:sz w:val="21"/>
                <w:szCs w:val="21"/>
              </w:rPr>
              <w:t>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益总额</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213,534,967.18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63" w:right="0"/>
              <w:jc w:val="left"/>
              <w:rPr>
                <w:rFonts w:ascii="Times New Roman" w:hAnsi="Times New Roman" w:cs="Times New Roman" w:eastAsia="Times New Roman" w:hint="default"/>
                <w:sz w:val="21"/>
                <w:szCs w:val="21"/>
              </w:rPr>
            </w:pPr>
            <w:r>
              <w:rPr>
                <w:rFonts w:ascii="Times New Roman"/>
                <w:sz w:val="21"/>
              </w:rPr>
              <w:t>172,523,315.83</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7"/>
                <w:w w:val="100"/>
                <w:sz w:val="21"/>
                <w:szCs w:val="21"/>
              </w:rPr>
              <w:t>）</w:t>
            </w:r>
            <w:r>
              <w:rPr>
                <w:rFonts w:ascii="宋体" w:hAnsi="宋体" w:cs="宋体" w:eastAsia="宋体" w:hint="default"/>
                <w:w w:val="100"/>
                <w:sz w:val="21"/>
                <w:szCs w:val="21"/>
              </w:rPr>
              <w:t>归</w:t>
            </w:r>
            <w:r>
              <w:rPr>
                <w:rFonts w:ascii="宋体" w:hAnsi="宋体" w:cs="宋体" w:eastAsia="宋体" w:hint="default"/>
                <w:spacing w:val="-3"/>
                <w:w w:val="100"/>
                <w:sz w:val="21"/>
                <w:szCs w:val="21"/>
              </w:rPr>
              <w:t>属</w:t>
            </w:r>
            <w:r>
              <w:rPr>
                <w:rFonts w:ascii="宋体" w:hAnsi="宋体" w:cs="宋体" w:eastAsia="宋体" w:hint="default"/>
                <w:w w:val="100"/>
                <w:sz w:val="21"/>
                <w:szCs w:val="21"/>
              </w:rPr>
              <w:t>于</w:t>
            </w:r>
            <w:r>
              <w:rPr>
                <w:rFonts w:ascii="宋体" w:hAnsi="宋体" w:cs="宋体" w:eastAsia="宋体" w:hint="default"/>
                <w:spacing w:val="-3"/>
                <w:w w:val="100"/>
                <w:sz w:val="21"/>
                <w:szCs w:val="21"/>
              </w:rPr>
              <w:t>少</w:t>
            </w:r>
            <w:r>
              <w:rPr>
                <w:rFonts w:ascii="宋体" w:hAnsi="宋体" w:cs="宋体" w:eastAsia="宋体" w:hint="default"/>
                <w:w w:val="100"/>
                <w:sz w:val="21"/>
                <w:szCs w:val="21"/>
              </w:rPr>
              <w:t>数</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的综</w:t>
            </w:r>
            <w:r>
              <w:rPr>
                <w:rFonts w:ascii="宋体" w:hAnsi="宋体" w:cs="宋体" w:eastAsia="宋体" w:hint="default"/>
                <w:w w:val="100"/>
                <w:sz w:val="21"/>
                <w:szCs w:val="21"/>
              </w:rPr>
              <w:t>合收</w:t>
            </w:r>
            <w:r>
              <w:rPr>
                <w:rFonts w:ascii="宋体" w:hAnsi="宋体" w:cs="宋体" w:eastAsia="宋体" w:hint="default"/>
                <w:spacing w:val="-3"/>
                <w:w w:val="100"/>
                <w:sz w:val="21"/>
                <w:szCs w:val="21"/>
              </w:rPr>
              <w:t>益</w:t>
            </w:r>
            <w:r>
              <w:rPr>
                <w:rFonts w:ascii="宋体" w:hAnsi="宋体" w:cs="宋体" w:eastAsia="宋体" w:hint="default"/>
                <w:w w:val="100"/>
                <w:sz w:val="21"/>
                <w:szCs w:val="21"/>
              </w:rPr>
              <w:t>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11,767,339.75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02" w:right="0"/>
              <w:jc w:val="left"/>
              <w:rPr>
                <w:rFonts w:ascii="Times New Roman" w:hAnsi="Times New Roman" w:cs="Times New Roman" w:eastAsia="Times New Roman" w:hint="default"/>
                <w:sz w:val="21"/>
                <w:szCs w:val="21"/>
              </w:rPr>
            </w:pPr>
            <w:r>
              <w:rPr>
                <w:rFonts w:ascii="Times New Roman"/>
                <w:sz w:val="21"/>
              </w:rPr>
              <w:t>-2,680,916.16</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z w:val="21"/>
              </w:rPr>
              <w:t>0.40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z w:val="21"/>
              </w:rPr>
              <w:t>0.35</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z w:val="21"/>
              </w:rPr>
              <w:t>0.39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z w:val="21"/>
              </w:rPr>
              <w:t>0.35</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spacing w:val="-3"/>
        </w:rPr>
        <w:t>本期发生同一控制下企业合并的，被合并方在合并前实现的净利润为：</w:t>
      </w:r>
      <w:r>
        <w:rPr>
          <w:rFonts w:ascii="宋体" w:hAnsi="宋体" w:cs="宋体" w:eastAsia="宋体" w:hint="default"/>
          <w:spacing w:val="-3"/>
        </w:rPr>
        <w:t>0</w:t>
      </w:r>
      <w:r>
        <w:rPr>
          <w:rFonts w:ascii="宋体" w:hAnsi="宋体" w:cs="宋体" w:eastAsia="宋体" w:hint="default"/>
          <w:spacing w:val="-19"/>
        </w:rPr>
        <w:t> </w:t>
      </w:r>
      <w:r>
        <w:rPr/>
        <w:t>元</w:t>
      </w:r>
      <w:r>
        <w:rPr>
          <w:rFonts w:ascii="宋体" w:hAnsi="宋体" w:cs="宋体" w:eastAsia="宋体" w:hint="default"/>
        </w:rPr>
        <w:t>,</w:t>
      </w:r>
      <w:r>
        <w:rPr/>
        <w:t>上期被合并方实现的</w:t>
      </w:r>
      <w:r>
        <w:rPr>
          <w:spacing w:val="-91"/>
        </w:rPr>
        <w:t> </w:t>
      </w:r>
      <w:r>
        <w:rPr>
          <w:spacing w:val="-91"/>
        </w:rPr>
      </w:r>
      <w:r>
        <w:rPr/>
        <w:t>净利润为： </w:t>
      </w:r>
      <w:r>
        <w:rPr>
          <w:rFonts w:ascii="宋体" w:hAnsi="宋体" w:cs="宋体" w:eastAsia="宋体" w:hint="default"/>
        </w:rPr>
        <w:t>0</w:t>
      </w:r>
      <w:r>
        <w:rPr>
          <w:rFonts w:ascii="宋体" w:hAnsi="宋体" w:cs="宋体" w:eastAsia="宋体" w:hint="default"/>
          <w:spacing w:val="-2"/>
        </w:rPr>
        <w:t> </w:t>
      </w:r>
      <w:r>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66" w:lineRule="exact"/>
        <w:ind w:right="0"/>
        <w:jc w:val="left"/>
        <w:rPr>
          <w:rFonts w:ascii="宋体" w:hAnsi="宋体" w:cs="宋体" w:eastAsia="宋体" w:hint="default"/>
          <w:sz w:val="24"/>
          <w:szCs w:val="24"/>
        </w:rPr>
      </w:pPr>
      <w:r>
        <w:rPr/>
        <w:t>法定代表人：吴志雄 </w:t>
      </w:r>
      <w:r>
        <w:rPr>
          <w:rFonts w:ascii="宋体" w:hAnsi="宋体" w:cs="宋体" w:eastAsia="宋体" w:hint="default"/>
        </w:rPr>
      </w:r>
      <w:r>
        <w:rPr/>
        <w:t>主管会计工作负责人：陈平</w:t>
      </w:r>
      <w:r>
        <w:rPr>
          <w:spacing w:val="-10"/>
        </w:rPr>
        <w:t> </w:t>
      </w:r>
      <w:r>
        <w:rPr>
          <w:rFonts w:ascii="宋体" w:hAnsi="宋体" w:cs="宋体" w:eastAsia="宋体" w:hint="default"/>
          <w:spacing w:val="-10"/>
        </w:rPr>
      </w:r>
      <w:r>
        <w:rPr/>
        <w:t>会计机构负责人：陈平</w:t>
      </w:r>
      <w:r>
        <w:rPr>
          <w:rFonts w:ascii="宋体" w:hAnsi="宋体" w:cs="宋体" w:eastAsia="宋体" w:hint="default"/>
          <w:sz w:val="24"/>
          <w:szCs w:val="24"/>
        </w:rPr>
        <w:t> </w:t>
      </w:r>
    </w:p>
    <w:p>
      <w:pPr>
        <w:pStyle w:val="Heading3"/>
        <w:spacing w:line="309" w:lineRule="exact"/>
        <w:ind w:left="218" w:right="0"/>
        <w:jc w:val="left"/>
      </w:pPr>
      <w:r>
        <w:rPr>
          <w:color w:val="FF0000"/>
        </w:rPr>
        <w:t> </w:t>
      </w:r>
      <w:r>
        <w:rPr/>
      </w:r>
    </w:p>
    <w:p>
      <w:pPr>
        <w:spacing w:after="0" w:line="309" w:lineRule="exact"/>
        <w:jc w:val="left"/>
        <w:sectPr>
          <w:pgSz w:w="11910" w:h="16840"/>
          <w:pgMar w:header="852" w:footer="979" w:top="1120" w:bottom="1160" w:left="1580" w:right="108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52" w:footer="979" w:top="1120" w:bottom="1160" w:left="1580" w:right="1040"/>
        </w:sectPr>
      </w:pPr>
    </w:p>
    <w:p>
      <w:pPr>
        <w:pStyle w:val="Heading4"/>
        <w:spacing w:line="240" w:lineRule="auto" w:before="36"/>
        <w:ind w:left="0" w:right="129"/>
        <w:jc w:val="right"/>
        <w:rPr>
          <w:b w:val="0"/>
          <w:bCs w:val="0"/>
        </w:rPr>
      </w:pPr>
      <w:r>
        <w:rPr/>
        <w:t>母公司利润表</w:t>
      </w:r>
      <w:r>
        <w:rPr>
          <w:b w:val="0"/>
          <w:bCs w:val="0"/>
        </w:rPr>
      </w:r>
    </w:p>
    <w:p>
      <w:pPr>
        <w:pStyle w:val="BodyText"/>
        <w:spacing w:line="240" w:lineRule="auto" w:before="59"/>
        <w:ind w:left="0" w:right="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5"/>
          <w:szCs w:val="25"/>
        </w:rPr>
      </w:pPr>
    </w:p>
    <w:p>
      <w:pPr>
        <w:pStyle w:val="BodyText"/>
        <w:spacing w:line="240" w:lineRule="auto"/>
        <w:ind w:left="1512" w:right="0"/>
        <w:jc w:val="left"/>
        <w:rPr>
          <w:rFonts w:ascii="宋体" w:hAnsi="宋体" w:cs="宋体" w:eastAsia="宋体" w:hint="default"/>
          <w:sz w:val="24"/>
          <w:szCs w:val="24"/>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sz w:val="24"/>
          <w:szCs w:val="24"/>
        </w:rPr>
        <w:t> </w:t>
      </w:r>
      <w:r>
        <w:rPr>
          <w:rFonts w:ascii="宋体" w:hAnsi="宋体" w:cs="宋体" w:eastAsia="宋体" w:hint="default"/>
          <w:sz w:val="24"/>
          <w:szCs w:val="24"/>
        </w:rPr>
      </w:r>
    </w:p>
    <w:p>
      <w:pPr>
        <w:spacing w:after="0" w:line="240" w:lineRule="auto"/>
        <w:jc w:val="left"/>
        <w:rPr>
          <w:rFonts w:ascii="宋体" w:hAnsi="宋体" w:cs="宋体" w:eastAsia="宋体" w:hint="default"/>
          <w:sz w:val="24"/>
          <w:szCs w:val="24"/>
        </w:rPr>
        <w:sectPr>
          <w:type w:val="continuous"/>
          <w:pgSz w:w="11910" w:h="16840"/>
          <w:pgMar w:top="1500" w:bottom="280" w:left="1580" w:right="1040"/>
          <w:cols w:num="2" w:equalWidth="0">
            <w:col w:w="5399" w:space="40"/>
            <w:col w:w="3851"/>
          </w:cols>
        </w:sectPr>
      </w:pP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5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5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4" w:right="0"/>
              <w:jc w:val="left"/>
              <w:rPr>
                <w:rFonts w:ascii="宋体" w:hAnsi="宋体" w:cs="宋体" w:eastAsia="宋体" w:hint="default"/>
                <w:sz w:val="24"/>
                <w:szCs w:val="24"/>
              </w:rPr>
            </w:pPr>
            <w:r>
              <w:rPr>
                <w:rFonts w:ascii="宋体" w:hAnsi="宋体" w:cs="宋体" w:eastAsia="宋体" w:hint="default"/>
                <w:sz w:val="24"/>
                <w:szCs w:val="24"/>
              </w:rPr>
              <w:t>一、营业收入</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1,127,034,966.38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846,762,517.59</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减：营业成本</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906,237,672.51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637,989,087.24</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税金及附加</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4,158,871.28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6,708,531.50</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销售费用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30,952,006.02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20,023,118.88</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管理费用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71,352,593.23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54,583,483.93</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30,284,189.88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24,481,662.51</w:t>
            </w:r>
          </w:p>
        </w:tc>
      </w:tr>
      <w:tr>
        <w:trPr>
          <w:trHeight w:val="319"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财务费用</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-11,811,012.85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-10,401,206.44</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4,529,139.07</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16,559,476.81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10,717,052.84</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11,378,376.74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17,019,991.82</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3,455,116.73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12,897,443.34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4,942,534.50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1,212,661.87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以摊余成本计量的金融资产终止确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宋体" w:hAnsi="宋体" w:cs="宋体" w:eastAsia="宋体" w:hint="default"/>
                <w:sz w:val="21"/>
                <w:szCs w:val="21"/>
              </w:rPr>
              <w:t>-</w:t>
            </w:r>
            <w:r>
              <w:rPr>
                <w:rFonts w:ascii="宋体" w:hAnsi="宋体" w:cs="宋体" w:eastAsia="宋体" w:hint="default"/>
                <w:sz w:val="21"/>
                <w:szCs w:val="21"/>
              </w:rPr>
              <w:t>”号填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公允价值变动收益（损失以“－”号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-91,984.92</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信用</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损</w:t>
            </w:r>
            <w:r>
              <w:rPr>
                <w:rFonts w:ascii="宋体" w:hAnsi="宋体" w:cs="宋体" w:eastAsia="宋体" w:hint="default"/>
                <w:spacing w:val="-36"/>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6"/>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-17,733,029.43</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损</w:t>
            </w:r>
            <w:r>
              <w:rPr>
                <w:rFonts w:ascii="宋体" w:hAnsi="宋体" w:cs="宋体" w:eastAsia="宋体" w:hint="default"/>
                <w:spacing w:val="-36"/>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6"/>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-21,118,214.70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-9,765,852.57</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处</w:t>
            </w:r>
            <w:r>
              <w:rPr>
                <w:rFonts w:ascii="宋体" w:hAnsi="宋体" w:cs="宋体" w:eastAsia="宋体" w:hint="default"/>
                <w:w w:val="100"/>
                <w:sz w:val="21"/>
                <w:szCs w:val="21"/>
              </w:rPr>
              <w:t>置</w:t>
            </w:r>
            <w:r>
              <w:rPr>
                <w:rFonts w:ascii="宋体" w:hAnsi="宋体" w:cs="宋体" w:eastAsia="宋体" w:hint="default"/>
                <w:spacing w:val="-3"/>
                <w:w w:val="100"/>
                <w:sz w:val="21"/>
                <w:szCs w:val="21"/>
              </w:rPr>
              <w:t>收</w:t>
            </w:r>
            <w:r>
              <w:rPr>
                <w:rFonts w:ascii="宋体" w:hAnsi="宋体" w:cs="宋体" w:eastAsia="宋体" w:hint="default"/>
                <w:spacing w:val="-60"/>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60"/>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58"/>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-4,608.26</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4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1"/>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71,838,287.39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133,437,437.64</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5,527,950.25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2,859,336.58</w:t>
            </w:r>
          </w:p>
        </w:tc>
      </w:tr>
      <w:tr>
        <w:trPr>
          <w:trHeight w:val="319"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2,510,121.55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1,664,392.16</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74,856,116.09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134,632,382.06</w:t>
            </w:r>
          </w:p>
        </w:tc>
      </w:tr>
      <w:tr>
        <w:trPr>
          <w:trHeight w:val="319"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12,064,088.28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18,465,547.79</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41"/>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3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62,792,027.81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116,166,834.27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（一）持续经营净利润（净亏损以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62,792,027.81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116,166,834.27</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（二）终止经营净利润（净亏损以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2.</w:t>
            </w:r>
            <w:r>
              <w:rPr>
                <w:rFonts w:ascii="宋体" w:hAnsi="宋体" w:cs="宋体" w:eastAsia="宋体" w:hint="default"/>
                <w:spacing w:val="7"/>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3.</w:t>
            </w:r>
            <w:r>
              <w:rPr>
                <w:rFonts w:ascii="宋体" w:hAnsi="宋体" w:cs="宋体" w:eastAsia="宋体" w:hint="default"/>
                <w:spacing w:val="7"/>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00" w:bottom="2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4.</w:t>
            </w:r>
            <w:r>
              <w:rPr>
                <w:rFonts w:ascii="宋体" w:hAnsi="宋体" w:cs="宋体" w:eastAsia="宋体" w:hint="default"/>
                <w:spacing w:val="7"/>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1"/>
                <w:szCs w:val="21"/>
              </w:rPr>
              <w:t>供出售金融资产损益</w:t>
            </w:r>
            <w:r>
              <w:rPr>
                <w:rFonts w:ascii="宋体" w:hAnsi="宋体" w:cs="宋体" w:eastAsia="宋体" w:hint="default"/>
                <w:sz w:val="24"/>
                <w:szCs w:val="24"/>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34"/>
              <w:jc w:val="right"/>
              <w:rPr>
                <w:rFonts w:ascii="宋体" w:hAnsi="宋体" w:cs="宋体" w:eastAsia="宋体" w:hint="default"/>
                <w:sz w:val="21"/>
                <w:szCs w:val="21"/>
              </w:rPr>
            </w:pP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62,792,027.81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116,166,834.27</w:t>
            </w:r>
          </w:p>
        </w:tc>
      </w:tr>
      <w:tr>
        <w:trPr>
          <w:trHeight w:val="319"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pStyle w:val="BodyText"/>
        <w:spacing w:line="237" w:lineRule="exact"/>
        <w:ind w:right="0"/>
        <w:jc w:val="left"/>
        <w:rPr>
          <w:rFonts w:ascii="宋体" w:hAnsi="宋体" w:cs="宋体" w:eastAsia="宋体" w:hint="default"/>
        </w:rPr>
      </w:pPr>
      <w:r>
        <w:rPr>
          <w:rFonts w:ascii="宋体"/>
          <w:w w:val="100"/>
        </w:rPr>
        <w:t> </w:t>
      </w:r>
    </w:p>
    <w:p>
      <w:pPr>
        <w:pStyle w:val="BodyText"/>
        <w:spacing w:line="308" w:lineRule="exact"/>
        <w:ind w:right="0"/>
        <w:jc w:val="left"/>
        <w:rPr>
          <w:rFonts w:ascii="宋体" w:hAnsi="宋体" w:cs="宋体" w:eastAsia="宋体" w:hint="default"/>
          <w:sz w:val="24"/>
          <w:szCs w:val="24"/>
        </w:rPr>
      </w:pPr>
      <w:r>
        <w:rPr>
          <w:sz w:val="24"/>
          <w:szCs w:val="24"/>
        </w:rPr>
        <w:t>法</w:t>
      </w:r>
      <w:r>
        <w:rPr/>
        <w:t>定代表人：吴志雄  </w:t>
      </w:r>
      <w:r>
        <w:rPr>
          <w:rFonts w:ascii="宋体" w:hAnsi="宋体" w:cs="宋体" w:eastAsia="宋体" w:hint="default"/>
        </w:rPr>
      </w:r>
      <w:r>
        <w:rPr/>
        <w:t>主管会计工作负责人：陈平  </w:t>
      </w:r>
      <w:r>
        <w:rPr>
          <w:spacing w:val="91"/>
        </w:rPr>
        <w:t> </w:t>
      </w:r>
      <w:r>
        <w:rPr>
          <w:rFonts w:ascii="宋体" w:hAnsi="宋体" w:cs="宋体" w:eastAsia="宋体" w:hint="default"/>
          <w:spacing w:val="91"/>
        </w:rPr>
      </w:r>
      <w:r>
        <w:rPr/>
        <w:t>会计机构负责人：陈平</w:t>
      </w:r>
      <w:r>
        <w:rPr>
          <w:rFonts w:ascii="宋体" w:hAnsi="宋体" w:cs="宋体" w:eastAsia="宋体" w:hint="default"/>
          <w:sz w:val="24"/>
          <w:szCs w:val="24"/>
        </w:rPr>
        <w:t> </w:t>
      </w:r>
    </w:p>
    <w:p>
      <w:pPr>
        <w:pStyle w:val="Heading3"/>
        <w:spacing w:line="311" w:lineRule="exact"/>
        <w:ind w:left="218" w:right="0"/>
        <w:jc w:val="left"/>
      </w:pPr>
      <w:r>
        <w:rPr>
          <w:color w:val="FF0000"/>
        </w:rPr>
        <w:t> </w:t>
      </w:r>
      <w:r>
        <w:rPr/>
      </w:r>
    </w:p>
    <w:p>
      <w:pPr>
        <w:pStyle w:val="Heading3"/>
        <w:spacing w:line="312" w:lineRule="exact"/>
        <w:ind w:left="218" w:right="0"/>
        <w:jc w:val="left"/>
      </w:pPr>
      <w:r>
        <w:rPr>
          <w:color w:val="FF0000"/>
        </w:rPr>
        <w:t> </w:t>
      </w:r>
      <w:r>
        <w:rPr/>
      </w:r>
    </w:p>
    <w:p>
      <w:pPr>
        <w:pStyle w:val="Heading3"/>
        <w:spacing w:line="311" w:lineRule="exact"/>
        <w:ind w:left="218" w:right="0"/>
        <w:jc w:val="left"/>
      </w:pPr>
      <w:r>
        <w:rPr>
          <w:color w:val="FF0000"/>
        </w:rPr>
        <w:t> </w:t>
      </w:r>
      <w:r>
        <w:rPr/>
      </w:r>
    </w:p>
    <w:p>
      <w:pPr>
        <w:pStyle w:val="Heading3"/>
        <w:spacing w:line="312" w:lineRule="exact"/>
        <w:ind w:left="218" w:right="0"/>
        <w:jc w:val="left"/>
      </w:pPr>
      <w:r>
        <w:rPr>
          <w:color w:val="FF0000"/>
        </w:rPr>
        <w:t> </w:t>
      </w:r>
      <w:r>
        <w:rPr/>
      </w:r>
    </w:p>
    <w:p>
      <w:pPr>
        <w:spacing w:after="0" w:line="312" w:lineRule="exact"/>
        <w:jc w:val="left"/>
        <w:sectPr>
          <w:pgSz w:w="11910" w:h="16840"/>
          <w:pgMar w:header="852" w:footer="979" w:top="1120" w:bottom="1160" w:left="1580" w:right="1040"/>
        </w:sectPr>
      </w:pPr>
    </w:p>
    <w:p>
      <w:pPr>
        <w:pStyle w:val="Heading2"/>
        <w:spacing w:line="312" w:lineRule="exact"/>
        <w:ind w:left="0" w:right="0"/>
        <w:jc w:val="right"/>
        <w:rPr>
          <w:rFonts w:ascii="宋体" w:hAnsi="宋体" w:cs="宋体" w:eastAsia="宋体" w:hint="default"/>
          <w:b w:val="0"/>
          <w:bCs w:val="0"/>
        </w:rPr>
      </w:pPr>
      <w:r>
        <w:rPr>
          <w:w w:val="95"/>
        </w:rPr>
        <w:t>合并现金流量表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
        <w:ind w:left="0" w:right="197"/>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4"/>
          <w:szCs w:val="24"/>
        </w:rPr>
      </w:pPr>
    </w:p>
    <w:p>
      <w:pPr>
        <w:pStyle w:val="BodyText"/>
        <w:spacing w:line="240" w:lineRule="auto"/>
        <w:ind w:left="1102"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580" w:right="1040"/>
          <w:cols w:num="2" w:equalWidth="0">
            <w:col w:w="5598" w:space="40"/>
            <w:col w:w="365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20"/>
        <w:gridCol w:w="874"/>
        <w:gridCol w:w="2182"/>
        <w:gridCol w:w="2074"/>
      </w:tblGrid>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0"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844,927,881.86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737,666,409.96</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6"/>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6"/>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7,107,503.32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14,395,044.59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20"/>
        <w:gridCol w:w="874"/>
        <w:gridCol w:w="2182"/>
        <w:gridCol w:w="2074"/>
      </w:tblGrid>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1"/>
                <w:szCs w:val="21"/>
              </w:rPr>
            </w:pPr>
            <w:r>
              <w:rPr>
                <w:rFonts w:ascii="Times New Roman"/>
                <w:spacing w:val="-1"/>
                <w:sz w:val="21"/>
              </w:rPr>
              <w:t>92,177,691.31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77,590,292.49</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944,213,076.49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829,651,747.04</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526,938,357.42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739,356,161.48</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267,140,473.02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141,120,440.35</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76,005,191.61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78,753,232.05</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1"/>
                <w:szCs w:val="21"/>
              </w:rPr>
            </w:pPr>
            <w:r>
              <w:rPr>
                <w:rFonts w:ascii="Times New Roman"/>
                <w:spacing w:val="-1"/>
                <w:sz w:val="21"/>
              </w:rPr>
              <w:t>196,123,440.91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140,202,881.22</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1,066,207,462.96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1,099,432,715.10</w:t>
            </w:r>
          </w:p>
        </w:tc>
      </w:tr>
      <w:tr>
        <w:trPr>
          <w:trHeight w:val="319"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-121,994,386.47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-269,780,968.06</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789,158,871.65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1,552,886,236.68</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处置固定资产、无形资产和其他长期资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产收回的现金净额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66,898.46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7,352.30</w:t>
            </w:r>
          </w:p>
        </w:tc>
      </w:tr>
      <w:tr>
        <w:trPr>
          <w:trHeight w:val="554"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9,750,000.00</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789,225,770.11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1,562,643,588.98</w:t>
            </w:r>
          </w:p>
        </w:tc>
      </w:tr>
      <w:tr>
        <w:trPr>
          <w:trHeight w:val="55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购建固定资产、无形资产和其他长期资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产支付的现金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116,790,814.87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93,956,310.28</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888,176,400.00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1,398,236,335.50</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55,823,267.50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33,449,247.51</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1,060,790,482.37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1,525,641,893.29</w:t>
            </w:r>
          </w:p>
        </w:tc>
      </w:tr>
      <w:tr>
        <w:trPr>
          <w:trHeight w:val="319"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-271,564,712.26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37,001,695.69</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12,540,000.00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654,787,294.30</w:t>
            </w:r>
          </w:p>
        </w:tc>
      </w:tr>
      <w:tr>
        <w:trPr>
          <w:trHeight w:val="55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其中：子公司吸收少数股东投资收到的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12,540,000.00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1,672,900.00</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698,000,000.00</w:t>
            </w: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15,683,147.97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32,861,415.53</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726,223,147.97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687,648,709.83</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57,700,000.00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400,000.00</w:t>
            </w:r>
          </w:p>
        </w:tc>
      </w:tr>
      <w:tr>
        <w:trPr>
          <w:trHeight w:val="319"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3"/>
              <w:jc w:val="left"/>
              <w:rPr>
                <w:rFonts w:ascii="宋体" w:hAnsi="宋体" w:cs="宋体" w:eastAsia="宋体" w:hint="default"/>
                <w:sz w:val="21"/>
                <w:szCs w:val="21"/>
              </w:rPr>
            </w:pPr>
            <w:r>
              <w:rPr>
                <w:rFonts w:ascii="宋体" w:hAnsi="宋体" w:cs="宋体" w:eastAsia="宋体" w:hint="default"/>
                <w:spacing w:val="-7"/>
                <w:sz w:val="21"/>
                <w:szCs w:val="21"/>
              </w:rPr>
              <w:t>分配股利、利润或偿付利息支付的现金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65,211,540.86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105,630,229.71</w:t>
            </w:r>
          </w:p>
        </w:tc>
      </w:tr>
      <w:tr>
        <w:trPr>
          <w:trHeight w:val="557"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48,287,453.71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12,806,401.62</w:t>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979"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20"/>
        <w:gridCol w:w="874"/>
        <w:gridCol w:w="2182"/>
        <w:gridCol w:w="2074"/>
      </w:tblGrid>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1"/>
                <w:szCs w:val="21"/>
              </w:rPr>
            </w:pPr>
            <w:r>
              <w:rPr>
                <w:rFonts w:ascii="Times New Roman"/>
                <w:spacing w:val="-1"/>
                <w:sz w:val="21"/>
              </w:rPr>
              <w:t>171,198,994.57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1"/>
                <w:szCs w:val="21"/>
              </w:rPr>
            </w:pPr>
            <w:r>
              <w:rPr>
                <w:rFonts w:ascii="Times New Roman"/>
                <w:spacing w:val="-1"/>
                <w:sz w:val="21"/>
              </w:rPr>
              <w:t>118,836,631.33</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555,024,153.40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568,812,078.50</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w w:val="100"/>
                <w:sz w:val="21"/>
                <w:szCs w:val="21"/>
              </w:rPr>
              <w:t>四</w:t>
            </w:r>
            <w:r>
              <w:rPr>
                <w:rFonts w:ascii="宋体" w:hAnsi="宋体" w:cs="宋体" w:eastAsia="宋体" w:hint="default"/>
                <w:b/>
                <w:bCs/>
                <w:spacing w:val="-92"/>
                <w:w w:val="100"/>
                <w:sz w:val="21"/>
                <w:szCs w:val="21"/>
              </w:rPr>
              <w:t>、</w:t>
            </w:r>
            <w:r>
              <w:rPr>
                <w:rFonts w:ascii="宋体" w:hAnsi="宋体" w:cs="宋体" w:eastAsia="宋体" w:hint="default"/>
                <w:b/>
                <w:bCs/>
                <w:w w:val="100"/>
                <w:sz w:val="21"/>
                <w:szCs w:val="21"/>
              </w:rPr>
              <w:t>汇率变动对现金及</w:t>
            </w:r>
            <w:r>
              <w:rPr>
                <w:rFonts w:ascii="宋体" w:hAnsi="宋体" w:cs="宋体" w:eastAsia="宋体" w:hint="default"/>
                <w:b/>
                <w:bCs/>
                <w:spacing w:val="-3"/>
                <w:w w:val="100"/>
                <w:sz w:val="21"/>
                <w:szCs w:val="21"/>
              </w:rPr>
              <w:t>现金</w:t>
            </w:r>
            <w:r>
              <w:rPr>
                <w:rFonts w:ascii="宋体" w:hAnsi="宋体" w:cs="宋体" w:eastAsia="宋体" w:hint="default"/>
                <w:b/>
                <w:bCs/>
                <w:w w:val="100"/>
                <w:sz w:val="21"/>
                <w:szCs w:val="21"/>
              </w:rPr>
              <w:t>等价物的影</w:t>
            </w:r>
            <w:r>
              <w:rPr>
                <w:rFonts w:ascii="宋体" w:hAnsi="宋体" w:cs="宋体" w:eastAsia="宋体" w:hint="default"/>
                <w:b/>
                <w:bCs/>
                <w:spacing w:val="-2"/>
                <w:w w:val="100"/>
                <w:sz w:val="21"/>
                <w:szCs w:val="21"/>
              </w:rPr>
              <w:t>响</w:t>
            </w:r>
            <w:r>
              <w:rPr>
                <w:rFonts w:ascii="宋体" w:hAnsi="宋体" w:cs="宋体" w:eastAsia="宋体" w:hint="default"/>
                <w:w w:val="100"/>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161,465,054.67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336,032,806.13</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524,466,351.59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188,433,545.46</w:t>
            </w:r>
          </w:p>
        </w:tc>
      </w:tr>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685,931,406.26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524,466,351.59</w:t>
            </w:r>
          </w:p>
        </w:tc>
      </w:tr>
    </w:tbl>
    <w:p>
      <w:pPr>
        <w:pStyle w:val="BodyText"/>
        <w:spacing w:line="236" w:lineRule="exact"/>
        <w:ind w:right="0"/>
        <w:jc w:val="left"/>
        <w:rPr>
          <w:rFonts w:ascii="宋体" w:hAnsi="宋体" w:cs="宋体" w:eastAsia="宋体" w:hint="default"/>
        </w:rPr>
      </w:pPr>
      <w:r>
        <w:rPr>
          <w:rFonts w:ascii="宋体"/>
          <w:w w:val="100"/>
        </w:rPr>
        <w:t> </w:t>
      </w:r>
    </w:p>
    <w:p>
      <w:pPr>
        <w:pStyle w:val="BodyText"/>
        <w:spacing w:line="309" w:lineRule="exact"/>
        <w:ind w:right="0"/>
        <w:jc w:val="left"/>
        <w:rPr>
          <w:rFonts w:ascii="宋体" w:hAnsi="宋体" w:cs="宋体" w:eastAsia="宋体" w:hint="default"/>
        </w:rPr>
      </w:pPr>
      <w:r>
        <w:rPr>
          <w:sz w:val="24"/>
          <w:szCs w:val="24"/>
        </w:rPr>
        <w:t>法</w:t>
      </w:r>
      <w:r>
        <w:rPr/>
        <w:t>定代表人：吴志雄 </w:t>
      </w:r>
      <w:r>
        <w:rPr>
          <w:rFonts w:ascii="宋体" w:hAnsi="宋体" w:cs="宋体" w:eastAsia="宋体" w:hint="default"/>
        </w:rPr>
      </w:r>
      <w:r>
        <w:rPr/>
        <w:t>主管会计工作负责人：陈平   </w:t>
      </w:r>
      <w:r>
        <w:rPr>
          <w:spacing w:val="92"/>
        </w:rPr>
        <w:t> </w:t>
      </w:r>
      <w:r>
        <w:rPr>
          <w:rFonts w:ascii="宋体" w:hAnsi="宋体" w:cs="宋体" w:eastAsia="宋体" w:hint="default"/>
          <w:spacing w:val="92"/>
        </w:rPr>
      </w:r>
      <w:r>
        <w:rPr/>
        <w:t>会计机构负责人：陈平</w:t>
      </w:r>
      <w:r>
        <w:rPr>
          <w:rFonts w:ascii="宋体" w:hAnsi="宋体" w:cs="宋体" w:eastAsia="宋体" w:hint="default"/>
          <w:b/>
          <w:bCs/>
          <w:color w:val="FF0000"/>
          <w:w w:val="99"/>
        </w:rPr>
        <w:t> </w:t>
      </w:r>
      <w:r>
        <w:rPr>
          <w:rFonts w:ascii="宋体" w:hAnsi="宋体" w:cs="宋体" w:eastAsia="宋体" w:hint="default"/>
        </w:rPr>
      </w:r>
    </w:p>
    <w:p>
      <w:pPr>
        <w:pStyle w:val="BodyText"/>
        <w:spacing w:line="240" w:lineRule="auto" w:before="4"/>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52" w:footer="979" w:top="1120" w:bottom="1160" w:left="1580" w:right="1040"/>
        </w:sectPr>
      </w:pPr>
    </w:p>
    <w:p>
      <w:pPr>
        <w:pStyle w:val="Heading2"/>
        <w:spacing w:line="303" w:lineRule="exact"/>
        <w:ind w:left="0" w:right="960"/>
        <w:jc w:val="right"/>
        <w:rPr>
          <w:rFonts w:ascii="宋体" w:hAnsi="宋体" w:cs="宋体" w:eastAsia="宋体" w:hint="default"/>
          <w:b w:val="0"/>
          <w:bCs w:val="0"/>
        </w:rPr>
      </w:pPr>
      <w:r>
        <w:rPr>
          <w:rFonts w:ascii="宋体"/>
          <w:w w:val="99"/>
        </w:rPr>
        <w:t> </w:t>
      </w:r>
      <w:r>
        <w:rPr>
          <w:rFonts w:ascii="宋体"/>
          <w:b w:val="0"/>
        </w:rPr>
      </w:r>
    </w:p>
    <w:p>
      <w:pPr>
        <w:spacing w:line="240" w:lineRule="auto" w:before="0"/>
        <w:ind w:left="3669" w:right="0" w:firstLine="2"/>
        <w:jc w:val="center"/>
        <w:rPr>
          <w:rFonts w:ascii="宋体" w:hAnsi="宋体" w:cs="宋体" w:eastAsia="宋体" w:hint="default"/>
          <w:sz w:val="21"/>
          <w:szCs w:val="21"/>
        </w:rPr>
      </w:pPr>
      <w:r>
        <w:rPr>
          <w:rFonts w:ascii="宋体" w:hAnsi="宋体" w:cs="宋体" w:eastAsia="宋体" w:hint="default"/>
          <w:b/>
          <w:bCs/>
          <w:w w:val="99"/>
          <w:sz w:val="24"/>
          <w:szCs w:val="24"/>
        </w:rPr>
        <w:t>  </w:t>
      </w:r>
      <w:r>
        <w:rPr>
          <w:rFonts w:ascii="宋体" w:hAnsi="宋体" w:cs="宋体" w:eastAsia="宋体" w:hint="default"/>
          <w:b/>
          <w:bCs/>
          <w:spacing w:val="2"/>
          <w:w w:val="99"/>
          <w:sz w:val="24"/>
          <w:szCs w:val="24"/>
        </w:rPr>
        <w:t>母</w:t>
      </w:r>
      <w:r>
        <w:rPr>
          <w:rFonts w:ascii="宋体" w:hAnsi="宋体" w:cs="宋体" w:eastAsia="宋体" w:hint="default"/>
          <w:b/>
          <w:bCs/>
          <w:w w:val="99"/>
          <w:sz w:val="24"/>
          <w:szCs w:val="24"/>
        </w:rPr>
        <w:t>公</w:t>
      </w:r>
      <w:r>
        <w:rPr>
          <w:rFonts w:ascii="宋体" w:hAnsi="宋体" w:cs="宋体" w:eastAsia="宋体" w:hint="default"/>
          <w:b/>
          <w:bCs/>
          <w:spacing w:val="2"/>
          <w:w w:val="99"/>
          <w:sz w:val="24"/>
          <w:szCs w:val="24"/>
        </w:rPr>
        <w:t>司</w:t>
      </w:r>
      <w:r>
        <w:rPr>
          <w:rFonts w:ascii="宋体" w:hAnsi="宋体" w:cs="宋体" w:eastAsia="宋体" w:hint="default"/>
          <w:b/>
          <w:bCs/>
          <w:w w:val="99"/>
          <w:sz w:val="24"/>
          <w:szCs w:val="24"/>
        </w:rPr>
        <w:t>现金</w:t>
      </w:r>
      <w:r>
        <w:rPr>
          <w:rFonts w:ascii="宋体" w:hAnsi="宋体" w:cs="宋体" w:eastAsia="宋体" w:hint="default"/>
          <w:b/>
          <w:bCs/>
          <w:spacing w:val="2"/>
          <w:w w:val="99"/>
          <w:sz w:val="24"/>
          <w:szCs w:val="24"/>
        </w:rPr>
        <w:t>流</w:t>
      </w:r>
      <w:r>
        <w:rPr>
          <w:rFonts w:ascii="宋体" w:hAnsi="宋体" w:cs="宋体" w:eastAsia="宋体" w:hint="default"/>
          <w:b/>
          <w:bCs/>
          <w:w w:val="99"/>
          <w:sz w:val="24"/>
          <w:szCs w:val="24"/>
        </w:rPr>
        <w:t>量表</w:t>
      </w:r>
      <w:r>
        <w:rPr>
          <w:rFonts w:ascii="宋体" w:hAnsi="宋体" w:cs="宋体" w:eastAsia="宋体" w:hint="default"/>
          <w:b/>
          <w:bCs/>
          <w:w w:val="99"/>
          <w:sz w:val="24"/>
          <w:szCs w:val="24"/>
        </w:rPr>
        <w:t> </w:t>
      </w: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2"/>
          <w:w w:val="100"/>
          <w:sz w:val="21"/>
          <w:szCs w:val="21"/>
        </w:rPr>
        <w:t>—</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left="1193"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580" w:right="1040"/>
          <w:cols w:num="2" w:equalWidth="0">
            <w:col w:w="5718" w:space="40"/>
            <w:col w:w="353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1"/>
        <w:gridCol w:w="1548"/>
        <w:gridCol w:w="2192"/>
        <w:gridCol w:w="2189"/>
      </w:tblGrid>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28"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6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年度</w:t>
            </w:r>
            <w:r>
              <w:rPr>
                <w:rFonts w:ascii="宋体" w:hAnsi="宋体" w:cs="宋体" w:eastAsia="宋体" w:hint="default"/>
                <w:sz w:val="21"/>
                <w:szCs w:val="21"/>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6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4"/>
                <w:sz w:val="21"/>
                <w:szCs w:val="21"/>
              </w:rPr>
              <w:t>一、经营活动产生的现金流量：</w:t>
            </w:r>
            <w:r>
              <w:rPr>
                <w:rFonts w:ascii="宋体" w:hAnsi="宋体" w:cs="宋体" w:eastAsia="宋体" w:hint="default"/>
                <w:w w:val="100"/>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670,106,806.63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1,043,454,926.07</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6,574,818.26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13,104,710.48</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184,964,650.93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131,129,067.49</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861,646,275.82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1,187,688,704.04</w:t>
            </w:r>
          </w:p>
        </w:tc>
      </w:tr>
      <w:tr>
        <w:trPr>
          <w:trHeight w:val="55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642,338,248.58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827,996,768.95</w:t>
            </w:r>
          </w:p>
        </w:tc>
      </w:tr>
      <w:tr>
        <w:trPr>
          <w:trHeight w:val="55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50,052,827.43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34,549,189.80</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48,455,857.21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54,149,416.90</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205,291,322.78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166,437,981.99</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946,138,256.00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1,083,133,357.64</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-84,491,980.18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104,555,346.40</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4"/>
                <w:sz w:val="21"/>
                <w:szCs w:val="21"/>
              </w:rPr>
              <w:t>二、投资活动产生的现金流量：</w:t>
            </w:r>
            <w:r>
              <w:rPr>
                <w:rFonts w:ascii="宋体" w:hAnsi="宋体" w:cs="宋体" w:eastAsia="宋体" w:hint="default"/>
                <w:w w:val="100"/>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749,424,201.96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1,256,169,745.91</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55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31,000.00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830.00</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9,750,000.00</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24,165,639.02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1,003,978.87</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773,620,840.98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1,266,924,554.78</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93,397,966.72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48,949,772.41</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911,125,395.00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1,682,168,825.50</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55,823,267.50</w:t>
            </w:r>
          </w:p>
        </w:tc>
        <w:tc>
          <w:tcPr>
            <w:tcW w:w="21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0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21"/>
        <w:gridCol w:w="1548"/>
        <w:gridCol w:w="2192"/>
        <w:gridCol w:w="2189"/>
      </w:tblGrid>
      <w:tr>
        <w:trPr>
          <w:trHeight w:val="28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34,287,600.00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7,743,744.00</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1,094,634,229.22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1,738,862,341.91</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-321,013,388.24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-471,937,787.13</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4"/>
                <w:sz w:val="21"/>
                <w:szCs w:val="21"/>
              </w:rPr>
              <w:t>三、筹资活动产生的现金流量：</w:t>
            </w:r>
            <w:r>
              <w:rPr>
                <w:rFonts w:ascii="宋体" w:hAnsi="宋体" w:cs="宋体" w:eastAsia="宋体" w:hint="default"/>
                <w:w w:val="100"/>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653,114,394.30</w:t>
            </w:r>
          </w:p>
        </w:tc>
      </w:tr>
      <w:tr>
        <w:trPr>
          <w:trHeight w:val="319"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673,000,000.00</w:t>
            </w: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15,683,147.97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16,566,582.98</w:t>
            </w:r>
          </w:p>
        </w:tc>
      </w:tr>
      <w:tr>
        <w:trPr>
          <w:trHeight w:val="319"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688,683,147.97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669,680,977.28</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20,000,000.00</w:t>
            </w: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63,299,580.39</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105,451,390.40</w:t>
            </w:r>
          </w:p>
        </w:tc>
      </w:tr>
      <w:tr>
        <w:trPr>
          <w:trHeight w:val="55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46,906,638.34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7,632,501.62</w:t>
            </w:r>
          </w:p>
        </w:tc>
      </w:tr>
      <w:tr>
        <w:trPr>
          <w:trHeight w:val="319"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130,206,218.73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113,083,892.02</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558,476,929.24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556,597,085.26</w:t>
            </w:r>
          </w:p>
        </w:tc>
      </w:tr>
      <w:tr>
        <w:trPr>
          <w:trHeight w:val="55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4"/>
                <w:sz w:val="21"/>
                <w:szCs w:val="21"/>
              </w:rPr>
              <w:t>四、汇率变动对现金及现金等价</w:t>
            </w:r>
            <w:r>
              <w:rPr>
                <w:rFonts w:ascii="宋体" w:hAnsi="宋体" w:cs="宋体" w:eastAsia="宋体" w:hint="default"/>
                <w:spacing w:val="-4"/>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4"/>
                <w:sz w:val="21"/>
                <w:szCs w:val="21"/>
              </w:rPr>
              <w:t>五、现金及现金等价物净增加额</w:t>
            </w:r>
            <w:r>
              <w:rPr>
                <w:rFonts w:ascii="宋体" w:hAnsi="宋体" w:cs="宋体" w:eastAsia="宋体" w:hint="default"/>
                <w:w w:val="100"/>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152,971,560.82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189,214,644.53</w:t>
            </w:r>
          </w:p>
        </w:tc>
      </w:tr>
      <w:tr>
        <w:trPr>
          <w:trHeight w:val="55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353,791,820.33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164,577,175.80</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4"/>
                <w:sz w:val="21"/>
                <w:szCs w:val="21"/>
              </w:rPr>
              <w:t>六、期末现金及现金等价物余额</w:t>
            </w:r>
            <w:r>
              <w:rPr>
                <w:rFonts w:ascii="宋体" w:hAnsi="宋体" w:cs="宋体" w:eastAsia="宋体" w:hint="default"/>
                <w:w w:val="100"/>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506,763,381.15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353,791,820.33</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69" w:lineRule="exact"/>
        <w:ind w:right="0"/>
        <w:jc w:val="left"/>
        <w:rPr>
          <w:rFonts w:ascii="宋体" w:hAnsi="宋体" w:cs="宋体" w:eastAsia="宋体" w:hint="default"/>
          <w:sz w:val="24"/>
          <w:szCs w:val="24"/>
        </w:rPr>
      </w:pPr>
      <w:r>
        <w:rPr/>
        <w:t>法定代表人：吴志雄 </w:t>
      </w:r>
      <w:r>
        <w:rPr>
          <w:rFonts w:ascii="宋体" w:hAnsi="宋体" w:cs="宋体" w:eastAsia="宋体" w:hint="default"/>
        </w:rPr>
      </w:r>
      <w:r>
        <w:rPr/>
        <w:t>主管会计工作负责人：陈平  </w:t>
      </w:r>
      <w:r>
        <w:rPr>
          <w:spacing w:val="93"/>
        </w:rPr>
        <w:t> </w:t>
      </w:r>
      <w:r>
        <w:rPr>
          <w:rFonts w:ascii="宋体" w:hAnsi="宋体" w:cs="宋体" w:eastAsia="宋体" w:hint="default"/>
          <w:spacing w:val="93"/>
        </w:rPr>
      </w:r>
      <w:r>
        <w:rPr/>
        <w:t>会计机构负责人：陈平</w:t>
      </w:r>
      <w:r>
        <w:rPr>
          <w:rFonts w:ascii="宋体" w:hAnsi="宋体" w:cs="宋体" w:eastAsia="宋体" w:hint="default"/>
          <w:b/>
          <w:bCs/>
          <w:color w:val="FF0000"/>
          <w:w w:val="99"/>
          <w:sz w:val="24"/>
          <w:szCs w:val="24"/>
        </w:rPr>
        <w:t> </w:t>
      </w:r>
      <w:r>
        <w:rPr>
          <w:rFonts w:ascii="宋体" w:hAnsi="宋体" w:cs="宋体" w:eastAsia="宋体" w:hint="default"/>
          <w:sz w:val="24"/>
          <w:szCs w:val="24"/>
        </w:rPr>
      </w:r>
    </w:p>
    <w:p>
      <w:pPr>
        <w:pStyle w:val="Heading2"/>
        <w:spacing w:line="308" w:lineRule="exact"/>
        <w:ind w:left="218" w:right="0"/>
        <w:jc w:val="left"/>
        <w:rPr>
          <w:rFonts w:ascii="宋体" w:hAnsi="宋体" w:cs="宋体" w:eastAsia="宋体" w:hint="default"/>
          <w:b w:val="0"/>
          <w:bCs w:val="0"/>
        </w:rPr>
      </w:pPr>
      <w:r>
        <w:rPr>
          <w:rFonts w:ascii="宋体"/>
          <w:color w:val="FF0000"/>
          <w:w w:val="99"/>
        </w:rPr>
        <w:t> </w:t>
      </w:r>
      <w:r>
        <w:rPr>
          <w:rFonts w:ascii="宋体"/>
          <w:b w:val="0"/>
        </w:rPr>
      </w:r>
    </w:p>
    <w:p>
      <w:pPr>
        <w:pStyle w:val="Heading3"/>
        <w:spacing w:line="311" w:lineRule="exact"/>
        <w:ind w:left="218" w:right="0"/>
        <w:jc w:val="left"/>
      </w:pPr>
      <w:r>
        <w:rPr/>
        <w:t> </w:t>
      </w:r>
    </w:p>
    <w:p>
      <w:pPr>
        <w:pStyle w:val="Heading3"/>
        <w:spacing w:line="312" w:lineRule="exact"/>
        <w:ind w:left="218" w:right="0"/>
        <w:jc w:val="left"/>
      </w:pPr>
      <w:r>
        <w:rPr/>
        <w:t> </w:t>
      </w:r>
    </w:p>
    <w:p>
      <w:pPr>
        <w:pStyle w:val="Heading3"/>
        <w:spacing w:line="313" w:lineRule="exact"/>
        <w:ind w:left="218" w:right="0"/>
        <w:jc w:val="left"/>
      </w:pPr>
      <w:r>
        <w:rPr/>
        <w:t> </w:t>
      </w:r>
    </w:p>
    <w:p>
      <w:pPr>
        <w:spacing w:after="0" w:line="313" w:lineRule="exact"/>
        <w:jc w:val="left"/>
        <w:sectPr>
          <w:pgSz w:w="11910" w:h="16840"/>
          <w:pgMar w:header="852" w:footer="979" w:top="1120" w:bottom="1160" w:left="1580" w:right="1040"/>
        </w:sectPr>
      </w:pPr>
    </w:p>
    <w:p>
      <w:pPr>
        <w:spacing w:line="237" w:lineRule="auto" w:before="111"/>
        <w:ind w:left="6944" w:right="0" w:hanging="1"/>
        <w:jc w:val="center"/>
        <w:rPr>
          <w:rFonts w:ascii="宋体" w:hAnsi="宋体" w:cs="宋体" w:eastAsia="宋体" w:hint="default"/>
          <w:sz w:val="24"/>
          <w:szCs w:val="24"/>
        </w:rPr>
      </w:pPr>
      <w:r>
        <w:rPr>
          <w:rFonts w:ascii="宋体" w:hAnsi="宋体" w:cs="宋体" w:eastAsia="宋体" w:hint="default"/>
          <w:b/>
          <w:bCs/>
          <w:w w:val="99"/>
          <w:sz w:val="24"/>
          <w:szCs w:val="24"/>
        </w:rPr>
        <w:t>  </w:t>
      </w:r>
      <w:r>
        <w:rPr>
          <w:rFonts w:ascii="宋体" w:hAnsi="宋体" w:cs="宋体" w:eastAsia="宋体" w:hint="default"/>
          <w:b/>
          <w:bCs/>
          <w:spacing w:val="2"/>
          <w:w w:val="99"/>
          <w:sz w:val="24"/>
          <w:szCs w:val="24"/>
        </w:rPr>
        <w:t>合</w:t>
      </w:r>
      <w:r>
        <w:rPr>
          <w:rFonts w:ascii="宋体" w:hAnsi="宋体" w:cs="宋体" w:eastAsia="宋体" w:hint="default"/>
          <w:b/>
          <w:bCs/>
          <w:w w:val="99"/>
          <w:sz w:val="24"/>
          <w:szCs w:val="24"/>
        </w:rPr>
        <w:t>并</w:t>
      </w:r>
      <w:r>
        <w:rPr>
          <w:rFonts w:ascii="宋体" w:hAnsi="宋体" w:cs="宋体" w:eastAsia="宋体" w:hint="default"/>
          <w:b/>
          <w:bCs/>
          <w:spacing w:val="2"/>
          <w:w w:val="99"/>
          <w:sz w:val="24"/>
          <w:szCs w:val="24"/>
        </w:rPr>
        <w:t>所</w:t>
      </w:r>
      <w:r>
        <w:rPr>
          <w:rFonts w:ascii="宋体" w:hAnsi="宋体" w:cs="宋体" w:eastAsia="宋体" w:hint="default"/>
          <w:b/>
          <w:bCs/>
          <w:w w:val="99"/>
          <w:sz w:val="24"/>
          <w:szCs w:val="24"/>
        </w:rPr>
        <w:t>有者</w:t>
      </w:r>
      <w:r>
        <w:rPr>
          <w:rFonts w:ascii="宋体" w:hAnsi="宋体" w:cs="宋体" w:eastAsia="宋体" w:hint="default"/>
          <w:b/>
          <w:bCs/>
          <w:spacing w:val="2"/>
          <w:w w:val="99"/>
          <w:sz w:val="24"/>
          <w:szCs w:val="24"/>
        </w:rPr>
        <w:t>权</w:t>
      </w:r>
      <w:r>
        <w:rPr>
          <w:rFonts w:ascii="宋体" w:hAnsi="宋体" w:cs="宋体" w:eastAsia="宋体" w:hint="default"/>
          <w:b/>
          <w:bCs/>
          <w:w w:val="99"/>
          <w:sz w:val="24"/>
          <w:szCs w:val="24"/>
        </w:rPr>
        <w:t>益</w:t>
      </w:r>
      <w:r>
        <w:rPr>
          <w:rFonts w:ascii="宋体" w:hAnsi="宋体" w:cs="宋体" w:eastAsia="宋体" w:hint="default"/>
          <w:b/>
          <w:bCs/>
          <w:spacing w:val="2"/>
          <w:w w:val="99"/>
          <w:sz w:val="24"/>
          <w:szCs w:val="24"/>
        </w:rPr>
        <w:t>变</w:t>
      </w:r>
      <w:r>
        <w:rPr>
          <w:rFonts w:ascii="宋体" w:hAnsi="宋体" w:cs="宋体" w:eastAsia="宋体" w:hint="default"/>
          <w:b/>
          <w:bCs/>
          <w:w w:val="99"/>
          <w:sz w:val="24"/>
          <w:szCs w:val="24"/>
        </w:rPr>
        <w:t>动</w:t>
      </w:r>
      <w:r>
        <w:rPr>
          <w:rFonts w:ascii="宋体" w:hAnsi="宋体" w:cs="宋体" w:eastAsia="宋体" w:hint="default"/>
          <w:b/>
          <w:bCs/>
          <w:spacing w:val="1"/>
          <w:w w:val="99"/>
          <w:sz w:val="24"/>
          <w:szCs w:val="24"/>
        </w:rPr>
        <w:t>表</w:t>
      </w:r>
      <w:r>
        <w:rPr>
          <w:rFonts w:ascii="宋体" w:hAnsi="宋体" w:cs="宋体" w:eastAsia="宋体" w:hint="default"/>
          <w:b/>
          <w:bCs/>
          <w:w w:val="99"/>
          <w:sz w:val="24"/>
          <w:szCs w:val="24"/>
        </w:rPr>
        <w:t> </w:t>
      </w: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z w:val="21"/>
          <w:szCs w:val="21"/>
        </w:rPr>
        <w:t> </w:t>
      </w:r>
      <w:r>
        <w:rPr>
          <w:rFonts w:ascii="宋体" w:hAnsi="宋体" w:cs="宋体" w:eastAsia="宋体" w:hint="default"/>
          <w:spacing w:val="-3"/>
          <w:sz w:val="24"/>
          <w:szCs w:val="24"/>
        </w:rPr>
        <w:t>月</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2"/>
          <w:szCs w:val="32"/>
        </w:rPr>
      </w:pPr>
    </w:p>
    <w:p>
      <w:pPr>
        <w:pStyle w:val="BodyText"/>
        <w:spacing w:line="240" w:lineRule="auto"/>
        <w:ind w:left="3483" w:right="0"/>
        <w:jc w:val="left"/>
        <w:rPr>
          <w:rFonts w:ascii="宋体" w:hAnsi="宋体" w:cs="宋体" w:eastAsia="宋体" w:hint="default"/>
          <w:sz w:val="24"/>
          <w:szCs w:val="24"/>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headerReference w:type="default" r:id="rId41"/>
          <w:footerReference w:type="default" r:id="rId42"/>
          <w:pgSz w:w="16840" w:h="11910" w:orient="landscape"/>
          <w:pgMar w:header="857" w:footer="980" w:top="1120" w:bottom="1160" w:left="300" w:right="300"/>
          <w:pgNumType w:start="90"/>
          <w:cols w:num="2" w:equalWidth="0">
            <w:col w:w="9475" w:space="40"/>
            <w:col w:w="6725"/>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154"/>
        <w:gridCol w:w="1443"/>
        <w:gridCol w:w="286"/>
        <w:gridCol w:w="288"/>
        <w:gridCol w:w="1442"/>
        <w:gridCol w:w="1438"/>
        <w:gridCol w:w="1296"/>
        <w:gridCol w:w="434"/>
        <w:gridCol w:w="286"/>
        <w:gridCol w:w="1296"/>
        <w:gridCol w:w="434"/>
        <w:gridCol w:w="1438"/>
        <w:gridCol w:w="288"/>
        <w:gridCol w:w="1592"/>
        <w:gridCol w:w="1296"/>
        <w:gridCol w:w="1582"/>
      </w:tblGrid>
      <w:tr>
        <w:trPr>
          <w:trHeight w:val="283" w:hRule="exact"/>
        </w:trPr>
        <w:tc>
          <w:tcPr>
            <w:tcW w:w="11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839"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16" w:right="0"/>
              <w:jc w:val="center"/>
              <w:rPr>
                <w:rFonts w:ascii="宋体" w:hAnsi="宋体" w:cs="宋体" w:eastAsia="宋体" w:hint="default"/>
                <w:sz w:val="24"/>
                <w:szCs w:val="24"/>
              </w:rPr>
            </w:pP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18"/>
                <w:szCs w:val="18"/>
              </w:rPr>
              <w:t>度</w:t>
            </w:r>
            <w:r>
              <w:rPr>
                <w:rFonts w:ascii="宋体" w:hAnsi="宋体" w:cs="宋体" w:eastAsia="宋体" w:hint="default"/>
                <w:sz w:val="24"/>
                <w:szCs w:val="24"/>
              </w:rPr>
              <w:t> </w:t>
            </w:r>
          </w:p>
        </w:tc>
      </w:tr>
      <w:tr>
        <w:trPr>
          <w:trHeight w:val="550" w:hRule="exact"/>
        </w:trPr>
        <w:tc>
          <w:tcPr>
            <w:tcW w:w="1154" w:type="dxa"/>
            <w:vMerge/>
            <w:tcBorders>
              <w:left w:val="single" w:sz="4" w:space="0" w:color="000000"/>
              <w:right w:val="single" w:sz="4" w:space="0" w:color="000000"/>
            </w:tcBorders>
          </w:tcPr>
          <w:p>
            <w:pPr/>
          </w:p>
        </w:tc>
        <w:tc>
          <w:tcPr>
            <w:tcW w:w="1196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24" w:right="0"/>
              <w:jc w:val="center"/>
              <w:rPr>
                <w:rFonts w:ascii="宋体" w:hAnsi="宋体" w:cs="宋体" w:eastAsia="宋体" w:hint="default"/>
                <w:sz w:val="24"/>
                <w:szCs w:val="24"/>
              </w:rPr>
            </w:pPr>
            <w:r>
              <w:rPr>
                <w:rFonts w:ascii="宋体" w:hAnsi="宋体" w:cs="宋体" w:eastAsia="宋体" w:hint="default"/>
                <w:sz w:val="18"/>
                <w:szCs w:val="18"/>
              </w:rPr>
              <w:t>归属于母公司所有者权益</w:t>
            </w:r>
            <w:r>
              <w:rPr>
                <w:rFonts w:ascii="宋体" w:hAnsi="宋体" w:cs="宋体" w:eastAsia="宋体" w:hint="default"/>
                <w:sz w:val="24"/>
                <w:szCs w:val="24"/>
              </w:rPr>
              <w:t> </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552" w:right="192"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56"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362" w:hRule="exact"/>
        </w:trPr>
        <w:tc>
          <w:tcPr>
            <w:tcW w:w="1154" w:type="dxa"/>
            <w:vMerge/>
            <w:tcBorders>
              <w:left w:val="single" w:sz="4" w:space="0" w:color="000000"/>
              <w:right w:val="single" w:sz="4" w:space="0" w:color="000000"/>
            </w:tcBorders>
          </w:tcPr>
          <w:p>
            <w:pPr/>
          </w:p>
        </w:tc>
        <w:tc>
          <w:tcPr>
            <w:tcW w:w="14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583" w:right="127" w:hanging="452"/>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20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4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434" w:type="dxa"/>
            <w:vMerge w:val="restart"/>
            <w:tcBorders>
              <w:top w:val="single" w:sz="4" w:space="0" w:color="000000"/>
              <w:left w:val="single" w:sz="4" w:space="0" w:color="000000"/>
              <w:right w:val="single" w:sz="4" w:space="0" w:color="000000"/>
            </w:tcBorders>
          </w:tcPr>
          <w:p>
            <w:pPr>
              <w:pStyle w:val="TableParagraph"/>
              <w:spacing w:line="213" w:lineRule="exact"/>
              <w:ind w:left="122"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22" w:right="30"/>
              <w:jc w:val="both"/>
              <w:rPr>
                <w:rFonts w:ascii="宋体" w:hAnsi="宋体" w:cs="宋体" w:eastAsia="宋体" w:hint="default"/>
                <w:sz w:val="18"/>
                <w:szCs w:val="18"/>
              </w:rPr>
            </w:pPr>
            <w:r>
              <w:rPr>
                <w:rFonts w:ascii="宋体" w:hAnsi="宋体" w:cs="宋体" w:eastAsia="宋体" w:hint="default"/>
                <w:sz w:val="18"/>
                <w:szCs w:val="18"/>
              </w:rPr>
              <w:t>他 综 合 收 益</w:t>
            </w:r>
            <w:r>
              <w:rPr>
                <w:rFonts w:ascii="宋体" w:hAnsi="宋体" w:cs="宋体" w:eastAsia="宋体" w:hint="default"/>
                <w:sz w:val="18"/>
                <w:szCs w:val="18"/>
              </w:rPr>
              <w:t> </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5" w:right="-10"/>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434" w:type="dxa"/>
            <w:vMerge w:val="restart"/>
            <w:tcBorders>
              <w:top w:val="single" w:sz="4" w:space="0" w:color="000000"/>
              <w:left w:val="single" w:sz="4" w:space="0" w:color="000000"/>
              <w:right w:val="single" w:sz="4" w:space="0" w:color="000000"/>
            </w:tcBorders>
          </w:tcPr>
          <w:p>
            <w:pPr>
              <w:pStyle w:val="TableParagraph"/>
              <w:spacing w:line="213" w:lineRule="exact"/>
              <w:ind w:left="122"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22" w:right="30"/>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4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2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05" w:right="-8"/>
              <w:jc w:val="left"/>
              <w:rPr>
                <w:rFonts w:ascii="宋体" w:hAnsi="宋体" w:cs="宋体" w:eastAsia="宋体" w:hint="default"/>
                <w:sz w:val="18"/>
                <w:szCs w:val="18"/>
              </w:rPr>
            </w:pPr>
            <w:r>
              <w:rPr>
                <w:rFonts w:ascii="宋体" w:hAnsi="宋体" w:cs="宋体" w:eastAsia="宋体" w:hint="default"/>
                <w:sz w:val="18"/>
                <w:szCs w:val="18"/>
              </w:rPr>
              <w:t>其 他</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296"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r>
      <w:tr>
        <w:trPr>
          <w:trHeight w:val="1088" w:hRule="exact"/>
        </w:trPr>
        <w:tc>
          <w:tcPr>
            <w:tcW w:w="1154" w:type="dxa"/>
            <w:vMerge/>
            <w:tcBorders>
              <w:left w:val="single" w:sz="4" w:space="0" w:color="000000"/>
              <w:bottom w:val="single" w:sz="4" w:space="0" w:color="000000"/>
              <w:right w:val="single" w:sz="4" w:space="0" w:color="000000"/>
            </w:tcBorders>
          </w:tcPr>
          <w:p>
            <w:pPr/>
          </w:p>
        </w:tc>
        <w:tc>
          <w:tcPr>
            <w:tcW w:w="1443" w:type="dxa"/>
            <w:vMerge/>
            <w:tcBorders>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05" w:right="-1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03" w:right="-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38"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434"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434" w:type="dxa"/>
            <w:vMerge/>
            <w:tcBorders>
              <w:left w:val="single" w:sz="4" w:space="0" w:color="000000"/>
              <w:bottom w:val="single" w:sz="4" w:space="0" w:color="000000"/>
              <w:right w:val="single" w:sz="4" w:space="0" w:color="000000"/>
            </w:tcBorders>
          </w:tcPr>
          <w:p>
            <w:pPr/>
          </w:p>
        </w:tc>
        <w:tc>
          <w:tcPr>
            <w:tcW w:w="1438" w:type="dxa"/>
            <w:vMerge/>
            <w:tcBorders>
              <w:left w:val="single" w:sz="4" w:space="0" w:color="000000"/>
              <w:bottom w:val="single" w:sz="4" w:space="0" w:color="000000"/>
              <w:right w:val="single" w:sz="4" w:space="0" w:color="000000"/>
            </w:tcBorders>
          </w:tcPr>
          <w:p>
            <w:pPr/>
          </w:p>
        </w:tc>
        <w:tc>
          <w:tcPr>
            <w:tcW w:w="288"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r>
      <w:tr>
        <w:trPr>
          <w:trHeight w:val="47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末余额</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526,684,472.00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708,204,790.83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15,732,668.62</w:t>
            </w: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64,084,066.25</w:t>
            </w: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464,516,842.15</w:t>
            </w: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1,747,757,502.61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20,449,093.64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1,768,206,596.25</w:t>
            </w:r>
          </w:p>
        </w:tc>
      </w:tr>
      <w:tr>
        <w:trPr>
          <w:trHeight w:val="47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策变更</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-1,159,035.21</w:t>
            </w: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-3,529,398.62</w:t>
            </w: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-4,688,433.83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-161,446.42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-4,849,880.25</w:t>
            </w:r>
          </w:p>
        </w:tc>
      </w:tr>
      <w:tr>
        <w:trPr>
          <w:trHeight w:val="475"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企业合并</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初余额</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526,684,472.00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708,204,790.83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15,732,668.62</w:t>
            </w: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62,925,031.04</w:t>
            </w: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460,987,443.53</w:t>
            </w: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1,743,069,068.78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20,287,647.22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1,763,356,716.00</w:t>
            </w:r>
          </w:p>
        </w:tc>
      </w:tr>
      <w:tr>
        <w:trPr>
          <w:trHeight w:val="117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减变动金额</w:t>
            </w:r>
          </w:p>
          <w:p>
            <w:pPr>
              <w:pStyle w:val="TableParagraph"/>
              <w:spacing w:line="232" w:lineRule="exact" w:before="23"/>
              <w:ind w:left="105" w:right="137"/>
              <w:jc w:val="left"/>
              <w:rPr>
                <w:rFonts w:ascii="宋体" w:hAnsi="宋体" w:cs="宋体" w:eastAsia="宋体" w:hint="default"/>
                <w:sz w:val="18"/>
                <w:szCs w:val="18"/>
              </w:rPr>
            </w:pPr>
            <w:r>
              <w:rPr>
                <w:rFonts w:ascii="宋体" w:hAnsi="宋体" w:cs="宋体" w:eastAsia="宋体" w:hint="default"/>
                <w:sz w:val="18"/>
                <w:szCs w:val="18"/>
              </w:rPr>
              <w:t>（减少以 “－”号填 列）</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-196,560.00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180,222,023.21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30,721,285.73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41,713,931.66</w:t>
            </w: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6,279,202.78</w:t>
            </w: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144,053,627.76</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319,365,647.82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23,931,032.35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343,296,680.17</w:t>
            </w:r>
          </w:p>
        </w:tc>
      </w:tr>
      <w:tr>
        <w:trPr>
          <w:trHeight w:val="476"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收益总额</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213,534,967.18</w:t>
            </w: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213,534,967.18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11,767,339.75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225,302,306.93</w:t>
            </w:r>
          </w:p>
        </w:tc>
      </w:tr>
      <w:tr>
        <w:trPr>
          <w:trHeight w:val="710"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w:t>
            </w:r>
          </w:p>
          <w:p>
            <w:pPr>
              <w:pStyle w:val="TableParagraph"/>
              <w:spacing w:line="232" w:lineRule="exact" w:before="24"/>
              <w:ind w:left="105" w:right="137"/>
              <w:jc w:val="left"/>
              <w:rPr>
                <w:rFonts w:ascii="宋体" w:hAnsi="宋体" w:cs="宋体" w:eastAsia="宋体" w:hint="default"/>
                <w:sz w:val="18"/>
                <w:szCs w:val="18"/>
              </w:rPr>
            </w:pPr>
            <w:r>
              <w:rPr>
                <w:rFonts w:ascii="宋体" w:hAnsi="宋体" w:cs="宋体" w:eastAsia="宋体" w:hint="default"/>
                <w:sz w:val="18"/>
                <w:szCs w:val="18"/>
              </w:rPr>
              <w:t>者投入和减 少资本</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-196,560.00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180,222,023.21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30,721,285.73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41,713,931.66</w:t>
            </w: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169,032,817.28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12,163,692.60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181,196,509.88</w:t>
            </w:r>
          </w:p>
        </w:tc>
      </w:tr>
      <w:tr>
        <w:trPr>
          <w:trHeight w:val="245"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．所有者投</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12,540,000.00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12,540,000.00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500" w:bottom="280" w:left="300" w:right="300"/>
        </w:sectPr>
      </w:pPr>
    </w:p>
    <w:p>
      <w:pPr>
        <w:spacing w:line="240" w:lineRule="auto" w:before="11"/>
        <w:rPr>
          <w:rFonts w:ascii="Times New Roman" w:hAnsi="Times New Roman" w:cs="Times New Roman" w:eastAsia="Times New Roman"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154"/>
        <w:gridCol w:w="1443"/>
        <w:gridCol w:w="286"/>
        <w:gridCol w:w="288"/>
        <w:gridCol w:w="1442"/>
        <w:gridCol w:w="1438"/>
        <w:gridCol w:w="1296"/>
        <w:gridCol w:w="434"/>
        <w:gridCol w:w="286"/>
        <w:gridCol w:w="1296"/>
        <w:gridCol w:w="434"/>
        <w:gridCol w:w="1438"/>
        <w:gridCol w:w="288"/>
        <w:gridCol w:w="1592"/>
        <w:gridCol w:w="1296"/>
        <w:gridCol w:w="1582"/>
      </w:tblGrid>
      <w:tr>
        <w:trPr>
          <w:trHeight w:val="243"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入的普通股</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2</w:t>
            </w:r>
            <w:r>
              <w:rPr>
                <w:rFonts w:ascii="宋体" w:hAnsi="宋体" w:cs="宋体" w:eastAsia="宋体" w:hint="default"/>
                <w:spacing w:val="-9"/>
                <w:sz w:val="18"/>
                <w:szCs w:val="18"/>
              </w:rPr>
              <w:t>．其他权益</w:t>
            </w:r>
          </w:p>
          <w:p>
            <w:pPr>
              <w:pStyle w:val="TableParagraph"/>
              <w:spacing w:line="232" w:lineRule="exact" w:before="24"/>
              <w:ind w:left="105" w:right="137"/>
              <w:jc w:val="left"/>
              <w:rPr>
                <w:rFonts w:ascii="宋体" w:hAnsi="宋体" w:cs="宋体" w:eastAsia="宋体" w:hint="default"/>
                <w:sz w:val="18"/>
                <w:szCs w:val="18"/>
              </w:rPr>
            </w:pPr>
            <w:r>
              <w:rPr>
                <w:rFonts w:ascii="宋体" w:hAnsi="宋体" w:cs="宋体" w:eastAsia="宋体" w:hint="default"/>
                <w:sz w:val="18"/>
                <w:szCs w:val="18"/>
              </w:rPr>
              <w:t>工具持有者 投入资本</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180,222,023.21</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180,222,023.21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180,222,023.21</w:t>
            </w:r>
          </w:p>
        </w:tc>
      </w:tr>
      <w:tr>
        <w:trPr>
          <w:trHeight w:val="710"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3</w:t>
            </w:r>
            <w:r>
              <w:rPr>
                <w:rFonts w:ascii="宋体" w:hAnsi="宋体" w:cs="宋体" w:eastAsia="宋体" w:hint="default"/>
                <w:spacing w:val="-9"/>
                <w:sz w:val="18"/>
                <w:szCs w:val="18"/>
              </w:rPr>
              <w:t>．股份支付</w:t>
            </w:r>
          </w:p>
          <w:p>
            <w:pPr>
              <w:pStyle w:val="TableParagraph"/>
              <w:spacing w:line="240" w:lineRule="auto"/>
              <w:ind w:left="105" w:right="47"/>
              <w:jc w:val="left"/>
              <w:rPr>
                <w:rFonts w:ascii="宋体" w:hAnsi="宋体" w:cs="宋体" w:eastAsia="宋体" w:hint="default"/>
                <w:sz w:val="18"/>
                <w:szCs w:val="18"/>
              </w:rPr>
            </w:pPr>
            <w:r>
              <w:rPr>
                <w:rFonts w:ascii="宋体" w:hAnsi="宋体" w:cs="宋体" w:eastAsia="宋体" w:hint="default"/>
                <w:sz w:val="18"/>
                <w:szCs w:val="18"/>
              </w:rPr>
              <w:t>计入所有者 权益的金额</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461" w:right="0"/>
              <w:jc w:val="left"/>
              <w:rPr>
                <w:rFonts w:ascii="Times New Roman" w:hAnsi="Times New Roman" w:cs="Times New Roman" w:eastAsia="Times New Roman" w:hint="default"/>
                <w:sz w:val="18"/>
                <w:szCs w:val="18"/>
              </w:rPr>
            </w:pPr>
            <w:r>
              <w:rPr>
                <w:rFonts w:ascii="Times New Roman"/>
                <w:sz w:val="18"/>
              </w:rPr>
              <w:t>-196,560.00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-562,248.17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-1,562,348.83</w:t>
            </w: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803,540.66</w:t>
            </w: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803,540.66</w:t>
            </w:r>
          </w:p>
        </w:tc>
      </w:tr>
      <w:tr>
        <w:trPr>
          <w:trHeight w:val="242"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31,283,533.90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43,276,280.49</w:t>
            </w: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-11,992,746.59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2" w:right="0"/>
              <w:jc w:val="left"/>
              <w:rPr>
                <w:rFonts w:ascii="Times New Roman" w:hAnsi="Times New Roman" w:cs="Times New Roman" w:eastAsia="Times New Roman" w:hint="default"/>
                <w:sz w:val="18"/>
                <w:szCs w:val="18"/>
              </w:rPr>
            </w:pPr>
            <w:r>
              <w:rPr>
                <w:rFonts w:ascii="Times New Roman"/>
                <w:sz w:val="18"/>
              </w:rPr>
              <w:t>-376,307.40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-12,369,053.99</w:t>
            </w:r>
          </w:p>
        </w:tc>
      </w:tr>
      <w:tr>
        <w:trPr>
          <w:trHeight w:val="47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分配</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6,279,202.78</w:t>
            </w: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-69,481,339.42</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-63,202,136.64</w:t>
            </w: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-63,202,136.64</w:t>
            </w:r>
          </w:p>
        </w:tc>
      </w:tr>
      <w:tr>
        <w:trPr>
          <w:trHeight w:val="47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．提取盈余</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公积</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6,279,202.78</w:t>
            </w: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pacing w:val="-1"/>
                <w:sz w:val="18"/>
              </w:rPr>
              <w:t>-6,279,202.78</w:t>
            </w: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2</w:t>
            </w:r>
            <w:r>
              <w:rPr>
                <w:rFonts w:ascii="宋体" w:hAnsi="宋体" w:cs="宋体" w:eastAsia="宋体" w:hint="default"/>
                <w:spacing w:val="-9"/>
                <w:sz w:val="18"/>
                <w:szCs w:val="18"/>
              </w:rPr>
              <w:t>．提取一般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风险准备</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3</w:t>
            </w:r>
            <w:r>
              <w:rPr>
                <w:rFonts w:ascii="宋体" w:hAnsi="宋体" w:cs="宋体" w:eastAsia="宋体" w:hint="default"/>
                <w:spacing w:val="-9"/>
                <w:sz w:val="18"/>
                <w:szCs w:val="18"/>
              </w:rPr>
              <w:t>．对所有者</w:t>
            </w:r>
          </w:p>
          <w:p>
            <w:pPr>
              <w:pStyle w:val="TableParagraph"/>
              <w:spacing w:line="232" w:lineRule="exact" w:before="23"/>
              <w:ind w:left="105" w:right="137"/>
              <w:jc w:val="left"/>
              <w:rPr>
                <w:rFonts w:ascii="宋体" w:hAnsi="宋体" w:cs="宋体" w:eastAsia="宋体" w:hint="default"/>
                <w:sz w:val="18"/>
                <w:szCs w:val="18"/>
              </w:rPr>
            </w:pPr>
            <w:r>
              <w:rPr>
                <w:rFonts w:ascii="宋体" w:hAnsi="宋体" w:cs="宋体" w:eastAsia="宋体" w:hint="default"/>
                <w:sz w:val="18"/>
                <w:szCs w:val="18"/>
              </w:rPr>
              <w:t>（或股东） 的分配</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-63,202,136.64</w:t>
            </w: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-63,202,136.64</w:t>
            </w: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-63,202,136.64</w:t>
            </w:r>
          </w:p>
        </w:tc>
      </w:tr>
      <w:tr>
        <w:trPr>
          <w:trHeight w:val="242"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w:t>
            </w:r>
          </w:p>
          <w:p>
            <w:pPr>
              <w:pStyle w:val="TableParagraph"/>
              <w:spacing w:line="240" w:lineRule="auto"/>
              <w:ind w:left="105" w:right="137"/>
              <w:jc w:val="left"/>
              <w:rPr>
                <w:rFonts w:ascii="宋体" w:hAnsi="宋体" w:cs="宋体" w:eastAsia="宋体" w:hint="default"/>
                <w:sz w:val="18"/>
                <w:szCs w:val="18"/>
              </w:rPr>
            </w:pPr>
            <w:r>
              <w:rPr>
                <w:rFonts w:ascii="宋体" w:hAnsi="宋体" w:cs="宋体" w:eastAsia="宋体" w:hint="default"/>
                <w:sz w:val="18"/>
                <w:szCs w:val="18"/>
              </w:rPr>
              <w:t>者权益内部 结转</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．资本公积</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2</w:t>
            </w:r>
            <w:r>
              <w:rPr>
                <w:rFonts w:ascii="宋体" w:hAnsi="宋体" w:cs="宋体" w:eastAsia="宋体" w:hint="default"/>
                <w:spacing w:val="-9"/>
                <w:sz w:val="18"/>
                <w:szCs w:val="18"/>
              </w:rPr>
              <w:t>．盈余公积</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3</w:t>
            </w:r>
            <w:r>
              <w:rPr>
                <w:rFonts w:ascii="宋体" w:hAnsi="宋体" w:cs="宋体" w:eastAsia="宋体" w:hint="default"/>
                <w:spacing w:val="-9"/>
                <w:sz w:val="18"/>
                <w:szCs w:val="18"/>
              </w:rPr>
              <w:t>．盈余公积</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弥补亏损</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pacing w:val="-9"/>
                <w:sz w:val="18"/>
                <w:szCs w:val="18"/>
              </w:rPr>
              <w:t>4</w:t>
            </w:r>
            <w:r>
              <w:rPr>
                <w:rFonts w:ascii="宋体" w:hAnsi="宋体" w:cs="宋体" w:eastAsia="宋体" w:hint="default"/>
                <w:spacing w:val="-9"/>
                <w:sz w:val="18"/>
                <w:szCs w:val="18"/>
              </w:rPr>
              <w:t>．设定受益</w:t>
            </w:r>
          </w:p>
          <w:p>
            <w:pPr>
              <w:pStyle w:val="TableParagraph"/>
              <w:spacing w:line="237" w:lineRule="auto"/>
              <w:ind w:left="105" w:right="137"/>
              <w:jc w:val="both"/>
              <w:rPr>
                <w:rFonts w:ascii="宋体" w:hAnsi="宋体" w:cs="宋体" w:eastAsia="宋体" w:hint="default"/>
                <w:sz w:val="21"/>
                <w:szCs w:val="21"/>
              </w:rPr>
            </w:pPr>
            <w:r>
              <w:rPr>
                <w:rFonts w:ascii="宋体" w:hAnsi="宋体" w:cs="宋体" w:eastAsia="宋体" w:hint="default"/>
                <w:sz w:val="18"/>
                <w:szCs w:val="18"/>
              </w:rPr>
              <w:t>计划变动额 结转留存收 益</w:t>
            </w:r>
            <w:r>
              <w:rPr>
                <w:rFonts w:ascii="宋体" w:hAnsi="宋体" w:cs="宋体" w:eastAsia="宋体" w:hint="default"/>
                <w:w w:val="100"/>
                <w:sz w:val="21"/>
                <w:szCs w:val="21"/>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5</w:t>
            </w:r>
            <w:r>
              <w:rPr>
                <w:rFonts w:ascii="宋体" w:hAnsi="宋体" w:cs="宋体" w:eastAsia="宋体" w:hint="default"/>
                <w:spacing w:val="-9"/>
                <w:sz w:val="18"/>
                <w:szCs w:val="18"/>
              </w:rPr>
              <w:t>．其他综合</w:t>
            </w:r>
          </w:p>
          <w:p>
            <w:pPr>
              <w:pStyle w:val="TableParagraph"/>
              <w:spacing w:line="232" w:lineRule="exact" w:before="23"/>
              <w:ind w:left="105" w:right="137"/>
              <w:jc w:val="left"/>
              <w:rPr>
                <w:rFonts w:ascii="宋体" w:hAnsi="宋体" w:cs="宋体" w:eastAsia="宋体" w:hint="default"/>
                <w:sz w:val="18"/>
                <w:szCs w:val="18"/>
              </w:rPr>
            </w:pPr>
            <w:r>
              <w:rPr>
                <w:rFonts w:ascii="宋体" w:hAnsi="宋体" w:cs="宋体" w:eastAsia="宋体" w:hint="default"/>
                <w:sz w:val="18"/>
                <w:szCs w:val="18"/>
              </w:rPr>
              <w:t>收益结转留 存收益</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7" w:footer="980" w:top="1120" w:bottom="1160" w:left="300" w:right="300"/>
        </w:sectPr>
      </w:pPr>
    </w:p>
    <w:p>
      <w:pPr>
        <w:spacing w:line="240" w:lineRule="auto" w:before="11"/>
        <w:rPr>
          <w:rFonts w:ascii="Times New Roman" w:hAnsi="Times New Roman" w:cs="Times New Roman" w:eastAsia="Times New Roman"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154"/>
        <w:gridCol w:w="1443"/>
        <w:gridCol w:w="286"/>
        <w:gridCol w:w="288"/>
        <w:gridCol w:w="1442"/>
        <w:gridCol w:w="1438"/>
        <w:gridCol w:w="1296"/>
        <w:gridCol w:w="434"/>
        <w:gridCol w:w="286"/>
        <w:gridCol w:w="1296"/>
        <w:gridCol w:w="434"/>
        <w:gridCol w:w="1438"/>
        <w:gridCol w:w="288"/>
        <w:gridCol w:w="1592"/>
        <w:gridCol w:w="1296"/>
        <w:gridCol w:w="1582"/>
      </w:tblGrid>
      <w:tr>
        <w:trPr>
          <w:trHeight w:val="476"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储备</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．本期提取</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hAnsi="宋体" w:cs="宋体" w:eastAsia="宋体" w:hint="default"/>
                <w:spacing w:val="-9"/>
                <w:sz w:val="18"/>
                <w:szCs w:val="18"/>
              </w:rPr>
              <w:t>2</w:t>
            </w:r>
            <w:r>
              <w:rPr>
                <w:rFonts w:ascii="宋体" w:hAnsi="宋体" w:cs="宋体" w:eastAsia="宋体" w:hint="default"/>
                <w:spacing w:val="-9"/>
                <w:sz w:val="18"/>
                <w:szCs w:val="18"/>
              </w:rPr>
              <w:t>．本期使用</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
              <w:jc w:val="righ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末余额</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06" w:right="0"/>
              <w:jc w:val="left"/>
              <w:rPr>
                <w:rFonts w:ascii="Times New Roman" w:hAnsi="Times New Roman" w:cs="Times New Roman" w:eastAsia="Times New Roman" w:hint="default"/>
                <w:sz w:val="18"/>
                <w:szCs w:val="18"/>
              </w:rPr>
            </w:pPr>
            <w:r>
              <w:rPr>
                <w:rFonts w:ascii="Times New Roman"/>
                <w:sz w:val="18"/>
              </w:rPr>
              <w:t>526,487,912.00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03" w:right="0"/>
              <w:jc w:val="left"/>
              <w:rPr>
                <w:rFonts w:ascii="Times New Roman" w:hAnsi="Times New Roman" w:cs="Times New Roman" w:eastAsia="Times New Roman" w:hint="default"/>
                <w:sz w:val="18"/>
                <w:szCs w:val="18"/>
              </w:rPr>
            </w:pPr>
            <w:r>
              <w:rPr>
                <w:rFonts w:ascii="Times New Roman"/>
                <w:sz w:val="18"/>
              </w:rPr>
              <w:t>180,222,023.21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01" w:right="0"/>
              <w:jc w:val="left"/>
              <w:rPr>
                <w:rFonts w:ascii="Times New Roman" w:hAnsi="Times New Roman" w:cs="Times New Roman" w:eastAsia="Times New Roman" w:hint="default"/>
                <w:sz w:val="18"/>
                <w:szCs w:val="18"/>
              </w:rPr>
            </w:pPr>
            <w:r>
              <w:rPr>
                <w:rFonts w:ascii="Times New Roman"/>
                <w:sz w:val="18"/>
              </w:rPr>
              <w:t>738,926,076.56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51" w:right="0"/>
              <w:jc w:val="left"/>
              <w:rPr>
                <w:rFonts w:ascii="Times New Roman" w:hAnsi="Times New Roman" w:cs="Times New Roman" w:eastAsia="Times New Roman" w:hint="default"/>
                <w:sz w:val="18"/>
                <w:szCs w:val="18"/>
              </w:rPr>
            </w:pPr>
            <w:r>
              <w:rPr>
                <w:rFonts w:ascii="Times New Roman"/>
                <w:sz w:val="18"/>
              </w:rPr>
              <w:t>57,446,600.28</w:t>
            </w:r>
          </w:p>
        </w:tc>
        <w:tc>
          <w:tcPr>
            <w:tcW w:w="43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48" w:right="0"/>
              <w:jc w:val="left"/>
              <w:rPr>
                <w:rFonts w:ascii="Times New Roman" w:hAnsi="Times New Roman" w:cs="Times New Roman" w:eastAsia="Times New Roman" w:hint="default"/>
                <w:sz w:val="18"/>
                <w:szCs w:val="18"/>
              </w:rPr>
            </w:pPr>
            <w:r>
              <w:rPr>
                <w:rFonts w:ascii="Times New Roman"/>
                <w:sz w:val="18"/>
              </w:rPr>
              <w:t>69,204,233.82</w:t>
            </w: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01" w:right="0"/>
              <w:jc w:val="left"/>
              <w:rPr>
                <w:rFonts w:ascii="Times New Roman" w:hAnsi="Times New Roman" w:cs="Times New Roman" w:eastAsia="Times New Roman" w:hint="default"/>
                <w:sz w:val="18"/>
                <w:szCs w:val="18"/>
              </w:rPr>
            </w:pPr>
            <w:r>
              <w:rPr>
                <w:rFonts w:ascii="Times New Roman"/>
                <w:sz w:val="18"/>
              </w:rPr>
              <w:t>605,041,071.29</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18" w:right="0"/>
              <w:jc w:val="left"/>
              <w:rPr>
                <w:rFonts w:ascii="Times New Roman" w:hAnsi="Times New Roman" w:cs="Times New Roman" w:eastAsia="Times New Roman" w:hint="default"/>
                <w:sz w:val="18"/>
                <w:szCs w:val="18"/>
              </w:rPr>
            </w:pPr>
            <w:r>
              <w:rPr>
                <w:rFonts w:ascii="Times New Roman"/>
                <w:sz w:val="18"/>
              </w:rPr>
              <w:t>2,062,434,716.60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48" w:right="0"/>
              <w:jc w:val="left"/>
              <w:rPr>
                <w:rFonts w:ascii="Times New Roman" w:hAnsi="Times New Roman" w:cs="Times New Roman" w:eastAsia="Times New Roman" w:hint="default"/>
                <w:sz w:val="18"/>
                <w:szCs w:val="18"/>
              </w:rPr>
            </w:pPr>
            <w:r>
              <w:rPr>
                <w:rFonts w:ascii="Times New Roman"/>
                <w:sz w:val="18"/>
              </w:rPr>
              <w:t>44,218,679.57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11" w:right="0"/>
              <w:jc w:val="left"/>
              <w:rPr>
                <w:rFonts w:ascii="Times New Roman" w:hAnsi="Times New Roman" w:cs="Times New Roman" w:eastAsia="Times New Roman" w:hint="default"/>
                <w:sz w:val="18"/>
                <w:szCs w:val="18"/>
              </w:rPr>
            </w:pPr>
            <w:r>
              <w:rPr>
                <w:rFonts w:ascii="Times New Roman"/>
                <w:sz w:val="18"/>
              </w:rPr>
              <w:t>2,106,653,396.17</w:t>
            </w:r>
          </w:p>
        </w:tc>
      </w:tr>
    </w:tbl>
    <w:p>
      <w:pPr>
        <w:pStyle w:val="BodyText"/>
        <w:spacing w:line="236" w:lineRule="exact"/>
        <w:ind w:left="1224" w:right="0"/>
        <w:jc w:val="left"/>
        <w:rPr>
          <w:rFonts w:ascii="宋体" w:hAnsi="宋体" w:cs="宋体" w:eastAsia="宋体" w:hint="default"/>
        </w:rPr>
      </w:pPr>
      <w:r>
        <w:rPr>
          <w:rFonts w:ascii="宋体"/>
          <w:w w:val="100"/>
        </w:rPr>
        <w:t> </w:t>
      </w:r>
    </w:p>
    <w:p>
      <w:pPr>
        <w:pStyle w:val="Heading3"/>
        <w:spacing w:line="309" w:lineRule="exact"/>
        <w:ind w:left="1224" w:right="0"/>
        <w:jc w:val="left"/>
      </w:pPr>
      <w:r>
        <w:rPr/>
        <w:t> </w:t>
      </w:r>
    </w:p>
    <w:p>
      <w:pPr>
        <w:spacing w:line="240" w:lineRule="auto" w:before="12"/>
        <w:rPr>
          <w:rFonts w:ascii="宋体" w:hAnsi="宋体" w:cs="宋体" w:eastAsia="宋体" w:hint="default"/>
          <w:sz w:val="2"/>
          <w:szCs w:val="2"/>
        </w:rPr>
      </w:pPr>
    </w:p>
    <w:tbl>
      <w:tblPr>
        <w:tblW w:w="0" w:type="auto"/>
        <w:jc w:val="left"/>
        <w:tblInd w:w="254" w:type="dxa"/>
        <w:tblLayout w:type="fixed"/>
        <w:tblCellMar>
          <w:top w:w="0" w:type="dxa"/>
          <w:left w:w="0" w:type="dxa"/>
          <w:bottom w:w="0" w:type="dxa"/>
          <w:right w:w="0" w:type="dxa"/>
        </w:tblCellMar>
        <w:tblLook w:val="01E0"/>
      </w:tblPr>
      <w:tblGrid>
        <w:gridCol w:w="1232"/>
        <w:gridCol w:w="1356"/>
        <w:gridCol w:w="398"/>
        <w:gridCol w:w="396"/>
        <w:gridCol w:w="398"/>
        <w:gridCol w:w="1357"/>
        <w:gridCol w:w="1310"/>
        <w:gridCol w:w="396"/>
        <w:gridCol w:w="398"/>
        <w:gridCol w:w="1265"/>
        <w:gridCol w:w="398"/>
        <w:gridCol w:w="1399"/>
        <w:gridCol w:w="398"/>
        <w:gridCol w:w="1498"/>
        <w:gridCol w:w="1265"/>
        <w:gridCol w:w="1808"/>
      </w:tblGrid>
      <w:tr>
        <w:trPr>
          <w:trHeight w:val="250" w:hRule="exact"/>
        </w:trPr>
        <w:tc>
          <w:tcPr>
            <w:tcW w:w="12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042" w:type="dxa"/>
            <w:gridSpan w:val="15"/>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715" w:right="0"/>
              <w:jc w:val="center"/>
              <w:rPr>
                <w:rFonts w:ascii="宋体" w:hAnsi="宋体" w:cs="宋体" w:eastAsia="宋体" w:hint="default"/>
                <w:sz w:val="24"/>
                <w:szCs w:val="24"/>
              </w:rPr>
            </w:pPr>
            <w:r>
              <w:rPr>
                <w:rFonts w:ascii="宋体" w:hAnsi="宋体" w:cs="宋体" w:eastAsia="宋体" w:hint="default"/>
                <w:sz w:val="24"/>
                <w:szCs w:val="24"/>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z w:val="24"/>
                <w:szCs w:val="24"/>
              </w:rPr>
              <w:t> </w:t>
            </w:r>
          </w:p>
        </w:tc>
      </w:tr>
      <w:tr>
        <w:trPr>
          <w:trHeight w:val="481" w:hRule="exact"/>
        </w:trPr>
        <w:tc>
          <w:tcPr>
            <w:tcW w:w="1232" w:type="dxa"/>
            <w:vMerge/>
            <w:tcBorders>
              <w:left w:val="single" w:sz="4" w:space="0" w:color="000000"/>
              <w:right w:val="single" w:sz="4" w:space="0" w:color="000000"/>
            </w:tcBorders>
          </w:tcPr>
          <w:p>
            <w:pPr/>
          </w:p>
        </w:tc>
        <w:tc>
          <w:tcPr>
            <w:tcW w:w="1097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1" w:right="0"/>
              <w:jc w:val="center"/>
              <w:rPr>
                <w:rFonts w:ascii="宋体" w:hAnsi="宋体" w:cs="宋体" w:eastAsia="宋体" w:hint="default"/>
                <w:sz w:val="24"/>
                <w:szCs w:val="24"/>
              </w:rPr>
            </w:pPr>
            <w:r>
              <w:rPr>
                <w:rFonts w:ascii="宋体" w:hAnsi="宋体" w:cs="宋体" w:eastAsia="宋体" w:hint="default"/>
                <w:sz w:val="18"/>
                <w:szCs w:val="18"/>
              </w:rPr>
              <w:t>归属于母公司所有者权益</w:t>
            </w:r>
            <w:r>
              <w:rPr>
                <w:rFonts w:ascii="宋体" w:hAnsi="宋体" w:cs="宋体" w:eastAsia="宋体" w:hint="default"/>
                <w:sz w:val="24"/>
                <w:szCs w:val="24"/>
              </w:rPr>
              <w:t> </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2" w:lineRule="exact"/>
              <w:ind w:left="540" w:right="173"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8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90" w:hRule="exact"/>
        </w:trPr>
        <w:tc>
          <w:tcPr>
            <w:tcW w:w="1232" w:type="dxa"/>
            <w:vMerge/>
            <w:tcBorders>
              <w:left w:val="single" w:sz="4" w:space="0" w:color="000000"/>
              <w:right w:val="single" w:sz="4" w:space="0" w:color="000000"/>
            </w:tcBorders>
          </w:tcPr>
          <w:p>
            <w:pP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48" w:right="127" w:hanging="31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 股本</w:t>
            </w:r>
            <w:r>
              <w:rPr>
                <w:rFonts w:ascii="宋体" w:hAnsi="宋体" w:cs="宋体" w:eastAsia="宋体" w:hint="default"/>
                <w:sz w:val="18"/>
                <w:szCs w:val="18"/>
              </w:rPr>
              <w:t>) </w:t>
            </w:r>
          </w:p>
        </w:tc>
        <w:tc>
          <w:tcPr>
            <w:tcW w:w="11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90"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13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3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03" w:right="11"/>
              <w:jc w:val="both"/>
              <w:rPr>
                <w:rFonts w:ascii="宋体" w:hAnsi="宋体" w:cs="宋体" w:eastAsia="宋体" w:hint="default"/>
                <w:sz w:val="18"/>
                <w:szCs w:val="18"/>
              </w:rPr>
            </w:pPr>
            <w:r>
              <w:rPr>
                <w:rFonts w:ascii="宋体" w:hAnsi="宋体" w:cs="宋体" w:eastAsia="宋体" w:hint="default"/>
                <w:sz w:val="18"/>
                <w:szCs w:val="18"/>
              </w:rPr>
              <w:t>他 综 合 收 益</w:t>
            </w:r>
            <w:r>
              <w:rPr>
                <w:rFonts w:ascii="宋体" w:hAnsi="宋体" w:cs="宋体" w:eastAsia="宋体" w:hint="default"/>
                <w:sz w:val="18"/>
                <w:szCs w:val="18"/>
              </w:rPr>
              <w:t> </w:t>
            </w:r>
          </w:p>
        </w:tc>
        <w:tc>
          <w:tcPr>
            <w:tcW w:w="39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5" w:right="11"/>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98"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3"/>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3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05" w:right="11"/>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265" w:type="dxa"/>
            <w:vMerge/>
            <w:tcBorders>
              <w:left w:val="single" w:sz="4" w:space="0" w:color="000000"/>
              <w:right w:val="single" w:sz="4" w:space="0" w:color="000000"/>
            </w:tcBorders>
          </w:tcPr>
          <w:p>
            <w:pPr/>
          </w:p>
        </w:tc>
        <w:tc>
          <w:tcPr>
            <w:tcW w:w="1808" w:type="dxa"/>
            <w:vMerge/>
            <w:tcBorders>
              <w:left w:val="single" w:sz="4" w:space="0" w:color="000000"/>
              <w:right w:val="single" w:sz="4" w:space="0" w:color="000000"/>
            </w:tcBorders>
          </w:tcPr>
          <w:p>
            <w:pPr/>
          </w:p>
        </w:tc>
      </w:tr>
      <w:tr>
        <w:trPr>
          <w:trHeight w:val="960" w:hRule="exact"/>
        </w:trPr>
        <w:tc>
          <w:tcPr>
            <w:tcW w:w="1232"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5" w:right="11"/>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3" w:right="11"/>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11"/>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357" w:type="dxa"/>
            <w:vMerge/>
            <w:tcBorders>
              <w:left w:val="single" w:sz="4" w:space="0" w:color="000000"/>
              <w:bottom w:val="single" w:sz="4" w:space="0" w:color="000000"/>
              <w:right w:val="single" w:sz="4" w:space="0" w:color="000000"/>
            </w:tcBorders>
          </w:tcPr>
          <w:p>
            <w:pPr/>
          </w:p>
        </w:tc>
        <w:tc>
          <w:tcPr>
            <w:tcW w:w="1310"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1399"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808" w:type="dxa"/>
            <w:vMerge/>
            <w:tcBorders>
              <w:left w:val="single" w:sz="4" w:space="0" w:color="000000"/>
              <w:bottom w:val="single" w:sz="4" w:space="0" w:color="000000"/>
              <w:right w:val="single" w:sz="4" w:space="0" w:color="000000"/>
            </w:tcBorders>
          </w:tcPr>
          <w:p>
            <w:pPr/>
          </w:p>
        </w:tc>
      </w:tr>
      <w:tr>
        <w:trPr>
          <w:trHeight w:val="478"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1"/>
                <w:sz w:val="18"/>
                <w:szCs w:val="18"/>
              </w:rPr>
              <w:t>一、上年期末</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19" w:right="0"/>
              <w:jc w:val="left"/>
              <w:rPr>
                <w:rFonts w:ascii="Times New Roman" w:hAnsi="Times New Roman" w:cs="Times New Roman" w:eastAsia="Times New Roman" w:hint="default"/>
                <w:sz w:val="18"/>
                <w:szCs w:val="18"/>
              </w:rPr>
            </w:pPr>
            <w:r>
              <w:rPr>
                <w:rFonts w:ascii="Times New Roman"/>
                <w:sz w:val="18"/>
              </w:rPr>
              <w:t>407,097,800.00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17" w:right="0"/>
              <w:jc w:val="left"/>
              <w:rPr>
                <w:rFonts w:ascii="Times New Roman" w:hAnsi="Times New Roman" w:cs="Times New Roman" w:eastAsia="Times New Roman" w:hint="default"/>
                <w:sz w:val="18"/>
                <w:szCs w:val="18"/>
              </w:rPr>
            </w:pPr>
            <w:r>
              <w:rPr>
                <w:rFonts w:ascii="Times New Roman"/>
                <w:sz w:val="18"/>
              </w:rPr>
              <w:t>180,342,840.48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63" w:right="0"/>
              <w:jc w:val="left"/>
              <w:rPr>
                <w:rFonts w:ascii="Times New Roman" w:hAnsi="Times New Roman" w:cs="Times New Roman" w:eastAsia="Times New Roman" w:hint="default"/>
                <w:sz w:val="18"/>
                <w:szCs w:val="18"/>
              </w:rPr>
            </w:pPr>
            <w:r>
              <w:rPr>
                <w:rFonts w:ascii="Times New Roman"/>
                <w:sz w:val="18"/>
              </w:rPr>
              <w:t>39,887,176.32</w:t>
            </w: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17" w:right="0"/>
              <w:jc w:val="left"/>
              <w:rPr>
                <w:rFonts w:ascii="Times New Roman" w:hAnsi="Times New Roman" w:cs="Times New Roman" w:eastAsia="Times New Roman" w:hint="default"/>
                <w:sz w:val="18"/>
                <w:szCs w:val="18"/>
              </w:rPr>
            </w:pPr>
            <w:r>
              <w:rPr>
                <w:rFonts w:ascii="Times New Roman"/>
                <w:sz w:val="18"/>
              </w:rPr>
              <w:t>53,401,869.29</w:t>
            </w: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63" w:right="0"/>
              <w:jc w:val="left"/>
              <w:rPr>
                <w:rFonts w:ascii="Times New Roman" w:hAnsi="Times New Roman" w:cs="Times New Roman" w:eastAsia="Times New Roman" w:hint="default"/>
                <w:sz w:val="18"/>
                <w:szCs w:val="18"/>
              </w:rPr>
            </w:pPr>
            <w:r>
              <w:rPr>
                <w:rFonts w:ascii="Times New Roman"/>
                <w:sz w:val="18"/>
              </w:rPr>
              <w:t>408,127,113.68</w:t>
            </w: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48" w:right="0"/>
              <w:jc w:val="left"/>
              <w:rPr>
                <w:rFonts w:ascii="Times New Roman" w:hAnsi="Times New Roman" w:cs="Times New Roman" w:eastAsia="Times New Roman" w:hint="default"/>
                <w:sz w:val="18"/>
                <w:szCs w:val="18"/>
              </w:rPr>
            </w:pPr>
            <w:r>
              <w:rPr>
                <w:rFonts w:ascii="Times New Roman"/>
                <w:sz w:val="18"/>
              </w:rPr>
              <w:t>-1,631,481.58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1,007,450,965.55</w:t>
            </w:r>
          </w:p>
        </w:tc>
      </w:tr>
      <w:tr>
        <w:trPr>
          <w:trHeight w:val="478"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1"/>
                <w:sz w:val="18"/>
                <w:szCs w:val="18"/>
              </w:rPr>
              <w:t>加：会计政策</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变更</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r>
      <w:tr>
        <w:trPr>
          <w:trHeight w:val="478"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r>
      <w:tr>
        <w:trPr>
          <w:trHeight w:val="475"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企业合并</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
              <w:jc w:val="right"/>
              <w:rPr>
                <w:rFonts w:ascii="宋体" w:hAnsi="宋体" w:cs="宋体" w:eastAsia="宋体" w:hint="default"/>
                <w:sz w:val="18"/>
                <w:szCs w:val="18"/>
              </w:rPr>
            </w:pPr>
            <w:r>
              <w:rPr>
                <w:rFonts w:ascii="宋体"/>
                <w:sz w:val="18"/>
              </w:rPr>
              <w:t> </w:t>
            </w:r>
          </w:p>
        </w:tc>
      </w:tr>
      <w:tr>
        <w:trPr>
          <w:trHeight w:val="245"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r>
      <w:tr>
        <w:trPr>
          <w:trHeight w:val="475"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1"/>
                <w:sz w:val="18"/>
                <w:szCs w:val="18"/>
              </w:rPr>
              <w:t>二、本年期初</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9" w:right="0"/>
              <w:jc w:val="left"/>
              <w:rPr>
                <w:rFonts w:ascii="Times New Roman" w:hAnsi="Times New Roman" w:cs="Times New Roman" w:eastAsia="Times New Roman" w:hint="default"/>
                <w:sz w:val="18"/>
                <w:szCs w:val="18"/>
              </w:rPr>
            </w:pPr>
            <w:r>
              <w:rPr>
                <w:rFonts w:ascii="Times New Roman"/>
                <w:sz w:val="18"/>
              </w:rPr>
              <w:t>407,097,800.00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7" w:right="0"/>
              <w:jc w:val="left"/>
              <w:rPr>
                <w:rFonts w:ascii="Times New Roman" w:hAnsi="Times New Roman" w:cs="Times New Roman" w:eastAsia="Times New Roman" w:hint="default"/>
                <w:sz w:val="18"/>
                <w:szCs w:val="18"/>
              </w:rPr>
            </w:pPr>
            <w:r>
              <w:rPr>
                <w:rFonts w:ascii="Times New Roman"/>
                <w:sz w:val="18"/>
              </w:rPr>
              <w:t>180,342,840.48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63" w:right="0"/>
              <w:jc w:val="left"/>
              <w:rPr>
                <w:rFonts w:ascii="Times New Roman" w:hAnsi="Times New Roman" w:cs="Times New Roman" w:eastAsia="Times New Roman" w:hint="default"/>
                <w:sz w:val="18"/>
                <w:szCs w:val="18"/>
              </w:rPr>
            </w:pPr>
            <w:r>
              <w:rPr>
                <w:rFonts w:ascii="Times New Roman"/>
                <w:sz w:val="18"/>
              </w:rPr>
              <w:t>39,887,176.32</w:t>
            </w: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7" w:right="0"/>
              <w:jc w:val="left"/>
              <w:rPr>
                <w:rFonts w:ascii="Times New Roman" w:hAnsi="Times New Roman" w:cs="Times New Roman" w:eastAsia="Times New Roman" w:hint="default"/>
                <w:sz w:val="18"/>
                <w:szCs w:val="18"/>
              </w:rPr>
            </w:pPr>
            <w:r>
              <w:rPr>
                <w:rFonts w:ascii="Times New Roman"/>
                <w:sz w:val="18"/>
              </w:rPr>
              <w:t>53,401,869.29</w:t>
            </w: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63" w:right="0"/>
              <w:jc w:val="left"/>
              <w:rPr>
                <w:rFonts w:ascii="Times New Roman" w:hAnsi="Times New Roman" w:cs="Times New Roman" w:eastAsia="Times New Roman" w:hint="default"/>
                <w:sz w:val="18"/>
                <w:szCs w:val="18"/>
              </w:rPr>
            </w:pPr>
            <w:r>
              <w:rPr>
                <w:rFonts w:ascii="Times New Roman"/>
                <w:sz w:val="18"/>
              </w:rPr>
              <w:t>408,127,113.68</w:t>
            </w: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27" w:right="0"/>
              <w:jc w:val="left"/>
              <w:rPr>
                <w:rFonts w:ascii="Times New Roman" w:hAnsi="Times New Roman" w:cs="Times New Roman" w:eastAsia="Times New Roman" w:hint="default"/>
                <w:sz w:val="18"/>
                <w:szCs w:val="18"/>
              </w:rPr>
            </w:pPr>
            <w:r>
              <w:rPr>
                <w:rFonts w:ascii="Times New Roman"/>
                <w:sz w:val="18"/>
              </w:rPr>
              <w:t>1,009,082,447.13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48" w:right="0"/>
              <w:jc w:val="left"/>
              <w:rPr>
                <w:rFonts w:ascii="Times New Roman" w:hAnsi="Times New Roman" w:cs="Times New Roman" w:eastAsia="Times New Roman" w:hint="default"/>
                <w:sz w:val="18"/>
                <w:szCs w:val="18"/>
              </w:rPr>
            </w:pPr>
            <w:r>
              <w:rPr>
                <w:rFonts w:ascii="Times New Roman"/>
                <w:sz w:val="18"/>
              </w:rPr>
              <w:t>-1,631,481.58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1,007,450,965.55</w:t>
            </w:r>
          </w:p>
        </w:tc>
      </w:tr>
      <w:tr>
        <w:trPr>
          <w:trHeight w:val="946"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1"/>
                <w:sz w:val="18"/>
                <w:szCs w:val="18"/>
              </w:rPr>
              <w:t>三、本期增减</w:t>
            </w:r>
          </w:p>
          <w:p>
            <w:pPr>
              <w:pStyle w:val="TableParagraph"/>
              <w:spacing w:line="237" w:lineRule="auto"/>
              <w:ind w:left="105" w:right="99"/>
              <w:jc w:val="left"/>
              <w:rPr>
                <w:rFonts w:ascii="宋体" w:hAnsi="宋体" w:cs="宋体" w:eastAsia="宋体" w:hint="default"/>
                <w:sz w:val="18"/>
                <w:szCs w:val="18"/>
              </w:rPr>
            </w:pPr>
            <w:r>
              <w:rPr>
                <w:rFonts w:ascii="宋体" w:hAnsi="宋体" w:cs="宋体" w:eastAsia="宋体" w:hint="default"/>
                <w:spacing w:val="-11"/>
                <w:sz w:val="18"/>
                <w:szCs w:val="18"/>
              </w:rPr>
              <w:t>变动金额（减</w:t>
            </w:r>
            <w:r>
              <w:rPr>
                <w:rFonts w:ascii="宋体" w:hAnsi="宋体" w:cs="宋体" w:eastAsia="宋体" w:hint="default"/>
                <w:sz w:val="18"/>
                <w:szCs w:val="18"/>
              </w:rPr>
              <w:t> 少以“－” 号填列）</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19" w:right="0"/>
              <w:jc w:val="left"/>
              <w:rPr>
                <w:rFonts w:ascii="Times New Roman" w:hAnsi="Times New Roman" w:cs="Times New Roman" w:eastAsia="Times New Roman" w:hint="default"/>
                <w:sz w:val="18"/>
                <w:szCs w:val="18"/>
              </w:rPr>
            </w:pPr>
            <w:r>
              <w:rPr>
                <w:rFonts w:ascii="Times New Roman"/>
                <w:sz w:val="18"/>
              </w:rPr>
              <w:t>119,586,672.00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17" w:right="0"/>
              <w:jc w:val="left"/>
              <w:rPr>
                <w:rFonts w:ascii="Times New Roman" w:hAnsi="Times New Roman" w:cs="Times New Roman" w:eastAsia="Times New Roman" w:hint="default"/>
                <w:sz w:val="18"/>
                <w:szCs w:val="18"/>
              </w:rPr>
            </w:pPr>
            <w:r>
              <w:rPr>
                <w:rFonts w:ascii="Times New Roman"/>
                <w:sz w:val="18"/>
              </w:rPr>
              <w:t>527,861,950.35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-24,154,507.70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17" w:right="0"/>
              <w:jc w:val="left"/>
              <w:rPr>
                <w:rFonts w:ascii="Times New Roman" w:hAnsi="Times New Roman" w:cs="Times New Roman" w:eastAsia="Times New Roman" w:hint="default"/>
                <w:sz w:val="18"/>
                <w:szCs w:val="18"/>
              </w:rPr>
            </w:pPr>
            <w:r>
              <w:rPr>
                <w:rFonts w:ascii="Times New Roman"/>
                <w:sz w:val="18"/>
              </w:rPr>
              <w:t>10,682,196.96</w:t>
            </w: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54" w:right="0"/>
              <w:jc w:val="left"/>
              <w:rPr>
                <w:rFonts w:ascii="Times New Roman" w:hAnsi="Times New Roman" w:cs="Times New Roman" w:eastAsia="Times New Roman" w:hint="default"/>
                <w:sz w:val="18"/>
                <w:szCs w:val="18"/>
              </w:rPr>
            </w:pPr>
            <w:r>
              <w:rPr>
                <w:rFonts w:ascii="Times New Roman"/>
                <w:sz w:val="18"/>
              </w:rPr>
              <w:t>56,389,728.47</w:t>
            </w: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1" w:right="0"/>
              <w:jc w:val="left"/>
              <w:rPr>
                <w:rFonts w:ascii="Times New Roman" w:hAnsi="Times New Roman" w:cs="Times New Roman" w:eastAsia="Times New Roman" w:hint="default"/>
                <w:sz w:val="18"/>
                <w:szCs w:val="18"/>
              </w:rPr>
            </w:pPr>
            <w:r>
              <w:rPr>
                <w:rFonts w:ascii="Times New Roman"/>
                <w:sz w:val="18"/>
              </w:rPr>
              <w:t>738,675,055.48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0" w:right="0"/>
              <w:jc w:val="left"/>
              <w:rPr>
                <w:rFonts w:ascii="Times New Roman" w:hAnsi="Times New Roman" w:cs="Times New Roman" w:eastAsia="Times New Roman" w:hint="default"/>
                <w:sz w:val="18"/>
                <w:szCs w:val="18"/>
              </w:rPr>
            </w:pPr>
            <w:r>
              <w:rPr>
                <w:rFonts w:ascii="Times New Roman"/>
                <w:sz w:val="18"/>
              </w:rPr>
              <w:t>22,080,575.22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760,755,630.70</w:t>
            </w:r>
          </w:p>
        </w:tc>
      </w:tr>
      <w:tr>
        <w:trPr>
          <w:trHeight w:val="475"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1"/>
                <w:sz w:val="18"/>
                <w:szCs w:val="18"/>
              </w:rPr>
              <w:t>（一）综合收</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益总额</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63" w:right="0"/>
              <w:jc w:val="left"/>
              <w:rPr>
                <w:rFonts w:ascii="Times New Roman" w:hAnsi="Times New Roman" w:cs="Times New Roman" w:eastAsia="Times New Roman" w:hint="default"/>
                <w:sz w:val="18"/>
                <w:szCs w:val="18"/>
              </w:rPr>
            </w:pPr>
            <w:r>
              <w:rPr>
                <w:rFonts w:ascii="Times New Roman"/>
                <w:sz w:val="18"/>
              </w:rPr>
              <w:t>172,523,315.83</w:t>
            </w: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61" w:right="0"/>
              <w:jc w:val="left"/>
              <w:rPr>
                <w:rFonts w:ascii="Times New Roman" w:hAnsi="Times New Roman" w:cs="Times New Roman" w:eastAsia="Times New Roman" w:hint="default"/>
                <w:sz w:val="18"/>
                <w:szCs w:val="18"/>
              </w:rPr>
            </w:pPr>
            <w:r>
              <w:rPr>
                <w:rFonts w:ascii="Times New Roman"/>
                <w:sz w:val="18"/>
              </w:rPr>
              <w:t>172,523,315.83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48" w:right="0"/>
              <w:jc w:val="left"/>
              <w:rPr>
                <w:rFonts w:ascii="Times New Roman" w:hAnsi="Times New Roman" w:cs="Times New Roman" w:eastAsia="Times New Roman" w:hint="default"/>
                <w:sz w:val="18"/>
                <w:szCs w:val="18"/>
              </w:rPr>
            </w:pPr>
            <w:r>
              <w:rPr>
                <w:rFonts w:ascii="Times New Roman"/>
                <w:sz w:val="18"/>
              </w:rPr>
              <w:t>-2,680,916.16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169,842,399.67</w:t>
            </w:r>
          </w:p>
        </w:tc>
      </w:tr>
      <w:tr>
        <w:trPr>
          <w:trHeight w:val="245"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1"/>
                <w:sz w:val="18"/>
                <w:szCs w:val="18"/>
              </w:rPr>
              <w:t>（二）所有者</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9" w:right="0"/>
              <w:jc w:val="left"/>
              <w:rPr>
                <w:rFonts w:ascii="Times New Roman" w:hAnsi="Times New Roman" w:cs="Times New Roman" w:eastAsia="Times New Roman" w:hint="default"/>
                <w:sz w:val="18"/>
                <w:szCs w:val="18"/>
              </w:rPr>
            </w:pPr>
            <w:r>
              <w:rPr>
                <w:rFonts w:ascii="Times New Roman"/>
                <w:sz w:val="18"/>
              </w:rPr>
              <w:t>119,586,672.00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7" w:right="0"/>
              <w:jc w:val="left"/>
              <w:rPr>
                <w:rFonts w:ascii="Times New Roman" w:hAnsi="Times New Roman" w:cs="Times New Roman" w:eastAsia="Times New Roman" w:hint="default"/>
                <w:sz w:val="18"/>
                <w:szCs w:val="18"/>
              </w:rPr>
            </w:pPr>
            <w:r>
              <w:rPr>
                <w:rFonts w:ascii="Times New Roman"/>
                <w:sz w:val="18"/>
              </w:rPr>
              <w:t>527,861,950.35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Times New Roman" w:hAnsi="Times New Roman" w:cs="Times New Roman" w:eastAsia="Times New Roman" w:hint="default"/>
                <w:sz w:val="18"/>
                <w:szCs w:val="18"/>
              </w:rPr>
            </w:pPr>
            <w:r>
              <w:rPr>
                <w:rFonts w:ascii="Times New Roman"/>
                <w:sz w:val="18"/>
              </w:rPr>
              <w:t>-24,154,507.70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1" w:right="0"/>
              <w:jc w:val="left"/>
              <w:rPr>
                <w:rFonts w:ascii="Times New Roman" w:hAnsi="Times New Roman" w:cs="Times New Roman" w:eastAsia="Times New Roman" w:hint="default"/>
                <w:sz w:val="18"/>
                <w:szCs w:val="18"/>
              </w:rPr>
            </w:pPr>
            <w:r>
              <w:rPr>
                <w:rFonts w:ascii="Times New Roman"/>
                <w:sz w:val="18"/>
              </w:rPr>
              <w:t>671,603,130.05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0" w:right="0"/>
              <w:jc w:val="left"/>
              <w:rPr>
                <w:rFonts w:ascii="Times New Roman" w:hAnsi="Times New Roman" w:cs="Times New Roman" w:eastAsia="Times New Roman" w:hint="default"/>
                <w:sz w:val="18"/>
                <w:szCs w:val="18"/>
              </w:rPr>
            </w:pPr>
            <w:r>
              <w:rPr>
                <w:rFonts w:ascii="Times New Roman"/>
                <w:sz w:val="18"/>
              </w:rPr>
              <w:t>24,761,491.38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696,364,621.43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57" w:footer="980" w:top="1120" w:bottom="1160" w:left="300" w:right="300"/>
        </w:sectPr>
      </w:pPr>
    </w:p>
    <w:p>
      <w:pPr>
        <w:spacing w:line="240" w:lineRule="auto" w:before="11"/>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232"/>
        <w:gridCol w:w="1356"/>
        <w:gridCol w:w="398"/>
        <w:gridCol w:w="396"/>
        <w:gridCol w:w="398"/>
        <w:gridCol w:w="1357"/>
        <w:gridCol w:w="1310"/>
        <w:gridCol w:w="396"/>
        <w:gridCol w:w="398"/>
        <w:gridCol w:w="1265"/>
        <w:gridCol w:w="398"/>
        <w:gridCol w:w="1399"/>
        <w:gridCol w:w="398"/>
        <w:gridCol w:w="1498"/>
        <w:gridCol w:w="1265"/>
        <w:gridCol w:w="1808"/>
      </w:tblGrid>
      <w:tr>
        <w:trPr>
          <w:trHeight w:val="476"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投入和减少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入的普通股</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120,159,152.00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531,550,051.12</w:t>
            </w: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60" w:right="0"/>
              <w:jc w:val="center"/>
              <w:rPr>
                <w:rFonts w:ascii="Times New Roman" w:hAnsi="Times New Roman" w:cs="Times New Roman" w:eastAsia="Times New Roman" w:hint="default"/>
                <w:sz w:val="18"/>
                <w:szCs w:val="18"/>
              </w:rPr>
            </w:pPr>
            <w:r>
              <w:rPr>
                <w:rFonts w:ascii="Times New Roman"/>
                <w:sz w:val="18"/>
              </w:rPr>
              <w:t>651,709,203.12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8" w:right="0"/>
              <w:jc w:val="center"/>
              <w:rPr>
                <w:rFonts w:ascii="Times New Roman" w:hAnsi="Times New Roman" w:cs="Times New Roman" w:eastAsia="Times New Roman" w:hint="default"/>
                <w:sz w:val="18"/>
                <w:szCs w:val="18"/>
              </w:rPr>
            </w:pPr>
            <w:r>
              <w:rPr>
                <w:rFonts w:ascii="Times New Roman"/>
                <w:sz w:val="18"/>
              </w:rPr>
              <w:t>1,672,900.00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653,382,103.12</w:t>
            </w:r>
          </w:p>
        </w:tc>
      </w:tr>
      <w:tr>
        <w:trPr>
          <w:trHeight w:val="710"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w:t>
            </w:r>
          </w:p>
          <w:p>
            <w:pPr>
              <w:pStyle w:val="TableParagraph"/>
              <w:spacing w:line="240" w:lineRule="auto"/>
              <w:ind w:left="105" w:right="214"/>
              <w:jc w:val="left"/>
              <w:rPr>
                <w:rFonts w:ascii="宋体" w:hAnsi="宋体" w:cs="宋体" w:eastAsia="宋体" w:hint="default"/>
                <w:sz w:val="18"/>
                <w:szCs w:val="18"/>
              </w:rPr>
            </w:pPr>
            <w:r>
              <w:rPr>
                <w:rFonts w:ascii="宋体" w:hAnsi="宋体" w:cs="宋体" w:eastAsia="宋体" w:hint="default"/>
                <w:sz w:val="18"/>
                <w:szCs w:val="18"/>
              </w:rPr>
              <w:t>工具持有者 投入资本</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w:t>
            </w:r>
          </w:p>
          <w:p>
            <w:pPr>
              <w:pStyle w:val="TableParagraph"/>
              <w:spacing w:line="240" w:lineRule="auto"/>
              <w:ind w:left="105" w:right="124"/>
              <w:jc w:val="left"/>
              <w:rPr>
                <w:rFonts w:ascii="宋体" w:hAnsi="宋体" w:cs="宋体" w:eastAsia="宋体" w:hint="default"/>
                <w:sz w:val="18"/>
                <w:szCs w:val="18"/>
              </w:rPr>
            </w:pPr>
            <w:r>
              <w:rPr>
                <w:rFonts w:ascii="宋体" w:hAnsi="宋体" w:cs="宋体" w:eastAsia="宋体" w:hint="default"/>
                <w:sz w:val="18"/>
                <w:szCs w:val="18"/>
              </w:rPr>
              <w:t>计入所有者 权益的金额</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-572,480.00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-1,330,059.71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-24,154,507.70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51" w:right="0"/>
              <w:jc w:val="center"/>
              <w:rPr>
                <w:rFonts w:ascii="Times New Roman" w:hAnsi="Times New Roman" w:cs="Times New Roman" w:eastAsia="Times New Roman" w:hint="default"/>
                <w:sz w:val="18"/>
                <w:szCs w:val="18"/>
              </w:rPr>
            </w:pPr>
            <w:r>
              <w:rPr>
                <w:rFonts w:ascii="Times New Roman"/>
                <w:sz w:val="18"/>
              </w:rPr>
              <w:t>22,251,967.99</w:t>
            </w: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22,251,967.99</w:t>
            </w:r>
          </w:p>
        </w:tc>
      </w:tr>
      <w:tr>
        <w:trPr>
          <w:trHeight w:val="243"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-2,358,041.06</w:t>
            </w: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0" w:right="0"/>
              <w:jc w:val="center"/>
              <w:rPr>
                <w:rFonts w:ascii="Times New Roman" w:hAnsi="Times New Roman" w:cs="Times New Roman" w:eastAsia="Times New Roman" w:hint="default"/>
                <w:sz w:val="18"/>
                <w:szCs w:val="18"/>
              </w:rPr>
            </w:pPr>
            <w:r>
              <w:rPr>
                <w:rFonts w:ascii="Times New Roman"/>
                <w:sz w:val="18"/>
              </w:rPr>
              <w:t>-2,358,041.06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 w:right="0"/>
              <w:jc w:val="center"/>
              <w:rPr>
                <w:rFonts w:ascii="Times New Roman" w:hAnsi="Times New Roman" w:cs="Times New Roman" w:eastAsia="Times New Roman" w:hint="default"/>
                <w:sz w:val="18"/>
                <w:szCs w:val="18"/>
              </w:rPr>
            </w:pPr>
            <w:r>
              <w:rPr>
                <w:rFonts w:ascii="Times New Roman"/>
                <w:sz w:val="18"/>
              </w:rPr>
              <w:t>23,088,591.38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20,730,550.32</w:t>
            </w:r>
          </w:p>
        </w:tc>
      </w:tr>
      <w:tr>
        <w:trPr>
          <w:trHeight w:val="478"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1"/>
                <w:sz w:val="18"/>
                <w:szCs w:val="18"/>
              </w:rPr>
              <w:t>（三）利润分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3" w:right="0"/>
              <w:jc w:val="center"/>
              <w:rPr>
                <w:rFonts w:ascii="Times New Roman" w:hAnsi="Times New Roman" w:cs="Times New Roman" w:eastAsia="Times New Roman" w:hint="default"/>
                <w:sz w:val="18"/>
                <w:szCs w:val="18"/>
              </w:rPr>
            </w:pPr>
            <w:r>
              <w:rPr>
                <w:rFonts w:ascii="Times New Roman"/>
                <w:sz w:val="18"/>
              </w:rPr>
              <w:t>11,616,683.43</w:t>
            </w: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-117,068,073.83</w:t>
            </w: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99" w:right="0"/>
              <w:jc w:val="center"/>
              <w:rPr>
                <w:rFonts w:ascii="Times New Roman" w:hAnsi="Times New Roman" w:cs="Times New Roman" w:eastAsia="Times New Roman" w:hint="default"/>
                <w:sz w:val="18"/>
                <w:szCs w:val="18"/>
              </w:rPr>
            </w:pPr>
            <w:r>
              <w:rPr>
                <w:rFonts w:ascii="Times New Roman"/>
                <w:sz w:val="18"/>
              </w:rPr>
              <w:t>-105,451,390.40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-105,451,390.40</w:t>
            </w:r>
          </w:p>
        </w:tc>
      </w:tr>
      <w:tr>
        <w:trPr>
          <w:trHeight w:val="478"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公积</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 w:right="0"/>
              <w:jc w:val="center"/>
              <w:rPr>
                <w:rFonts w:ascii="Times New Roman" w:hAnsi="Times New Roman" w:cs="Times New Roman" w:eastAsia="Times New Roman" w:hint="default"/>
                <w:sz w:val="18"/>
                <w:szCs w:val="18"/>
              </w:rPr>
            </w:pPr>
            <w:r>
              <w:rPr>
                <w:rFonts w:ascii="Times New Roman"/>
                <w:sz w:val="18"/>
              </w:rPr>
              <w:t>11,616,683.43</w:t>
            </w: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3" w:right="0"/>
              <w:jc w:val="center"/>
              <w:rPr>
                <w:rFonts w:ascii="Times New Roman" w:hAnsi="Times New Roman" w:cs="Times New Roman" w:eastAsia="Times New Roman" w:hint="default"/>
                <w:sz w:val="18"/>
                <w:szCs w:val="18"/>
              </w:rPr>
            </w:pPr>
            <w:r>
              <w:rPr>
                <w:rFonts w:ascii="Times New Roman"/>
                <w:sz w:val="18"/>
              </w:rPr>
              <w:t>-11,616,683.43</w:t>
            </w: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风险准备</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w:t>
            </w:r>
          </w:p>
          <w:p>
            <w:pPr>
              <w:pStyle w:val="TableParagraph"/>
              <w:spacing w:line="232" w:lineRule="exact" w:before="23"/>
              <w:ind w:left="105" w:right="99"/>
              <w:jc w:val="left"/>
              <w:rPr>
                <w:rFonts w:ascii="宋体" w:hAnsi="宋体" w:cs="宋体" w:eastAsia="宋体" w:hint="default"/>
                <w:sz w:val="18"/>
                <w:szCs w:val="18"/>
              </w:rPr>
            </w:pPr>
            <w:r>
              <w:rPr>
                <w:rFonts w:ascii="宋体" w:hAnsi="宋体" w:cs="宋体" w:eastAsia="宋体" w:hint="default"/>
                <w:spacing w:val="-11"/>
                <w:sz w:val="18"/>
                <w:szCs w:val="18"/>
              </w:rPr>
              <w:t>（或股东）的</w:t>
            </w:r>
            <w:r>
              <w:rPr>
                <w:rFonts w:ascii="宋体" w:hAnsi="宋体" w:cs="宋体" w:eastAsia="宋体" w:hint="default"/>
                <w:sz w:val="18"/>
                <w:szCs w:val="18"/>
              </w:rPr>
              <w:t> 分配</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-105,451,390.40</w:t>
            </w: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-105,451,390.40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-105,451,390.40</w:t>
            </w:r>
          </w:p>
        </w:tc>
      </w:tr>
      <w:tr>
        <w:trPr>
          <w:trHeight w:val="245"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1"/>
                <w:sz w:val="18"/>
                <w:szCs w:val="18"/>
              </w:rPr>
              <w:t>（四）所有者</w:t>
            </w:r>
          </w:p>
          <w:p>
            <w:pPr>
              <w:pStyle w:val="TableParagraph"/>
              <w:spacing w:line="240" w:lineRule="auto"/>
              <w:ind w:left="105" w:right="214"/>
              <w:jc w:val="left"/>
              <w:rPr>
                <w:rFonts w:ascii="宋体" w:hAnsi="宋体" w:cs="宋体" w:eastAsia="宋体" w:hint="default"/>
                <w:sz w:val="18"/>
                <w:szCs w:val="18"/>
              </w:rPr>
            </w:pPr>
            <w:r>
              <w:rPr>
                <w:rFonts w:ascii="宋体" w:hAnsi="宋体" w:cs="宋体" w:eastAsia="宋体" w:hint="default"/>
                <w:sz w:val="18"/>
                <w:szCs w:val="18"/>
              </w:rPr>
              <w:t>权益内部结 转</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w:t>
            </w:r>
          </w:p>
          <w:p>
            <w:pPr>
              <w:pStyle w:val="TableParagraph"/>
              <w:spacing w:line="240" w:lineRule="auto"/>
              <w:ind w:left="105" w:right="99"/>
              <w:jc w:val="left"/>
              <w:rPr>
                <w:rFonts w:ascii="宋体" w:hAnsi="宋体" w:cs="宋体" w:eastAsia="宋体" w:hint="default"/>
                <w:sz w:val="18"/>
                <w:szCs w:val="18"/>
              </w:rPr>
            </w:pPr>
            <w:r>
              <w:rPr>
                <w:rFonts w:ascii="宋体" w:hAnsi="宋体" w:cs="宋体" w:eastAsia="宋体" w:hint="default"/>
                <w:spacing w:val="-11"/>
                <w:sz w:val="18"/>
                <w:szCs w:val="18"/>
              </w:rPr>
              <w:t>转增资本（或</w:t>
            </w:r>
            <w:r>
              <w:rPr>
                <w:rFonts w:ascii="宋体" w:hAnsi="宋体" w:cs="宋体" w:eastAsia="宋体" w:hint="default"/>
                <w:sz w:val="18"/>
                <w:szCs w:val="18"/>
              </w:rPr>
              <w:t> 股本）</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w:t>
            </w:r>
          </w:p>
          <w:p>
            <w:pPr>
              <w:pStyle w:val="TableParagraph"/>
              <w:spacing w:line="240" w:lineRule="auto"/>
              <w:ind w:left="105" w:right="99"/>
              <w:jc w:val="left"/>
              <w:rPr>
                <w:rFonts w:ascii="宋体" w:hAnsi="宋体" w:cs="宋体" w:eastAsia="宋体" w:hint="default"/>
                <w:sz w:val="18"/>
                <w:szCs w:val="18"/>
              </w:rPr>
            </w:pPr>
            <w:r>
              <w:rPr>
                <w:rFonts w:ascii="宋体" w:hAnsi="宋体" w:cs="宋体" w:eastAsia="宋体" w:hint="default"/>
                <w:spacing w:val="-11"/>
                <w:sz w:val="18"/>
                <w:szCs w:val="18"/>
              </w:rPr>
              <w:t>转增资本（或</w:t>
            </w:r>
            <w:r>
              <w:rPr>
                <w:rFonts w:ascii="宋体" w:hAnsi="宋体" w:cs="宋体" w:eastAsia="宋体" w:hint="default"/>
                <w:sz w:val="18"/>
                <w:szCs w:val="18"/>
              </w:rPr>
              <w:t> 股本）</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弥补亏损</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w:t>
            </w:r>
          </w:p>
          <w:p>
            <w:pPr>
              <w:pStyle w:val="TableParagraph"/>
              <w:spacing w:line="232" w:lineRule="exact" w:before="23"/>
              <w:ind w:left="105" w:right="214"/>
              <w:jc w:val="both"/>
              <w:rPr>
                <w:rFonts w:ascii="宋体" w:hAnsi="宋体" w:cs="宋体" w:eastAsia="宋体" w:hint="default"/>
                <w:sz w:val="21"/>
                <w:szCs w:val="21"/>
              </w:rPr>
            </w:pPr>
            <w:r>
              <w:rPr>
                <w:rFonts w:ascii="宋体" w:hAnsi="宋体" w:cs="宋体" w:eastAsia="宋体" w:hint="default"/>
                <w:sz w:val="18"/>
                <w:szCs w:val="18"/>
              </w:rPr>
              <w:t>计划变动额 结转留存收 益</w:t>
            </w:r>
            <w:r>
              <w:rPr>
                <w:rFonts w:ascii="宋体" w:hAnsi="宋体" w:cs="宋体" w:eastAsia="宋体" w:hint="default"/>
                <w:w w:val="100"/>
                <w:sz w:val="21"/>
                <w:szCs w:val="21"/>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7" w:footer="980" w:top="1120" w:bottom="1160" w:left="440" w:right="880"/>
        </w:sectPr>
      </w:pPr>
    </w:p>
    <w:p>
      <w:pPr>
        <w:spacing w:line="240" w:lineRule="auto" w:before="11"/>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232"/>
        <w:gridCol w:w="1356"/>
        <w:gridCol w:w="398"/>
        <w:gridCol w:w="396"/>
        <w:gridCol w:w="398"/>
        <w:gridCol w:w="1357"/>
        <w:gridCol w:w="1310"/>
        <w:gridCol w:w="396"/>
        <w:gridCol w:w="398"/>
        <w:gridCol w:w="1265"/>
        <w:gridCol w:w="398"/>
        <w:gridCol w:w="1399"/>
        <w:gridCol w:w="398"/>
        <w:gridCol w:w="1498"/>
        <w:gridCol w:w="1265"/>
        <w:gridCol w:w="1808"/>
      </w:tblGrid>
      <w:tr>
        <w:trPr>
          <w:trHeight w:val="476"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收益结转留</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存收益</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1"/>
                <w:sz w:val="18"/>
                <w:szCs w:val="18"/>
              </w:rPr>
              <w:t>（五）专项储</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-934,486.47</w:t>
            </w: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934,486.47</w:t>
            </w: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1"/>
                <w:sz w:val="18"/>
                <w:szCs w:val="18"/>
              </w:rPr>
              <w:t>四、本期期末</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9" w:right="0"/>
              <w:jc w:val="left"/>
              <w:rPr>
                <w:rFonts w:ascii="Times New Roman" w:hAnsi="Times New Roman" w:cs="Times New Roman" w:eastAsia="Times New Roman" w:hint="default"/>
                <w:sz w:val="18"/>
                <w:szCs w:val="18"/>
              </w:rPr>
            </w:pPr>
            <w:r>
              <w:rPr>
                <w:rFonts w:ascii="Times New Roman"/>
                <w:sz w:val="18"/>
              </w:rPr>
              <w:t>526,684,472.00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7" w:right="0"/>
              <w:jc w:val="left"/>
              <w:rPr>
                <w:rFonts w:ascii="Times New Roman" w:hAnsi="Times New Roman" w:cs="Times New Roman" w:eastAsia="Times New Roman" w:hint="default"/>
                <w:sz w:val="18"/>
                <w:szCs w:val="18"/>
              </w:rPr>
            </w:pPr>
            <w:r>
              <w:rPr>
                <w:rFonts w:ascii="Times New Roman"/>
                <w:sz w:val="18"/>
              </w:rPr>
              <w:t>708,204,790.83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63" w:right="0"/>
              <w:jc w:val="left"/>
              <w:rPr>
                <w:rFonts w:ascii="Times New Roman" w:hAnsi="Times New Roman" w:cs="Times New Roman" w:eastAsia="Times New Roman" w:hint="default"/>
                <w:sz w:val="18"/>
                <w:szCs w:val="18"/>
              </w:rPr>
            </w:pPr>
            <w:r>
              <w:rPr>
                <w:rFonts w:ascii="Times New Roman"/>
                <w:sz w:val="18"/>
              </w:rPr>
              <w:t>15,732,668.62</w:t>
            </w: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64,084,066.25</w:t>
            </w:r>
          </w:p>
        </w:tc>
        <w:tc>
          <w:tcPr>
            <w:tcW w:w="39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464,516,842.15</w:t>
            </w:r>
          </w:p>
        </w:tc>
        <w:tc>
          <w:tcPr>
            <w:tcW w:w="3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27" w:right="0"/>
              <w:jc w:val="left"/>
              <w:rPr>
                <w:rFonts w:ascii="Times New Roman" w:hAnsi="Times New Roman" w:cs="Times New Roman" w:eastAsia="Times New Roman" w:hint="default"/>
                <w:sz w:val="18"/>
                <w:szCs w:val="18"/>
              </w:rPr>
            </w:pPr>
            <w:r>
              <w:rPr>
                <w:rFonts w:ascii="Times New Roman"/>
                <w:sz w:val="18"/>
              </w:rPr>
              <w:t>1,747,757,502.61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20" w:right="0"/>
              <w:jc w:val="left"/>
              <w:rPr>
                <w:rFonts w:ascii="Times New Roman" w:hAnsi="Times New Roman" w:cs="Times New Roman" w:eastAsia="Times New Roman" w:hint="default"/>
                <w:sz w:val="18"/>
                <w:szCs w:val="18"/>
              </w:rPr>
            </w:pPr>
            <w:r>
              <w:rPr>
                <w:rFonts w:ascii="Times New Roman"/>
                <w:sz w:val="18"/>
              </w:rPr>
              <w:t>20,449,093.64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36" w:right="0"/>
              <w:jc w:val="left"/>
              <w:rPr>
                <w:rFonts w:ascii="Times New Roman" w:hAnsi="Times New Roman" w:cs="Times New Roman" w:eastAsia="Times New Roman" w:hint="default"/>
                <w:sz w:val="18"/>
                <w:szCs w:val="18"/>
              </w:rPr>
            </w:pPr>
            <w:r>
              <w:rPr>
                <w:rFonts w:ascii="Times New Roman"/>
                <w:sz w:val="18"/>
              </w:rPr>
              <w:t>1,768,206,596.25</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57" w:footer="980" w:top="1120" w:bottom="1160" w:left="440" w:right="560"/>
        </w:sectPr>
      </w:pPr>
    </w:p>
    <w:p>
      <w:pPr>
        <w:pStyle w:val="BodyText"/>
        <w:spacing w:line="241" w:lineRule="exact"/>
        <w:ind w:left="0" w:right="686"/>
        <w:jc w:val="right"/>
        <w:rPr>
          <w:rFonts w:ascii="宋体" w:hAnsi="宋体" w:cs="宋体" w:eastAsia="宋体" w:hint="default"/>
          <w:sz w:val="24"/>
          <w:szCs w:val="24"/>
        </w:rPr>
      </w:pPr>
      <w:r>
        <w:rPr/>
        <w:t>法定代表人：吴志雄 </w:t>
      </w:r>
      <w:r>
        <w:rPr>
          <w:rFonts w:ascii="宋体" w:hAnsi="宋体" w:cs="宋体" w:eastAsia="宋体" w:hint="default"/>
        </w:rPr>
      </w:r>
      <w:r>
        <w:rPr/>
        <w:t>主管会计工作负责人：陈平</w:t>
      </w:r>
      <w:r>
        <w:rPr>
          <w:spacing w:val="-10"/>
        </w:rPr>
        <w:t> </w:t>
      </w:r>
      <w:r>
        <w:rPr>
          <w:rFonts w:ascii="宋体" w:hAnsi="宋体" w:cs="宋体" w:eastAsia="宋体" w:hint="default"/>
          <w:spacing w:val="-10"/>
        </w:rPr>
      </w:r>
      <w:r>
        <w:rPr/>
        <w:t>会计机构负责人：陈平</w:t>
      </w:r>
      <w:r>
        <w:rPr>
          <w:rFonts w:ascii="宋体" w:hAnsi="宋体" w:cs="宋体" w:eastAsia="宋体" w:hint="default"/>
          <w:b/>
          <w:bCs/>
          <w:color w:val="FF0000"/>
          <w:w w:val="99"/>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22"/>
          <w:szCs w:val="22"/>
        </w:rPr>
      </w:pPr>
    </w:p>
    <w:p>
      <w:pPr>
        <w:pStyle w:val="Heading2"/>
        <w:spacing w:line="240" w:lineRule="auto"/>
        <w:ind w:left="0" w:right="0"/>
        <w:jc w:val="right"/>
        <w:rPr>
          <w:rFonts w:ascii="宋体" w:hAnsi="宋体" w:cs="宋体" w:eastAsia="宋体" w:hint="default"/>
          <w:b w:val="0"/>
          <w:bCs w:val="0"/>
        </w:rPr>
      </w:pPr>
      <w:r>
        <w:rPr>
          <w:w w:val="95"/>
        </w:rPr>
        <w:t>母公司所有者权益变动表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
        <w:ind w:left="0" w:right="679"/>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8"/>
        <w:ind w:left="1924" w:right="0"/>
        <w:jc w:val="left"/>
        <w:rPr>
          <w:rFonts w:ascii="宋体" w:hAnsi="宋体" w:cs="宋体" w:eastAsia="宋体" w:hint="default"/>
          <w:sz w:val="24"/>
          <w:szCs w:val="24"/>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500" w:bottom="280" w:left="440" w:right="560"/>
          <w:cols w:num="2" w:equalWidth="0">
            <w:col w:w="9455" w:space="1479"/>
            <w:col w:w="4906"/>
          </w:cols>
        </w:sectPr>
      </w:pPr>
    </w:p>
    <w:p>
      <w:pPr>
        <w:spacing w:line="240" w:lineRule="auto" w:before="4"/>
        <w:rPr>
          <w:rFonts w:ascii="宋体" w:hAnsi="宋体" w:cs="宋体" w:eastAsia="宋体" w:hint="default"/>
          <w:sz w:val="2"/>
          <w:szCs w:val="2"/>
        </w:rPr>
      </w:pPr>
    </w:p>
    <w:tbl>
      <w:tblPr>
        <w:tblW w:w="0" w:type="auto"/>
        <w:jc w:val="left"/>
        <w:tblInd w:w="400" w:type="dxa"/>
        <w:tblLayout w:type="fixed"/>
        <w:tblCellMar>
          <w:top w:w="0" w:type="dxa"/>
          <w:left w:w="0" w:type="dxa"/>
          <w:bottom w:w="0" w:type="dxa"/>
          <w:right w:w="0" w:type="dxa"/>
        </w:tblCellMar>
        <w:tblLook w:val="01E0"/>
      </w:tblPr>
      <w:tblGrid>
        <w:gridCol w:w="2410"/>
        <w:gridCol w:w="1558"/>
        <w:gridCol w:w="569"/>
        <w:gridCol w:w="708"/>
        <w:gridCol w:w="1560"/>
        <w:gridCol w:w="1520"/>
        <w:gridCol w:w="1315"/>
        <w:gridCol w:w="708"/>
        <w:gridCol w:w="710"/>
        <w:gridCol w:w="1275"/>
        <w:gridCol w:w="1418"/>
        <w:gridCol w:w="1558"/>
      </w:tblGrid>
      <w:tr>
        <w:trPr>
          <w:trHeight w:val="245" w:hRule="exact"/>
        </w:trPr>
        <w:tc>
          <w:tcPr>
            <w:tcW w:w="24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90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2" w:right="0"/>
              <w:jc w:val="center"/>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24"/>
                <w:szCs w:val="24"/>
              </w:rPr>
              <w:t> </w:t>
            </w:r>
          </w:p>
        </w:tc>
      </w:tr>
      <w:tr>
        <w:trPr>
          <w:trHeight w:val="324" w:hRule="exact"/>
        </w:trPr>
        <w:tc>
          <w:tcPr>
            <w:tcW w:w="2410" w:type="dxa"/>
            <w:vMerge/>
            <w:tcBorders>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32" w:lineRule="exact"/>
              <w:ind w:left="638" w:right="139"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4"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96"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3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03"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tcPr>
          <w:p>
            <w:pPr>
              <w:pStyle w:val="TableParagraph"/>
              <w:spacing w:line="237" w:lineRule="auto" w:before="132"/>
              <w:ind w:left="168" w:right="78"/>
              <w:jc w:val="both"/>
              <w:rPr>
                <w:rFonts w:ascii="宋体" w:hAnsi="宋体" w:cs="宋体" w:eastAsia="宋体" w:hint="default"/>
                <w:sz w:val="18"/>
                <w:szCs w:val="18"/>
              </w:rPr>
            </w:pPr>
            <w:r>
              <w:rPr>
                <w:rFonts w:ascii="宋体" w:hAnsi="宋体" w:cs="宋体" w:eastAsia="宋体" w:hint="default"/>
                <w:sz w:val="18"/>
                <w:szCs w:val="18"/>
              </w:rPr>
              <w:t>其他 综合 收益</w:t>
            </w:r>
            <w:r>
              <w:rPr>
                <w:rFonts w:ascii="宋体" w:hAnsi="宋体" w:cs="宋体" w:eastAsia="宋体" w:hint="default"/>
                <w:sz w:val="18"/>
                <w:szCs w:val="18"/>
              </w:rPr>
              <w:t> </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32" w:lineRule="exact"/>
              <w:ind w:left="170" w:right="78"/>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7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3"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711" w:hRule="exact"/>
        </w:trPr>
        <w:tc>
          <w:tcPr>
            <w:tcW w:w="2410"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89" w:right="98"/>
              <w:jc w:val="left"/>
              <w:rPr>
                <w:rFonts w:ascii="宋体" w:hAnsi="宋体" w:cs="宋体" w:eastAsia="宋体" w:hint="default"/>
                <w:sz w:val="18"/>
                <w:szCs w:val="18"/>
              </w:rPr>
            </w:pPr>
            <w:r>
              <w:rPr>
                <w:rFonts w:ascii="宋体" w:hAnsi="宋体" w:cs="宋体" w:eastAsia="宋体" w:hint="default"/>
                <w:sz w:val="18"/>
                <w:szCs w:val="18"/>
              </w:rPr>
              <w:t>先 股</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259" w:right="167" w:hanging="92"/>
              <w:jc w:val="left"/>
              <w:rPr>
                <w:rFonts w:ascii="宋体" w:hAnsi="宋体" w:cs="宋体" w:eastAsia="宋体" w:hint="default"/>
                <w:sz w:val="18"/>
                <w:szCs w:val="18"/>
              </w:rPr>
            </w:pPr>
            <w:r>
              <w:rPr>
                <w:rFonts w:ascii="宋体" w:hAnsi="宋体" w:cs="宋体" w:eastAsia="宋体" w:hint="default"/>
                <w:sz w:val="18"/>
                <w:szCs w:val="18"/>
              </w:rPr>
              <w:t>永续 债</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20" w:type="dxa"/>
            <w:vMerge/>
            <w:tcBorders>
              <w:left w:val="single" w:sz="4" w:space="0" w:color="000000"/>
              <w:bottom w:val="single" w:sz="4" w:space="0" w:color="000000"/>
              <w:right w:val="single" w:sz="4" w:space="0" w:color="000000"/>
            </w:tcBorders>
          </w:tcPr>
          <w:p>
            <w:pPr/>
          </w:p>
        </w:tc>
        <w:tc>
          <w:tcPr>
            <w:tcW w:w="1315"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2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526,684,472.00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712,443,564.32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15,732,668.62</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64,084,066.25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418,042,293.70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1,705,521,727.65</w:t>
            </w:r>
          </w:p>
        </w:tc>
      </w:tr>
      <w:tr>
        <w:trPr>
          <w:trHeight w:val="24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-1,159,035.21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-10,431,316.86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-11,590,352.07</w:t>
            </w:r>
          </w:p>
        </w:tc>
      </w:tr>
      <w:tr>
        <w:trPr>
          <w:trHeight w:val="2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526,684,472.00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712,443,564.32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15,732,668.62</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62,925,031.04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407,610,976.84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1,693,931,375.58</w:t>
            </w: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-196,560.00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180,222,023.21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30,663,928.18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41,713,931.66</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6,279,202.78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-6,689,311.61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168,565,350.90</w:t>
            </w:r>
          </w:p>
        </w:tc>
      </w:tr>
      <w:tr>
        <w:trPr>
          <w:trHeight w:val="2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62,792,027.81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62,792,027.81</w:t>
            </w: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-196,560.00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180,222,023.21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30,663,928.18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41,713,931.66</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168,975,459.73</w:t>
            </w:r>
          </w:p>
        </w:tc>
      </w:tr>
      <w:tr>
        <w:trPr>
          <w:trHeight w:val="2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180,222,023.21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180,222,023.21</w:t>
            </w:r>
          </w:p>
        </w:tc>
      </w:tr>
      <w:tr>
        <w:trPr>
          <w:trHeight w:val="24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．股份支付计入所有者权益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-196,560.00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-619,605.72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-1,562,348.83</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746,183.11</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500" w:bottom="280" w:left="440" w:right="560"/>
        </w:sectPr>
      </w:pPr>
    </w:p>
    <w:p>
      <w:pPr>
        <w:spacing w:line="240" w:lineRule="auto" w:before="5"/>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410"/>
        <w:gridCol w:w="1558"/>
        <w:gridCol w:w="569"/>
        <w:gridCol w:w="708"/>
        <w:gridCol w:w="1560"/>
        <w:gridCol w:w="1520"/>
        <w:gridCol w:w="1315"/>
        <w:gridCol w:w="708"/>
        <w:gridCol w:w="710"/>
        <w:gridCol w:w="1275"/>
        <w:gridCol w:w="1418"/>
        <w:gridCol w:w="1558"/>
      </w:tblGrid>
      <w:tr>
        <w:trPr>
          <w:trHeight w:val="24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31,283,533.90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43,276,280.49</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-11,992,746.59</w:t>
            </w:r>
          </w:p>
        </w:tc>
      </w:tr>
      <w:tr>
        <w:trPr>
          <w:trHeight w:val="2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6,279,202.78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-69,481,339.42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-63,202,136.64</w:t>
            </w:r>
          </w:p>
        </w:tc>
      </w:tr>
      <w:tr>
        <w:trPr>
          <w:trHeight w:val="2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6,279,202.78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-6,279,202.78</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-63,202,136.64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-63,202,136.64</w:t>
            </w:r>
          </w:p>
        </w:tc>
      </w:tr>
      <w:tr>
        <w:trPr>
          <w:trHeight w:val="24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4</w:t>
            </w:r>
            <w:r>
              <w:rPr>
                <w:rFonts w:ascii="宋体" w:hAnsi="宋体" w:cs="宋体" w:eastAsia="宋体" w:hint="default"/>
                <w:spacing w:val="-5"/>
                <w:sz w:val="18"/>
                <w:szCs w:val="18"/>
              </w:rPr>
              <w:t>．设定受益计划变动额结转</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留存收益</w:t>
            </w:r>
            <w:r>
              <w:rPr>
                <w:rFonts w:ascii="宋体" w:hAnsi="宋体" w:cs="宋体" w:eastAsia="宋体" w:hint="default"/>
                <w:w w:val="100"/>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5</w:t>
            </w:r>
            <w:r>
              <w:rPr>
                <w:rFonts w:ascii="宋体" w:hAnsi="宋体" w:cs="宋体" w:eastAsia="宋体" w:hint="default"/>
                <w:spacing w:val="-5"/>
                <w:sz w:val="18"/>
                <w:szCs w:val="18"/>
              </w:rPr>
              <w:t>．其他综合收益结转留存收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1" w:right="0"/>
              <w:jc w:val="left"/>
              <w:rPr>
                <w:rFonts w:ascii="Times New Roman" w:hAnsi="Times New Roman" w:cs="Times New Roman" w:eastAsia="Times New Roman" w:hint="default"/>
                <w:sz w:val="18"/>
                <w:szCs w:val="18"/>
              </w:rPr>
            </w:pPr>
            <w:r>
              <w:rPr>
                <w:rFonts w:ascii="Times New Roman"/>
                <w:sz w:val="18"/>
              </w:rPr>
              <w:t>526,487,912.00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1" w:right="0"/>
              <w:jc w:val="left"/>
              <w:rPr>
                <w:rFonts w:ascii="Times New Roman" w:hAnsi="Times New Roman" w:cs="Times New Roman" w:eastAsia="Times New Roman" w:hint="default"/>
                <w:sz w:val="18"/>
                <w:szCs w:val="18"/>
              </w:rPr>
            </w:pPr>
            <w:r>
              <w:rPr>
                <w:rFonts w:ascii="Times New Roman"/>
                <w:sz w:val="18"/>
              </w:rPr>
              <w:t>180,222,023.21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743,107,492.50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57,446,600.28</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69,204,233.82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400,921,665.23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1,862,496,726.48</w:t>
            </w:r>
          </w:p>
        </w:tc>
      </w:tr>
    </w:tbl>
    <w:p>
      <w:pPr>
        <w:pStyle w:val="Heading3"/>
        <w:spacing w:line="273" w:lineRule="exact"/>
        <w:ind w:left="784" w:right="0"/>
        <w:jc w:val="left"/>
      </w:pPr>
      <w:r>
        <w:rPr/>
        <w:t> </w:t>
      </w:r>
    </w:p>
    <w:p>
      <w:pPr>
        <w:pStyle w:val="Heading3"/>
        <w:spacing w:line="313" w:lineRule="exact"/>
        <w:ind w:left="784" w:right="0"/>
        <w:jc w:val="left"/>
      </w:pPr>
      <w:r>
        <w:rPr/>
        <w:t> </w:t>
      </w:r>
    </w:p>
    <w:p>
      <w:pPr>
        <w:spacing w:line="240" w:lineRule="auto" w:before="10"/>
        <w:rPr>
          <w:rFonts w:ascii="宋体" w:hAnsi="宋体" w:cs="宋体" w:eastAsia="宋体" w:hint="default"/>
          <w:sz w:val="2"/>
          <w:szCs w:val="2"/>
        </w:rPr>
      </w:pPr>
    </w:p>
    <w:tbl>
      <w:tblPr>
        <w:tblW w:w="0" w:type="auto"/>
        <w:jc w:val="left"/>
        <w:tblInd w:w="234" w:type="dxa"/>
        <w:tblLayout w:type="fixed"/>
        <w:tblCellMar>
          <w:top w:w="0" w:type="dxa"/>
          <w:left w:w="0" w:type="dxa"/>
          <w:bottom w:w="0" w:type="dxa"/>
          <w:right w:w="0" w:type="dxa"/>
        </w:tblCellMar>
        <w:tblLook w:val="01E0"/>
      </w:tblPr>
      <w:tblGrid>
        <w:gridCol w:w="2412"/>
        <w:gridCol w:w="1416"/>
        <w:gridCol w:w="711"/>
        <w:gridCol w:w="850"/>
        <w:gridCol w:w="1274"/>
        <w:gridCol w:w="1560"/>
        <w:gridCol w:w="1277"/>
        <w:gridCol w:w="708"/>
        <w:gridCol w:w="710"/>
        <w:gridCol w:w="1275"/>
        <w:gridCol w:w="1418"/>
        <w:gridCol w:w="1558"/>
      </w:tblGrid>
      <w:tr>
        <w:trPr>
          <w:trHeight w:val="250" w:hRule="exact"/>
        </w:trPr>
        <w:tc>
          <w:tcPr>
            <w:tcW w:w="24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9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758" w:type="dxa"/>
            <w:gridSpan w:val="11"/>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87"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6" w:hRule="exact"/>
        </w:trPr>
        <w:tc>
          <w:tcPr>
            <w:tcW w:w="2412" w:type="dxa"/>
            <w:vMerge/>
            <w:tcBorders>
              <w:left w:val="single" w:sz="6" w:space="0" w:color="000000"/>
              <w:right w:val="single" w:sz="6" w:space="0" w:color="000000"/>
            </w:tcBorders>
          </w:tcPr>
          <w:p>
            <w:pPr/>
          </w:p>
        </w:tc>
        <w:tc>
          <w:tcPr>
            <w:tcW w:w="1416" w:type="dxa"/>
            <w:vMerge w:val="restart"/>
            <w:tcBorders>
              <w:top w:val="single" w:sz="6" w:space="0" w:color="000000"/>
              <w:left w:val="single" w:sz="6" w:space="0" w:color="000000"/>
              <w:right w:val="single" w:sz="4" w:space="0" w:color="000000"/>
            </w:tcBorders>
          </w:tcPr>
          <w:p>
            <w:pPr>
              <w:pStyle w:val="TableParagraph"/>
              <w:spacing w:line="232" w:lineRule="exact" w:before="160"/>
              <w:ind w:left="475" w:right="158" w:hanging="31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 股本</w:t>
            </w:r>
            <w:r>
              <w:rPr>
                <w:rFonts w:ascii="宋体" w:hAnsi="宋体" w:cs="宋体" w:eastAsia="宋体" w:hint="default"/>
                <w:sz w:val="18"/>
                <w:szCs w:val="18"/>
              </w:rPr>
              <w:t>) </w:t>
            </w:r>
          </w:p>
        </w:tc>
        <w:tc>
          <w:tcPr>
            <w:tcW w:w="283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874"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708" w:type="dxa"/>
            <w:vMerge w:val="restart"/>
            <w:tcBorders>
              <w:top w:val="single" w:sz="6" w:space="0" w:color="000000"/>
              <w:left w:val="single" w:sz="6" w:space="0" w:color="000000"/>
              <w:right w:val="single" w:sz="6" w:space="0" w:color="000000"/>
            </w:tcBorders>
          </w:tcPr>
          <w:p>
            <w:pPr>
              <w:pStyle w:val="TableParagraph"/>
              <w:spacing w:line="237" w:lineRule="auto" w:before="20"/>
              <w:ind w:left="165" w:right="77"/>
              <w:jc w:val="both"/>
              <w:rPr>
                <w:rFonts w:ascii="宋体" w:hAnsi="宋体" w:cs="宋体" w:eastAsia="宋体" w:hint="default"/>
                <w:sz w:val="18"/>
                <w:szCs w:val="18"/>
              </w:rPr>
            </w:pPr>
            <w:r>
              <w:rPr>
                <w:rFonts w:ascii="宋体" w:hAnsi="宋体" w:cs="宋体" w:eastAsia="宋体" w:hint="default"/>
                <w:sz w:val="18"/>
                <w:szCs w:val="18"/>
              </w:rPr>
              <w:t>其他 综合 收益</w:t>
            </w:r>
            <w:r>
              <w:rPr>
                <w:rFonts w:ascii="宋体" w:hAnsi="宋体" w:cs="宋体" w:eastAsia="宋体" w:hint="default"/>
                <w:sz w:val="18"/>
                <w:szCs w:val="18"/>
              </w:rPr>
              <w:t> </w:t>
            </w:r>
          </w:p>
        </w:tc>
        <w:tc>
          <w:tcPr>
            <w:tcW w:w="710" w:type="dxa"/>
            <w:vMerge w:val="restart"/>
            <w:tcBorders>
              <w:top w:val="single" w:sz="6" w:space="0" w:color="000000"/>
              <w:left w:val="single" w:sz="6" w:space="0" w:color="000000"/>
              <w:right w:val="single" w:sz="6" w:space="0" w:color="000000"/>
            </w:tcBorders>
          </w:tcPr>
          <w:p>
            <w:pPr>
              <w:pStyle w:val="TableParagraph"/>
              <w:spacing w:line="232" w:lineRule="exact" w:before="160"/>
              <w:ind w:left="167" w:right="77"/>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85" w:hRule="exact"/>
        </w:trPr>
        <w:tc>
          <w:tcPr>
            <w:tcW w:w="2412"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4" w:space="0" w:color="000000"/>
            </w:tcBorders>
          </w:tcPr>
          <w:p>
            <w:pPr/>
          </w:p>
        </w:tc>
        <w:tc>
          <w:tcPr>
            <w:tcW w:w="711"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261" w:right="167" w:hanging="92"/>
              <w:jc w:val="left"/>
              <w:rPr>
                <w:rFonts w:ascii="宋体" w:hAnsi="宋体" w:cs="宋体" w:eastAsia="宋体" w:hint="default"/>
                <w:sz w:val="18"/>
                <w:szCs w:val="18"/>
              </w:rPr>
            </w:pPr>
            <w:r>
              <w:rPr>
                <w:rFonts w:ascii="宋体" w:hAnsi="宋体" w:cs="宋体" w:eastAsia="宋体" w:hint="default"/>
                <w:sz w:val="18"/>
                <w:szCs w:val="18"/>
              </w:rPr>
              <w:t>优先 股</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2"/>
              <w:ind w:left="151"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2"/>
              <w:ind w:left="45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60"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r>
      <w:tr>
        <w:trPr>
          <w:trHeight w:val="250"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407,097,800.00</w:t>
            </w: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181,791,120.77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39,887,176.32</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27" w:right="0"/>
              <w:jc w:val="left"/>
              <w:rPr>
                <w:rFonts w:ascii="Times New Roman" w:hAnsi="Times New Roman" w:cs="Times New Roman" w:eastAsia="Times New Roman" w:hint="default"/>
                <w:sz w:val="18"/>
                <w:szCs w:val="18"/>
              </w:rPr>
            </w:pPr>
            <w:r>
              <w:rPr>
                <w:rFonts w:ascii="Times New Roman"/>
                <w:sz w:val="18"/>
              </w:rPr>
              <w:t>53,401,869.29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427,353,911.45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1,029,757,525.19</w:t>
            </w:r>
          </w:p>
        </w:tc>
      </w:tr>
      <w:tr>
        <w:trPr>
          <w:trHeight w:val="247"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407,097,800.00</w:t>
            </w: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181,791,120.77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39,887,176.32</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27" w:right="0"/>
              <w:jc w:val="left"/>
              <w:rPr>
                <w:rFonts w:ascii="Times New Roman" w:hAnsi="Times New Roman" w:cs="Times New Roman" w:eastAsia="Times New Roman" w:hint="default"/>
                <w:sz w:val="18"/>
                <w:szCs w:val="18"/>
              </w:rPr>
            </w:pPr>
            <w:r>
              <w:rPr>
                <w:rFonts w:ascii="Times New Roman"/>
                <w:sz w:val="18"/>
              </w:rPr>
              <w:t>53,401,869.29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427,353,911.45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1,029,757,525.19</w:t>
            </w:r>
          </w:p>
        </w:tc>
      </w:tr>
      <w:tr>
        <w:trPr>
          <w:trHeight w:val="247"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119,586,672.00</w:t>
            </w: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530,652,443.55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-24,154,507.7</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27" w:right="0"/>
              <w:jc w:val="left"/>
              <w:rPr>
                <w:rFonts w:ascii="Times New Roman" w:hAnsi="Times New Roman" w:cs="Times New Roman" w:eastAsia="Times New Roman" w:hint="default"/>
                <w:sz w:val="18"/>
                <w:szCs w:val="18"/>
              </w:rPr>
            </w:pPr>
            <w:r>
              <w:rPr>
                <w:rFonts w:ascii="Times New Roman"/>
                <w:sz w:val="18"/>
              </w:rPr>
              <w:t>10,682,196.96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-9,311,617.75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675,764,202.46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57" w:footer="980" w:top="1120" w:bottom="1160" w:left="740" w:right="560"/>
        </w:sectPr>
      </w:pPr>
    </w:p>
    <w:p>
      <w:pPr>
        <w:spacing w:line="240" w:lineRule="auto" w:before="5"/>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412"/>
        <w:gridCol w:w="1416"/>
        <w:gridCol w:w="711"/>
        <w:gridCol w:w="850"/>
        <w:gridCol w:w="1274"/>
        <w:gridCol w:w="1560"/>
        <w:gridCol w:w="1277"/>
        <w:gridCol w:w="708"/>
        <w:gridCol w:w="710"/>
        <w:gridCol w:w="1275"/>
        <w:gridCol w:w="1418"/>
        <w:gridCol w:w="1558"/>
      </w:tblGrid>
      <w:tr>
        <w:trPr>
          <w:trHeight w:val="248"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76" w:right="0"/>
              <w:jc w:val="center"/>
              <w:rPr>
                <w:rFonts w:ascii="Times New Roman" w:hAnsi="Times New Roman" w:cs="Times New Roman" w:eastAsia="Times New Roman" w:hint="default"/>
                <w:sz w:val="18"/>
                <w:szCs w:val="18"/>
              </w:rPr>
            </w:pPr>
            <w:r>
              <w:rPr>
                <w:rFonts w:ascii="Times New Roman"/>
                <w:sz w:val="18"/>
              </w:rPr>
              <w:t>116,166,834.27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116,166,834.27</w:t>
            </w:r>
          </w:p>
        </w:tc>
      </w:tr>
      <w:tr>
        <w:trPr>
          <w:trHeight w:val="480"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119,586,672.00</w:t>
            </w: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530,652,443.55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21"/>
              <w:ind w:right="98"/>
              <w:jc w:val="right"/>
              <w:rPr>
                <w:rFonts w:ascii="Times New Roman" w:hAnsi="Times New Roman" w:cs="Times New Roman" w:eastAsia="Times New Roman" w:hint="default"/>
                <w:sz w:val="18"/>
                <w:szCs w:val="18"/>
              </w:rPr>
            </w:pPr>
            <w:r>
              <w:rPr>
                <w:rFonts w:ascii="Times New Roman"/>
                <w:spacing w:val="-1"/>
                <w:sz w:val="18"/>
              </w:rPr>
              <w:t>-24,154,507.7</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674,393,623.25</w:t>
            </w:r>
          </w:p>
        </w:tc>
      </w:tr>
      <w:tr>
        <w:trPr>
          <w:trHeight w:val="250"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120,159,152.00</w:t>
            </w: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531,550,051.12</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651,709,203.12</w:t>
            </w:r>
          </w:p>
        </w:tc>
      </w:tr>
      <w:tr>
        <w:trPr>
          <w:trHeight w:val="482"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．其他权益工具持有者投入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-572,480.00</w:t>
            </w: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2,272,777.61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21"/>
              <w:ind w:right="98"/>
              <w:jc w:val="right"/>
              <w:rPr>
                <w:rFonts w:ascii="Times New Roman" w:hAnsi="Times New Roman" w:cs="Times New Roman" w:eastAsia="Times New Roman" w:hint="default"/>
                <w:sz w:val="18"/>
                <w:szCs w:val="18"/>
              </w:rPr>
            </w:pPr>
            <w:r>
              <w:rPr>
                <w:rFonts w:ascii="Times New Roman"/>
                <w:spacing w:val="-1"/>
                <w:sz w:val="18"/>
              </w:rPr>
              <w:t>-24,154,507.7</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25,854,805.31</w:t>
            </w:r>
          </w:p>
        </w:tc>
      </w:tr>
      <w:tr>
        <w:trPr>
          <w:trHeight w:val="247"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-3,170,385.18</w:t>
            </w: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-3,170,385.18</w:t>
            </w:r>
          </w:p>
        </w:tc>
      </w:tr>
      <w:tr>
        <w:trPr>
          <w:trHeight w:val="250"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Times New Roman" w:hAnsi="Times New Roman" w:cs="Times New Roman" w:eastAsia="Times New Roman" w:hint="default"/>
                <w:sz w:val="18"/>
                <w:szCs w:val="18"/>
              </w:rPr>
            </w:pPr>
            <w:r>
              <w:rPr>
                <w:rFonts w:ascii="Times New Roman"/>
                <w:spacing w:val="-1"/>
                <w:sz w:val="18"/>
              </w:rPr>
              <w:t>11,616,683.43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6" w:right="0"/>
              <w:jc w:val="center"/>
              <w:rPr>
                <w:rFonts w:ascii="Times New Roman" w:hAnsi="Times New Roman" w:cs="Times New Roman" w:eastAsia="Times New Roman" w:hint="default"/>
                <w:sz w:val="18"/>
                <w:szCs w:val="18"/>
              </w:rPr>
            </w:pPr>
            <w:r>
              <w:rPr>
                <w:rFonts w:ascii="Times New Roman"/>
                <w:sz w:val="18"/>
              </w:rPr>
              <w:t>-117,068,073.83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Times New Roman" w:hAnsi="Times New Roman" w:cs="Times New Roman" w:eastAsia="Times New Roman" w:hint="default"/>
                <w:sz w:val="18"/>
                <w:szCs w:val="18"/>
              </w:rPr>
            </w:pPr>
            <w:r>
              <w:rPr>
                <w:rFonts w:ascii="Times New Roman"/>
                <w:spacing w:val="-1"/>
                <w:sz w:val="18"/>
              </w:rPr>
              <w:t>-105,451,390.40</w:t>
            </w:r>
          </w:p>
        </w:tc>
      </w:tr>
      <w:tr>
        <w:trPr>
          <w:trHeight w:val="247"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7"/>
              <w:jc w:val="right"/>
              <w:rPr>
                <w:rFonts w:ascii="Times New Roman" w:hAnsi="Times New Roman" w:cs="Times New Roman" w:eastAsia="Times New Roman" w:hint="default"/>
                <w:sz w:val="18"/>
                <w:szCs w:val="18"/>
              </w:rPr>
            </w:pPr>
            <w:r>
              <w:rPr>
                <w:rFonts w:ascii="Times New Roman"/>
                <w:spacing w:val="-1"/>
                <w:sz w:val="18"/>
              </w:rPr>
              <w:t>11,616,683.43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8" w:right="0"/>
              <w:jc w:val="center"/>
              <w:rPr>
                <w:rFonts w:ascii="Times New Roman" w:hAnsi="Times New Roman" w:cs="Times New Roman" w:eastAsia="Times New Roman" w:hint="default"/>
                <w:sz w:val="18"/>
                <w:szCs w:val="18"/>
              </w:rPr>
            </w:pPr>
            <w:r>
              <w:rPr>
                <w:rFonts w:ascii="Times New Roman"/>
                <w:sz w:val="18"/>
              </w:rPr>
              <w:t>-11,616,683.43</w:t>
            </w: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．对所有者（或股东）的分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6" w:right="0"/>
              <w:jc w:val="center"/>
              <w:rPr>
                <w:rFonts w:ascii="Times New Roman" w:hAnsi="Times New Roman" w:cs="Times New Roman" w:eastAsia="Times New Roman" w:hint="default"/>
                <w:sz w:val="18"/>
                <w:szCs w:val="18"/>
              </w:rPr>
            </w:pPr>
            <w:r>
              <w:rPr>
                <w:rFonts w:ascii="Times New Roman"/>
                <w:sz w:val="18"/>
              </w:rPr>
              <w:t>-105,451,390.40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-105,451,390.40</w:t>
            </w:r>
          </w:p>
        </w:tc>
      </w:tr>
      <w:tr>
        <w:trPr>
          <w:trHeight w:val="247"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4</w:t>
            </w:r>
            <w:r>
              <w:rPr>
                <w:rFonts w:ascii="宋体" w:hAnsi="宋体" w:cs="宋体" w:eastAsia="宋体" w:hint="default"/>
                <w:spacing w:val="-5"/>
                <w:sz w:val="18"/>
                <w:szCs w:val="18"/>
              </w:rPr>
              <w:t>．设定受益计划变动额结转</w:t>
            </w: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18"/>
                <w:szCs w:val="18"/>
              </w:rPr>
              <w:t>留存收益</w:t>
            </w:r>
            <w:r>
              <w:rPr>
                <w:rFonts w:ascii="宋体" w:hAnsi="宋体" w:cs="宋体" w:eastAsia="宋体" w:hint="default"/>
                <w:w w:val="100"/>
                <w:sz w:val="21"/>
                <w:szCs w:val="21"/>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5</w:t>
            </w:r>
            <w:r>
              <w:rPr>
                <w:rFonts w:ascii="宋体" w:hAnsi="宋体" w:cs="宋体" w:eastAsia="宋体" w:hint="default"/>
                <w:spacing w:val="-5"/>
                <w:sz w:val="18"/>
                <w:szCs w:val="18"/>
              </w:rPr>
              <w:t>．其他综合收益结转留存收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-934,486.47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96" w:right="0"/>
              <w:jc w:val="center"/>
              <w:rPr>
                <w:rFonts w:ascii="Times New Roman" w:hAnsi="Times New Roman" w:cs="Times New Roman" w:eastAsia="Times New Roman" w:hint="default"/>
                <w:sz w:val="18"/>
                <w:szCs w:val="18"/>
              </w:rPr>
            </w:pPr>
            <w:r>
              <w:rPr>
                <w:rFonts w:ascii="Times New Roman"/>
                <w:sz w:val="18"/>
              </w:rPr>
              <w:t>-8,410,378.19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-9,344,864.66</w:t>
            </w:r>
          </w:p>
        </w:tc>
      </w:tr>
      <w:tr>
        <w:trPr>
          <w:trHeight w:val="250"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526,684,472.00</w:t>
            </w:r>
          </w:p>
        </w:tc>
        <w:tc>
          <w:tcPr>
            <w:tcW w:w="71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712,443,564.32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15,732,668.62</w:t>
            </w:r>
          </w:p>
        </w:tc>
        <w:tc>
          <w:tcPr>
            <w:tcW w:w="70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64,084,066.25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76" w:right="0"/>
              <w:jc w:val="center"/>
              <w:rPr>
                <w:rFonts w:ascii="Times New Roman" w:hAnsi="Times New Roman" w:cs="Times New Roman" w:eastAsia="Times New Roman" w:hint="default"/>
                <w:sz w:val="18"/>
                <w:szCs w:val="18"/>
              </w:rPr>
            </w:pPr>
            <w:r>
              <w:rPr>
                <w:rFonts w:ascii="Times New Roman"/>
                <w:sz w:val="18"/>
              </w:rPr>
              <w:t>418,042,293.70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1,705,521,727.65</w:t>
            </w:r>
          </w:p>
        </w:tc>
      </w:tr>
    </w:tbl>
    <w:p>
      <w:pPr>
        <w:pStyle w:val="BodyText"/>
        <w:spacing w:line="241" w:lineRule="exact"/>
        <w:ind w:left="2344" w:right="0"/>
        <w:jc w:val="left"/>
        <w:rPr>
          <w:rFonts w:ascii="宋体" w:hAnsi="宋体" w:cs="宋体" w:eastAsia="宋体" w:hint="default"/>
        </w:rPr>
      </w:pPr>
      <w:r>
        <w:rPr/>
        <w:t>法定代表人：吴志雄 </w:t>
      </w:r>
      <w:r>
        <w:rPr>
          <w:rFonts w:ascii="宋体" w:hAnsi="宋体" w:cs="宋体" w:eastAsia="宋体" w:hint="default"/>
        </w:rPr>
      </w:r>
      <w:r>
        <w:rPr/>
        <w:t>主管会计工作负责人：陈平</w:t>
      </w:r>
      <w:r>
        <w:rPr>
          <w:spacing w:val="-10"/>
        </w:rPr>
        <w:t> </w:t>
      </w:r>
      <w:r>
        <w:rPr>
          <w:rFonts w:ascii="宋体" w:hAnsi="宋体" w:cs="宋体" w:eastAsia="宋体" w:hint="default"/>
          <w:spacing w:val="-10"/>
        </w:rPr>
      </w:r>
      <w:r>
        <w:rPr/>
        <w:t>会计机构负责人：陈平</w:t>
      </w:r>
      <w:r>
        <w:rPr>
          <w:rFonts w:ascii="宋体" w:hAnsi="宋体" w:cs="宋体" w:eastAsia="宋体" w:hint="default"/>
          <w:b/>
          <w:bCs/>
          <w:color w:val="FF0000"/>
          <w:w w:val="99"/>
        </w:rPr>
        <w:t> </w:t>
      </w:r>
      <w:r>
        <w:rPr>
          <w:rFonts w:ascii="宋体" w:hAnsi="宋体" w:cs="宋体" w:eastAsia="宋体" w:hint="default"/>
        </w:rPr>
      </w:r>
    </w:p>
    <w:p>
      <w:pPr>
        <w:spacing w:after="0" w:line="241" w:lineRule="exact"/>
        <w:jc w:val="left"/>
        <w:rPr>
          <w:rFonts w:ascii="宋体" w:hAnsi="宋体" w:cs="宋体" w:eastAsia="宋体" w:hint="default"/>
        </w:rPr>
        <w:sectPr>
          <w:pgSz w:w="16840" w:h="11910" w:orient="landscape"/>
          <w:pgMar w:header="857" w:footer="980" w:top="1120" w:bottom="1160" w:left="860" w:right="560"/>
        </w:sectPr>
      </w:pPr>
    </w:p>
    <w:p>
      <w:pPr>
        <w:spacing w:line="240" w:lineRule="auto" w:before="1"/>
        <w:rPr>
          <w:rFonts w:ascii="宋体" w:hAnsi="宋体" w:cs="宋体" w:eastAsia="宋体" w:hint="default"/>
          <w:b/>
          <w:bCs/>
          <w:sz w:val="23"/>
          <w:szCs w:val="23"/>
        </w:rPr>
      </w:pPr>
    </w:p>
    <w:p>
      <w:pPr>
        <w:pStyle w:val="Heading4"/>
        <w:tabs>
          <w:tab w:pos="657" w:val="left" w:leader="none"/>
        </w:tabs>
        <w:spacing w:line="290" w:lineRule="auto" w:before="36"/>
        <w:ind w:left="236" w:right="717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40" w:lineRule="auto" w:before="14"/>
        <w:ind w:left="236" w:right="0"/>
        <w:jc w:val="both"/>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302" w:lineRule="auto" w:before="73"/>
        <w:ind w:left="236" w:right="128" w:firstLine="480"/>
        <w:jc w:val="both"/>
      </w:pPr>
      <w:r>
        <w:rPr>
          <w:spacing w:val="-4"/>
        </w:rPr>
        <w:t>南威软件股份有限公司（以下简称</w:t>
      </w:r>
      <w:r>
        <w:rPr>
          <w:rFonts w:ascii="Times New Roman" w:hAnsi="Times New Roman" w:cs="Times New Roman" w:eastAsia="Times New Roman" w:hint="default"/>
          <w:spacing w:val="-4"/>
        </w:rPr>
        <w:t>“</w:t>
      </w:r>
      <w:r>
        <w:rPr>
          <w:spacing w:val="-4"/>
        </w:rPr>
        <w:t>公司</w:t>
      </w:r>
      <w:r>
        <w:rPr>
          <w:rFonts w:ascii="Times New Roman" w:hAnsi="Times New Roman" w:cs="Times New Roman" w:eastAsia="Times New Roman" w:hint="default"/>
          <w:spacing w:val="-4"/>
        </w:rPr>
        <w:t>”</w:t>
      </w:r>
      <w:r>
        <w:rPr>
          <w:spacing w:val="-4"/>
        </w:rPr>
        <w:t>或</w:t>
      </w:r>
      <w:r>
        <w:rPr>
          <w:rFonts w:ascii="Times New Roman" w:hAnsi="Times New Roman" w:cs="Times New Roman" w:eastAsia="Times New Roman" w:hint="default"/>
          <w:spacing w:val="-4"/>
        </w:rPr>
        <w:t>“</w:t>
      </w:r>
      <w:r>
        <w:rPr>
          <w:spacing w:val="-4"/>
        </w:rPr>
        <w:t>本公司</w:t>
      </w:r>
      <w:r>
        <w:rPr>
          <w:rFonts w:ascii="Times New Roman" w:hAnsi="Times New Roman" w:cs="Times New Roman" w:eastAsia="Times New Roman" w:hint="default"/>
          <w:spacing w:val="-4"/>
        </w:rPr>
        <w:t>”</w:t>
      </w:r>
      <w:r>
        <w:rPr>
          <w:spacing w:val="-4"/>
        </w:rPr>
        <w:t>）</w:t>
      </w:r>
      <w:r>
        <w:rPr>
          <w:spacing w:val="-22"/>
        </w:rPr>
        <w:t> </w:t>
      </w:r>
      <w:r>
        <w:rPr/>
        <w:t>前身为福建南威软件工程发展有限公</w:t>
      </w:r>
      <w:r>
        <w:rPr>
          <w:w w:val="100"/>
        </w:rPr>
        <w:t> </w:t>
      </w:r>
      <w:r>
        <w:rPr/>
        <w:t>司</w:t>
      </w:r>
      <w:r>
        <w:rPr>
          <w:rFonts w:ascii="Times New Roman" w:hAnsi="Times New Roman" w:cs="Times New Roman" w:eastAsia="Times New Roman" w:hint="default"/>
        </w:rPr>
        <w:t>,</w:t>
      </w:r>
      <w:r>
        <w:rPr/>
        <w:t>于</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7"/>
        </w:rPr>
        <w:t>月，由吴志雄等</w:t>
      </w:r>
      <w:r>
        <w:rPr>
          <w:spacing w:val="-52"/>
        </w:rPr>
        <w:t> </w:t>
      </w:r>
      <w:r>
        <w:rPr>
          <w:rFonts w:ascii="Times New Roman" w:hAnsi="Times New Roman" w:cs="Times New Roman" w:eastAsia="Times New Roman" w:hint="default"/>
        </w:rPr>
        <w:t>19 </w:t>
      </w:r>
      <w:r>
        <w:rPr/>
        <w:t>名自然人股东和天津市凯信金鹏股权投资基金合伙企业等</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名</w:t>
      </w:r>
      <w:r>
        <w:rPr>
          <w:w w:val="100"/>
        </w:rPr>
        <w:t> </w:t>
      </w:r>
      <w:r>
        <w:rPr>
          <w:spacing w:val="-1"/>
        </w:rPr>
        <w:t>企业作为发起人，在福建南威软件工程发展有限公司基础上整体变更设立的股份有限公司。公司</w:t>
      </w:r>
      <w:r>
        <w:rPr>
          <w:spacing w:val="-55"/>
        </w:rPr>
        <w:t> </w:t>
      </w:r>
      <w:r>
        <w:rPr>
          <w:spacing w:val="-55"/>
        </w:rPr>
      </w:r>
      <w:r>
        <w:rPr/>
        <w:t>于</w:t>
      </w:r>
      <w:r>
        <w:rPr>
          <w:spacing w:val="-50"/>
        </w:rPr>
        <w:t> </w:t>
      </w:r>
      <w:r>
        <w:rPr>
          <w:rFonts w:ascii="Times New Roman" w:hAnsi="Times New Roman" w:cs="Times New Roman" w:eastAsia="Times New Roman" w:hint="default"/>
        </w:rPr>
        <w:t>2014 </w:t>
      </w: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30 </w:t>
      </w:r>
      <w:r>
        <w:rPr/>
        <w:t>日在上海证券交易所上市，现持有统一社会信用代码为</w:t>
      </w:r>
      <w:r>
        <w:rPr>
          <w:spacing w:val="-50"/>
        </w:rPr>
        <w:t> </w:t>
      </w:r>
      <w:r>
        <w:rPr>
          <w:rFonts w:ascii="Times New Roman" w:hAnsi="Times New Roman" w:cs="Times New Roman" w:eastAsia="Times New Roman" w:hint="default"/>
        </w:rPr>
        <w:t>91350000743817927G</w:t>
      </w:r>
      <w:r>
        <w:rPr>
          <w:rFonts w:ascii="Times New Roman" w:hAnsi="Times New Roman" w:cs="Times New Roman" w:eastAsia="Times New Roman" w:hint="default"/>
          <w:w w:val="100"/>
        </w:rPr>
        <w:t> </w:t>
      </w:r>
      <w:r>
        <w:rPr/>
        <w:t>的营业执照。</w:t>
      </w:r>
    </w:p>
    <w:p>
      <w:pPr>
        <w:pStyle w:val="BodyText"/>
        <w:spacing w:line="240" w:lineRule="auto" w:before="30"/>
        <w:ind w:left="657" w:right="0"/>
        <w:jc w:val="left"/>
      </w:pPr>
      <w:r>
        <w:rPr>
          <w:spacing w:val="-4"/>
        </w:rPr>
        <w:t>经过历年的派送红股、配售新股、转增股本及增发新股，截止</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6"/>
        </w:rPr>
        <w:t>日，本公司累</w:t>
      </w:r>
    </w:p>
    <w:p>
      <w:pPr>
        <w:pStyle w:val="BodyText"/>
        <w:spacing w:line="240" w:lineRule="auto" w:before="69"/>
        <w:ind w:left="236" w:right="0"/>
        <w:jc w:val="both"/>
      </w:pPr>
      <w:r>
        <w:rPr/>
        <w:t>计发行股本总数</w:t>
      </w:r>
      <w:r>
        <w:rPr>
          <w:spacing w:val="-51"/>
        </w:rPr>
        <w:t> </w:t>
      </w:r>
      <w:r>
        <w:rPr>
          <w:rFonts w:ascii="Times New Roman" w:hAnsi="Times New Roman" w:cs="Times New Roman" w:eastAsia="Times New Roman" w:hint="default"/>
        </w:rPr>
        <w:t>52,648.79</w:t>
      </w:r>
      <w:r>
        <w:rPr>
          <w:rFonts w:ascii="Times New Roman" w:hAnsi="Times New Roman" w:cs="Times New Roman" w:eastAsia="Times New Roman" w:hint="default"/>
          <w:spacing w:val="-1"/>
        </w:rPr>
        <w:t> </w:t>
      </w:r>
      <w:r>
        <w:rPr/>
        <w:t>万股，注册资本为</w:t>
      </w:r>
      <w:r>
        <w:rPr>
          <w:spacing w:val="-51"/>
        </w:rPr>
        <w:t> </w:t>
      </w:r>
      <w:r>
        <w:rPr>
          <w:rFonts w:ascii="Times New Roman" w:hAnsi="Times New Roman" w:cs="Times New Roman" w:eastAsia="Times New Roman" w:hint="default"/>
        </w:rPr>
        <w:t>52,648.79</w:t>
      </w:r>
      <w:r>
        <w:rPr>
          <w:rFonts w:ascii="Times New Roman" w:hAnsi="Times New Roman" w:cs="Times New Roman" w:eastAsia="Times New Roman" w:hint="default"/>
          <w:spacing w:val="1"/>
        </w:rPr>
        <w:t> </w:t>
      </w:r>
      <w:r>
        <w:rPr/>
        <w:t>万元，注册地址：福建省泉州市丰泽区丰</w:t>
      </w:r>
    </w:p>
    <w:p>
      <w:pPr>
        <w:pStyle w:val="BodyText"/>
        <w:spacing w:line="297" w:lineRule="auto" w:before="69"/>
        <w:ind w:left="236" w:right="129"/>
        <w:jc w:val="both"/>
      </w:pPr>
      <w:r>
        <w:rPr/>
        <w:t>海路南威大厦</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号楼，总部地址：福建省泉州市丰泽区丰海路南威大厦</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号楼，实际控制人及集</w:t>
      </w:r>
      <w:r>
        <w:rPr>
          <w:w w:val="100"/>
        </w:rPr>
        <w:t> </w:t>
      </w:r>
      <w:r>
        <w:rPr/>
        <w:t>团最终实际控制人吴志雄。</w:t>
      </w:r>
    </w:p>
    <w:p>
      <w:pPr>
        <w:pStyle w:val="BodyText"/>
        <w:spacing w:line="314" w:lineRule="auto" w:before="34"/>
        <w:ind w:left="436" w:right="0" w:firstLine="220"/>
        <w:jc w:val="left"/>
      </w:pPr>
      <w:r>
        <w:rPr/>
        <w:t>公司行业性质：计算机应用服务业。</w:t>
      </w:r>
      <w:r>
        <w:rPr>
          <w:w w:val="100"/>
        </w:rPr>
        <w:t> </w:t>
      </w:r>
      <w:r>
        <w:rPr>
          <w:spacing w:val="-1"/>
        </w:rPr>
        <w:t>公司经营范围：计算机软件开发服务；互联网技术开发与服务；网络安全产品开发与服务；计</w:t>
      </w:r>
    </w:p>
    <w:p>
      <w:pPr>
        <w:pStyle w:val="BodyText"/>
        <w:spacing w:line="314" w:lineRule="auto" w:before="20"/>
        <w:ind w:left="236" w:right="129"/>
        <w:jc w:val="both"/>
      </w:pPr>
      <w:r>
        <w:rPr>
          <w:spacing w:val="-1"/>
        </w:rPr>
        <w:t>算机信息系统集成服务；智能化系统集成服务；安防工程的设计与安装服务；技术咨询与运维服</w:t>
      </w:r>
      <w:r>
        <w:rPr>
          <w:spacing w:val="-55"/>
        </w:rPr>
        <w:t> </w:t>
      </w:r>
      <w:r>
        <w:rPr>
          <w:spacing w:val="-55"/>
        </w:rPr>
      </w:r>
      <w:r>
        <w:rPr>
          <w:spacing w:val="-1"/>
        </w:rPr>
        <w:t>务；经营本企业生产所需的机械设备、零配件、原辅材料及技术的进口业务；货物或技术进出口</w:t>
      </w:r>
    </w:p>
    <w:p>
      <w:pPr>
        <w:pStyle w:val="BodyText"/>
        <w:spacing w:line="314" w:lineRule="auto" w:before="20"/>
        <w:ind w:left="236" w:right="129"/>
        <w:jc w:val="both"/>
      </w:pPr>
      <w:r>
        <w:rPr>
          <w:spacing w:val="-1"/>
        </w:rPr>
        <w:t>（国家禁止或涉及行政审批的货物和技术进出口除外）；法律、法规及国务院决定未禁止且未规</w:t>
      </w:r>
      <w:r>
        <w:rPr>
          <w:spacing w:val="-54"/>
        </w:rPr>
        <w:t> </w:t>
      </w:r>
      <w:r>
        <w:rPr>
          <w:spacing w:val="-54"/>
        </w:rPr>
      </w:r>
      <w:r>
        <w:rPr>
          <w:spacing w:val="-6"/>
          <w:w w:val="100"/>
        </w:rPr>
        <w:t>定许可的项目自主选择；应经许可的，凭有效许可证件或批准证书经营。（依法须经批准的项目，</w:t>
      </w:r>
      <w:r>
        <w:rPr>
          <w:spacing w:val="-103"/>
          <w:w w:val="100"/>
        </w:rPr>
        <w:t> </w:t>
      </w:r>
      <w:r>
        <w:rPr>
          <w:spacing w:val="-103"/>
          <w:w w:val="100"/>
        </w:rPr>
      </w:r>
      <w:r>
        <w:rPr/>
        <w:t>经相关部门批准后方可开展经营活动）。</w:t>
      </w:r>
    </w:p>
    <w:p>
      <w:pPr>
        <w:pStyle w:val="BodyText"/>
        <w:spacing w:line="240" w:lineRule="auto" w:before="20"/>
        <w:ind w:left="657" w:right="1452"/>
        <w:jc w:val="left"/>
        <w:rPr>
          <w:rFonts w:ascii="宋体" w:hAnsi="宋体" w:cs="宋体" w:eastAsia="宋体" w:hint="default"/>
        </w:rPr>
      </w:pPr>
      <w:r>
        <w:rPr/>
        <w:t>财务报告批准报出日：</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02</w:t>
      </w:r>
      <w:r>
        <w:rPr>
          <w:rFonts w:ascii="Times New Roman" w:hAnsi="Times New Roman" w:cs="Times New Roman" w:eastAsia="Times New Roman" w:hint="default"/>
          <w:spacing w:val="-1"/>
        </w:rPr>
        <w:t> </w:t>
      </w:r>
      <w:r>
        <w:rPr>
          <w:spacing w:val="-3"/>
        </w:rPr>
        <w:t>日。</w:t>
      </w:r>
      <w:r>
        <w:rPr>
          <w:rFonts w:ascii="宋体" w:hAnsi="宋体" w:cs="宋体" w:eastAsia="宋体" w:hint="default"/>
        </w:rPr>
        <w:t> </w:t>
      </w:r>
    </w:p>
    <w:p>
      <w:pPr>
        <w:pStyle w:val="Heading3"/>
        <w:spacing w:line="301" w:lineRule="exact"/>
        <w:ind w:right="0"/>
        <w:jc w:val="left"/>
      </w:pPr>
      <w:r>
        <w:rPr/>
        <w:t> </w:t>
      </w:r>
    </w:p>
    <w:p>
      <w:pPr>
        <w:pStyle w:val="Heading4"/>
        <w:tabs>
          <w:tab w:pos="657" w:val="left" w:leader="none"/>
        </w:tabs>
        <w:spacing w:line="240" w:lineRule="auto"/>
        <w:ind w:left="236" w:right="1452"/>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40" w:lineRule="auto" w:before="58"/>
        <w:ind w:left="236" w:right="1452"/>
        <w:jc w:val="left"/>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before="73"/>
        <w:ind w:left="717" w:right="1452"/>
        <w:jc w:val="left"/>
      </w:pPr>
      <w:r>
        <w:rPr/>
        <w:t>本期纳入合并财务报表范围的子公司共</w:t>
      </w:r>
      <w:r>
        <w:rPr>
          <w:spacing w:val="-55"/>
        </w:rPr>
        <w:t> </w:t>
      </w:r>
      <w:r>
        <w:rPr>
          <w:rFonts w:ascii="Times New Roman" w:hAnsi="Times New Roman" w:cs="Times New Roman" w:eastAsia="Times New Roman" w:hint="default"/>
        </w:rPr>
        <w:t>69</w:t>
      </w:r>
      <w:r>
        <w:rPr>
          <w:rFonts w:ascii="Times New Roman" w:hAnsi="Times New Roman" w:cs="Times New Roman" w:eastAsia="Times New Roman" w:hint="default"/>
          <w:spacing w:val="-3"/>
        </w:rPr>
        <w:t> </w:t>
      </w:r>
      <w:r>
        <w:rPr/>
        <w:t>户，具体包括主要包括：</w:t>
      </w:r>
    </w:p>
    <w:p>
      <w:pPr>
        <w:spacing w:line="240" w:lineRule="auto" w:before="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112"/>
        <w:gridCol w:w="1508"/>
        <w:gridCol w:w="761"/>
        <w:gridCol w:w="1056"/>
        <w:gridCol w:w="1496"/>
      </w:tblGrid>
      <w:tr>
        <w:trPr>
          <w:trHeight w:val="828"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625"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20" w:right="0"/>
              <w:jc w:val="left"/>
              <w:rPr>
                <w:rFonts w:ascii="宋体" w:hAnsi="宋体" w:cs="宋体" w:eastAsia="宋体" w:hint="default"/>
                <w:sz w:val="21"/>
                <w:szCs w:val="21"/>
              </w:rPr>
            </w:pPr>
            <w:r>
              <w:rPr>
                <w:rFonts w:ascii="宋体" w:hAnsi="宋体" w:cs="宋体" w:eastAsia="宋体" w:hint="default"/>
                <w:sz w:val="21"/>
                <w:szCs w:val="21"/>
              </w:rPr>
              <w:t>子公司类型</w:t>
            </w:r>
            <w:r>
              <w:rPr>
                <w:rFonts w:ascii="宋体" w:hAnsi="宋体" w:cs="宋体" w:eastAsia="宋体" w:hint="default"/>
                <w:sz w:val="21"/>
                <w:szCs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63" w:right="0"/>
              <w:jc w:val="left"/>
              <w:rPr>
                <w:rFonts w:ascii="宋体" w:hAnsi="宋体" w:cs="宋体" w:eastAsia="宋体" w:hint="default"/>
                <w:sz w:val="21"/>
                <w:szCs w:val="21"/>
              </w:rPr>
            </w:pPr>
            <w:r>
              <w:rPr>
                <w:rFonts w:ascii="宋体" w:hAnsi="宋体" w:cs="宋体" w:eastAsia="宋体" w:hint="default"/>
                <w:sz w:val="21"/>
                <w:szCs w:val="21"/>
              </w:rPr>
              <w:t>级次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表决权比例</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18"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深圳太极云软技术有限公司</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61%</w:t>
            </w:r>
          </w:p>
        </w:tc>
      </w:tr>
      <w:tr>
        <w:trPr>
          <w:trHeight w:val="418"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福建南威软件有限公司</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100%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80%</w:t>
            </w:r>
          </w:p>
        </w:tc>
      </w:tr>
      <w:tr>
        <w:trPr>
          <w:trHeight w:val="42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网链科技集团有限公司</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100%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100%</w:t>
            </w:r>
          </w:p>
        </w:tc>
      </w:tr>
      <w:tr>
        <w:trPr>
          <w:trHeight w:val="418"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福建威盾科技集团有限公司</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100%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100%</w:t>
            </w:r>
          </w:p>
        </w:tc>
      </w:tr>
      <w:tr>
        <w:trPr>
          <w:trHeight w:val="42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智慧城市（泉州丰泽）运营管理有限公司</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100%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100%</w:t>
            </w:r>
          </w:p>
        </w:tc>
      </w:tr>
      <w:tr>
        <w:trPr>
          <w:trHeight w:val="418"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泉州威盾智能交通系统有限公司</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r>
      <w:tr>
        <w:trPr>
          <w:trHeight w:val="418"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浙江易政信息技术有限公司</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100%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100%</w:t>
            </w:r>
          </w:p>
        </w:tc>
      </w:tr>
      <w:tr>
        <w:trPr>
          <w:trHeight w:val="42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上海南信信息科技有限公司</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一级</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70%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70%</w:t>
            </w:r>
          </w:p>
        </w:tc>
      </w:tr>
    </w:tbl>
    <w:p>
      <w:pPr>
        <w:spacing w:line="240" w:lineRule="auto" w:before="10"/>
        <w:rPr>
          <w:rFonts w:ascii="宋体" w:hAnsi="宋体" w:cs="宋体" w:eastAsia="宋体" w:hint="default"/>
          <w:sz w:val="21"/>
          <w:szCs w:val="21"/>
        </w:rPr>
      </w:pPr>
    </w:p>
    <w:p>
      <w:pPr>
        <w:pStyle w:val="BodyText"/>
        <w:spacing w:line="288" w:lineRule="exact" w:before="36"/>
        <w:ind w:left="436" w:right="1452"/>
        <w:jc w:val="left"/>
        <w:rPr>
          <w:rFonts w:ascii="宋体" w:hAnsi="宋体" w:cs="宋体" w:eastAsia="宋体" w:hint="default"/>
        </w:rPr>
      </w:pPr>
      <w:r>
        <w:rPr/>
        <w:t>本期纳入合并财务报表范围的主体较上期相比，增加</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户，减少</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户，其中：</w:t>
      </w:r>
      <w:r>
        <w:rPr>
          <w:rFonts w:ascii="宋体" w:hAnsi="宋体" w:cs="宋体" w:eastAsia="宋体" w:hint="default"/>
        </w:rPr>
        <w:t> </w:t>
      </w:r>
    </w:p>
    <w:p>
      <w:pPr>
        <w:pStyle w:val="BodyText"/>
        <w:spacing w:line="272" w:lineRule="exact" w:before="25"/>
        <w:ind w:left="1077" w:right="125" w:hanging="420"/>
        <w:jc w:val="left"/>
      </w:pPr>
      <w:r>
        <w:rPr>
          <w:rFonts w:ascii="Calibri" w:hAnsi="Calibri" w:cs="Calibri" w:eastAsia="Calibri" w:hint="default"/>
        </w:rPr>
        <w:t>1</w:t>
      </w:r>
      <w:r>
        <w:rPr/>
        <w:t>、</w:t>
      </w:r>
      <w:r>
        <w:rPr>
          <w:spacing w:val="2"/>
        </w:rPr>
        <w:t> </w:t>
      </w:r>
      <w:r>
        <w:rPr/>
        <w:t>本期新纳入合并范围的子公司、特殊目的主体、通过受托经营或承租等方式形成控制权</w:t>
      </w:r>
      <w:r>
        <w:rPr>
          <w:w w:val="100"/>
        </w:rPr>
        <w:t> </w:t>
      </w:r>
      <w:r>
        <w:rPr/>
        <w:t>的经营实体</w:t>
      </w:r>
    </w:p>
    <w:p>
      <w:pPr>
        <w:spacing w:after="0" w:line="272" w:lineRule="exact"/>
        <w:jc w:val="left"/>
        <w:sectPr>
          <w:headerReference w:type="default" r:id="rId43"/>
          <w:footerReference w:type="default" r:id="rId44"/>
          <w:pgSz w:w="11910" w:h="16840"/>
          <w:pgMar w:header="857" w:footer="979" w:top="1120" w:bottom="1160" w:left="1040" w:right="1660"/>
          <w:pgNumType w:start="97"/>
        </w:sectPr>
      </w:pPr>
    </w:p>
    <w:p>
      <w:pPr>
        <w:spacing w:line="240" w:lineRule="auto" w:before="11"/>
        <w:rPr>
          <w:rFonts w:ascii="宋体" w:hAnsi="宋体" w:cs="宋体" w:eastAsia="宋体" w:hint="default"/>
          <w:sz w:val="23"/>
          <w:szCs w:val="23"/>
        </w:rPr>
      </w:pPr>
    </w:p>
    <w:tbl>
      <w:tblPr>
        <w:tblW w:w="0" w:type="auto"/>
        <w:jc w:val="left"/>
        <w:tblInd w:w="163" w:type="dxa"/>
        <w:tblLayout w:type="fixed"/>
        <w:tblCellMar>
          <w:top w:w="0" w:type="dxa"/>
          <w:left w:w="0" w:type="dxa"/>
          <w:bottom w:w="0" w:type="dxa"/>
          <w:right w:w="0" w:type="dxa"/>
        </w:tblCellMar>
        <w:tblLook w:val="01E0"/>
      </w:tblPr>
      <w:tblGrid>
        <w:gridCol w:w="6393"/>
        <w:gridCol w:w="2537"/>
      </w:tblGrid>
      <w:tr>
        <w:trPr>
          <w:trHeight w:val="408"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42" w:right="0"/>
              <w:jc w:val="left"/>
              <w:rPr>
                <w:rFonts w:ascii="宋体" w:hAnsi="宋体" w:cs="宋体" w:eastAsia="宋体" w:hint="default"/>
                <w:sz w:val="21"/>
                <w:szCs w:val="21"/>
              </w:rPr>
            </w:pPr>
            <w:r>
              <w:rPr>
                <w:rFonts w:ascii="宋体" w:hAnsi="宋体" w:cs="宋体" w:eastAsia="宋体" w:hint="default"/>
                <w:sz w:val="21"/>
                <w:szCs w:val="21"/>
              </w:rPr>
              <w:t>变更原因</w:t>
            </w:r>
            <w:r>
              <w:rPr>
                <w:rFonts w:ascii="宋体" w:hAnsi="宋体" w:cs="宋体" w:eastAsia="宋体" w:hint="default"/>
                <w:sz w:val="21"/>
                <w:szCs w:val="21"/>
              </w:rPr>
              <w:t> </w:t>
            </w:r>
          </w:p>
        </w:tc>
      </w:tr>
      <w:tr>
        <w:trPr>
          <w:trHeight w:val="406"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上杭智慧杭川科技有限公司</w:t>
            </w:r>
            <w:r>
              <w:rPr>
                <w:rFonts w:ascii="宋体" w:hAnsi="宋体" w:cs="宋体" w:eastAsia="宋体" w:hint="default"/>
                <w:sz w:val="21"/>
                <w:szCs w:val="21"/>
              </w:rPr>
              <w:t> </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新设成立</w:t>
            </w:r>
            <w:r>
              <w:rPr>
                <w:rFonts w:ascii="宋体" w:hAnsi="宋体" w:cs="宋体" w:eastAsia="宋体" w:hint="default"/>
                <w:sz w:val="21"/>
                <w:szCs w:val="21"/>
              </w:rPr>
              <w:t> </w:t>
            </w:r>
          </w:p>
        </w:tc>
      </w:tr>
      <w:tr>
        <w:trPr>
          <w:trHeight w:val="408"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南威互联网科技集团有限公司</w:t>
            </w:r>
            <w:r>
              <w:rPr>
                <w:rFonts w:ascii="宋体" w:hAnsi="宋体" w:cs="宋体" w:eastAsia="宋体" w:hint="default"/>
                <w:sz w:val="21"/>
                <w:szCs w:val="21"/>
              </w:rPr>
              <w:t> </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新设成立</w:t>
            </w:r>
            <w:r>
              <w:rPr>
                <w:rFonts w:ascii="宋体" w:hAnsi="宋体" w:cs="宋体" w:eastAsia="宋体" w:hint="default"/>
                <w:sz w:val="21"/>
                <w:szCs w:val="21"/>
              </w:rPr>
              <w:t> </w:t>
            </w:r>
          </w:p>
        </w:tc>
      </w:tr>
      <w:tr>
        <w:trPr>
          <w:trHeight w:val="406"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福建省集瀚海洋科技有限公司</w:t>
            </w:r>
            <w:r>
              <w:rPr>
                <w:rFonts w:ascii="宋体" w:hAnsi="宋体" w:cs="宋体" w:eastAsia="宋体" w:hint="default"/>
                <w:sz w:val="21"/>
                <w:szCs w:val="21"/>
              </w:rPr>
              <w:t> </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新设成立</w:t>
            </w:r>
            <w:r>
              <w:rPr>
                <w:rFonts w:ascii="宋体" w:hAnsi="宋体" w:cs="宋体" w:eastAsia="宋体" w:hint="default"/>
                <w:sz w:val="21"/>
                <w:szCs w:val="21"/>
              </w:rPr>
              <w:t> </w:t>
            </w:r>
          </w:p>
        </w:tc>
      </w:tr>
      <w:tr>
        <w:trPr>
          <w:trHeight w:val="408"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福建南威智创科技有限公司</w:t>
            </w:r>
            <w:r>
              <w:rPr>
                <w:rFonts w:ascii="宋体" w:hAnsi="宋体" w:cs="宋体" w:eastAsia="宋体" w:hint="default"/>
                <w:sz w:val="21"/>
                <w:szCs w:val="21"/>
              </w:rPr>
              <w:t> </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新设成立</w:t>
            </w:r>
            <w:r>
              <w:rPr>
                <w:rFonts w:ascii="宋体" w:hAnsi="宋体" w:cs="宋体" w:eastAsia="宋体" w:hint="default"/>
                <w:sz w:val="21"/>
                <w:szCs w:val="21"/>
              </w:rPr>
              <w:t> </w:t>
            </w:r>
          </w:p>
        </w:tc>
      </w:tr>
      <w:tr>
        <w:trPr>
          <w:trHeight w:val="408"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南威利民（邹城）智慧城市运营有限公司</w:t>
            </w:r>
            <w:r>
              <w:rPr>
                <w:rFonts w:ascii="宋体" w:hAnsi="宋体" w:cs="宋体" w:eastAsia="宋体" w:hint="default"/>
                <w:sz w:val="21"/>
                <w:szCs w:val="21"/>
              </w:rPr>
              <w:t> </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新设成立</w:t>
            </w:r>
            <w:r>
              <w:rPr>
                <w:rFonts w:ascii="宋体" w:hAnsi="宋体" w:cs="宋体" w:eastAsia="宋体" w:hint="default"/>
                <w:sz w:val="21"/>
                <w:szCs w:val="21"/>
              </w:rPr>
              <w:t> </w:t>
            </w:r>
          </w:p>
        </w:tc>
      </w:tr>
      <w:tr>
        <w:trPr>
          <w:trHeight w:val="406"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青岛南威信息技术有限公司</w:t>
            </w:r>
            <w:r>
              <w:rPr>
                <w:rFonts w:ascii="宋体" w:hAnsi="宋体" w:cs="宋体" w:eastAsia="宋体" w:hint="default"/>
                <w:sz w:val="21"/>
                <w:szCs w:val="21"/>
              </w:rPr>
              <w:t> </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新设成立</w:t>
            </w:r>
            <w:r>
              <w:rPr>
                <w:rFonts w:ascii="宋体" w:hAnsi="宋体" w:cs="宋体" w:eastAsia="宋体" w:hint="default"/>
                <w:sz w:val="21"/>
                <w:szCs w:val="21"/>
              </w:rPr>
              <w:t> </w:t>
            </w:r>
          </w:p>
        </w:tc>
      </w:tr>
      <w:tr>
        <w:trPr>
          <w:trHeight w:val="408"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福建威盾工程有限公司</w:t>
            </w:r>
            <w:r>
              <w:rPr>
                <w:rFonts w:ascii="宋体" w:hAnsi="宋体" w:cs="宋体" w:eastAsia="宋体" w:hint="default"/>
                <w:sz w:val="21"/>
                <w:szCs w:val="21"/>
              </w:rPr>
              <w:t> </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新设成立</w:t>
            </w:r>
            <w:r>
              <w:rPr>
                <w:rFonts w:ascii="宋体" w:hAnsi="宋体" w:cs="宋体" w:eastAsia="宋体" w:hint="default"/>
                <w:sz w:val="21"/>
                <w:szCs w:val="21"/>
              </w:rPr>
              <w:t> </w:t>
            </w:r>
          </w:p>
        </w:tc>
      </w:tr>
      <w:tr>
        <w:trPr>
          <w:trHeight w:val="406"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江苏南威信息科技有限公司</w:t>
            </w:r>
            <w:r>
              <w:rPr>
                <w:rFonts w:ascii="宋体" w:hAnsi="宋体" w:cs="宋体" w:eastAsia="宋体" w:hint="default"/>
                <w:sz w:val="21"/>
                <w:szCs w:val="21"/>
              </w:rPr>
              <w:t> </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新设成立</w:t>
            </w:r>
            <w:r>
              <w:rPr>
                <w:rFonts w:ascii="宋体" w:hAnsi="宋体" w:cs="宋体" w:eastAsia="宋体" w:hint="default"/>
                <w:sz w:val="21"/>
                <w:szCs w:val="21"/>
              </w:rPr>
              <w:t> </w:t>
            </w:r>
          </w:p>
        </w:tc>
      </w:tr>
      <w:tr>
        <w:trPr>
          <w:trHeight w:val="409"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南威软件（山东）有限公司</w:t>
            </w:r>
            <w:r>
              <w:rPr>
                <w:rFonts w:ascii="宋体" w:hAnsi="宋体" w:cs="宋体" w:eastAsia="宋体" w:hint="default"/>
                <w:sz w:val="21"/>
                <w:szCs w:val="21"/>
              </w:rPr>
              <w:t> </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新设成立</w:t>
            </w:r>
            <w:r>
              <w:rPr>
                <w:rFonts w:ascii="宋体" w:hAnsi="宋体" w:cs="宋体" w:eastAsia="宋体" w:hint="default"/>
                <w:sz w:val="21"/>
                <w:szCs w:val="21"/>
              </w:rPr>
              <w:t> </w:t>
            </w:r>
          </w:p>
        </w:tc>
      </w:tr>
      <w:tr>
        <w:trPr>
          <w:trHeight w:val="408"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南威科技（柬埔寨）有限公司</w:t>
            </w:r>
            <w:r>
              <w:rPr>
                <w:rFonts w:ascii="宋体" w:hAnsi="宋体" w:cs="宋体" w:eastAsia="宋体" w:hint="default"/>
                <w:sz w:val="21"/>
                <w:szCs w:val="21"/>
              </w:rPr>
              <w:t> </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新设成立</w:t>
            </w:r>
            <w:r>
              <w:rPr>
                <w:rFonts w:ascii="宋体" w:hAnsi="宋体" w:cs="宋体" w:eastAsia="宋体" w:hint="default"/>
                <w:sz w:val="21"/>
                <w:szCs w:val="21"/>
              </w:rPr>
              <w:t> </w:t>
            </w:r>
          </w:p>
        </w:tc>
      </w:tr>
    </w:tbl>
    <w:p>
      <w:pPr>
        <w:spacing w:line="240" w:lineRule="auto" w:before="8"/>
        <w:rPr>
          <w:rFonts w:ascii="宋体" w:hAnsi="宋体" w:cs="宋体" w:eastAsia="宋体" w:hint="default"/>
          <w:sz w:val="10"/>
          <w:szCs w:val="10"/>
        </w:rPr>
      </w:pPr>
    </w:p>
    <w:p>
      <w:pPr>
        <w:pStyle w:val="BodyText"/>
        <w:spacing w:line="314" w:lineRule="auto" w:before="36"/>
        <w:ind w:left="216" w:right="0" w:firstLine="420"/>
        <w:jc w:val="left"/>
      </w:pPr>
      <w:r>
        <w:rPr/>
        <w:pict>
          <v:shape style="position:absolute;margin-left:58.200001pt;margin-top:35.063633pt;width:453.25pt;height:122.5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33"/>
                    <w:gridCol w:w="3817"/>
                  </w:tblGrid>
                  <w:tr>
                    <w:trPr>
                      <w:trHeight w:val="406"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84"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变更原因</w:t>
                        </w:r>
                        <w:r>
                          <w:rPr>
                            <w:rFonts w:ascii="宋体" w:hAnsi="宋体" w:cs="宋体" w:eastAsia="宋体" w:hint="default"/>
                            <w:sz w:val="21"/>
                            <w:szCs w:val="21"/>
                          </w:rPr>
                          <w:t> </w:t>
                        </w:r>
                      </w:p>
                    </w:tc>
                  </w:tr>
                  <w:tr>
                    <w:trPr>
                      <w:trHeight w:val="408"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南京迅奇信信息技术有限公司</w:t>
                        </w:r>
                        <w:r>
                          <w:rPr>
                            <w:rFonts w:ascii="宋体" w:hAnsi="宋体" w:cs="宋体" w:eastAsia="宋体" w:hint="default"/>
                            <w:sz w:val="21"/>
                            <w:szCs w:val="21"/>
                          </w:rPr>
                          <w:t> </w:t>
                        </w:r>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注销关闭</w:t>
                        </w:r>
                        <w:r>
                          <w:rPr>
                            <w:rFonts w:ascii="宋体" w:hAnsi="宋体" w:cs="宋体" w:eastAsia="宋体" w:hint="default"/>
                            <w:sz w:val="21"/>
                            <w:szCs w:val="21"/>
                          </w:rPr>
                          <w:t> </w:t>
                        </w:r>
                      </w:p>
                    </w:tc>
                  </w:tr>
                  <w:tr>
                    <w:trPr>
                      <w:trHeight w:val="406"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安徽睿谷微云智慧科技有限公司</w:t>
                        </w:r>
                        <w:r>
                          <w:rPr>
                            <w:rFonts w:ascii="宋体" w:hAnsi="宋体" w:cs="宋体" w:eastAsia="宋体" w:hint="default"/>
                            <w:sz w:val="21"/>
                            <w:szCs w:val="21"/>
                          </w:rPr>
                          <w:t> </w:t>
                        </w:r>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注销关闭</w:t>
                        </w:r>
                        <w:r>
                          <w:rPr>
                            <w:rFonts w:ascii="宋体" w:hAnsi="宋体" w:cs="宋体" w:eastAsia="宋体" w:hint="default"/>
                            <w:sz w:val="21"/>
                            <w:szCs w:val="21"/>
                          </w:rPr>
                          <w:t> </w:t>
                        </w:r>
                      </w:p>
                    </w:tc>
                  </w:tr>
                  <w:tr>
                    <w:trPr>
                      <w:trHeight w:val="408"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福建宜喆智能科技有限公司</w:t>
                        </w:r>
                        <w:r>
                          <w:rPr>
                            <w:rFonts w:ascii="宋体" w:hAnsi="宋体" w:cs="宋体" w:eastAsia="宋体" w:hint="default"/>
                            <w:sz w:val="21"/>
                            <w:szCs w:val="21"/>
                          </w:rPr>
                          <w:t> </w:t>
                        </w:r>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注销关闭</w:t>
                        </w:r>
                        <w:r>
                          <w:rPr>
                            <w:rFonts w:ascii="宋体" w:hAnsi="宋体" w:cs="宋体" w:eastAsia="宋体" w:hint="default"/>
                            <w:sz w:val="21"/>
                            <w:szCs w:val="21"/>
                          </w:rPr>
                          <w:t> </w:t>
                        </w:r>
                      </w:p>
                    </w:tc>
                  </w:tr>
                  <w:tr>
                    <w:trPr>
                      <w:trHeight w:val="408"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前海昱虹南威信息科技（深圳）有限公司</w:t>
                        </w:r>
                        <w:r>
                          <w:rPr>
                            <w:rFonts w:ascii="宋体" w:hAnsi="宋体" w:cs="宋体" w:eastAsia="宋体" w:hint="default"/>
                            <w:sz w:val="21"/>
                            <w:szCs w:val="21"/>
                          </w:rPr>
                          <w:t> </w:t>
                        </w:r>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注销关闭</w:t>
                        </w:r>
                        <w:r>
                          <w:rPr>
                            <w:rFonts w:ascii="宋体" w:hAnsi="宋体" w:cs="宋体" w:eastAsia="宋体" w:hint="default"/>
                            <w:sz w:val="21"/>
                            <w:szCs w:val="21"/>
                          </w:rPr>
                          <w:t> </w:t>
                        </w:r>
                      </w:p>
                    </w:tc>
                  </w:tr>
                  <w:tr>
                    <w:trPr>
                      <w:trHeight w:val="406"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江苏太极软件有限公司</w:t>
                        </w:r>
                        <w:r>
                          <w:rPr>
                            <w:rFonts w:ascii="宋体" w:hAnsi="宋体" w:cs="宋体" w:eastAsia="宋体" w:hint="default"/>
                            <w:sz w:val="21"/>
                            <w:szCs w:val="21"/>
                          </w:rPr>
                          <w:t> </w:t>
                        </w:r>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注销关闭</w:t>
                        </w:r>
                        <w:r>
                          <w:rPr>
                            <w:rFonts w:ascii="宋体" w:hAnsi="宋体" w:cs="宋体" w:eastAsia="宋体" w:hint="default"/>
                            <w:sz w:val="21"/>
                            <w:szCs w:val="21"/>
                          </w:rPr>
                          <w:t> </w:t>
                        </w:r>
                      </w:p>
                    </w:tc>
                  </w:tr>
                </w:tbl>
                <w:p>
                  <w:pPr/>
                </w:p>
              </w:txbxContent>
            </v:textbox>
            <w10:wrap type="none"/>
          </v:shape>
        </w:pict>
      </w:r>
      <w:r>
        <w:rPr>
          <w:rFonts w:ascii="宋体" w:hAnsi="宋体" w:cs="宋体" w:eastAsia="宋体" w:hint="default"/>
          <w:spacing w:val="-4"/>
        </w:rPr>
        <w:t>2</w:t>
      </w:r>
      <w:r>
        <w:rPr>
          <w:spacing w:val="-4"/>
        </w:rPr>
        <w:t>、本期不再纳入合并范围的子公司、特殊目的主体、通过委托经营或出租等方式丧失控制权</w:t>
      </w:r>
      <w:r>
        <w:rPr>
          <w:w w:val="100"/>
        </w:rPr>
        <w:t> </w:t>
      </w:r>
      <w:r>
        <w:rPr/>
        <w:t>的经营实体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3"/>
        <w:spacing w:line="313" w:lineRule="exact" w:before="26"/>
        <w:ind w:left="216" w:right="0"/>
        <w:jc w:val="left"/>
      </w:pPr>
      <w:r>
        <w:rPr/>
        <w:t> </w:t>
      </w:r>
    </w:p>
    <w:p>
      <w:pPr>
        <w:pStyle w:val="Heading3"/>
        <w:spacing w:line="313" w:lineRule="exact"/>
        <w:ind w:left="216" w:right="0"/>
        <w:jc w:val="left"/>
      </w:pPr>
      <w:r>
        <w:rPr/>
        <w:t> </w:t>
      </w:r>
    </w:p>
    <w:p>
      <w:pPr>
        <w:pStyle w:val="Heading4"/>
        <w:tabs>
          <w:tab w:pos="641" w:val="left" w:leader="none"/>
        </w:tabs>
        <w:spacing w:line="290" w:lineRule="auto"/>
        <w:ind w:left="216" w:right="6662"/>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314" w:lineRule="auto" w:before="91"/>
        <w:ind w:left="216" w:right="113" w:firstLine="480"/>
        <w:jc w:val="both"/>
        <w:rPr>
          <w:rFonts w:ascii="宋体" w:hAnsi="宋体" w:cs="宋体" w:eastAsia="宋体" w:hint="default"/>
          <w:sz w:val="24"/>
          <w:szCs w:val="24"/>
        </w:rPr>
      </w:pPr>
      <w:r>
        <w:rPr>
          <w:spacing w:val="-3"/>
        </w:rPr>
        <w:t>本公司根据实际发生的交易和事项，按照财政部颁布的《企业会计准则——基本准则》和具</w:t>
      </w:r>
      <w:r>
        <w:rPr>
          <w:w w:val="100"/>
        </w:rPr>
        <w:t> </w:t>
      </w:r>
      <w:r>
        <w:rPr/>
        <w:t>体企业会计准则、企业会计准则应用指南、企业会计准则解释及其他相关规定（以下合称“企业</w:t>
      </w:r>
      <w:r>
        <w:rPr>
          <w:spacing w:val="-97"/>
        </w:rPr>
        <w:t> </w:t>
      </w:r>
      <w:r>
        <w:rPr>
          <w:spacing w:val="-97"/>
        </w:rPr>
      </w:r>
      <w:r>
        <w:rPr/>
        <w:t>会计准则”）进行确认和计量，在此基础上，结合中国证券监督管理委员会《公开发行证券的公</w:t>
      </w:r>
      <w:r>
        <w:rPr>
          <w:spacing w:val="-97"/>
        </w:rPr>
        <w:t> </w:t>
      </w:r>
      <w:r>
        <w:rPr>
          <w:spacing w:val="-97"/>
        </w:rPr>
      </w:r>
      <w:r>
        <w:rPr/>
        <w:t>司信息披露编报规则第 </w:t>
      </w:r>
      <w:r>
        <w:rPr>
          <w:rFonts w:ascii="Times New Roman" w:hAnsi="Times New Roman" w:cs="Times New Roman" w:eastAsia="Times New Roman" w:hint="default"/>
        </w:rPr>
        <w:t>15 </w:t>
      </w:r>
      <w:r>
        <w:rPr>
          <w:spacing w:val="-6"/>
        </w:rPr>
        <w:t>号</w:t>
      </w:r>
      <w:r>
        <w:rPr>
          <w:rFonts w:ascii="Times New Roman" w:hAnsi="Times New Roman" w:cs="Times New Roman" w:eastAsia="Times New Roman" w:hint="default"/>
          <w:spacing w:val="-6"/>
        </w:rPr>
        <w:t>——</w:t>
      </w:r>
      <w:r>
        <w:rPr>
          <w:spacing w:val="-6"/>
        </w:rPr>
        <w:t>财务报告的一般规定》（</w:t>
      </w:r>
      <w:r>
        <w:rPr>
          <w:rFonts w:ascii="Times New Roman" w:hAnsi="Times New Roman" w:cs="Times New Roman" w:eastAsia="Times New Roman" w:hint="default"/>
          <w:spacing w:val="-6"/>
        </w:rPr>
        <w:t>2014</w:t>
      </w:r>
      <w:r>
        <w:rPr>
          <w:rFonts w:ascii="Times New Roman" w:hAnsi="Times New Roman" w:cs="Times New Roman" w:eastAsia="Times New Roman" w:hint="default"/>
          <w:spacing w:val="-1"/>
        </w:rPr>
        <w:t> </w:t>
      </w:r>
      <w:r>
        <w:rPr>
          <w:spacing w:val="-7"/>
        </w:rPr>
        <w:t>年修订）的规定，编制财务报表。</w:t>
      </w:r>
      <w:r>
        <w:rPr>
          <w:rFonts w:ascii="宋体" w:hAnsi="宋体" w:cs="宋体" w:eastAsia="宋体" w:hint="default"/>
          <w:sz w:val="24"/>
          <w:szCs w:val="24"/>
        </w:rPr>
        <w:t> </w:t>
      </w:r>
    </w:p>
    <w:p>
      <w:pPr>
        <w:pStyle w:val="Heading3"/>
        <w:spacing w:line="229" w:lineRule="exact"/>
        <w:ind w:left="216" w:right="0"/>
        <w:jc w:val="left"/>
      </w:pPr>
      <w:r>
        <w:rPr/>
        <w:t> </w:t>
      </w:r>
    </w:p>
    <w:p>
      <w:pPr>
        <w:pStyle w:val="Heading4"/>
        <w:tabs>
          <w:tab w:pos="641" w:val="left" w:leader="none"/>
        </w:tabs>
        <w:spacing w:line="240" w:lineRule="auto" w:before="61"/>
        <w:ind w:left="216" w:right="0"/>
        <w:jc w:val="left"/>
        <w:rPr>
          <w:b w:val="0"/>
          <w:bCs w:val="0"/>
        </w:rPr>
      </w:pPr>
      <w:r>
        <w:rPr>
          <w:rFonts w:ascii="宋体" w:hAnsi="宋体" w:cs="宋体" w:eastAsia="宋体" w:hint="default"/>
          <w:w w:val="95"/>
        </w:rPr>
        <w:t>2.</w:t>
        <w:tab/>
      </w:r>
      <w:r>
        <w:rPr/>
        <w:t>持续经营</w:t>
      </w:r>
      <w:r>
        <w:rPr>
          <w:b w:val="0"/>
          <w:bCs w:val="0"/>
        </w:rPr>
      </w:r>
    </w:p>
    <w:p>
      <w:pPr>
        <w:pStyle w:val="BodyText"/>
        <w:spacing w:line="240" w:lineRule="auto" w:before="58"/>
        <w:ind w:left="216" w:right="0"/>
        <w:jc w:val="left"/>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97" w:lineRule="auto" w:before="73"/>
        <w:ind w:left="216" w:right="312" w:firstLine="240"/>
        <w:jc w:val="left"/>
        <w:rPr>
          <w:rFonts w:ascii="宋体" w:hAnsi="宋体" w:cs="宋体" w:eastAsia="宋体" w:hint="default"/>
        </w:rPr>
      </w:pPr>
      <w:r>
        <w:rPr/>
        <w:t>本公司对报告期末起</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个月的持续经营能力进行了评价，未发现对持续经营能力产生重大怀</w:t>
      </w:r>
      <w:r>
        <w:rPr>
          <w:w w:val="100"/>
        </w:rPr>
        <w:t> </w:t>
      </w:r>
      <w:r>
        <w:rPr/>
        <w:t>疑的事项或情况。因此，本财务报表系在持续经营假设的基础上编制。</w:t>
      </w:r>
      <w:r>
        <w:rPr>
          <w:rFonts w:ascii="宋体" w:hAnsi="宋体" w:cs="宋体" w:eastAsia="宋体" w:hint="default"/>
        </w:rPr>
        <w:t> </w:t>
      </w:r>
    </w:p>
    <w:p>
      <w:pPr>
        <w:pStyle w:val="BodyText"/>
        <w:spacing w:line="233" w:lineRule="exact"/>
        <w:ind w:left="216" w:right="0"/>
        <w:jc w:val="left"/>
        <w:rPr>
          <w:rFonts w:ascii="宋体" w:hAnsi="宋体" w:cs="宋体" w:eastAsia="宋体" w:hint="default"/>
        </w:rPr>
      </w:pPr>
      <w:r>
        <w:rPr>
          <w:rFonts w:ascii="宋体"/>
          <w:w w:val="100"/>
        </w:rPr>
        <w:t> </w:t>
      </w:r>
    </w:p>
    <w:p>
      <w:pPr>
        <w:spacing w:line="290" w:lineRule="auto" w:before="58"/>
        <w:ind w:left="216" w:right="5782"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29" w:lineRule="exact"/>
        <w:ind w:left="21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after="0" w:line="229" w:lineRule="exact"/>
        <w:jc w:val="left"/>
        <w:rPr>
          <w:rFonts w:ascii="宋体" w:hAnsi="宋体" w:cs="宋体" w:eastAsia="宋体" w:hint="default"/>
        </w:rPr>
        <w:sectPr>
          <w:pgSz w:w="11910" w:h="16840"/>
          <w:pgMar w:header="857" w:footer="979" w:top="1120" w:bottom="1160" w:left="1060" w:right="1560"/>
        </w:sectPr>
      </w:pPr>
    </w:p>
    <w:p>
      <w:pPr>
        <w:spacing w:line="240" w:lineRule="auto" w:before="4"/>
        <w:rPr>
          <w:rFonts w:ascii="宋体" w:hAnsi="宋体" w:cs="宋体" w:eastAsia="宋体" w:hint="default"/>
          <w:sz w:val="24"/>
          <w:szCs w:val="24"/>
        </w:rPr>
      </w:pPr>
    </w:p>
    <w:p>
      <w:pPr>
        <w:pStyle w:val="BodyText"/>
        <w:spacing w:line="297" w:lineRule="auto" w:before="36"/>
        <w:ind w:left="136" w:right="129" w:firstLine="480"/>
        <w:jc w:val="both"/>
        <w:rPr>
          <w:rFonts w:ascii="宋体" w:hAnsi="宋体" w:cs="宋体" w:eastAsia="宋体" w:hint="default"/>
        </w:rPr>
      </w:pPr>
      <w:r>
        <w:rPr>
          <w:rFonts w:ascii="Times New Roman" w:hAnsi="Times New Roman" w:cs="Times New Roman" w:eastAsia="Times New Roman" w:hint="default"/>
        </w:rPr>
        <w:t>1</w:t>
      </w:r>
      <w:r>
        <w:rPr/>
        <w:t>、本公司对报告期末起 </w:t>
      </w:r>
      <w:r>
        <w:rPr>
          <w:rFonts w:ascii="宋体" w:hAnsi="宋体" w:cs="宋体" w:eastAsia="宋体" w:hint="default"/>
        </w:rPr>
        <w:t>12</w:t>
      </w:r>
      <w:r>
        <w:rPr>
          <w:rFonts w:ascii="宋体" w:hAnsi="宋体" w:cs="宋体" w:eastAsia="宋体" w:hint="default"/>
          <w:spacing w:val="-80"/>
        </w:rPr>
        <w:t> </w:t>
      </w:r>
      <w:r>
        <w:rPr>
          <w:spacing w:val="-3"/>
        </w:rPr>
        <w:t>个月的持续经营能力进行了评价，未发现对持续经营能力产生重</w:t>
      </w:r>
      <w:r>
        <w:rPr>
          <w:w w:val="100"/>
        </w:rPr>
        <w:t> </w:t>
      </w:r>
      <w:r>
        <w:rPr/>
        <w:t>大怀疑的事项或情况。因此，本财务报表系在持续经营假设的基础上编制。</w:t>
      </w:r>
      <w:r>
        <w:rPr>
          <w:rFonts w:ascii="宋体" w:hAnsi="宋体" w:cs="宋体" w:eastAsia="宋体" w:hint="default"/>
        </w:rPr>
        <w:t> </w:t>
      </w:r>
    </w:p>
    <w:p>
      <w:pPr>
        <w:pStyle w:val="BodyText"/>
        <w:spacing w:line="304" w:lineRule="auto" w:before="34"/>
        <w:ind w:left="136" w:right="129" w:firstLine="420"/>
        <w:jc w:val="both"/>
        <w:rPr>
          <w:rFonts w:ascii="宋体" w:hAnsi="宋体" w:cs="宋体" w:eastAsia="宋体" w:hint="default"/>
        </w:rPr>
      </w:pPr>
      <w:r>
        <w:rPr>
          <w:rFonts w:ascii="Times New Roman" w:hAnsi="Times New Roman" w:cs="Times New Roman" w:eastAsia="Times New Roman" w:hint="default"/>
          <w:spacing w:val="-4"/>
        </w:rPr>
        <w:t>2</w:t>
      </w:r>
      <w:r>
        <w:rPr>
          <w:spacing w:val="-4"/>
        </w:rPr>
        <w:t>、本公司根据历史经验和其他因素，包括对未来事项的合理预期，对所采用的重要会计估计</w:t>
      </w:r>
      <w:r>
        <w:rPr>
          <w:w w:val="100"/>
        </w:rPr>
        <w:t> </w:t>
      </w:r>
      <w:r>
        <w:rPr>
          <w:spacing w:val="-2"/>
        </w:rPr>
        <w:t>和关键假设进行持续的评价。下列重要会计估计及关键假设如果发生重大变动，则可能会导致以</w:t>
      </w:r>
      <w:r>
        <w:rPr>
          <w:spacing w:val="-25"/>
        </w:rPr>
        <w:t> </w:t>
      </w:r>
      <w:r>
        <w:rPr>
          <w:spacing w:val="-25"/>
        </w:rPr>
      </w:r>
      <w:r>
        <w:rPr/>
        <w:t>后会计年度的资产和负债账面价值的重大影响：</w:t>
      </w:r>
      <w:r>
        <w:rPr>
          <w:rFonts w:ascii="宋体" w:hAnsi="宋体" w:cs="宋体" w:eastAsia="宋体" w:hint="default"/>
        </w:rPr>
        <w:t> </w:t>
      </w:r>
    </w:p>
    <w:p>
      <w:pPr>
        <w:pStyle w:val="BodyText"/>
        <w:spacing w:line="312" w:lineRule="auto" w:before="28"/>
        <w:ind w:left="136" w:right="129" w:firstLine="420"/>
        <w:jc w:val="both"/>
        <w:rPr>
          <w:rFonts w:ascii="宋体" w:hAnsi="宋体" w:cs="宋体" w:eastAsia="宋体" w:hint="default"/>
        </w:rPr>
      </w:pPr>
      <w:r>
        <w:rPr>
          <w:spacing w:val="-4"/>
        </w:rPr>
        <w:t>（</w:t>
      </w:r>
      <w:r>
        <w:rPr>
          <w:rFonts w:ascii="Times New Roman" w:hAnsi="Times New Roman" w:cs="Times New Roman" w:eastAsia="Times New Roman" w:hint="default"/>
          <w:spacing w:val="-4"/>
        </w:rPr>
        <w:t>1</w:t>
      </w:r>
      <w:r>
        <w:rPr>
          <w:spacing w:val="-4"/>
        </w:rPr>
        <w:t>）本公司于每年年度终了对商誉进行减值测试。包含商誉的资产组和资产组组合的可收回</w:t>
      </w:r>
      <w:r>
        <w:rPr>
          <w:w w:val="100"/>
        </w:rPr>
        <w:t> </w:t>
      </w:r>
      <w:r>
        <w:rPr/>
        <w:t>净额</w:t>
      </w:r>
      <w:r>
        <w:rPr>
          <w:spacing w:val="46"/>
        </w:rPr>
        <w:t> </w:t>
      </w:r>
      <w:r>
        <w:rPr>
          <w:rFonts w:ascii="宋体" w:hAnsi="宋体" w:cs="宋体" w:eastAsia="宋体" w:hint="default"/>
          <w:spacing w:val="46"/>
        </w:rPr>
      </w:r>
      <w:r>
        <w:rPr>
          <w:spacing w:val="-4"/>
        </w:rPr>
        <w:t>为其预计未来现金流量的现值，其计算需要采用会计估计。对于按照资产组和资产组组合预</w:t>
      </w:r>
      <w:r>
        <w:rPr>
          <w:spacing w:val="-95"/>
        </w:rPr>
        <w:t> </w:t>
      </w:r>
      <w:r>
        <w:rPr>
          <w:spacing w:val="-95"/>
        </w:rPr>
      </w:r>
      <w:r>
        <w:rPr>
          <w:spacing w:val="-2"/>
        </w:rPr>
        <w:t>计未来现金流量的现值确定可收回净额的商誉减值测试，如果管理层对资产组和资产组组合的预</w:t>
      </w:r>
      <w:r>
        <w:rPr>
          <w:spacing w:val="-24"/>
        </w:rPr>
        <w:t> </w:t>
      </w:r>
      <w:r>
        <w:rPr>
          <w:spacing w:val="-24"/>
        </w:rPr>
      </w:r>
      <w:r>
        <w:rPr>
          <w:spacing w:val="-2"/>
        </w:rPr>
        <w:t>计未来现金流量的现值计算中采用的毛利率或税前折现率进行修订，且修订后的毛利率低于或税</w:t>
      </w:r>
      <w:r>
        <w:rPr>
          <w:spacing w:val="-25"/>
        </w:rPr>
        <w:t> </w:t>
      </w:r>
      <w:r>
        <w:rPr>
          <w:spacing w:val="-25"/>
        </w:rPr>
      </w:r>
      <w:r>
        <w:rPr>
          <w:spacing w:val="-2"/>
        </w:rPr>
        <w:t>前折现率高于目前采用的毛利率或税前折现率将导致预计未来现金流量的现值减少，本公司可能</w:t>
      </w:r>
      <w:r>
        <w:rPr>
          <w:spacing w:val="-25"/>
        </w:rPr>
        <w:t> </w:t>
      </w:r>
      <w:r>
        <w:rPr>
          <w:spacing w:val="-25"/>
        </w:rPr>
      </w:r>
      <w:r>
        <w:rPr/>
        <w:t>因此需对商誉计提减值准备。</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22"/>
        <w:ind w:left="136" w:right="138" w:firstLine="420"/>
        <w:jc w:val="both"/>
        <w:rPr>
          <w:rFonts w:ascii="宋体" w:hAnsi="宋体" w:cs="宋体" w:eastAsia="宋体" w:hint="default"/>
        </w:rPr>
      </w:pPr>
      <w:r>
        <w:rPr>
          <w:spacing w:val="-2"/>
        </w:rPr>
        <w:t>如果实际毛利率高于或税前折现率低于管理层的估计，本公司不能转回原已计提的商誉减值</w:t>
      </w:r>
      <w:r>
        <w:rPr>
          <w:w w:val="100"/>
        </w:rPr>
        <w:t> </w:t>
      </w:r>
      <w:r>
        <w:rPr/>
        <w:t>损失。</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20"/>
        <w:ind w:left="136" w:right="138" w:firstLine="420"/>
        <w:jc w:val="both"/>
        <w:rPr>
          <w:rFonts w:ascii="宋体" w:hAnsi="宋体" w:cs="宋体" w:eastAsia="宋体" w:hint="default"/>
        </w:rPr>
      </w:pPr>
      <w:r>
        <w:rPr>
          <w:spacing w:val="-2"/>
        </w:rPr>
        <w:t>对于按照资产组和资产组组合公允价值减去处置费用后的净额确定可收回净额的商誉减值测</w:t>
      </w:r>
      <w:r>
        <w:rPr>
          <w:w w:val="100"/>
        </w:rPr>
        <w:t> </w:t>
      </w:r>
      <w:r>
        <w:rPr>
          <w:spacing w:val="-2"/>
        </w:rPr>
        <w:t>试，如果管理层对应用的息税折旧摊销前利润倍数进行重新修订，且修订后的息税折旧摊销前利</w:t>
      </w:r>
      <w:r>
        <w:rPr>
          <w:spacing w:val="-25"/>
        </w:rPr>
        <w:t> </w:t>
      </w:r>
      <w:r>
        <w:rPr>
          <w:spacing w:val="-25"/>
        </w:rPr>
      </w:r>
      <w:r>
        <w:rPr>
          <w:spacing w:val="-2"/>
        </w:rPr>
        <w:t>润倍数低于目前采用的倍数，将导致公允价值减去处置费用后的净额减少，本公司可能因此需对</w:t>
      </w:r>
      <w:r>
        <w:rPr>
          <w:spacing w:val="-25"/>
        </w:rPr>
        <w:t> </w:t>
      </w:r>
      <w:r>
        <w:rPr>
          <w:spacing w:val="-25"/>
        </w:rPr>
      </w:r>
      <w:r>
        <w:rPr/>
        <w:t>商誉计提或进一步计提减值准备。</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309" w:lineRule="auto" w:before="20"/>
        <w:ind w:left="136" w:right="129" w:firstLine="420"/>
        <w:jc w:val="right"/>
      </w:pPr>
      <w:r>
        <w:rPr>
          <w:spacing w:val="-2"/>
        </w:rPr>
        <w:t>（</w:t>
      </w:r>
      <w:r>
        <w:rPr>
          <w:rFonts w:ascii="Times New Roman" w:hAnsi="Times New Roman" w:cs="Times New Roman" w:eastAsia="Times New Roman" w:hint="default"/>
          <w:spacing w:val="-2"/>
        </w:rPr>
        <w:t>2</w:t>
      </w:r>
      <w:r>
        <w:rPr>
          <w:spacing w:val="-2"/>
        </w:rPr>
        <w:t>）应收账款和其他应收款及长期应收款（含一年内到到期非流动资产）预期信用损失。</w:t>
      </w:r>
      <w:r>
        <w:rPr>
          <w:rFonts w:ascii="宋体" w:hAnsi="宋体" w:cs="宋体" w:eastAsia="宋体" w:hint="default"/>
          <w:w w:val="100"/>
        </w:rPr>
        <w:t> </w:t>
      </w:r>
      <w:r>
        <w:rPr>
          <w:spacing w:val="-2"/>
        </w:rPr>
        <w:t>公司管理层根据判断的应收账款和其他应收款的预期信用损失，以此来估计应收账款和其他</w:t>
      </w:r>
      <w:r>
        <w:rPr>
          <w:w w:val="100"/>
        </w:rPr>
        <w:t> </w:t>
      </w:r>
      <w:r>
        <w:rPr>
          <w:spacing w:val="-6"/>
        </w:rPr>
        <w:t>应收款减值准备。如发生任何事件或情况变动，显示公司未必可追回有关余额，则需要使用估计，</w:t>
      </w:r>
      <w:r>
        <w:rPr>
          <w:spacing w:val="-75"/>
        </w:rPr>
        <w:t> </w:t>
      </w:r>
      <w:r>
        <w:rPr>
          <w:spacing w:val="-75"/>
        </w:rPr>
      </w:r>
      <w:r>
        <w:rPr>
          <w:spacing w:val="-2"/>
        </w:rPr>
        <w:t>对应收账款和其他应收款计提准备。若预期数字与原来估计数不同，有关差额则会影响应收账款</w:t>
      </w:r>
    </w:p>
    <w:p>
      <w:pPr>
        <w:pStyle w:val="BodyText"/>
        <w:spacing w:line="240" w:lineRule="auto" w:before="24"/>
        <w:ind w:left="136" w:right="0"/>
        <w:jc w:val="both"/>
        <w:rPr>
          <w:rFonts w:ascii="宋体" w:hAnsi="宋体" w:cs="宋体" w:eastAsia="宋体" w:hint="default"/>
        </w:rPr>
      </w:pPr>
      <w:r>
        <w:rPr/>
        <w:t>和其他应收款的账面价值，以及在估计变动期间的减值费用。</w:t>
      </w:r>
      <w:r>
        <w:rPr>
          <w:rFonts w:ascii="宋体" w:hAnsi="宋体" w:cs="宋体" w:eastAsia="宋体" w:hint="default"/>
        </w:rPr>
        <w:t> </w:t>
      </w:r>
    </w:p>
    <w:p>
      <w:pPr>
        <w:pStyle w:val="BodyText"/>
        <w:spacing w:line="297" w:lineRule="auto" w:before="85"/>
        <w:ind w:left="557" w:right="0"/>
        <w:jc w:val="left"/>
      </w:pPr>
      <w:r>
        <w:rPr/>
        <w:t>（</w:t>
      </w:r>
      <w:r>
        <w:rPr>
          <w:rFonts w:ascii="Times New Roman" w:hAnsi="Times New Roman" w:cs="Times New Roman" w:eastAsia="Times New Roman" w:hint="default"/>
        </w:rPr>
        <w:t>3</w:t>
      </w:r>
      <w:r>
        <w:rPr/>
        <w:t>）存货减值的估计</w:t>
      </w:r>
      <w:r>
        <w:rPr>
          <w:rFonts w:ascii="宋体" w:hAnsi="宋体" w:cs="宋体" w:eastAsia="宋体" w:hint="default"/>
          <w:w w:val="100"/>
        </w:rPr>
        <w:t> </w:t>
      </w:r>
      <w:r>
        <w:rPr>
          <w:spacing w:val="-2"/>
        </w:rPr>
        <w:t>于资产负债表日，存货按照成本与可变现净值孰低计量，对成本高于可变现净值的，计提存</w:t>
      </w:r>
    </w:p>
    <w:p>
      <w:pPr>
        <w:pStyle w:val="BodyText"/>
        <w:spacing w:line="314" w:lineRule="auto" w:before="34"/>
        <w:ind w:left="136" w:right="129"/>
        <w:jc w:val="both"/>
        <w:rPr>
          <w:rFonts w:ascii="宋体" w:hAnsi="宋体" w:cs="宋体" w:eastAsia="宋体" w:hint="default"/>
        </w:rPr>
      </w:pPr>
      <w:r>
        <w:rPr>
          <w:spacing w:val="-6"/>
        </w:rPr>
        <w:t>货跌价准备，计入当期损益。这要求管理层分析存货的估计售价、至完工时估计将要发生的成本、</w:t>
      </w:r>
      <w:r>
        <w:rPr>
          <w:spacing w:val="-54"/>
        </w:rPr>
        <w:t> </w:t>
      </w:r>
      <w:r>
        <w:rPr>
          <w:spacing w:val="-54"/>
        </w:rPr>
      </w:r>
      <w:r>
        <w:rPr/>
        <w:t>估计的销售费用以及相关税费，来判断可变现净值是否低于存货成本。</w:t>
      </w:r>
      <w:r>
        <w:rPr>
          <w:rFonts w:ascii="宋体" w:hAnsi="宋体" w:cs="宋体" w:eastAsia="宋体" w:hint="default"/>
        </w:rPr>
        <w:t> </w:t>
      </w:r>
    </w:p>
    <w:p>
      <w:pPr>
        <w:pStyle w:val="BodyText"/>
        <w:spacing w:line="297" w:lineRule="auto" w:before="20"/>
        <w:ind w:left="557" w:right="0"/>
        <w:jc w:val="left"/>
      </w:pPr>
      <w:r>
        <w:rPr/>
        <w:t>（</w:t>
      </w:r>
      <w:r>
        <w:rPr>
          <w:rFonts w:ascii="Times New Roman" w:hAnsi="Times New Roman" w:cs="Times New Roman" w:eastAsia="Times New Roman" w:hint="default"/>
        </w:rPr>
        <w:t>4</w:t>
      </w:r>
      <w:r>
        <w:rPr/>
        <w:t>）长期资产减值的估计。</w:t>
      </w:r>
      <w:r>
        <w:rPr>
          <w:rFonts w:ascii="宋体" w:hAnsi="宋体" w:cs="宋体" w:eastAsia="宋体" w:hint="default"/>
          <w:w w:val="100"/>
        </w:rPr>
        <w:t> </w:t>
      </w:r>
      <w:r>
        <w:rPr>
          <w:spacing w:val="-2"/>
        </w:rPr>
        <w:t>管理层在判断长期资产是否存在减值时，主要从以下方面进行评估和分析：</w:t>
      </w:r>
      <w:r>
        <w:rPr>
          <w:rFonts w:ascii="Times New Roman" w:hAnsi="Times New Roman" w:cs="Times New Roman" w:eastAsia="Times New Roman" w:hint="default"/>
          <w:spacing w:val="-2"/>
        </w:rPr>
        <w:t>(1)</w:t>
      </w:r>
      <w:r>
        <w:rPr>
          <w:spacing w:val="-2"/>
        </w:rPr>
        <w:t>影响资产减值</w:t>
      </w:r>
    </w:p>
    <w:p>
      <w:pPr>
        <w:pStyle w:val="BodyText"/>
        <w:spacing w:line="297" w:lineRule="auto" w:before="13"/>
        <w:ind w:left="136" w:right="129"/>
        <w:jc w:val="both"/>
        <w:rPr>
          <w:rFonts w:ascii="宋体" w:hAnsi="宋体" w:cs="宋体" w:eastAsia="宋体" w:hint="default"/>
        </w:rPr>
      </w:pPr>
      <w:r>
        <w:rPr>
          <w:spacing w:val="-2"/>
        </w:rPr>
        <w:t>的事项是否已经发生；</w:t>
      </w:r>
      <w:r>
        <w:rPr>
          <w:rFonts w:ascii="Times New Roman" w:hAnsi="Times New Roman" w:cs="Times New Roman" w:eastAsia="Times New Roman" w:hint="default"/>
          <w:spacing w:val="-2"/>
        </w:rPr>
        <w:t>(2)</w:t>
      </w:r>
      <w:r>
        <w:rPr>
          <w:spacing w:val="-2"/>
        </w:rPr>
        <w:t>资产继续使用或处置而预期可获得的现金流量现值是否低于资产的账面</w:t>
      </w:r>
      <w:r>
        <w:rPr>
          <w:spacing w:val="-48"/>
        </w:rPr>
        <w:t> </w:t>
      </w:r>
      <w:r>
        <w:rPr>
          <w:spacing w:val="-48"/>
        </w:rPr>
      </w:r>
      <w:r>
        <w:rPr/>
        <w:t>价值；以及</w:t>
      </w:r>
      <w:r>
        <w:rPr>
          <w:rFonts w:ascii="Times New Roman" w:hAnsi="Times New Roman" w:cs="Times New Roman" w:eastAsia="Times New Roman" w:hint="default"/>
        </w:rPr>
        <w:t>(3)</w:t>
      </w:r>
      <w:r>
        <w:rPr/>
        <w:t>预期未来现金流量现值中使用的重要假设是否适当。</w:t>
      </w:r>
      <w:r>
        <w:rPr>
          <w:rFonts w:ascii="宋体" w:hAnsi="宋体" w:cs="宋体" w:eastAsia="宋体" w:hint="default"/>
        </w:rPr>
        <w:t> </w:t>
      </w:r>
    </w:p>
    <w:p>
      <w:pPr>
        <w:pStyle w:val="BodyText"/>
        <w:spacing w:line="314" w:lineRule="auto" w:before="14"/>
        <w:ind w:left="136" w:right="138" w:firstLine="420"/>
        <w:jc w:val="both"/>
        <w:rPr>
          <w:rFonts w:ascii="宋体" w:hAnsi="宋体" w:cs="宋体" w:eastAsia="宋体" w:hint="default"/>
        </w:rPr>
      </w:pPr>
      <w:r>
        <w:rPr>
          <w:spacing w:val="-2"/>
        </w:rPr>
        <w:t>公司所采用的用于确定减值的相关假设，如未来现金流量现值方法中所采用的盈利状况、折</w:t>
      </w:r>
      <w:r>
        <w:rPr>
          <w:w w:val="100"/>
        </w:rPr>
        <w:t> </w:t>
      </w:r>
      <w:r>
        <w:rPr>
          <w:spacing w:val="-2"/>
        </w:rPr>
        <w:t>现率及增长率假设发生变化，可能会对减值测试中所使用的现值产生重大影响，并导致公司的上</w:t>
      </w:r>
      <w:r>
        <w:rPr>
          <w:spacing w:val="-25"/>
        </w:rPr>
        <w:t> </w:t>
      </w:r>
      <w:r>
        <w:rPr>
          <w:spacing w:val="-25"/>
        </w:rPr>
      </w:r>
      <w:r>
        <w:rPr/>
        <w:t>述长期资产出现减值。</w:t>
      </w:r>
      <w:r>
        <w:rPr>
          <w:rFonts w:ascii="宋体" w:hAnsi="宋体" w:cs="宋体" w:eastAsia="宋体" w:hint="default"/>
        </w:rPr>
        <w:t> </w:t>
      </w:r>
    </w:p>
    <w:p>
      <w:pPr>
        <w:pStyle w:val="BodyText"/>
        <w:spacing w:line="297" w:lineRule="auto" w:before="20"/>
        <w:ind w:left="557" w:right="0"/>
        <w:jc w:val="left"/>
      </w:pPr>
      <w:r>
        <w:rPr/>
        <w:t>（</w:t>
      </w:r>
      <w:r>
        <w:rPr>
          <w:rFonts w:ascii="Times New Roman" w:hAnsi="Times New Roman" w:cs="Times New Roman" w:eastAsia="Times New Roman" w:hint="default"/>
        </w:rPr>
        <w:t>5</w:t>
      </w:r>
      <w:r>
        <w:rPr/>
        <w:t>）固定资产的预计使用寿命与预计净残值。</w:t>
      </w:r>
      <w:r>
        <w:rPr>
          <w:rFonts w:ascii="宋体" w:hAnsi="宋体" w:cs="宋体" w:eastAsia="宋体" w:hint="default"/>
          <w:w w:val="100"/>
        </w:rPr>
        <w:t> </w:t>
      </w:r>
      <w:r>
        <w:rPr>
          <w:spacing w:val="-2"/>
        </w:rPr>
        <w:t>固定资产的预计使用寿命与预计净残值的估计是将性质和功能类似的固定资产过往的实际使</w:t>
      </w:r>
    </w:p>
    <w:p>
      <w:pPr>
        <w:pStyle w:val="BodyText"/>
        <w:spacing w:line="314" w:lineRule="auto" w:before="34"/>
        <w:ind w:left="136" w:right="138"/>
        <w:jc w:val="both"/>
        <w:rPr>
          <w:rFonts w:ascii="宋体" w:hAnsi="宋体" w:cs="宋体" w:eastAsia="宋体" w:hint="default"/>
        </w:rPr>
      </w:pPr>
      <w:r>
        <w:rPr>
          <w:spacing w:val="-2"/>
        </w:rPr>
        <w:t>用寿命与实际净残值作为基础。在固定资产使用过程中，其所处的经济环境、技术环境以及其他</w:t>
      </w:r>
      <w:r>
        <w:rPr>
          <w:spacing w:val="-25"/>
        </w:rPr>
        <w:t> </w:t>
      </w:r>
      <w:r>
        <w:rPr>
          <w:spacing w:val="-25"/>
        </w:rPr>
      </w:r>
      <w:r>
        <w:rPr>
          <w:spacing w:val="-2"/>
        </w:rPr>
        <w:t>环境有可能对固定资产使用寿命与预计净残值产生较大影响。如果固定资产使用寿命与净残值的</w:t>
      </w:r>
      <w:r>
        <w:rPr>
          <w:spacing w:val="-25"/>
        </w:rPr>
        <w:t> </w:t>
      </w:r>
      <w:r>
        <w:rPr>
          <w:spacing w:val="-25"/>
        </w:rPr>
      </w:r>
      <w:r>
        <w:rPr/>
        <w:t>预计数与原先估计数有差异，管理层将对其进行适当调整。</w:t>
      </w:r>
      <w:r>
        <w:rPr>
          <w:rFonts w:ascii="宋体" w:hAnsi="宋体" w:cs="宋体" w:eastAsia="宋体" w:hint="default"/>
        </w:rPr>
        <w:t> </w:t>
      </w:r>
    </w:p>
    <w:p>
      <w:pPr>
        <w:spacing w:after="0" w:line="314" w:lineRule="auto"/>
        <w:jc w:val="both"/>
        <w:rPr>
          <w:rFonts w:ascii="宋体" w:hAnsi="宋体" w:cs="宋体" w:eastAsia="宋体" w:hint="default"/>
        </w:rPr>
        <w:sectPr>
          <w:pgSz w:w="11910" w:h="16840"/>
          <w:pgMar w:header="857" w:footer="979" w:top="1120" w:bottom="1160" w:left="1140" w:right="1660"/>
        </w:sectPr>
      </w:pPr>
    </w:p>
    <w:p>
      <w:pPr>
        <w:spacing w:line="240" w:lineRule="auto" w:before="4"/>
        <w:rPr>
          <w:rFonts w:ascii="宋体" w:hAnsi="宋体" w:cs="宋体" w:eastAsia="宋体" w:hint="default"/>
          <w:sz w:val="24"/>
          <w:szCs w:val="24"/>
        </w:rPr>
      </w:pPr>
    </w:p>
    <w:p>
      <w:pPr>
        <w:pStyle w:val="BodyText"/>
        <w:spacing w:line="297" w:lineRule="auto" w:before="36"/>
        <w:ind w:left="557" w:right="0"/>
        <w:jc w:val="left"/>
      </w:pPr>
      <w:r>
        <w:rPr/>
        <w:t>（</w:t>
      </w:r>
      <w:r>
        <w:rPr>
          <w:rFonts w:ascii="Times New Roman" w:hAnsi="Times New Roman" w:cs="Times New Roman" w:eastAsia="Times New Roman" w:hint="default"/>
        </w:rPr>
        <w:t>6</w:t>
      </w:r>
      <w:r>
        <w:rPr/>
        <w:t>）金融资产的公允价值。</w:t>
      </w:r>
      <w:r>
        <w:rPr>
          <w:rFonts w:ascii="宋体" w:hAnsi="宋体" w:cs="宋体" w:eastAsia="宋体" w:hint="default"/>
          <w:w w:val="100"/>
        </w:rPr>
        <w:t> </w:t>
      </w:r>
      <w:r>
        <w:rPr>
          <w:spacing w:val="-2"/>
        </w:rPr>
        <w:t>本公司对没有活跃市场的金融工具，采用包括现金流量折现法等在内的各种估值技术确定其</w:t>
      </w:r>
    </w:p>
    <w:p>
      <w:pPr>
        <w:pStyle w:val="BodyText"/>
        <w:spacing w:line="314" w:lineRule="auto" w:before="34"/>
        <w:ind w:left="136" w:right="208"/>
        <w:jc w:val="both"/>
        <w:rPr>
          <w:rFonts w:ascii="宋体" w:hAnsi="宋体" w:cs="宋体" w:eastAsia="宋体" w:hint="default"/>
        </w:rPr>
      </w:pPr>
      <w:r>
        <w:rPr/>
        <w:t>公允价值。对于法律明令限制本公司在特定期间内处置的金融资产，其公允价值是以市场报价为</w:t>
      </w:r>
      <w:r>
        <w:rPr>
          <w:w w:val="100"/>
        </w:rPr>
        <w:t> </w:t>
      </w:r>
      <w:r>
        <w:rPr/>
        <w:t>基础并根据该工具的特征进行调整。在估值时，本公司需对诸如自身和交易对手的信用风险、市</w:t>
      </w:r>
      <w:r>
        <w:rPr>
          <w:w w:val="100"/>
        </w:rPr>
        <w:t> </w:t>
      </w:r>
      <w:r>
        <w:rPr>
          <w:spacing w:val="-7"/>
          <w:w w:val="100"/>
        </w:rPr>
        <w:t>场波动率和相关性等方面进行估计，这些相关因素假设的变化会对金融工具的公允价值产生影响。</w:t>
      </w:r>
      <w:r>
        <w:rPr>
          <w:rFonts w:ascii="宋体" w:hAnsi="宋体" w:cs="宋体" w:eastAsia="宋体" w:hint="default"/>
          <w:w w:val="100"/>
        </w:rPr>
        <w:t> </w:t>
      </w:r>
    </w:p>
    <w:p>
      <w:pPr>
        <w:pStyle w:val="BodyText"/>
        <w:spacing w:line="297" w:lineRule="auto" w:before="20"/>
        <w:ind w:left="557" w:right="0"/>
        <w:jc w:val="left"/>
        <w:rPr>
          <w:rFonts w:ascii="宋体" w:hAnsi="宋体" w:cs="宋体" w:eastAsia="宋体" w:hint="default"/>
        </w:rPr>
      </w:pPr>
      <w:r>
        <w:rPr/>
        <w:t>（</w:t>
      </w:r>
      <w:r>
        <w:rPr>
          <w:rFonts w:ascii="Times New Roman" w:hAnsi="Times New Roman" w:cs="Times New Roman" w:eastAsia="Times New Roman" w:hint="default"/>
        </w:rPr>
        <w:t>7</w:t>
      </w:r>
      <w:r>
        <w:rPr/>
        <w:t>）股份支付</w:t>
      </w:r>
      <w:r>
        <w:rPr>
          <w:rFonts w:ascii="宋体" w:hAnsi="宋体" w:cs="宋体" w:eastAsia="宋体" w:hint="default"/>
          <w:w w:val="100"/>
        </w:rPr>
        <w:t> </w:t>
      </w:r>
      <w:r>
        <w:rPr/>
        <w:t>于每个资产负债表日，对于完成等待期内的服务或达到规定业绩条件才可行权的权益工具或</w:t>
      </w:r>
      <w:r>
        <w:rPr>
          <w:rFonts w:ascii="宋体" w:hAnsi="宋体" w:cs="宋体" w:eastAsia="宋体" w:hint="default"/>
        </w:rPr>
        <w:t> </w:t>
      </w:r>
    </w:p>
    <w:p>
      <w:pPr>
        <w:pStyle w:val="BodyText"/>
        <w:spacing w:line="314" w:lineRule="auto" w:before="34"/>
        <w:ind w:left="136" w:right="0"/>
        <w:jc w:val="left"/>
        <w:rPr>
          <w:rFonts w:ascii="宋体" w:hAnsi="宋体" w:cs="宋体" w:eastAsia="宋体" w:hint="default"/>
        </w:rPr>
      </w:pPr>
      <w:r>
        <w:rPr>
          <w:spacing w:val="-4"/>
        </w:rPr>
        <w:t>债务工具，本集团根据最新取得的可行权职工人数变动、是否达到规定业绩条件等预计信息，</w:t>
      </w:r>
      <w:r>
        <w:rPr>
          <w:spacing w:val="54"/>
        </w:rPr>
        <w:t> </w:t>
      </w:r>
      <w:r>
        <w:rPr>
          <w:rFonts w:ascii="宋体" w:hAnsi="宋体" w:cs="宋体" w:eastAsia="宋体" w:hint="default"/>
          <w:spacing w:val="54"/>
        </w:rPr>
      </w:r>
      <w:r>
        <w:rPr/>
        <w:t>对</w:t>
      </w:r>
      <w:r>
        <w:rPr>
          <w:spacing w:val="-95"/>
        </w:rPr>
        <w:t> </w:t>
      </w:r>
      <w:r>
        <w:rPr/>
        <w:t>可行权权益工具数量作出最佳估计以及对某些特定情形作出最佳判断</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w:t>
      </w:r>
      <w:r>
        <w:rPr>
          <w:rFonts w:ascii="Times New Roman" w:hAnsi="Times New Roman" w:cs="Times New Roman" w:eastAsia="Times New Roman" w:hint="default"/>
        </w:rPr>
        <w:t>8</w:t>
      </w:r>
      <w:r>
        <w:rPr/>
        <w:t>）递延所得税资产和递延所得税负债。</w:t>
      </w:r>
      <w:r>
        <w:rPr>
          <w:rFonts w:ascii="宋体" w:hAnsi="宋体" w:cs="宋体" w:eastAsia="宋体" w:hint="default"/>
        </w:rPr>
        <w:t> </w:t>
      </w:r>
    </w:p>
    <w:p>
      <w:pPr>
        <w:pStyle w:val="BodyText"/>
        <w:spacing w:line="314" w:lineRule="auto" w:before="70"/>
        <w:ind w:left="136" w:right="0" w:firstLine="420"/>
        <w:jc w:val="left"/>
        <w:rPr>
          <w:rFonts w:ascii="宋体" w:hAnsi="宋体" w:cs="宋体" w:eastAsia="宋体" w:hint="default"/>
        </w:rPr>
      </w:pPr>
      <w:r>
        <w:rPr>
          <w:rFonts w:ascii="宋体" w:hAnsi="宋体" w:cs="宋体" w:eastAsia="宋体" w:hint="default"/>
          <w:w w:val="100"/>
        </w:rPr>
        <w:t> </w:t>
      </w:r>
      <w:r>
        <w:rPr>
          <w:spacing w:val="-4"/>
          <w:w w:val="100"/>
        </w:rPr>
        <w:t>本公司按照现行税收法规计算企业所得税及递延所得税，并考虑了适用的所得税相关规定及</w:t>
      </w:r>
      <w:r>
        <w:rPr>
          <w:rFonts w:ascii="宋体" w:hAnsi="宋体" w:cs="宋体" w:eastAsia="宋体" w:hint="default"/>
          <w:w w:val="100"/>
        </w:rPr>
        <w:t> </w:t>
      </w:r>
      <w:r>
        <w:rPr>
          <w:spacing w:val="-4"/>
        </w:rPr>
        <w:t>税收优惠。在正常的经营活动中，涉及的部分交易和事项的最终税务处理存在不确定性，在 </w:t>
      </w:r>
      <w:r>
        <w:rPr>
          <w:rFonts w:ascii="宋体" w:hAnsi="宋体" w:cs="宋体" w:eastAsia="宋体" w:hint="default"/>
          <w:spacing w:val="-4"/>
        </w:rPr>
      </w:r>
      <w:r>
        <w:rPr>
          <w:spacing w:val="-3"/>
        </w:rPr>
        <w:t>计提</w:t>
      </w:r>
      <w:r>
        <w:rPr>
          <w:spacing w:val="-39"/>
        </w:rPr>
        <w:t> </w:t>
      </w:r>
      <w:r>
        <w:rPr>
          <w:spacing w:val="-4"/>
        </w:rPr>
        <w:t>所得税费用时，本公司需要作出重大判断。本公司就未来预期的税务纳税调整项目是否 </w:t>
      </w:r>
      <w:r>
        <w:rPr>
          <w:rFonts w:ascii="宋体" w:hAnsi="宋体" w:cs="宋体" w:eastAsia="宋体" w:hint="default"/>
          <w:spacing w:val="-4"/>
        </w:rPr>
      </w:r>
      <w:r>
        <w:rPr/>
        <w:t>需要缴纳</w:t>
      </w:r>
      <w:r>
        <w:rPr>
          <w:spacing w:val="-51"/>
        </w:rPr>
        <w:t> </w:t>
      </w:r>
      <w:r>
        <w:rPr>
          <w:spacing w:val="-51"/>
        </w:rPr>
      </w:r>
      <w:r>
        <w:rPr>
          <w:spacing w:val="-5"/>
        </w:rPr>
        <w:t>额外税款进行估计，并根据此确认相应的所得税负债。本公司根据资产和负债的计 </w:t>
      </w:r>
      <w:r>
        <w:rPr>
          <w:rFonts w:ascii="宋体" w:hAnsi="宋体" w:cs="宋体" w:eastAsia="宋体" w:hint="default"/>
          <w:spacing w:val="-5"/>
        </w:rPr>
      </w:r>
      <w:r>
        <w:rPr/>
        <w:t>税基础与其账</w:t>
      </w:r>
      <w:r>
        <w:rPr>
          <w:spacing w:val="-23"/>
        </w:rPr>
        <w:t> </w:t>
      </w:r>
      <w:r>
        <w:rPr>
          <w:spacing w:val="-23"/>
        </w:rPr>
      </w:r>
      <w:r>
        <w:rPr>
          <w:spacing w:val="-5"/>
        </w:rPr>
        <w:t>面价值的差额</w:t>
      </w:r>
      <w:r>
        <w:rPr>
          <w:rFonts w:ascii="宋体" w:hAnsi="宋体" w:cs="宋体" w:eastAsia="宋体" w:hint="default"/>
          <w:spacing w:val="-5"/>
        </w:rPr>
        <w:t>(</w:t>
      </w:r>
      <w:r>
        <w:rPr>
          <w:spacing w:val="-5"/>
        </w:rPr>
        <w:t>暂时性差异</w:t>
      </w:r>
      <w:r>
        <w:rPr>
          <w:rFonts w:ascii="宋体" w:hAnsi="宋体" w:cs="宋体" w:eastAsia="宋体" w:hint="default"/>
          <w:spacing w:val="-5"/>
        </w:rPr>
        <w:t>)</w:t>
      </w:r>
      <w:r>
        <w:rPr>
          <w:spacing w:val="-5"/>
        </w:rPr>
        <w:t>计算确认递延所得税资产和递延所得税负债。此外， </w:t>
      </w:r>
      <w:r>
        <w:rPr>
          <w:rFonts w:ascii="宋体" w:hAnsi="宋体" w:cs="宋体" w:eastAsia="宋体" w:hint="default"/>
          <w:spacing w:val="-5"/>
        </w:rPr>
      </w:r>
      <w:r>
        <w:rPr/>
        <w:t>在很可能有足够</w:t>
      </w:r>
      <w:r>
        <w:rPr>
          <w:spacing w:val="-23"/>
        </w:rPr>
        <w:t> </w:t>
      </w:r>
      <w:r>
        <w:rPr>
          <w:spacing w:val="-23"/>
        </w:rPr>
      </w:r>
      <w:r>
        <w:rPr>
          <w:spacing w:val="-5"/>
          <w:w w:val="100"/>
        </w:rPr>
        <w:t>的应纳税所得额用以抵扣可抵扣亏损的限度内，应就所有尚未利用的可抵扣</w:t>
      </w:r>
      <w:r>
        <w:rPr>
          <w:w w:val="100"/>
        </w:rPr>
        <w:t> </w:t>
      </w:r>
      <w:r>
        <w:rPr>
          <w:rFonts w:ascii="宋体" w:hAnsi="宋体" w:cs="宋体" w:eastAsia="宋体" w:hint="default"/>
          <w:w w:val="100"/>
        </w:rPr>
      </w:r>
      <w:r>
        <w:rPr>
          <w:spacing w:val="-2"/>
          <w:w w:val="100"/>
        </w:rPr>
        <w:t>亏损确认递延所得税</w:t>
      </w:r>
      <w:r>
        <w:rPr>
          <w:spacing w:val="-77"/>
          <w:w w:val="100"/>
        </w:rPr>
        <w:t> </w:t>
      </w:r>
      <w:r>
        <w:rPr>
          <w:spacing w:val="-77"/>
          <w:w w:val="100"/>
        </w:rPr>
      </w:r>
      <w:r>
        <w:rPr>
          <w:spacing w:val="-3"/>
        </w:rPr>
        <w:t>资产。这需要管理层运用大量的判断来估计未来取得应纳税所得额的时 </w:t>
      </w:r>
      <w:r>
        <w:rPr>
          <w:rFonts w:ascii="宋体" w:hAnsi="宋体" w:cs="宋体" w:eastAsia="宋体" w:hint="default"/>
          <w:spacing w:val="-3"/>
        </w:rPr>
      </w:r>
      <w:r>
        <w:rPr>
          <w:spacing w:val="-6"/>
        </w:rPr>
        <w:t>间和金额，以决定应确认</w:t>
      </w:r>
      <w:r>
        <w:rPr>
          <w:spacing w:val="-47"/>
        </w:rPr>
        <w:t> </w:t>
      </w:r>
      <w:r>
        <w:rPr>
          <w:spacing w:val="-47"/>
        </w:rPr>
      </w:r>
      <w:r>
        <w:rPr>
          <w:spacing w:val="-3"/>
        </w:rPr>
        <w:t>的递延所得税资产的金额。如果这些税务事项的最终认定结果与最 </w:t>
      </w:r>
      <w:r>
        <w:rPr>
          <w:rFonts w:ascii="宋体" w:hAnsi="宋体" w:cs="宋体" w:eastAsia="宋体" w:hint="default"/>
          <w:spacing w:val="-3"/>
        </w:rPr>
      </w:r>
      <w:r>
        <w:rPr>
          <w:spacing w:val="-6"/>
        </w:rPr>
        <w:t>初入账的金额存在差异，该差</w:t>
      </w:r>
      <w:r>
        <w:rPr>
          <w:spacing w:val="-40"/>
        </w:rPr>
        <w:t> </w:t>
      </w:r>
      <w:r>
        <w:rPr>
          <w:spacing w:val="-40"/>
        </w:rPr>
      </w:r>
      <w:r>
        <w:rPr/>
        <w:t>异将对作出上述最终认定期间的所得税费用和递延所得税的金</w:t>
      </w:r>
      <w:r>
        <w:rPr>
          <w:spacing w:val="10"/>
        </w:rPr>
        <w:t> </w:t>
      </w:r>
      <w:r>
        <w:rPr>
          <w:rFonts w:ascii="宋体" w:hAnsi="宋体" w:cs="宋体" w:eastAsia="宋体" w:hint="default"/>
          <w:spacing w:val="10"/>
        </w:rPr>
      </w:r>
      <w:r>
        <w:rPr>
          <w:spacing w:val="-3"/>
        </w:rPr>
        <w:t>额产生影响。</w:t>
      </w:r>
      <w:r>
        <w:rPr>
          <w:rFonts w:ascii="宋体" w:hAnsi="宋体" w:cs="宋体" w:eastAsia="宋体" w:hint="default"/>
        </w:rPr>
        <w:t>   </w:t>
      </w:r>
    </w:p>
    <w:p>
      <w:pPr>
        <w:pStyle w:val="BodyText"/>
        <w:spacing w:line="314" w:lineRule="auto" w:before="20"/>
        <w:ind w:left="136" w:right="312" w:firstLine="420"/>
        <w:jc w:val="left"/>
        <w:rPr>
          <w:rFonts w:ascii="宋体" w:hAnsi="宋体" w:cs="宋体" w:eastAsia="宋体" w:hint="default"/>
        </w:rPr>
      </w:pPr>
      <w:r>
        <w:rPr>
          <w:rFonts w:ascii="宋体" w:hAnsi="宋体" w:cs="宋体" w:eastAsia="宋体" w:hint="default"/>
          <w:w w:val="100"/>
        </w:rPr>
        <w:t> </w:t>
      </w:r>
      <w:r>
        <w:rPr/>
        <w:t>本公司已经基于现行的税法规定及当前最佳的估计及假设计提了本年所得税负债及递延所</w:t>
      </w:r>
      <w:r>
        <w:rPr>
          <w:w w:val="100"/>
        </w:rPr>
        <w:t> </w:t>
      </w:r>
      <w:r>
        <w:rPr/>
        <w:t>得</w:t>
      </w:r>
      <w:r>
        <w:rPr>
          <w:spacing w:val="-3"/>
        </w:rPr>
        <w:t> </w:t>
      </w:r>
      <w:r>
        <w:rPr>
          <w:rFonts w:ascii="宋体" w:hAnsi="宋体" w:cs="宋体" w:eastAsia="宋体" w:hint="default"/>
          <w:spacing w:val="-3"/>
        </w:rPr>
      </w:r>
      <w:r>
        <w:rPr/>
        <w:t>税项。未来可能因税法规定或相关情况的改变而需要对所得税负债及递延所得税项作出相应</w:t>
      </w:r>
      <w:r>
        <w:rPr>
          <w:rFonts w:ascii="宋体" w:hAnsi="宋体" w:cs="宋体" w:eastAsia="宋体" w:hint="default"/>
          <w:w w:val="100"/>
        </w:rPr>
        <w:t> </w:t>
      </w:r>
      <w:r>
        <w:rPr/>
        <w:t>的调整。</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w:t>
      </w:r>
      <w:r>
        <w:rPr>
          <w:rFonts w:ascii="Times New Roman" w:hAnsi="Times New Roman" w:cs="Times New Roman" w:eastAsia="Times New Roman" w:hint="default"/>
        </w:rPr>
        <w:t>9</w:t>
      </w:r>
      <w:r>
        <w:rPr/>
        <w:t>）所得税</w:t>
      </w:r>
      <w:r>
        <w:rPr>
          <w:rFonts w:ascii="宋体" w:hAnsi="宋体" w:cs="宋体" w:eastAsia="宋体" w:hint="default"/>
        </w:rPr>
        <w:t> </w:t>
      </w:r>
    </w:p>
    <w:p>
      <w:pPr>
        <w:pStyle w:val="BodyText"/>
        <w:spacing w:line="304" w:lineRule="auto" w:before="69"/>
        <w:ind w:left="136" w:right="0" w:firstLine="420"/>
        <w:jc w:val="left"/>
        <w:rPr>
          <w:rFonts w:ascii="宋体" w:hAnsi="宋体" w:cs="宋体" w:eastAsia="宋体" w:hint="default"/>
        </w:rPr>
      </w:pPr>
      <w:r>
        <w:rPr>
          <w:spacing w:val="-2"/>
          <w:w w:val="100"/>
        </w:rPr>
        <w:t>本公司为高新技术企业，并依据相关所得税法的规定按</w:t>
      </w:r>
      <w:r>
        <w:rPr>
          <w:spacing w:val="6"/>
          <w:w w:val="100"/>
        </w:rPr>
        <w:t> </w:t>
      </w:r>
      <w:r>
        <w:rPr>
          <w:rFonts w:ascii="宋体" w:hAnsi="宋体" w:cs="宋体" w:eastAsia="宋体" w:hint="default"/>
          <w:spacing w:val="6"/>
          <w:w w:val="100"/>
        </w:rPr>
      </w:r>
      <w:r>
        <w:rPr>
          <w:rFonts w:ascii="Times New Roman" w:hAnsi="Times New Roman" w:cs="Times New Roman" w:eastAsia="Times New Roman" w:hint="default"/>
          <w:spacing w:val="-5"/>
          <w:w w:val="100"/>
        </w:rPr>
        <w:t>15%</w:t>
      </w:r>
      <w:r>
        <w:rPr>
          <w:spacing w:val="-5"/>
          <w:w w:val="100"/>
        </w:rPr>
        <w:t>的税率计算及缴纳企业所得税。</w:t>
      </w:r>
      <w:r>
        <w:rPr>
          <w:rFonts w:ascii="宋体" w:hAnsi="宋体" w:cs="宋体" w:eastAsia="宋体" w:hint="default"/>
          <w:w w:val="100"/>
        </w:rPr>
        <w:t> </w:t>
      </w:r>
      <w:r>
        <w:rPr>
          <w:spacing w:val="-4"/>
          <w:w w:val="100"/>
        </w:rPr>
        <w:t>根据相关规定，符合高新技术企业资质的条件之一为企业研发支出占其销售收入的比例必须</w:t>
      </w:r>
      <w:r>
        <w:rPr>
          <w:w w:val="100"/>
        </w:rPr>
        <w:t> </w:t>
      </w:r>
      <w:r>
        <w:rPr>
          <w:rFonts w:ascii="宋体" w:hAnsi="宋体" w:cs="宋体" w:eastAsia="宋体" w:hint="default"/>
          <w:w w:val="100"/>
        </w:rPr>
      </w:r>
      <w:r>
        <w:rPr>
          <w:spacing w:val="-3"/>
          <w:w w:val="100"/>
        </w:rPr>
        <w:t>不低</w:t>
      </w:r>
      <w:r>
        <w:rPr>
          <w:spacing w:val="-95"/>
          <w:w w:val="100"/>
        </w:rPr>
        <w:t> </w:t>
      </w:r>
      <w:r>
        <w:rPr/>
        <w:t>于规定比例，其中年销售收入在 </w:t>
      </w:r>
      <w:r>
        <w:rPr>
          <w:rFonts w:ascii="宋体" w:hAnsi="宋体" w:cs="宋体" w:eastAsia="宋体" w:hint="default"/>
        </w:rPr>
      </w:r>
      <w:r>
        <w:rPr>
          <w:rFonts w:ascii="Times New Roman" w:hAnsi="Times New Roman" w:cs="Times New Roman" w:eastAsia="Times New Roman" w:hint="default"/>
        </w:rPr>
        <w:t>2 </w:t>
      </w:r>
      <w:r>
        <w:rPr/>
        <w:t>亿元以上的企业，该比例为 </w:t>
      </w:r>
      <w:r>
        <w:rPr>
          <w:rFonts w:ascii="Times New Roman" w:hAnsi="Times New Roman" w:cs="Times New Roman" w:eastAsia="Times New Roman" w:hint="default"/>
        </w:rPr>
        <w:t>3%</w:t>
      </w:r>
      <w:r>
        <w:rPr/>
        <w:t>。主管税务机关在执行</w:t>
      </w:r>
      <w:r>
        <w:rPr>
          <w:spacing w:val="-6"/>
        </w:rPr>
        <w:t> </w:t>
      </w:r>
      <w:r>
        <w:rPr>
          <w:rFonts w:ascii="宋体" w:hAnsi="宋体" w:cs="宋体" w:eastAsia="宋体" w:hint="default"/>
          <w:spacing w:val="-6"/>
        </w:rPr>
      </w:r>
      <w:r>
        <w:rPr/>
        <w:t>税收</w:t>
      </w:r>
      <w:r>
        <w:rPr>
          <w:w w:val="100"/>
        </w:rPr>
        <w:t> </w:t>
      </w:r>
      <w:r>
        <w:rPr>
          <w:spacing w:val="-4"/>
        </w:rPr>
        <w:t>优惠政策过程中，发现企业未达高新技术企业资质条件的，应提请认定机构复核，复核 </w:t>
      </w:r>
      <w:r>
        <w:rPr>
          <w:rFonts w:ascii="宋体" w:hAnsi="宋体" w:cs="宋体" w:eastAsia="宋体" w:hint="default"/>
          <w:spacing w:val="-4"/>
        </w:rPr>
      </w:r>
      <w:r>
        <w:rPr>
          <w:spacing w:val="-7"/>
        </w:rPr>
        <w:t>期间，可</w:t>
      </w:r>
      <w:r>
        <w:rPr>
          <w:spacing w:val="-22"/>
        </w:rPr>
        <w:t> </w:t>
      </w:r>
      <w:r>
        <w:rPr>
          <w:spacing w:val="-22"/>
        </w:rPr>
      </w:r>
      <w:r>
        <w:rPr>
          <w:spacing w:val="-7"/>
          <w:w w:val="100"/>
        </w:rPr>
        <w:t>暂停企业享受税收优惠。本公司认为</w:t>
      </w:r>
      <w:r>
        <w:rPr>
          <w:w w:val="100"/>
        </w:rPr>
        <w:t> </w:t>
      </w:r>
      <w:r>
        <w:rPr>
          <w:rFonts w:ascii="宋体" w:hAnsi="宋体" w:cs="宋体" w:eastAsia="宋体" w:hint="default"/>
          <w:w w:val="100"/>
        </w:rPr>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w w:val="100"/>
        </w:rPr>
        <w:t> </w:t>
      </w:r>
      <w:r>
        <w:rPr>
          <w:spacing w:val="-2"/>
          <w:w w:val="100"/>
        </w:rPr>
        <w:t>年度实际发生的研发投入满足高新技术企</w:t>
      </w:r>
      <w:r>
        <w:rPr>
          <w:spacing w:val="8"/>
          <w:w w:val="100"/>
        </w:rPr>
        <w:t> </w:t>
      </w:r>
      <w:r>
        <w:rPr>
          <w:rFonts w:ascii="宋体" w:hAnsi="宋体" w:cs="宋体" w:eastAsia="宋体" w:hint="default"/>
          <w:spacing w:val="8"/>
          <w:w w:val="100"/>
        </w:rPr>
      </w:r>
      <w:r>
        <w:rPr>
          <w:spacing w:val="-2"/>
          <w:w w:val="100"/>
        </w:rPr>
        <w:t>业资质要求，</w:t>
      </w:r>
      <w:r>
        <w:rPr>
          <w:w w:val="100"/>
        </w:rPr>
        <w:t> </w:t>
      </w:r>
      <w:r>
        <w:rPr/>
        <w:t>并按 </w:t>
      </w:r>
      <w:r>
        <w:rPr>
          <w:rFonts w:ascii="宋体" w:hAnsi="宋体" w:cs="宋体" w:eastAsia="宋体" w:hint="default"/>
        </w:rPr>
      </w:r>
      <w:r>
        <w:rPr>
          <w:rFonts w:ascii="Times New Roman" w:hAnsi="Times New Roman" w:cs="Times New Roman" w:eastAsia="Times New Roman" w:hint="default"/>
          <w:spacing w:val="-4"/>
        </w:rPr>
        <w:t>15%</w:t>
      </w:r>
      <w:r>
        <w:rPr>
          <w:spacing w:val="-4"/>
        </w:rPr>
        <w:t>的优惠税率计算及缴纳企业所得税。同时，依据相关税法规定，本公 </w:t>
      </w:r>
      <w:r>
        <w:rPr>
          <w:rFonts w:ascii="宋体" w:hAnsi="宋体" w:cs="宋体" w:eastAsia="宋体" w:hint="default"/>
          <w:spacing w:val="-4"/>
        </w:rPr>
      </w:r>
      <w:r>
        <w:rPr/>
        <w:t>司已在计算 </w:t>
      </w:r>
      <w:r>
        <w:rPr>
          <w:rFonts w:ascii="宋体" w:hAnsi="宋体" w:cs="宋体" w:eastAsia="宋体" w:hint="default"/>
        </w:rPr>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23"/>
        </w:rPr>
        <w:t> </w:t>
      </w:r>
      <w:r>
        <w:rPr>
          <w:rFonts w:ascii="宋体" w:hAnsi="宋体" w:cs="宋体" w:eastAsia="宋体" w:hint="default"/>
          <w:spacing w:val="23"/>
        </w:rPr>
      </w:r>
      <w:r>
        <w:rPr>
          <w:spacing w:val="-5"/>
        </w:rPr>
        <w:t>年度企业所得税时，加计扣除了研发费用。上述研发支出加计扣除金额及适 </w:t>
      </w:r>
      <w:r>
        <w:rPr>
          <w:rFonts w:ascii="宋体" w:hAnsi="宋体" w:cs="宋体" w:eastAsia="宋体" w:hint="default"/>
          <w:spacing w:val="-5"/>
        </w:rPr>
      </w:r>
      <w:r>
        <w:rPr/>
        <w:t>用的优惠税率尚待相</w:t>
      </w:r>
      <w:r>
        <w:rPr>
          <w:spacing w:val="-38"/>
        </w:rPr>
        <w:t> </w:t>
      </w:r>
      <w:r>
        <w:rPr>
          <w:spacing w:val="-38"/>
        </w:rPr>
      </w:r>
      <w:r>
        <w:rPr>
          <w:spacing w:val="-5"/>
          <w:w w:val="100"/>
        </w:rPr>
        <w:t>关主管税务机关于本公司所得税汇算清缴时予以认定。如果主管税务机</w:t>
      </w:r>
      <w:r>
        <w:rPr>
          <w:w w:val="100"/>
        </w:rPr>
        <w:t> </w:t>
      </w:r>
      <w:r>
        <w:rPr>
          <w:rFonts w:ascii="宋体" w:hAnsi="宋体" w:cs="宋体" w:eastAsia="宋体" w:hint="default"/>
          <w:w w:val="100"/>
        </w:rPr>
      </w:r>
      <w:r>
        <w:rPr>
          <w:spacing w:val="-2"/>
          <w:w w:val="100"/>
        </w:rPr>
        <w:t>关的最终认定结果和本公</w:t>
      </w:r>
      <w:r>
        <w:rPr>
          <w:spacing w:val="-80"/>
          <w:w w:val="100"/>
        </w:rPr>
        <w:t> </w:t>
      </w:r>
      <w:r>
        <w:rPr>
          <w:spacing w:val="-80"/>
          <w:w w:val="100"/>
        </w:rPr>
      </w:r>
      <w:r>
        <w:rPr/>
        <w:t>司的认定存在差异，该差异将对于本年度的所得税费用产生影响。</w:t>
      </w:r>
      <w:r>
        <w:rPr>
          <w:rFonts w:ascii="宋体" w:hAnsi="宋体" w:cs="宋体" w:eastAsia="宋体" w:hint="default"/>
        </w:rPr>
        <w:t> </w:t>
      </w:r>
    </w:p>
    <w:p>
      <w:pPr>
        <w:pStyle w:val="BodyText"/>
        <w:spacing w:line="227" w:lineRule="exact"/>
        <w:ind w:left="136" w:right="0"/>
        <w:jc w:val="both"/>
        <w:rPr>
          <w:rFonts w:ascii="宋体" w:hAnsi="宋体" w:cs="宋体" w:eastAsia="宋体" w:hint="default"/>
        </w:rPr>
      </w:pPr>
      <w:r>
        <w:rPr>
          <w:rFonts w:ascii="宋体"/>
          <w:w w:val="100"/>
        </w:rPr>
        <w:t> </w:t>
      </w:r>
    </w:p>
    <w:p>
      <w:pPr>
        <w:tabs>
          <w:tab w:pos="562" w:val="left" w:leader="none"/>
        </w:tabs>
        <w:spacing w:line="338" w:lineRule="auto" w:before="56"/>
        <w:ind w:left="617" w:right="312" w:hanging="48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3"/>
          <w:sz w:val="21"/>
          <w:szCs w:val="21"/>
        </w:rPr>
        <w:t>公司编制的财务报表符合企业会计准则的要求，真实、完整地反映了公司的财务状况、经营</w:t>
      </w:r>
    </w:p>
    <w:p>
      <w:pPr>
        <w:pStyle w:val="BodyText"/>
        <w:spacing w:line="274" w:lineRule="exact"/>
        <w:ind w:left="136" w:right="0"/>
        <w:jc w:val="both"/>
        <w:rPr>
          <w:rFonts w:ascii="宋体" w:hAnsi="宋体" w:cs="宋体" w:eastAsia="宋体" w:hint="default"/>
          <w:sz w:val="24"/>
          <w:szCs w:val="24"/>
        </w:rPr>
      </w:pPr>
      <w:r>
        <w:rPr/>
        <w:t>成果和现金流量等有关信息。</w:t>
      </w:r>
      <w:r>
        <w:rPr>
          <w:rFonts w:ascii="宋体" w:hAnsi="宋体" w:cs="宋体" w:eastAsia="宋体" w:hint="default"/>
          <w:sz w:val="24"/>
          <w:szCs w:val="24"/>
        </w:rPr>
        <w:t> </w:t>
      </w:r>
    </w:p>
    <w:p>
      <w:pPr>
        <w:pStyle w:val="Heading3"/>
        <w:spacing w:line="240" w:lineRule="auto" w:before="2"/>
        <w:ind w:left="136" w:right="0"/>
        <w:jc w:val="both"/>
      </w:pPr>
      <w:r>
        <w:rPr/>
        <w:t> </w:t>
      </w:r>
    </w:p>
    <w:p>
      <w:pPr>
        <w:spacing w:after="0" w:line="240" w:lineRule="auto"/>
        <w:jc w:val="both"/>
        <w:sectPr>
          <w:footerReference w:type="default" r:id="rId45"/>
          <w:pgSz w:w="11910" w:h="16840"/>
          <w:pgMar w:footer="979" w:header="857" w:top="1120" w:bottom="1160" w:left="1140" w:right="1480"/>
        </w:sectPr>
      </w:pPr>
    </w:p>
    <w:p>
      <w:pPr>
        <w:spacing w:line="240" w:lineRule="auto" w:before="6"/>
        <w:rPr>
          <w:rFonts w:ascii="宋体" w:hAnsi="宋体" w:cs="宋体" w:eastAsia="宋体" w:hint="default"/>
          <w:sz w:val="18"/>
          <w:szCs w:val="18"/>
        </w:rPr>
      </w:pPr>
    </w:p>
    <w:p>
      <w:pPr>
        <w:pStyle w:val="Heading4"/>
        <w:tabs>
          <w:tab w:pos="562" w:val="left" w:leader="none"/>
        </w:tabs>
        <w:spacing w:line="240" w:lineRule="auto" w:before="36"/>
        <w:ind w:left="136" w:right="0"/>
        <w:jc w:val="left"/>
        <w:rPr>
          <w:b w:val="0"/>
          <w:bCs w:val="0"/>
        </w:rPr>
      </w:pPr>
      <w:r>
        <w:rPr>
          <w:rFonts w:ascii="Times New Roman" w:hAnsi="Times New Roman" w:cs="Times New Roman" w:eastAsia="Times New Roman" w:hint="default"/>
        </w:rPr>
        <w:t>2.</w:t>
        <w:tab/>
      </w:r>
      <w:r>
        <w:rPr/>
        <w:t>会计期间</w:t>
      </w:r>
      <w:r>
        <w:rPr>
          <w:b w:val="0"/>
          <w:bCs w:val="0"/>
        </w:rPr>
      </w:r>
    </w:p>
    <w:p>
      <w:pPr>
        <w:pStyle w:val="BodyText"/>
        <w:spacing w:line="240" w:lineRule="auto" w:before="117"/>
        <w:ind w:left="617" w:right="0"/>
        <w:jc w:val="left"/>
        <w:rPr>
          <w:rFonts w:ascii="宋体" w:hAnsi="宋体" w:cs="宋体" w:eastAsia="宋体" w:hint="default"/>
          <w:sz w:val="24"/>
          <w:szCs w:val="24"/>
        </w:rPr>
      </w:pPr>
      <w:r>
        <w:rPr/>
        <w:t>公司会计年度自公历每年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r>
        <w:rPr>
          <w:rFonts w:ascii="宋体" w:hAnsi="宋体" w:cs="宋体" w:eastAsia="宋体" w:hint="default"/>
          <w:sz w:val="24"/>
          <w:szCs w:val="24"/>
        </w:rPr>
        <w:t> </w:t>
      </w:r>
    </w:p>
    <w:p>
      <w:pPr>
        <w:pStyle w:val="Heading3"/>
        <w:spacing w:line="300" w:lineRule="exact"/>
        <w:ind w:left="136" w:right="0"/>
        <w:jc w:val="left"/>
      </w:pPr>
      <w:r>
        <w:rPr/>
        <w:t> </w:t>
      </w:r>
    </w:p>
    <w:p>
      <w:pPr>
        <w:pStyle w:val="Heading4"/>
        <w:tabs>
          <w:tab w:pos="562" w:val="left" w:leader="none"/>
        </w:tabs>
        <w:spacing w:line="240" w:lineRule="auto"/>
        <w:ind w:left="136" w:right="0"/>
        <w:jc w:val="left"/>
        <w:rPr>
          <w:b w:val="0"/>
          <w:bCs w:val="0"/>
        </w:rPr>
      </w:pPr>
      <w:r>
        <w:rPr>
          <w:rFonts w:ascii="Times New Roman" w:hAnsi="Times New Roman" w:cs="Times New Roman" w:eastAsia="Times New Roman" w:hint="default"/>
        </w:rPr>
        <w:t>3.</w:t>
        <w:tab/>
      </w:r>
      <w:r>
        <w:rPr/>
        <w:t>营业周期</w:t>
      </w:r>
      <w:r>
        <w:rPr>
          <w:b w:val="0"/>
          <w:bCs w:val="0"/>
        </w:rPr>
      </w:r>
    </w:p>
    <w:p>
      <w:pPr>
        <w:pStyle w:val="BodyText"/>
        <w:spacing w:line="273" w:lineRule="exact" w:before="43"/>
        <w:ind w:left="136" w:right="0"/>
        <w:jc w:val="left"/>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89" w:lineRule="exact"/>
        <w:ind w:left="617" w:right="0"/>
        <w:jc w:val="left"/>
        <w:rPr>
          <w:rFonts w:ascii="宋体" w:hAnsi="宋体" w:cs="宋体" w:eastAsia="宋体" w:hint="default"/>
          <w:sz w:val="24"/>
          <w:szCs w:val="24"/>
        </w:rPr>
      </w:pPr>
      <w:r>
        <w:rPr/>
        <w:t>公司以</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个月作为一个营业周期。</w:t>
      </w:r>
      <w:r>
        <w:rPr>
          <w:rFonts w:ascii="宋体" w:hAnsi="宋体" w:cs="宋体" w:eastAsia="宋体" w:hint="default"/>
          <w:sz w:val="24"/>
          <w:szCs w:val="24"/>
        </w:rPr>
        <w:t> </w:t>
      </w:r>
    </w:p>
    <w:p>
      <w:pPr>
        <w:pStyle w:val="Heading3"/>
        <w:spacing w:line="291" w:lineRule="exact"/>
        <w:ind w:left="136" w:right="0"/>
        <w:jc w:val="left"/>
      </w:pPr>
      <w:r>
        <w:rPr/>
        <w:t> </w:t>
      </w:r>
    </w:p>
    <w:p>
      <w:pPr>
        <w:pStyle w:val="Heading4"/>
        <w:tabs>
          <w:tab w:pos="562" w:val="left" w:leader="none"/>
        </w:tabs>
        <w:spacing w:line="240" w:lineRule="auto" w:before="61"/>
        <w:ind w:left="136" w:right="0"/>
        <w:jc w:val="left"/>
        <w:rPr>
          <w:b w:val="0"/>
          <w:bCs w:val="0"/>
        </w:rPr>
      </w:pPr>
      <w:r>
        <w:rPr>
          <w:rFonts w:ascii="Times New Roman" w:hAnsi="Times New Roman" w:cs="Times New Roman" w:eastAsia="Times New Roman" w:hint="default"/>
        </w:rPr>
        <w:t>4.</w:t>
        <w:tab/>
      </w:r>
      <w:r>
        <w:rPr/>
        <w:t>记账本位币</w:t>
      </w:r>
      <w:r>
        <w:rPr>
          <w:b w:val="0"/>
          <w:bCs w:val="0"/>
        </w:rPr>
      </w:r>
    </w:p>
    <w:p>
      <w:pPr>
        <w:pStyle w:val="BodyText"/>
        <w:spacing w:line="240" w:lineRule="auto" w:before="43"/>
        <w:ind w:left="617" w:right="0"/>
        <w:jc w:val="left"/>
        <w:rPr>
          <w:rFonts w:ascii="宋体" w:hAnsi="宋体" w:cs="宋体" w:eastAsia="宋体" w:hint="default"/>
        </w:rPr>
      </w:pPr>
      <w:r>
        <w:rPr/>
        <w:t>公司以人民币作为记账本位币。</w:t>
      </w:r>
      <w:r>
        <w:rPr>
          <w:rFonts w:ascii="宋体" w:hAnsi="宋体" w:cs="宋体" w:eastAsia="宋体" w:hint="default"/>
        </w:rPr>
        <w:t> </w:t>
      </w:r>
    </w:p>
    <w:p>
      <w:pPr>
        <w:pStyle w:val="Heading3"/>
        <w:spacing w:line="304" w:lineRule="exact"/>
        <w:ind w:left="136" w:right="0"/>
        <w:jc w:val="both"/>
      </w:pPr>
      <w:r>
        <w:rPr/>
        <w:t> </w:t>
      </w:r>
    </w:p>
    <w:p>
      <w:pPr>
        <w:pStyle w:val="Heading4"/>
        <w:spacing w:line="240" w:lineRule="auto"/>
        <w:ind w:left="136" w:right="0"/>
        <w:jc w:val="both"/>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1"/>
        </w:rPr>
        <w:t> </w:t>
      </w:r>
      <w:r>
        <w:rPr/>
        <w:t>同一控制下和非同一控制下企业合并的会计处理方法</w:t>
      </w:r>
      <w:r>
        <w:rPr>
          <w:b w:val="0"/>
          <w:bCs w:val="0"/>
        </w:rPr>
      </w:r>
    </w:p>
    <w:p>
      <w:pPr>
        <w:pStyle w:val="BodyText"/>
        <w:spacing w:line="240" w:lineRule="auto" w:before="41"/>
        <w:ind w:left="136" w:right="0"/>
        <w:jc w:val="both"/>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4"/>
        <w:spacing w:line="297" w:lineRule="auto" w:before="75"/>
        <w:ind w:left="136" w:right="0" w:firstLine="420"/>
        <w:jc w:val="left"/>
        <w:rPr>
          <w:b w:val="0"/>
          <w:bCs w:val="0"/>
        </w:rPr>
      </w:pPr>
      <w:r>
        <w:rPr>
          <w:rFonts w:ascii="Times New Roman" w:hAnsi="Times New Roman" w:cs="Times New Roman" w:eastAsia="Times New Roman" w:hint="default"/>
        </w:rPr>
        <w:t>1</w:t>
      </w:r>
      <w:r>
        <w:rPr/>
        <w:t>．分步实现企业合并过程中的各项交易的条款、条件以及经济影响符合以下一种或多种情</w:t>
      </w:r>
      <w:r>
        <w:rPr>
          <w:spacing w:val="2"/>
          <w:w w:val="100"/>
        </w:rPr>
        <w:t> </w:t>
      </w:r>
      <w:r>
        <w:rPr/>
        <w:t>况，将多次交易事项作为一揽子交易进行会计处理</w:t>
      </w:r>
      <w:r>
        <w:rPr>
          <w:b w:val="0"/>
          <w:bCs w:val="0"/>
        </w:rPr>
      </w:r>
    </w:p>
    <w:p>
      <w:pPr>
        <w:pStyle w:val="BodyText"/>
        <w:spacing w:line="240" w:lineRule="auto" w:before="34"/>
        <w:ind w:left="557" w:right="0"/>
        <w:jc w:val="left"/>
      </w:pPr>
      <w:r>
        <w:rPr/>
        <w:t>①这些交易是同时或者在考虑了彼此影响的情况下订立的；</w:t>
      </w:r>
    </w:p>
    <w:p>
      <w:pPr>
        <w:pStyle w:val="BodyText"/>
        <w:spacing w:line="240" w:lineRule="auto" w:before="85"/>
        <w:ind w:left="557" w:right="0"/>
        <w:jc w:val="left"/>
      </w:pPr>
      <w:r>
        <w:rPr/>
        <w:t>②这些交易整体才能达成一项完整的商业结果；</w:t>
      </w:r>
    </w:p>
    <w:p>
      <w:pPr>
        <w:pStyle w:val="BodyText"/>
        <w:spacing w:line="240" w:lineRule="auto" w:before="85"/>
        <w:ind w:left="557" w:right="0"/>
        <w:jc w:val="left"/>
      </w:pPr>
      <w:r>
        <w:rPr/>
        <w:t>③一项交易的发生取决于其他至少一项交易的发生；</w:t>
      </w:r>
    </w:p>
    <w:p>
      <w:pPr>
        <w:pStyle w:val="BodyText"/>
        <w:spacing w:line="304" w:lineRule="auto" w:before="85"/>
        <w:ind w:left="557" w:right="0"/>
        <w:jc w:val="left"/>
      </w:pPr>
      <w:r>
        <w:rPr/>
        <w:t>④一项交易单独看是不经济的，但是和其他交易一并考虑时是经济的。</w:t>
      </w:r>
      <w:r>
        <w:rPr>
          <w:w w:val="100"/>
        </w:rPr>
        <w:t> </w:t>
      </w:r>
      <w:r>
        <w:rPr>
          <w:rFonts w:ascii="Times New Roman" w:hAnsi="Times New Roman" w:cs="Times New Roman" w:eastAsia="Times New Roman" w:hint="default"/>
          <w:b/>
          <w:bCs/>
        </w:rPr>
        <w:t>2</w:t>
      </w:r>
      <w:r>
        <w:rPr>
          <w:rFonts w:ascii="宋体" w:hAnsi="宋体" w:cs="宋体" w:eastAsia="宋体" w:hint="default"/>
          <w:b/>
          <w:bCs/>
        </w:rPr>
        <w:t>．同一控制下企业合并：</w:t>
      </w:r>
      <w:r>
        <w:rPr>
          <w:rFonts w:ascii="宋体" w:hAnsi="宋体" w:cs="宋体" w:eastAsia="宋体" w:hint="default"/>
          <w:b/>
          <w:bCs/>
          <w:w w:val="99"/>
        </w:rPr>
        <w:t> </w:t>
      </w:r>
      <w:r>
        <w:rPr>
          <w:spacing w:val="-2"/>
        </w:rPr>
        <w:t>本公司在企业合并中取得的资产和负债，按照合并日在被合并方资产、负债（包括最终控制</w:t>
      </w:r>
    </w:p>
    <w:p>
      <w:pPr>
        <w:pStyle w:val="BodyText"/>
        <w:spacing w:line="314" w:lineRule="auto" w:before="28"/>
        <w:ind w:left="136" w:right="129"/>
        <w:jc w:val="both"/>
      </w:pPr>
      <w:r>
        <w:rPr>
          <w:spacing w:val="-1"/>
        </w:rPr>
        <w:t>方收购被合并方而形成的商誉）在最终控制方合并财务报表中的账面价值计量。在合并中取得的</w:t>
      </w:r>
      <w:r>
        <w:rPr>
          <w:spacing w:val="-55"/>
        </w:rPr>
        <w:t> </w:t>
      </w:r>
      <w:r>
        <w:rPr>
          <w:spacing w:val="-55"/>
        </w:rPr>
      </w:r>
      <w:r>
        <w:rPr>
          <w:spacing w:val="-1"/>
        </w:rPr>
        <w:t>净资产账面价值与支付的合并对价账面价值（或发行股份面值总额）的差额，调整资本公积中的</w:t>
      </w:r>
      <w:r>
        <w:rPr>
          <w:spacing w:val="-55"/>
        </w:rPr>
        <w:t> </w:t>
      </w:r>
      <w:r>
        <w:rPr>
          <w:spacing w:val="-55"/>
        </w:rPr>
      </w:r>
      <w:r>
        <w:rPr/>
        <w:t>股本溢价，资本公积中的股本溢价不足冲减的，调整留存收益。</w:t>
      </w:r>
    </w:p>
    <w:p>
      <w:pPr>
        <w:pStyle w:val="BodyText"/>
        <w:spacing w:line="314" w:lineRule="auto" w:before="20"/>
        <w:ind w:left="136" w:right="0" w:firstLine="420"/>
        <w:jc w:val="left"/>
      </w:pPr>
      <w:r>
        <w:rPr>
          <w:spacing w:val="-2"/>
        </w:rPr>
        <w:t>如果存在或有对价并需要确认预计负债或资产，该预计负债或资产金额与后续或有对价结算</w:t>
      </w:r>
      <w:r>
        <w:rPr>
          <w:w w:val="100"/>
        </w:rPr>
        <w:t> </w:t>
      </w:r>
      <w:r>
        <w:rPr>
          <w:spacing w:val="-4"/>
          <w:w w:val="100"/>
        </w:rPr>
        <w:t>金额的差额，调整资本公积（资本溢价或股本溢价），资本公积不足的，调整留存收益。</w:t>
      </w:r>
    </w:p>
    <w:p>
      <w:pPr>
        <w:pStyle w:val="BodyText"/>
        <w:spacing w:line="314" w:lineRule="auto" w:before="20"/>
        <w:ind w:left="136" w:right="129" w:firstLine="420"/>
        <w:jc w:val="both"/>
      </w:pPr>
      <w:r>
        <w:rPr>
          <w:spacing w:val="-2"/>
        </w:rPr>
        <w:t>对于通过多次交易最终实现企业合并的，属于一揽子交易的，将各项交易作为一项取得控制</w:t>
      </w:r>
      <w:r>
        <w:rPr>
          <w:w w:val="100"/>
        </w:rPr>
        <w:t> </w:t>
      </w:r>
      <w:r>
        <w:rPr>
          <w:spacing w:val="-1"/>
        </w:rPr>
        <w:t>权的交易进行会计处理；不属于一揽子交易的，在取得控制权日，长期股权投资初始投资成本，</w:t>
      </w:r>
      <w:r>
        <w:rPr>
          <w:spacing w:val="-55"/>
        </w:rPr>
        <w:t> </w:t>
      </w:r>
      <w:r>
        <w:rPr>
          <w:spacing w:val="-55"/>
        </w:rPr>
      </w:r>
      <w:r>
        <w:rPr>
          <w:spacing w:val="-1"/>
        </w:rPr>
        <w:t>与达到合并前的长期股权投资账面价值加上合并日进一步取得股份新支付对价的账面价值之和的</w:t>
      </w:r>
      <w:r>
        <w:rPr>
          <w:spacing w:val="-55"/>
        </w:rPr>
        <w:t> </w:t>
      </w:r>
      <w:r>
        <w:rPr>
          <w:spacing w:val="-55"/>
        </w:rPr>
      </w:r>
      <w:r>
        <w:rPr>
          <w:spacing w:val="-1"/>
        </w:rPr>
        <w:t>差额，调整资本公积；资本公积不足冲减的，调整留存收益。对于合并日之前持有的股权投资，</w:t>
      </w:r>
      <w:r>
        <w:rPr>
          <w:spacing w:val="-55"/>
        </w:rPr>
        <w:t> </w:t>
      </w:r>
      <w:r>
        <w:rPr>
          <w:spacing w:val="-55"/>
        </w:rPr>
      </w:r>
      <w:r>
        <w:rPr>
          <w:spacing w:val="-1"/>
        </w:rPr>
        <w:t>因采用权益法核算或金融工具确认和计量准则核算而确认的其他综合收益，暂不进行会计处理，</w:t>
      </w:r>
      <w:r>
        <w:rPr>
          <w:spacing w:val="-55"/>
        </w:rPr>
        <w:t> </w:t>
      </w:r>
      <w:r>
        <w:rPr>
          <w:spacing w:val="-55"/>
        </w:rPr>
      </w:r>
      <w:r>
        <w:rPr>
          <w:spacing w:val="-1"/>
        </w:rPr>
        <w:t>直至处置该项投资时采用与被投资单位直接处置相关资产或负债相同的基础进行会计处理；因采</w:t>
      </w:r>
      <w:r>
        <w:rPr>
          <w:spacing w:val="-55"/>
        </w:rPr>
        <w:t> </w:t>
      </w:r>
      <w:r>
        <w:rPr>
          <w:spacing w:val="-55"/>
        </w:rPr>
      </w:r>
      <w:r>
        <w:rPr>
          <w:spacing w:val="-1"/>
        </w:rPr>
        <w:t>用权益法核算而确认的被投资单位净资产中除净损益、其他综合收益和利润分配以外的所有者权</w:t>
      </w:r>
      <w:r>
        <w:rPr>
          <w:spacing w:val="-55"/>
        </w:rPr>
        <w:t> </w:t>
      </w:r>
      <w:r>
        <w:rPr>
          <w:spacing w:val="-55"/>
        </w:rPr>
      </w:r>
      <w:r>
        <w:rPr/>
        <w:t>益其他变动，暂不进行会计处理，直至处置该项投资时转入当期损益。</w:t>
      </w:r>
    </w:p>
    <w:p>
      <w:pPr>
        <w:spacing w:line="297" w:lineRule="auto" w:before="20"/>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购买日是指本公司实际取得对被购买方控制权的日期，即被购买方的净资产或生产经营决策</w:t>
      </w:r>
    </w:p>
    <w:p>
      <w:pPr>
        <w:pStyle w:val="BodyText"/>
        <w:spacing w:line="240" w:lineRule="auto" w:before="34"/>
        <w:ind w:left="136" w:right="0"/>
        <w:jc w:val="both"/>
      </w:pPr>
      <w:r>
        <w:rPr/>
        <w:t>的控制权转移给本公司的日期。同时满足下列条件时，本公司一般认为实现了控制权的转移：</w:t>
      </w:r>
    </w:p>
    <w:p>
      <w:pPr>
        <w:pStyle w:val="BodyText"/>
        <w:spacing w:line="240" w:lineRule="auto" w:before="85"/>
        <w:ind w:left="557" w:right="0"/>
        <w:jc w:val="left"/>
        <w:rPr>
          <w:rFonts w:ascii="宋体" w:hAnsi="宋体" w:cs="宋体" w:eastAsia="宋体" w:hint="default"/>
        </w:rPr>
      </w:pPr>
      <w:r>
        <w:rPr/>
        <w:t>①企业合并合同或协议已获本公司内部权力机构通过。</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②企业合并事项需要经过国家有关主管部门审批的，已获得批准。</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③已办理了必要的财产权转移手续。</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46"/>
          <w:pgSz w:w="11910" w:h="16840"/>
          <w:pgMar w:footer="979" w:header="857" w:top="1120" w:bottom="1160" w:left="1140" w:right="1660"/>
          <w:pgNumType w:start="101"/>
        </w:sectPr>
      </w:pPr>
    </w:p>
    <w:p>
      <w:pPr>
        <w:spacing w:line="240" w:lineRule="auto" w:before="4"/>
        <w:rPr>
          <w:rFonts w:ascii="宋体" w:hAnsi="宋体" w:cs="宋体" w:eastAsia="宋体" w:hint="default"/>
          <w:sz w:val="24"/>
          <w:szCs w:val="24"/>
        </w:rPr>
      </w:pPr>
    </w:p>
    <w:p>
      <w:pPr>
        <w:pStyle w:val="BodyText"/>
        <w:spacing w:line="240" w:lineRule="auto" w:before="36"/>
        <w:ind w:left="557" w:right="0"/>
        <w:jc w:val="left"/>
        <w:rPr>
          <w:rFonts w:ascii="宋体" w:hAnsi="宋体" w:cs="宋体" w:eastAsia="宋体" w:hint="default"/>
        </w:rPr>
      </w:pPr>
      <w:r>
        <w:rPr/>
        <w:t>④本公司已支付了合并价款的大部分，并且有能力、有计划支付剩余款项。</w:t>
      </w:r>
      <w:r>
        <w:rPr>
          <w:rFonts w:ascii="宋体" w:hAnsi="宋体" w:cs="宋体" w:eastAsia="宋体" w:hint="default"/>
        </w:rPr>
        <w:t> </w:t>
      </w:r>
    </w:p>
    <w:p>
      <w:pPr>
        <w:pStyle w:val="BodyText"/>
        <w:spacing w:line="314" w:lineRule="auto" w:before="85"/>
        <w:ind w:left="136" w:right="131" w:firstLine="420"/>
        <w:jc w:val="both"/>
        <w:rPr>
          <w:rFonts w:ascii="宋体" w:hAnsi="宋体" w:cs="宋体" w:eastAsia="宋体" w:hint="default"/>
        </w:rPr>
      </w:pPr>
      <w:r>
        <w:rPr>
          <w:spacing w:val="-2"/>
        </w:rPr>
        <w:t>⑤本公司实际上已经控制了被购买方的财务和经营政策，并享有相应的利益、承担相应的风</w:t>
      </w:r>
      <w:r>
        <w:rPr>
          <w:w w:val="100"/>
        </w:rPr>
        <w:t> </w:t>
      </w:r>
      <w:r>
        <w:rPr/>
        <w:t>险。</w:t>
      </w:r>
      <w:r>
        <w:rPr>
          <w:rFonts w:ascii="宋体" w:hAnsi="宋体" w:cs="宋体" w:eastAsia="宋体" w:hint="default"/>
        </w:rPr>
        <w:t> </w:t>
      </w:r>
    </w:p>
    <w:p>
      <w:pPr>
        <w:pStyle w:val="BodyText"/>
        <w:spacing w:line="314" w:lineRule="auto" w:before="20"/>
        <w:ind w:left="136" w:right="131" w:firstLine="420"/>
        <w:jc w:val="both"/>
      </w:pPr>
      <w:r>
        <w:rPr>
          <w:spacing w:val="-2"/>
        </w:rPr>
        <w:t>本公司在购买日对作为企业合并对价付出的资产、发生或承担的负债按照公允价值计量，公</w:t>
      </w:r>
      <w:r>
        <w:rPr>
          <w:w w:val="100"/>
        </w:rPr>
        <w:t> </w:t>
      </w:r>
      <w:r>
        <w:rPr/>
        <w:t>允价值与其账面价值的差额，计入当期损益。</w:t>
      </w:r>
    </w:p>
    <w:p>
      <w:pPr>
        <w:pStyle w:val="BodyText"/>
        <w:spacing w:line="314" w:lineRule="auto" w:before="20"/>
        <w:ind w:left="136" w:right="129" w:firstLine="420"/>
        <w:jc w:val="both"/>
        <w:rPr>
          <w:rFonts w:ascii="宋体" w:hAnsi="宋体" w:cs="宋体" w:eastAsia="宋体" w:hint="default"/>
        </w:rPr>
      </w:pPr>
      <w:r>
        <w:rPr>
          <w:spacing w:val="-2"/>
        </w:rPr>
        <w:t>本公司对合并成本大于合并中取得的被购买方可辨认净资产公允价值份额的差额，确认为商</w:t>
      </w:r>
      <w:r>
        <w:rPr>
          <w:w w:val="100"/>
        </w:rPr>
        <w:t> </w:t>
      </w:r>
      <w:r>
        <w:rPr>
          <w:spacing w:val="-1"/>
        </w:rPr>
        <w:t>誉；合并成本小于合并中取得的被购买方可辨认净资产公允价值份额的差额，经复核后，计入当</w:t>
      </w:r>
      <w:r>
        <w:rPr>
          <w:spacing w:val="-55"/>
        </w:rPr>
        <w:t> </w:t>
      </w:r>
      <w:r>
        <w:rPr>
          <w:spacing w:val="-55"/>
        </w:rPr>
      </w:r>
      <w:r>
        <w:rPr/>
        <w:t>期损益。</w:t>
      </w:r>
      <w:r>
        <w:rPr>
          <w:rFonts w:ascii="宋体" w:hAnsi="宋体" w:cs="宋体" w:eastAsia="宋体" w:hint="default"/>
        </w:rPr>
        <w:t> </w:t>
      </w:r>
    </w:p>
    <w:p>
      <w:pPr>
        <w:pStyle w:val="BodyText"/>
        <w:spacing w:line="314" w:lineRule="auto" w:before="20"/>
        <w:ind w:left="136" w:right="129" w:firstLine="420"/>
        <w:jc w:val="both"/>
        <w:rPr>
          <w:rFonts w:ascii="宋体" w:hAnsi="宋体" w:cs="宋体" w:eastAsia="宋体" w:hint="default"/>
        </w:rPr>
      </w:pPr>
      <w:r>
        <w:rPr>
          <w:spacing w:val="-2"/>
        </w:rPr>
        <w:t>通过多次交换交易分步实现的非同一控制下企业合并，属于一揽子交易的，将各项交易作为</w:t>
      </w:r>
      <w:r>
        <w:rPr>
          <w:w w:val="100"/>
        </w:rPr>
        <w:t> </w:t>
      </w:r>
      <w:r>
        <w:rPr>
          <w:spacing w:val="-1"/>
        </w:rPr>
        <w:t>一项取得控制权的交易进行会计处理；不属于一揽子交易的，合并日之前持有的股权投资采用权</w:t>
      </w:r>
      <w:r>
        <w:rPr>
          <w:spacing w:val="-55"/>
        </w:rPr>
        <w:t> </w:t>
      </w:r>
      <w:r>
        <w:rPr>
          <w:spacing w:val="-55"/>
        </w:rPr>
      </w:r>
      <w:r>
        <w:rPr>
          <w:spacing w:val="-1"/>
        </w:rPr>
        <w:t>益法核算的，以购买日之前所持被购买方的股权投资的账面价值与购买日新增投资成本之和，作</w:t>
      </w:r>
      <w:r>
        <w:rPr>
          <w:spacing w:val="-55"/>
        </w:rPr>
        <w:t> </w:t>
      </w:r>
      <w:r>
        <w:rPr>
          <w:spacing w:val="-55"/>
        </w:rPr>
      </w:r>
      <w:r>
        <w:rPr>
          <w:spacing w:val="-1"/>
        </w:rPr>
        <w:t>为该项投资的初始投资成本；购买日之前持有的股权投资因采用权益法核算而确认的其他综合收</w:t>
      </w:r>
      <w:r>
        <w:rPr>
          <w:spacing w:val="-55"/>
        </w:rPr>
        <w:t> </w:t>
      </w:r>
      <w:r>
        <w:rPr>
          <w:spacing w:val="-55"/>
        </w:rPr>
      </w:r>
      <w:r>
        <w:rPr>
          <w:spacing w:val="-1"/>
        </w:rPr>
        <w:t>益，在处置该项投资时采用与被投资单位直接处置相关资产或负债相同的基础进行会计处理。合</w:t>
      </w:r>
      <w:r>
        <w:rPr>
          <w:spacing w:val="-55"/>
        </w:rPr>
        <w:t> </w:t>
      </w:r>
      <w:r>
        <w:rPr>
          <w:spacing w:val="-55"/>
        </w:rPr>
      </w:r>
      <w:r>
        <w:rPr>
          <w:spacing w:val="-1"/>
        </w:rPr>
        <w:t>并日之前持有的股权投资采用金融工具确认和计量准则核算的，以该股权投资在合并日的公允价</w:t>
      </w:r>
      <w:r>
        <w:rPr>
          <w:spacing w:val="-55"/>
        </w:rPr>
        <w:t> </w:t>
      </w:r>
      <w:r>
        <w:rPr>
          <w:spacing w:val="-55"/>
        </w:rPr>
      </w:r>
      <w:r>
        <w:rPr>
          <w:spacing w:val="-1"/>
        </w:rPr>
        <w:t>值加上新增投资成本之和，作为合并日的初始投资成本。原持有股权的公允价值与账面价值之间</w:t>
      </w:r>
      <w:r>
        <w:rPr>
          <w:spacing w:val="-55"/>
        </w:rPr>
        <w:t> </w:t>
      </w:r>
      <w:r>
        <w:rPr>
          <w:spacing w:val="-55"/>
        </w:rPr>
      </w:r>
      <w:r>
        <w:rPr/>
        <w:t>的差额以及原计入其他综合收益的累计公允价值变动应全部转入合并日当期的投资收益。</w:t>
      </w:r>
      <w:r>
        <w:rPr>
          <w:rFonts w:ascii="宋体" w:hAnsi="宋体" w:cs="宋体" w:eastAsia="宋体" w:hint="default"/>
        </w:rPr>
        <w:t> </w:t>
      </w:r>
    </w:p>
    <w:p>
      <w:pPr>
        <w:spacing w:line="297" w:lineRule="auto" w:before="20"/>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．为合并发生的相关费用</w:t>
      </w:r>
      <w:r>
        <w:rPr>
          <w:rFonts w:ascii="宋体" w:hAnsi="宋体" w:cs="宋体" w:eastAsia="宋体" w:hint="default"/>
          <w:b/>
          <w:bCs/>
          <w:w w:val="99"/>
          <w:sz w:val="21"/>
          <w:szCs w:val="21"/>
        </w:rPr>
        <w:t> </w:t>
      </w:r>
      <w:r>
        <w:rPr>
          <w:rFonts w:ascii="宋体" w:hAnsi="宋体" w:cs="宋体" w:eastAsia="宋体" w:hint="default"/>
          <w:spacing w:val="-2"/>
          <w:sz w:val="21"/>
          <w:szCs w:val="21"/>
        </w:rPr>
        <w:t>为企业合并发生的审计、法律服务、评估咨询等中介费用以及其他直接相关费用，于发生时</w:t>
      </w:r>
    </w:p>
    <w:p>
      <w:pPr>
        <w:pStyle w:val="BodyText"/>
        <w:spacing w:line="314" w:lineRule="auto" w:before="34"/>
        <w:ind w:left="136" w:right="0"/>
        <w:jc w:val="left"/>
        <w:rPr>
          <w:rFonts w:ascii="宋体" w:hAnsi="宋体" w:cs="宋体" w:eastAsia="宋体" w:hint="default"/>
        </w:rPr>
      </w:pPr>
      <w:r>
        <w:rPr>
          <w:spacing w:val="-1"/>
        </w:rPr>
        <w:t>计入当期损益；为企业合并而发行权益性证券的交易费用，可直接归属于权益性交易的从权益中</w:t>
      </w:r>
      <w:r>
        <w:rPr>
          <w:spacing w:val="-55"/>
        </w:rPr>
        <w:t> </w:t>
      </w:r>
      <w:r>
        <w:rPr>
          <w:spacing w:val="-55"/>
        </w:rPr>
      </w:r>
      <w:r>
        <w:rPr/>
        <w:t>扣减。</w:t>
      </w:r>
      <w:r>
        <w:rPr>
          <w:rFonts w:ascii="宋体" w:hAnsi="宋体" w:cs="宋体" w:eastAsia="宋体" w:hint="default"/>
        </w:rPr>
        <w:t> </w:t>
      </w:r>
    </w:p>
    <w:p>
      <w:pPr>
        <w:pStyle w:val="Heading3"/>
        <w:spacing w:line="252" w:lineRule="exact"/>
        <w:ind w:left="136" w:right="0"/>
        <w:jc w:val="left"/>
      </w:pPr>
      <w:r>
        <w:rPr/>
        <w:t> </w:t>
      </w:r>
    </w:p>
    <w:p>
      <w:pPr>
        <w:pStyle w:val="Heading4"/>
        <w:tabs>
          <w:tab w:pos="562" w:val="left" w:leader="none"/>
        </w:tabs>
        <w:spacing w:line="240" w:lineRule="auto"/>
        <w:ind w:left="136" w:right="0"/>
        <w:jc w:val="left"/>
        <w:rPr>
          <w:b w:val="0"/>
          <w:bCs w:val="0"/>
        </w:rPr>
      </w:pPr>
      <w:r>
        <w:rPr>
          <w:rFonts w:ascii="Times New Roman" w:hAnsi="Times New Roman" w:cs="Times New Roman" w:eastAsia="Times New Roman" w:hint="default"/>
        </w:rPr>
        <w:t>6.</w:t>
        <w:tab/>
      </w:r>
      <w:r>
        <w:rPr/>
        <w:t>合并财务报表的编制方法</w:t>
      </w:r>
      <w:r>
        <w:rPr>
          <w:b w:val="0"/>
          <w:bCs w:val="0"/>
        </w:rPr>
      </w:r>
    </w:p>
    <w:p>
      <w:pPr>
        <w:pStyle w:val="BodyText"/>
        <w:spacing w:line="274" w:lineRule="exact" w:before="40"/>
        <w:ind w:left="136" w:right="0"/>
        <w:jc w:val="left"/>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88" w:lineRule="auto" w:before="0"/>
        <w:ind w:left="557" w:right="0" w:firstLine="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．合并报表编制范围</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本公司合并财务报表的合并范围以控制为基础确定，所有子公司（包括本公司所控制的单独</w:t>
      </w:r>
    </w:p>
    <w:p>
      <w:pPr>
        <w:pStyle w:val="BodyText"/>
        <w:spacing w:line="240" w:lineRule="auto" w:before="43"/>
        <w:ind w:left="136" w:right="0"/>
        <w:jc w:val="left"/>
      </w:pPr>
      <w:r>
        <w:rPr/>
        <w:t>主体）均纳入合并财务报表</w:t>
      </w:r>
    </w:p>
    <w:p>
      <w:pPr>
        <w:pStyle w:val="BodyText"/>
        <w:spacing w:line="297" w:lineRule="auto" w:before="85"/>
        <w:ind w:left="557" w:right="0" w:firstLine="2"/>
        <w:jc w:val="left"/>
      </w:pP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100"/>
        </w:rPr>
        <w:t> </w:t>
      </w:r>
      <w:r>
        <w:rPr>
          <w:spacing w:val="-2"/>
        </w:rPr>
        <w:t>所有纳入合并财务报表合并范围的子公司所采用的会计政策、会计期间与本公司一致，如子</w:t>
      </w:r>
    </w:p>
    <w:p>
      <w:pPr>
        <w:pStyle w:val="BodyText"/>
        <w:spacing w:line="314" w:lineRule="auto" w:before="34"/>
        <w:ind w:left="136" w:right="0"/>
        <w:jc w:val="left"/>
      </w:pPr>
      <w:r>
        <w:rPr>
          <w:spacing w:val="-1"/>
        </w:rPr>
        <w:t>公司采用的会计政策、会计期间与本公司不一致的，在编制合并财务报表时，按本公司的会计政</w:t>
      </w:r>
      <w:r>
        <w:rPr>
          <w:spacing w:val="-55"/>
        </w:rPr>
        <w:t> </w:t>
      </w:r>
      <w:r>
        <w:rPr>
          <w:spacing w:val="-55"/>
        </w:rPr>
      </w:r>
      <w:r>
        <w:rPr/>
        <w:t>策、会计期间进行必要的调整。</w:t>
      </w:r>
    </w:p>
    <w:p>
      <w:pPr>
        <w:pStyle w:val="BodyText"/>
        <w:spacing w:line="314" w:lineRule="auto" w:before="20"/>
        <w:ind w:left="136" w:right="129" w:firstLine="420"/>
        <w:jc w:val="both"/>
      </w:pPr>
      <w:r>
        <w:rPr>
          <w:spacing w:val="-2"/>
        </w:rPr>
        <w:t>合并财务报表时抵销本公司与各子公司、各子公司相互之间发生的内部交易对合并资产负债</w:t>
      </w:r>
      <w:r>
        <w:rPr>
          <w:w w:val="100"/>
        </w:rPr>
        <w:t> </w:t>
      </w:r>
      <w:r>
        <w:rPr>
          <w:spacing w:val="-1"/>
        </w:rPr>
        <w:t>表、合并利润表、合并现金流量表、合并股东权益变动表的影响。如果站在企业集团合并财务报</w:t>
      </w:r>
      <w:r>
        <w:rPr>
          <w:spacing w:val="-55"/>
        </w:rPr>
        <w:t> </w:t>
      </w:r>
      <w:r>
        <w:rPr>
          <w:spacing w:val="-55"/>
        </w:rPr>
      </w:r>
      <w:r>
        <w:rPr>
          <w:spacing w:val="-1"/>
        </w:rPr>
        <w:t>表角度与以本公司或子公司为会计主体对同一交易的认定不同时，从企业集团的角度对该交易予</w:t>
      </w:r>
      <w:r>
        <w:rPr>
          <w:spacing w:val="-55"/>
        </w:rPr>
        <w:t> </w:t>
      </w:r>
      <w:r>
        <w:rPr>
          <w:spacing w:val="-55"/>
        </w:rPr>
      </w:r>
      <w:r>
        <w:rPr/>
        <w:t>以调整。</w:t>
      </w:r>
    </w:p>
    <w:p>
      <w:pPr>
        <w:pStyle w:val="BodyText"/>
        <w:spacing w:line="314" w:lineRule="auto" w:before="20"/>
        <w:ind w:left="136" w:right="129" w:firstLine="420"/>
        <w:jc w:val="both"/>
      </w:pPr>
      <w:r>
        <w:rPr>
          <w:spacing w:val="-2"/>
        </w:rPr>
        <w:t>子公司所有者权益、当期净损益和当期综合收益中属于少数股东的份额分别在合并资产负债</w:t>
      </w:r>
      <w:r>
        <w:rPr>
          <w:w w:val="100"/>
        </w:rPr>
        <w:t> </w:t>
      </w:r>
      <w:r>
        <w:rPr>
          <w:spacing w:val="-1"/>
        </w:rPr>
        <w:t>表中所有者权益项目下、合并利润表中净利润项目下和综合收益总额项目下单独列示。子公司少</w:t>
      </w:r>
      <w:r>
        <w:rPr>
          <w:spacing w:val="-55"/>
        </w:rPr>
        <w:t> </w:t>
      </w:r>
      <w:r>
        <w:rPr>
          <w:spacing w:val="-55"/>
        </w:rPr>
      </w:r>
      <w:r>
        <w:rPr>
          <w:spacing w:val="-1"/>
        </w:rPr>
        <w:t>数股东分担的当期亏损超过了少数股东在该子公司期初所有者权益中所享有份额而形成的余额，</w:t>
      </w:r>
      <w:r>
        <w:rPr>
          <w:spacing w:val="-55"/>
        </w:rPr>
        <w:t> </w:t>
      </w:r>
      <w:r>
        <w:rPr>
          <w:spacing w:val="-55"/>
        </w:rPr>
      </w:r>
      <w:r>
        <w:rPr/>
        <w:t>冲减少数股东权益。</w:t>
      </w:r>
    </w:p>
    <w:p>
      <w:pPr>
        <w:pStyle w:val="BodyText"/>
        <w:spacing w:line="240" w:lineRule="auto" w:before="20"/>
        <w:ind w:left="557" w:right="0"/>
        <w:jc w:val="left"/>
      </w:pPr>
      <w:r>
        <w:rPr/>
        <w:t>对于同一控制下企业合并取得的子公司，以其资产、负债（包括最终控制方收购该子公司而</w:t>
      </w:r>
    </w:p>
    <w:p>
      <w:pPr>
        <w:spacing w:after="0" w:line="240" w:lineRule="auto"/>
        <w:jc w:val="left"/>
        <w:sectPr>
          <w:pgSz w:w="11910" w:h="16840"/>
          <w:pgMar w:header="857" w:footer="979" w:top="1120" w:bottom="1160" w:left="1140" w:right="1660"/>
        </w:sectPr>
      </w:pPr>
    </w:p>
    <w:p>
      <w:pPr>
        <w:spacing w:line="240" w:lineRule="auto" w:before="4"/>
        <w:rPr>
          <w:rFonts w:ascii="宋体" w:hAnsi="宋体" w:cs="宋体" w:eastAsia="宋体" w:hint="default"/>
          <w:sz w:val="24"/>
          <w:szCs w:val="24"/>
        </w:rPr>
      </w:pPr>
    </w:p>
    <w:p>
      <w:pPr>
        <w:pStyle w:val="BodyText"/>
        <w:spacing w:line="314" w:lineRule="auto" w:before="36"/>
        <w:ind w:left="557" w:right="0" w:hanging="421"/>
        <w:jc w:val="left"/>
      </w:pPr>
      <w:r>
        <w:rPr/>
        <w:t>形成的商誉）在最终控制方财务报表中的账面价值为基础对其财务报表进行调整。</w:t>
      </w:r>
      <w:r>
        <w:rPr>
          <w:rFonts w:ascii="宋体" w:hAnsi="宋体" w:cs="宋体" w:eastAsia="宋体" w:hint="default"/>
          <w:w w:val="100"/>
        </w:rPr>
        <w:t> </w:t>
      </w:r>
      <w:r>
        <w:rPr>
          <w:spacing w:val="-2"/>
        </w:rPr>
        <w:t>对于非同一控制下企业合并取得的子公司，以购买日可辨认净资产公允价值为基础对其财务</w:t>
      </w:r>
    </w:p>
    <w:p>
      <w:pPr>
        <w:pStyle w:val="BodyText"/>
        <w:spacing w:line="240" w:lineRule="auto" w:before="20"/>
        <w:ind w:left="136" w:right="0"/>
        <w:jc w:val="both"/>
      </w:pPr>
      <w:r>
        <w:rPr/>
        <w:t>报表进行调整</w:t>
      </w:r>
    </w:p>
    <w:p>
      <w:pPr>
        <w:pStyle w:val="BodyText"/>
        <w:spacing w:line="314" w:lineRule="auto" w:before="85"/>
        <w:ind w:left="557" w:right="0"/>
        <w:jc w:val="left"/>
      </w:pPr>
      <w:r>
        <w:rPr/>
        <w:t>（</w:t>
      </w:r>
      <w:r>
        <w:rPr>
          <w:rFonts w:ascii="宋体" w:hAnsi="宋体" w:cs="宋体" w:eastAsia="宋体" w:hint="default"/>
        </w:rPr>
        <w:t>1</w:t>
      </w:r>
      <w:r>
        <w:rPr/>
        <w:t>）增加子公司以及业务</w:t>
      </w:r>
      <w:r>
        <w:rPr>
          <w:rFonts w:ascii="宋体" w:hAnsi="宋体" w:cs="宋体" w:eastAsia="宋体" w:hint="default"/>
          <w:w w:val="100"/>
        </w:rPr>
        <w:t> </w:t>
      </w:r>
      <w:r>
        <w:rPr>
          <w:spacing w:val="-2"/>
        </w:rPr>
        <w:t>在报告期内，若因同一控制下企业合并增加子公司或业务的，则调整合并资产负债表的期初</w:t>
      </w:r>
    </w:p>
    <w:p>
      <w:pPr>
        <w:pStyle w:val="BodyText"/>
        <w:spacing w:line="314" w:lineRule="auto" w:before="20"/>
        <w:ind w:left="136" w:right="308"/>
        <w:jc w:val="both"/>
        <w:rPr>
          <w:rFonts w:ascii="宋体" w:hAnsi="宋体" w:cs="宋体" w:eastAsia="宋体" w:hint="default"/>
        </w:rPr>
      </w:pPr>
      <w:r>
        <w:rPr>
          <w:spacing w:val="-1"/>
        </w:rPr>
        <w:t>数；将子公司或业务合并当期期初至报告期末的收入、费用、利润纳入合并利润表；将子公司或</w:t>
      </w:r>
      <w:r>
        <w:rPr>
          <w:spacing w:val="-55"/>
        </w:rPr>
        <w:t> </w:t>
      </w:r>
      <w:r>
        <w:rPr>
          <w:spacing w:val="-55"/>
        </w:rPr>
      </w:r>
      <w:r>
        <w:rPr>
          <w:spacing w:val="-1"/>
        </w:rPr>
        <w:t>业务合并当期期初至报告期末的现金流量纳入合并现金流量表，同时对比较报表的相关项目进行</w:t>
      </w:r>
      <w:r>
        <w:rPr>
          <w:spacing w:val="-54"/>
        </w:rPr>
        <w:t> </w:t>
      </w:r>
      <w:r>
        <w:rPr>
          <w:spacing w:val="-54"/>
        </w:rPr>
      </w:r>
      <w:r>
        <w:rPr/>
        <w:t>调整，视同合并后的报告主体自最终控制方开始控制时点起一直存在。</w:t>
      </w:r>
      <w:r>
        <w:rPr>
          <w:rFonts w:ascii="宋体" w:hAnsi="宋体" w:cs="宋体" w:eastAsia="宋体" w:hint="default"/>
        </w:rPr>
        <w:t> </w:t>
      </w:r>
    </w:p>
    <w:p>
      <w:pPr>
        <w:pStyle w:val="BodyText"/>
        <w:spacing w:line="314" w:lineRule="auto" w:before="20"/>
        <w:ind w:left="136" w:right="0" w:firstLine="420"/>
        <w:jc w:val="left"/>
        <w:rPr>
          <w:rFonts w:ascii="宋体" w:hAnsi="宋体" w:cs="宋体" w:eastAsia="宋体" w:hint="default"/>
        </w:rPr>
      </w:pPr>
      <w:r>
        <w:rPr/>
        <w:t>因追加投资等原因能够对同一控制下的被投资方实施控制的，视同参与合并的各方在最终控</w:t>
      </w:r>
      <w:r>
        <w:rPr>
          <w:w w:val="100"/>
        </w:rPr>
        <w:t> </w:t>
      </w:r>
      <w:r>
        <w:rPr/>
        <w:t>制方开始控制时即以目前的状态存在进行调整。在取得被合并方控制权之前持有的股权投资，在</w:t>
      </w:r>
      <w:r>
        <w:rPr>
          <w:spacing w:val="-97"/>
        </w:rPr>
        <w:t> </w:t>
      </w:r>
      <w:r>
        <w:rPr>
          <w:spacing w:val="-97"/>
        </w:rPr>
      </w:r>
      <w:r>
        <w:rPr>
          <w:spacing w:val="-2"/>
        </w:rPr>
        <w:t>取得原股权之日与合并方和被合并方同处于同一控制之日孰晚日起至合并日之间已确认有关损益、</w:t>
      </w:r>
      <w:r>
        <w:rPr>
          <w:spacing w:val="-13"/>
        </w:rPr>
        <w:t> </w:t>
      </w:r>
      <w:r>
        <w:rPr>
          <w:spacing w:val="-13"/>
        </w:rPr>
      </w:r>
      <w:r>
        <w:rPr/>
        <w:t>其他综合收益以及其他净资产变动，分别冲减比较报表期间的期初留存收益或当期损益。</w:t>
      </w:r>
      <w:r>
        <w:rPr>
          <w:rFonts w:ascii="宋体" w:hAnsi="宋体" w:cs="宋体" w:eastAsia="宋体" w:hint="default"/>
        </w:rPr>
        <w:t> </w:t>
      </w:r>
    </w:p>
    <w:p>
      <w:pPr>
        <w:pStyle w:val="BodyText"/>
        <w:spacing w:line="314" w:lineRule="auto" w:before="20"/>
        <w:ind w:left="136" w:right="309" w:firstLine="420"/>
        <w:jc w:val="both"/>
        <w:rPr>
          <w:rFonts w:ascii="宋体" w:hAnsi="宋体" w:cs="宋体" w:eastAsia="宋体" w:hint="default"/>
        </w:rPr>
      </w:pPr>
      <w:r>
        <w:rPr>
          <w:spacing w:val="-2"/>
        </w:rPr>
        <w:t>在报告期内，若因非同一控制下企业合并增加子公司或业务的，则不调整合并资产负债表期</w:t>
      </w:r>
      <w:r>
        <w:rPr>
          <w:w w:val="100"/>
        </w:rPr>
        <w:t> </w:t>
      </w:r>
      <w:r>
        <w:rPr>
          <w:spacing w:val="-1"/>
        </w:rPr>
        <w:t>初数；将该子公司或业务自购买日至报告期末的收入、费用、利润纳入合并利润表；该子公司或</w:t>
      </w:r>
      <w:r>
        <w:rPr>
          <w:spacing w:val="-55"/>
        </w:rPr>
        <w:t> </w:t>
      </w:r>
      <w:r>
        <w:rPr>
          <w:spacing w:val="-55"/>
        </w:rPr>
      </w:r>
      <w:r>
        <w:rPr/>
        <w:t>业务自购买日至报告期末的现金流量纳入合并现金流量表。</w:t>
      </w:r>
      <w:r>
        <w:rPr>
          <w:rFonts w:ascii="宋体" w:hAnsi="宋体" w:cs="宋体" w:eastAsia="宋体" w:hint="default"/>
        </w:rPr>
        <w:t> </w:t>
      </w:r>
    </w:p>
    <w:p>
      <w:pPr>
        <w:pStyle w:val="BodyText"/>
        <w:spacing w:line="314" w:lineRule="auto" w:before="20"/>
        <w:ind w:left="136" w:right="309" w:firstLine="420"/>
        <w:jc w:val="both"/>
      </w:pPr>
      <w:r>
        <w:rPr>
          <w:spacing w:val="-2"/>
        </w:rPr>
        <w:t>因追加投资等原因能够对非同一控制下的被投资方实施控制的，对于购买日之前持有的被购</w:t>
      </w:r>
      <w:r>
        <w:rPr>
          <w:w w:val="100"/>
        </w:rPr>
        <w:t> </w:t>
      </w:r>
      <w:r>
        <w:rPr>
          <w:spacing w:val="-1"/>
        </w:rPr>
        <w:t>买方的股权，本公司按照该股权在购买日的公允价值进行重新计量，公允价值与其账面价值的差</w:t>
      </w:r>
      <w:r>
        <w:rPr>
          <w:spacing w:val="-55"/>
        </w:rPr>
        <w:t> </w:t>
      </w:r>
      <w:r>
        <w:rPr>
          <w:spacing w:val="-55"/>
        </w:rPr>
      </w:r>
      <w:r>
        <w:rPr>
          <w:spacing w:val="-1"/>
        </w:rPr>
        <w:t>额计入当期投资收益。购买日之前持有的被购买方的股权涉及权益法核算下的其他综合收益以及</w:t>
      </w:r>
      <w:r>
        <w:rPr>
          <w:spacing w:val="-55"/>
        </w:rPr>
        <w:t> </w:t>
      </w:r>
      <w:r>
        <w:rPr>
          <w:spacing w:val="-55"/>
        </w:rPr>
      </w:r>
      <w:r>
        <w:rPr>
          <w:spacing w:val="-1"/>
        </w:rPr>
        <w:t>除净损益、其他综合收益和利润分配之外的其他所有者权益变动的，与其相关的其他综合收益、</w:t>
      </w:r>
      <w:r>
        <w:rPr>
          <w:spacing w:val="-55"/>
        </w:rPr>
        <w:t> </w:t>
      </w:r>
      <w:r>
        <w:rPr>
          <w:spacing w:val="-55"/>
        </w:rPr>
      </w:r>
      <w:r>
        <w:rPr>
          <w:spacing w:val="-1"/>
        </w:rPr>
        <w:t>其他所有者权益变动转为购买日所属当期投资收益，由于被投资方重新计量设定受益计划净负债</w:t>
      </w:r>
      <w:r>
        <w:rPr>
          <w:spacing w:val="-55"/>
        </w:rPr>
        <w:t> </w:t>
      </w:r>
      <w:r>
        <w:rPr>
          <w:spacing w:val="-55"/>
        </w:rPr>
      </w:r>
      <w:r>
        <w:rPr/>
        <w:t>或净资产变动而产生的其他综合收益除外</w:t>
      </w:r>
    </w:p>
    <w:p>
      <w:pPr>
        <w:pStyle w:val="BodyText"/>
        <w:spacing w:line="240" w:lineRule="auto" w:before="20"/>
        <w:ind w:left="557" w:right="0"/>
        <w:jc w:val="left"/>
      </w:pPr>
      <w:r>
        <w:rPr/>
        <w:t>（</w:t>
      </w:r>
      <w:r>
        <w:rPr>
          <w:rFonts w:ascii="Times New Roman" w:hAnsi="Times New Roman" w:cs="Times New Roman" w:eastAsia="Times New Roman" w:hint="default"/>
        </w:rPr>
        <w:t>2</w:t>
      </w:r>
      <w:r>
        <w:rPr/>
        <w:t>）处置子公司以及业务</w:t>
      </w:r>
    </w:p>
    <w:p>
      <w:pPr>
        <w:pStyle w:val="BodyText"/>
        <w:spacing w:line="297" w:lineRule="auto" w:before="69"/>
        <w:ind w:left="557" w:right="0"/>
        <w:jc w:val="left"/>
      </w:pPr>
      <w:r>
        <w:rPr>
          <w:rFonts w:ascii="Times New Roman" w:hAnsi="Times New Roman" w:cs="Times New Roman" w:eastAsia="Times New Roman" w:hint="default"/>
        </w:rPr>
        <w:t>1</w:t>
      </w:r>
      <w:r>
        <w:rPr/>
        <w:t>．一般处理方法</w:t>
      </w:r>
      <w:r>
        <w:rPr>
          <w:w w:val="100"/>
        </w:rPr>
        <w:t> </w:t>
      </w:r>
      <w:r>
        <w:rPr>
          <w:spacing w:val="-2"/>
        </w:rPr>
        <w:t>在报告期内，本公司处置子公司或业务，则该子公司或业务期初至处置日的收入、费用、利</w:t>
      </w:r>
    </w:p>
    <w:p>
      <w:pPr>
        <w:pStyle w:val="BodyText"/>
        <w:spacing w:line="314" w:lineRule="auto" w:before="34"/>
        <w:ind w:left="557" w:right="0" w:hanging="421"/>
        <w:jc w:val="left"/>
      </w:pPr>
      <w:r>
        <w:rPr/>
        <w:t>润纳入合并利润表；该子公司或业务期初至处置日的现金流量纳入合并现金流量表。</w:t>
      </w:r>
      <w:r>
        <w:rPr>
          <w:w w:val="100"/>
        </w:rPr>
        <w:t> </w:t>
      </w:r>
      <w:r>
        <w:rPr>
          <w:spacing w:val="-2"/>
        </w:rPr>
        <w:t>公司因处置部分股权投资或其他原因丧失了对被投资方控制权时，对于处置后的剩余股权投</w:t>
      </w:r>
    </w:p>
    <w:p>
      <w:pPr>
        <w:pStyle w:val="BodyText"/>
        <w:spacing w:line="314" w:lineRule="auto" w:before="20"/>
        <w:ind w:left="136" w:right="309"/>
        <w:jc w:val="both"/>
        <w:rPr>
          <w:rFonts w:ascii="宋体" w:hAnsi="宋体" w:cs="宋体" w:eastAsia="宋体" w:hint="default"/>
        </w:rPr>
      </w:pPr>
      <w:r>
        <w:rPr>
          <w:spacing w:val="-1"/>
        </w:rPr>
        <w:t>资，本公司按照其在丧失控制权日的公允价值进行重新计量。处置股权取得的对价与剩余股权公</w:t>
      </w:r>
      <w:r>
        <w:rPr>
          <w:spacing w:val="-55"/>
        </w:rPr>
        <w:t> </w:t>
      </w:r>
      <w:r>
        <w:rPr>
          <w:spacing w:val="-55"/>
        </w:rPr>
      </w:r>
      <w:r>
        <w:rPr>
          <w:spacing w:val="-1"/>
        </w:rPr>
        <w:t>允价值之和，减去按原持股比例计算应享有原有子公司自购买日或合并日开始持续计算的净资产</w:t>
      </w:r>
      <w:r>
        <w:rPr>
          <w:spacing w:val="-55"/>
        </w:rPr>
        <w:t> </w:t>
      </w:r>
      <w:r>
        <w:rPr>
          <w:spacing w:val="-55"/>
        </w:rPr>
      </w:r>
      <w:r>
        <w:rPr>
          <w:spacing w:val="-1"/>
        </w:rPr>
        <w:t>的份额与商誉之和的差额，计入丧失控制权当期的投资收益。与原有子公司股权投资相关的其他</w:t>
      </w:r>
      <w:r>
        <w:rPr>
          <w:spacing w:val="-55"/>
        </w:rPr>
        <w:t> </w:t>
      </w:r>
      <w:r>
        <w:rPr>
          <w:spacing w:val="-55"/>
        </w:rPr>
      </w:r>
      <w:r>
        <w:rPr>
          <w:spacing w:val="-1"/>
        </w:rPr>
        <w:t>综合收益或除净损益、其他综合收益及利润分配之外的其他所有者权益变动，在丧失控制权时转</w:t>
      </w:r>
      <w:r>
        <w:rPr>
          <w:spacing w:val="-55"/>
        </w:rPr>
        <w:t> </w:t>
      </w:r>
      <w:r>
        <w:rPr>
          <w:spacing w:val="-55"/>
        </w:rPr>
      </w:r>
      <w:r>
        <w:rPr>
          <w:spacing w:val="-1"/>
        </w:rPr>
        <w:t>为当期投资收益，由于被投资方重新计量设定受益计划净负债或净资产变动而产生的其他综合收</w:t>
      </w:r>
      <w:r>
        <w:rPr>
          <w:spacing w:val="-55"/>
        </w:rPr>
        <w:t> </w:t>
      </w:r>
      <w:r>
        <w:rPr>
          <w:spacing w:val="-55"/>
        </w:rPr>
      </w:r>
      <w:r>
        <w:rPr/>
        <w:t>益除外。</w:t>
      </w:r>
      <w:r>
        <w:rPr>
          <w:rFonts w:ascii="宋体" w:hAnsi="宋体" w:cs="宋体" w:eastAsia="宋体" w:hint="default"/>
        </w:rPr>
        <w:t> </w:t>
      </w:r>
    </w:p>
    <w:p>
      <w:pPr>
        <w:pStyle w:val="BodyText"/>
        <w:spacing w:line="297" w:lineRule="auto" w:before="20"/>
        <w:ind w:left="557" w:right="0"/>
        <w:jc w:val="left"/>
      </w:pPr>
      <w:r>
        <w:rPr>
          <w:rFonts w:ascii="Times New Roman" w:hAnsi="Times New Roman" w:cs="Times New Roman" w:eastAsia="Times New Roman" w:hint="default"/>
        </w:rPr>
        <w:t>2</w:t>
      </w:r>
      <w:r>
        <w:rPr/>
        <w:t>．分步处置子公司</w:t>
      </w:r>
      <w:r>
        <w:rPr>
          <w:rFonts w:ascii="宋体" w:hAnsi="宋体" w:cs="宋体" w:eastAsia="宋体" w:hint="default"/>
          <w:w w:val="100"/>
        </w:rPr>
        <w:t> </w:t>
      </w:r>
      <w:r>
        <w:rPr>
          <w:spacing w:val="-2"/>
        </w:rPr>
        <w:t>通过多次交易分步处置对子公司股权投资直至丧失控制权的，处置对子公司股权投资的各项</w:t>
      </w:r>
    </w:p>
    <w:p>
      <w:pPr>
        <w:pStyle w:val="BodyText"/>
        <w:spacing w:line="314" w:lineRule="auto" w:before="34"/>
        <w:ind w:left="136" w:right="309"/>
        <w:jc w:val="both"/>
        <w:rPr>
          <w:rFonts w:ascii="宋体" w:hAnsi="宋体" w:cs="宋体" w:eastAsia="宋体" w:hint="default"/>
        </w:rPr>
      </w:pPr>
      <w:r>
        <w:rPr>
          <w:spacing w:val="-1"/>
        </w:rPr>
        <w:t>交易的条款、条件以及经济影响符合以下一种或多种情况，通常表明应将多次交易事项作为一揽</w:t>
      </w:r>
      <w:r>
        <w:rPr>
          <w:spacing w:val="-55"/>
        </w:rPr>
        <w:t> </w:t>
      </w:r>
      <w:r>
        <w:rPr>
          <w:spacing w:val="-55"/>
        </w:rPr>
      </w:r>
      <w:r>
        <w:rPr/>
        <w:t>子交易进行会计处理：</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w:t>
      </w:r>
      <w:r>
        <w:rPr>
          <w:rFonts w:ascii="宋体" w:hAnsi="宋体" w:cs="宋体" w:eastAsia="宋体" w:hint="default"/>
        </w:rPr>
        <w:t>A</w:t>
      </w:r>
      <w:r>
        <w:rPr/>
        <w:t>）这些交易是同时或者在考虑了彼此影响的情况下订立的；</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w:t>
      </w:r>
      <w:r>
        <w:rPr>
          <w:rFonts w:ascii="宋体" w:hAnsi="宋体" w:cs="宋体" w:eastAsia="宋体" w:hint="default"/>
        </w:rPr>
        <w:t>B</w:t>
      </w:r>
      <w:r>
        <w:rPr/>
        <w:t>）这些交易整体才能达成一项完整的商业结果；</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7" w:footer="979" w:top="1120" w:bottom="1160" w:left="1140" w:right="1480"/>
        </w:sectPr>
      </w:pPr>
    </w:p>
    <w:p>
      <w:pPr>
        <w:spacing w:line="240" w:lineRule="auto" w:before="4"/>
        <w:rPr>
          <w:rFonts w:ascii="宋体" w:hAnsi="宋体" w:cs="宋体" w:eastAsia="宋体" w:hint="default"/>
          <w:sz w:val="24"/>
          <w:szCs w:val="24"/>
        </w:rPr>
      </w:pPr>
    </w:p>
    <w:p>
      <w:pPr>
        <w:pStyle w:val="BodyText"/>
        <w:spacing w:line="240" w:lineRule="auto" w:before="36"/>
        <w:ind w:left="557" w:right="2819"/>
        <w:jc w:val="left"/>
        <w:rPr>
          <w:rFonts w:ascii="宋体" w:hAnsi="宋体" w:cs="宋体" w:eastAsia="宋体" w:hint="default"/>
        </w:rPr>
      </w:pPr>
      <w:r>
        <w:rPr/>
        <w:t>（</w:t>
      </w:r>
      <w:r>
        <w:rPr>
          <w:rFonts w:ascii="宋体" w:hAnsi="宋体" w:cs="宋体" w:eastAsia="宋体" w:hint="default"/>
        </w:rPr>
        <w:t>C</w:t>
      </w:r>
      <w:r>
        <w:rPr/>
        <w:t>）一项交易的发生取决于其他至少一项交易的发生；</w:t>
      </w:r>
      <w:r>
        <w:rPr>
          <w:rFonts w:ascii="宋体" w:hAnsi="宋体" w:cs="宋体" w:eastAsia="宋体" w:hint="default"/>
        </w:rPr>
        <w:t> </w:t>
      </w:r>
    </w:p>
    <w:p>
      <w:pPr>
        <w:pStyle w:val="BodyText"/>
        <w:spacing w:line="314" w:lineRule="auto" w:before="85"/>
        <w:ind w:left="557" w:right="0"/>
        <w:jc w:val="left"/>
      </w:pPr>
      <w:r>
        <w:rPr/>
        <w:t>（</w:t>
      </w:r>
      <w:r>
        <w:rPr>
          <w:rFonts w:ascii="宋体" w:hAnsi="宋体" w:cs="宋体" w:eastAsia="宋体" w:hint="default"/>
        </w:rPr>
        <w:t>D</w:t>
      </w:r>
      <w:r>
        <w:rPr/>
        <w:t>）一项交易单独看是不经济的，但是和其他交易一并考虑时是经济的。</w:t>
      </w:r>
      <w:r>
        <w:rPr>
          <w:rFonts w:ascii="宋体" w:hAnsi="宋体" w:cs="宋体" w:eastAsia="宋体" w:hint="default"/>
          <w:w w:val="100"/>
        </w:rPr>
        <w:t> </w:t>
      </w:r>
      <w:r>
        <w:rPr>
          <w:spacing w:val="-2"/>
        </w:rPr>
        <w:t>处置对子公司股权投资直至丧失控制权的各项交易属于一揽子交易的，本公司将各项交易作</w:t>
      </w:r>
    </w:p>
    <w:p>
      <w:pPr>
        <w:pStyle w:val="BodyText"/>
        <w:spacing w:line="314" w:lineRule="auto" w:before="20"/>
        <w:ind w:left="136" w:right="209"/>
        <w:jc w:val="both"/>
        <w:rPr>
          <w:rFonts w:ascii="宋体" w:hAnsi="宋体" w:cs="宋体" w:eastAsia="宋体" w:hint="default"/>
        </w:rPr>
      </w:pPr>
      <w:r>
        <w:rPr>
          <w:spacing w:val="-1"/>
        </w:rPr>
        <w:t>为一项处置子公司并丧失控制权的交易进行会计处理；但是，在丧失控制权之前每一次处置价款</w:t>
      </w:r>
      <w:r>
        <w:rPr>
          <w:spacing w:val="-55"/>
        </w:rPr>
        <w:t> </w:t>
      </w:r>
      <w:r>
        <w:rPr>
          <w:spacing w:val="-55"/>
        </w:rPr>
      </w:r>
      <w:r>
        <w:rPr>
          <w:spacing w:val="-1"/>
        </w:rPr>
        <w:t>与处置投资对应的享有该子公司净资产份额的差额，在合并财务报表中确认为其他综合收益，在</w:t>
      </w:r>
      <w:r>
        <w:rPr>
          <w:spacing w:val="-55"/>
        </w:rPr>
        <w:t> </w:t>
      </w:r>
      <w:r>
        <w:rPr>
          <w:spacing w:val="-55"/>
        </w:rPr>
      </w:r>
      <w:r>
        <w:rPr/>
        <w:t>丧失控制权时一并转入丧失控制权当期的损益。</w:t>
      </w:r>
      <w:r>
        <w:rPr>
          <w:rFonts w:ascii="宋体" w:hAnsi="宋体" w:cs="宋体" w:eastAsia="宋体" w:hint="default"/>
        </w:rPr>
        <w:t> </w:t>
      </w:r>
    </w:p>
    <w:p>
      <w:pPr>
        <w:pStyle w:val="BodyText"/>
        <w:spacing w:line="314" w:lineRule="auto" w:before="20"/>
        <w:ind w:left="136" w:right="0" w:firstLine="420"/>
        <w:jc w:val="left"/>
        <w:rPr>
          <w:rFonts w:ascii="宋体" w:hAnsi="宋体" w:cs="宋体" w:eastAsia="宋体" w:hint="default"/>
        </w:rPr>
      </w:pPr>
      <w:r>
        <w:rPr>
          <w:spacing w:val="-4"/>
          <w:w w:val="100"/>
        </w:rPr>
        <w:t>处置对子公司股权投资直至丧失控制权的各项交易不属于一揽子交易的，在丧失控制权之前，</w:t>
      </w:r>
      <w:r>
        <w:rPr>
          <w:w w:val="100"/>
        </w:rPr>
        <w:t> </w:t>
      </w:r>
      <w:r>
        <w:rPr/>
        <w:t>按不丧失控制权的情况下部分处置对子公司的股权投资的相关政策进行会计处理；在丧失控制权</w:t>
      </w:r>
      <w:r>
        <w:rPr>
          <w:spacing w:val="-97"/>
        </w:rPr>
        <w:t> </w:t>
      </w:r>
      <w:r>
        <w:rPr>
          <w:spacing w:val="-97"/>
        </w:rPr>
      </w:r>
      <w:r>
        <w:rPr/>
        <w:t>时，按处置子公司一般处理方法进行会计处理。</w:t>
      </w:r>
      <w:r>
        <w:rPr>
          <w:rFonts w:ascii="宋体" w:hAnsi="宋体" w:cs="宋体" w:eastAsia="宋体" w:hint="default"/>
        </w:rPr>
        <w:t> </w:t>
      </w:r>
    </w:p>
    <w:p>
      <w:pPr>
        <w:pStyle w:val="BodyText"/>
        <w:spacing w:line="297" w:lineRule="auto" w:before="20"/>
        <w:ind w:left="557" w:right="0"/>
        <w:jc w:val="left"/>
      </w:pPr>
      <w:r>
        <w:rPr/>
        <w:t>（</w:t>
      </w: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本公司因购买少数股权新取得的长期股权投资与按照新增持股比例计算应享有子公司自购买</w:t>
      </w:r>
    </w:p>
    <w:p>
      <w:pPr>
        <w:pStyle w:val="BodyText"/>
        <w:spacing w:line="314" w:lineRule="auto" w:before="34"/>
        <w:ind w:left="136" w:right="0"/>
        <w:jc w:val="left"/>
      </w:pPr>
      <w:r>
        <w:rPr>
          <w:spacing w:val="-1"/>
        </w:rPr>
        <w:t>日（或合并日）开始持续计算的净资产份额之间的差额，调整合并资产负债表中的资本公积中的</w:t>
      </w:r>
      <w:r>
        <w:rPr>
          <w:spacing w:val="-55"/>
        </w:rPr>
        <w:t> </w:t>
      </w:r>
      <w:r>
        <w:rPr>
          <w:spacing w:val="-55"/>
        </w:rPr>
      </w:r>
      <w:r>
        <w:rPr/>
        <w:t>股本溢价，资本公积中的股本溢价不足冲减的，调整留存收益。</w:t>
      </w:r>
    </w:p>
    <w:p>
      <w:pPr>
        <w:pStyle w:val="BodyText"/>
        <w:spacing w:line="297" w:lineRule="auto" w:before="20"/>
        <w:ind w:left="557" w:right="0"/>
        <w:jc w:val="left"/>
      </w:pPr>
      <w:r>
        <w:rPr/>
        <w:t>（</w:t>
      </w:r>
      <w:r>
        <w:rPr>
          <w:rFonts w:ascii="Times New Roman" w:hAnsi="Times New Roman" w:cs="Times New Roman" w:eastAsia="Times New Roman" w:hint="default"/>
        </w:rPr>
        <w:t>4</w:t>
      </w:r>
      <w:r>
        <w:rPr/>
        <w:t>）不丧失控制权的情况下部分处置对子公司的股权投资</w:t>
      </w:r>
      <w:r>
        <w:rPr>
          <w:rFonts w:ascii="宋体" w:hAnsi="宋体" w:cs="宋体" w:eastAsia="宋体" w:hint="default"/>
          <w:w w:val="100"/>
        </w:rPr>
        <w:t> </w:t>
      </w:r>
      <w:r>
        <w:rPr>
          <w:spacing w:val="-2"/>
        </w:rPr>
        <w:t>在不丧失控制权的情况下因部分处置对子公司的长期股权投资而取得的处置价款与处置长期</w:t>
      </w:r>
    </w:p>
    <w:p>
      <w:pPr>
        <w:pStyle w:val="BodyText"/>
        <w:spacing w:line="314" w:lineRule="auto" w:before="34"/>
        <w:ind w:left="136" w:right="0"/>
        <w:jc w:val="left"/>
        <w:rPr>
          <w:rFonts w:ascii="宋体" w:hAnsi="宋体" w:cs="宋体" w:eastAsia="宋体" w:hint="default"/>
          <w:sz w:val="24"/>
          <w:szCs w:val="24"/>
        </w:rPr>
      </w:pPr>
      <w:r>
        <w:rPr>
          <w:spacing w:val="-1"/>
        </w:rPr>
        <w:t>股权投资相对应享有子公司自购买日或合并日开始持续计算的净资产份额之间的差额，调整合并</w:t>
      </w:r>
      <w:r>
        <w:rPr>
          <w:spacing w:val="-54"/>
        </w:rPr>
        <w:t> </w:t>
      </w:r>
      <w:r>
        <w:rPr>
          <w:spacing w:val="-54"/>
        </w:rPr>
      </w:r>
      <w:r>
        <w:rPr/>
        <w:t>资产负债表中的资本公积中的股本溢价，资本公积中的股本溢价不足冲减的，调整留存收益。</w:t>
      </w:r>
      <w:r>
        <w:rPr>
          <w:rFonts w:ascii="宋体" w:hAnsi="宋体" w:cs="宋体" w:eastAsia="宋体" w:hint="default"/>
          <w:sz w:val="24"/>
          <w:szCs w:val="24"/>
        </w:rPr>
        <w:t> </w:t>
      </w:r>
    </w:p>
    <w:p>
      <w:pPr>
        <w:pStyle w:val="Heading3"/>
        <w:spacing w:line="251" w:lineRule="exact"/>
        <w:ind w:left="136" w:right="0"/>
        <w:jc w:val="both"/>
      </w:pPr>
      <w:r>
        <w:rPr/>
        <w:t> </w:t>
      </w:r>
    </w:p>
    <w:p>
      <w:pPr>
        <w:pStyle w:val="Heading4"/>
        <w:spacing w:line="240" w:lineRule="auto"/>
        <w:ind w:left="136" w:right="0"/>
        <w:jc w:val="both"/>
        <w:rPr>
          <w:b w:val="0"/>
          <w:bCs w:val="0"/>
        </w:rPr>
      </w:pPr>
      <w:r>
        <w:rPr>
          <w:rFonts w:ascii="Times New Roman" w:hAnsi="Times New Roman" w:cs="Times New Roman" w:eastAsia="Times New Roman" w:hint="default"/>
        </w:rPr>
        <w:t>7.    </w:t>
      </w:r>
      <w:r>
        <w:rPr>
          <w:rFonts w:ascii="Times New Roman" w:hAnsi="Times New Roman" w:cs="Times New Roman" w:eastAsia="Times New Roman" w:hint="default"/>
          <w:spacing w:val="4"/>
        </w:rPr>
        <w:t> </w:t>
      </w:r>
      <w:r>
        <w:rPr/>
        <w:t>合营安排分类及共同经营会计处理方法</w:t>
      </w:r>
      <w:r>
        <w:rPr>
          <w:b w:val="0"/>
          <w:bCs w:val="0"/>
        </w:rPr>
      </w:r>
    </w:p>
    <w:p>
      <w:pPr>
        <w:pStyle w:val="BodyText"/>
        <w:spacing w:line="240" w:lineRule="auto" w:before="40"/>
        <w:ind w:left="136" w:right="0"/>
        <w:jc w:val="both"/>
        <w:rPr>
          <w:rFonts w:ascii="宋体" w:hAnsi="宋体" w:cs="宋体" w:eastAsia="宋体" w:hint="default"/>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7" w:lineRule="auto" w:before="76"/>
        <w:ind w:left="557" w:right="0" w:firstLine="60"/>
        <w:jc w:val="left"/>
      </w:pPr>
      <w:r>
        <w:rPr>
          <w:rFonts w:ascii="Times New Roman" w:hAnsi="Times New Roman" w:cs="Times New Roman" w:eastAsia="Times New Roman" w:hint="default"/>
          <w:b/>
          <w:bCs/>
        </w:rPr>
        <w:t>1</w:t>
      </w:r>
      <w:r>
        <w:rPr>
          <w:rFonts w:ascii="宋体" w:hAnsi="宋体" w:cs="宋体" w:eastAsia="宋体" w:hint="default"/>
          <w:b/>
          <w:bCs/>
        </w:rPr>
        <w:t>．合营安排的分类</w:t>
      </w:r>
      <w:r>
        <w:rPr>
          <w:rFonts w:ascii="宋体" w:hAnsi="宋体" w:cs="宋体" w:eastAsia="宋体" w:hint="default"/>
          <w:b/>
          <w:bCs/>
          <w:w w:val="99"/>
        </w:rPr>
        <w:t> </w:t>
      </w:r>
      <w:r>
        <w:rPr>
          <w:spacing w:val="-2"/>
        </w:rPr>
        <w:t>本公司根据合营安排的结构、法律形式以及合营安排中约定的条款、其他相关事实和情况等</w:t>
      </w:r>
    </w:p>
    <w:p>
      <w:pPr>
        <w:pStyle w:val="BodyText"/>
        <w:spacing w:line="314" w:lineRule="auto" w:before="34"/>
        <w:ind w:left="557" w:right="0" w:hanging="421"/>
        <w:jc w:val="left"/>
      </w:pPr>
      <w:r>
        <w:rPr/>
        <w:t>因素，将合营安排分为共同经营和合营企业。</w:t>
      </w:r>
      <w:r>
        <w:rPr>
          <w:rFonts w:ascii="宋体" w:hAnsi="宋体" w:cs="宋体" w:eastAsia="宋体" w:hint="default"/>
          <w:w w:val="100"/>
        </w:rPr>
        <w:t> </w:t>
      </w:r>
      <w:r>
        <w:rPr>
          <w:spacing w:val="-2"/>
        </w:rPr>
        <w:t>未通过单独主体达成的合营安排，划分为共同经营；通过单独主体达成的合营安排，通常划</w:t>
      </w:r>
    </w:p>
    <w:p>
      <w:pPr>
        <w:pStyle w:val="BodyText"/>
        <w:spacing w:line="314" w:lineRule="auto" w:before="20"/>
        <w:ind w:left="136" w:right="0"/>
        <w:jc w:val="left"/>
        <w:rPr>
          <w:rFonts w:ascii="宋体" w:hAnsi="宋体" w:cs="宋体" w:eastAsia="宋体" w:hint="default"/>
        </w:rPr>
      </w:pPr>
      <w:r>
        <w:rPr>
          <w:spacing w:val="-1"/>
        </w:rPr>
        <w:t>分为合营企业；但有确凿证据表明满足下列任一条件并且符合相关法律法规规定的合营安排划分</w:t>
      </w:r>
      <w:r>
        <w:rPr>
          <w:spacing w:val="-55"/>
        </w:rPr>
        <w:t> </w:t>
      </w:r>
      <w:r>
        <w:rPr>
          <w:spacing w:val="-55"/>
        </w:rPr>
      </w:r>
      <w:r>
        <w:rPr/>
        <w:t>为共同经营：</w:t>
      </w:r>
      <w:r>
        <w:rPr>
          <w:rFonts w:ascii="宋体" w:hAnsi="宋体" w:cs="宋体" w:eastAsia="宋体" w:hint="default"/>
        </w:rPr>
        <w:t> </w:t>
      </w:r>
    </w:p>
    <w:p>
      <w:pPr>
        <w:pStyle w:val="BodyText"/>
        <w:spacing w:line="297" w:lineRule="auto" w:before="20"/>
        <w:ind w:left="136" w:right="0" w:firstLine="420"/>
        <w:jc w:val="left"/>
        <w:rPr>
          <w:rFonts w:ascii="宋体" w:hAnsi="宋体" w:cs="宋体" w:eastAsia="宋体" w:hint="default"/>
        </w:rPr>
      </w:pPr>
      <w:r>
        <w:rPr>
          <w:spacing w:val="-4"/>
          <w:w w:val="100"/>
        </w:rPr>
        <w:t>（</w:t>
      </w:r>
      <w:r>
        <w:rPr>
          <w:rFonts w:ascii="Times New Roman" w:hAnsi="Times New Roman" w:cs="Times New Roman" w:eastAsia="Times New Roman" w:hint="default"/>
          <w:spacing w:val="-4"/>
          <w:w w:val="100"/>
        </w:rPr>
        <w:t>1</w:t>
      </w:r>
      <w:r>
        <w:rPr>
          <w:spacing w:val="-4"/>
          <w:w w:val="100"/>
        </w:rPr>
        <w:t>）合营安排的法律形式表明，合营方对该安排中的相关资产和负债分别享有权利和承担义</w:t>
      </w:r>
      <w:r>
        <w:rPr>
          <w:w w:val="100"/>
        </w:rPr>
        <w:t> </w:t>
      </w:r>
      <w:r>
        <w:rPr/>
        <w:t>务。</w:t>
      </w:r>
      <w:r>
        <w:rPr>
          <w:rFonts w:ascii="宋体" w:hAnsi="宋体" w:cs="宋体" w:eastAsia="宋体" w:hint="default"/>
        </w:rPr>
        <w:t> </w:t>
      </w:r>
    </w:p>
    <w:p>
      <w:pPr>
        <w:pStyle w:val="BodyText"/>
        <w:spacing w:line="297" w:lineRule="auto" w:before="34"/>
        <w:ind w:left="136" w:right="0" w:firstLine="420"/>
        <w:jc w:val="left"/>
        <w:rPr>
          <w:rFonts w:ascii="宋体" w:hAnsi="宋体" w:cs="宋体" w:eastAsia="宋体" w:hint="default"/>
        </w:rPr>
      </w:pPr>
      <w:r>
        <w:rPr>
          <w:spacing w:val="-4"/>
          <w:w w:val="100"/>
        </w:rPr>
        <w:t>（</w:t>
      </w:r>
      <w:r>
        <w:rPr>
          <w:rFonts w:ascii="Times New Roman" w:hAnsi="Times New Roman" w:cs="Times New Roman" w:eastAsia="Times New Roman" w:hint="default"/>
          <w:spacing w:val="-4"/>
          <w:w w:val="100"/>
        </w:rPr>
        <w:t>2</w:t>
      </w:r>
      <w:r>
        <w:rPr>
          <w:spacing w:val="-4"/>
          <w:w w:val="100"/>
        </w:rPr>
        <w:t>）合营安排的合同条款约定，合营方对该安排中的相关资产和负债分别享有权利和承担义</w:t>
      </w:r>
      <w:r>
        <w:rPr>
          <w:w w:val="100"/>
        </w:rPr>
        <w:t> </w:t>
      </w:r>
      <w:r>
        <w:rPr/>
        <w:t>务。</w:t>
      </w:r>
      <w:r>
        <w:rPr>
          <w:rFonts w:ascii="宋体" w:hAnsi="宋体" w:cs="宋体" w:eastAsia="宋体" w:hint="default"/>
        </w:rPr>
        <w:t> </w:t>
      </w:r>
    </w:p>
    <w:p>
      <w:pPr>
        <w:pStyle w:val="BodyText"/>
        <w:spacing w:line="304" w:lineRule="auto" w:before="35"/>
        <w:ind w:left="136" w:right="209" w:firstLine="420"/>
        <w:jc w:val="both"/>
        <w:rPr>
          <w:rFonts w:ascii="宋体" w:hAnsi="宋体" w:cs="宋体" w:eastAsia="宋体" w:hint="default"/>
        </w:rPr>
      </w:pPr>
      <w:r>
        <w:rPr>
          <w:spacing w:val="-4"/>
          <w:w w:val="100"/>
        </w:rPr>
        <w:t>（</w:t>
      </w:r>
      <w:r>
        <w:rPr>
          <w:rFonts w:ascii="Times New Roman" w:hAnsi="Times New Roman" w:cs="Times New Roman" w:eastAsia="Times New Roman" w:hint="default"/>
          <w:spacing w:val="-4"/>
          <w:w w:val="100"/>
        </w:rPr>
        <w:t>3</w:t>
      </w:r>
      <w:r>
        <w:rPr>
          <w:spacing w:val="-4"/>
          <w:w w:val="100"/>
        </w:rPr>
        <w:t>）其他相关事实和情况表明，合营方对该安排中的相关资产和负债分别享有权利和承担义</w:t>
      </w:r>
      <w:r>
        <w:rPr>
          <w:w w:val="100"/>
        </w:rPr>
        <w:t> </w:t>
      </w:r>
      <w:r>
        <w:rPr>
          <w:spacing w:val="-1"/>
        </w:rPr>
        <w:t>务，如合营方享有与合营安排相关的几乎所有产出，并且该安排中负债的清偿持续依赖于合营方</w:t>
      </w:r>
      <w:r>
        <w:rPr>
          <w:spacing w:val="-55"/>
        </w:rPr>
        <w:t> </w:t>
      </w:r>
      <w:r>
        <w:rPr>
          <w:spacing w:val="-55"/>
        </w:rPr>
      </w:r>
      <w:r>
        <w:rPr/>
        <w:t>的支持。</w:t>
      </w:r>
      <w:r>
        <w:rPr>
          <w:rFonts w:ascii="宋体" w:hAnsi="宋体" w:cs="宋体" w:eastAsia="宋体" w:hint="default"/>
        </w:rPr>
        <w:t> </w:t>
      </w:r>
    </w:p>
    <w:p>
      <w:pPr>
        <w:spacing w:line="297" w:lineRule="auto" w:before="28"/>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．共同经营会计处理方法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本公司确认共同经营中利益份额中与本公司相关的下列项目，并按照相关企业会计准则的规</w:t>
      </w:r>
    </w:p>
    <w:p>
      <w:pPr>
        <w:pStyle w:val="BodyText"/>
        <w:spacing w:line="240" w:lineRule="auto" w:before="34"/>
        <w:ind w:left="136" w:right="0"/>
        <w:jc w:val="both"/>
        <w:rPr>
          <w:rFonts w:ascii="宋体" w:hAnsi="宋体" w:cs="宋体" w:eastAsia="宋体" w:hint="default"/>
        </w:rPr>
      </w:pPr>
      <w:r>
        <w:rPr/>
        <w:t>定进行会计处理：</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w:t>
      </w:r>
      <w:r>
        <w:rPr>
          <w:rFonts w:ascii="Times New Roman" w:hAnsi="Times New Roman" w:cs="Times New Roman" w:eastAsia="Times New Roman" w:hint="default"/>
        </w:rPr>
        <w:t>1</w:t>
      </w:r>
      <w:r>
        <w:rPr/>
        <w:t>）确认单独所持有的资产，以及按其份额确认共同持有的资产；</w:t>
      </w:r>
      <w:r>
        <w:rPr>
          <w:rFonts w:ascii="宋体" w:hAnsi="宋体" w:cs="宋体" w:eastAsia="宋体" w:hint="default"/>
        </w:rPr>
        <w:t> </w:t>
      </w:r>
    </w:p>
    <w:p>
      <w:pPr>
        <w:pStyle w:val="BodyText"/>
        <w:spacing w:line="240" w:lineRule="auto" w:before="69"/>
        <w:ind w:left="557" w:right="0"/>
        <w:jc w:val="left"/>
        <w:rPr>
          <w:rFonts w:ascii="宋体" w:hAnsi="宋体" w:cs="宋体" w:eastAsia="宋体" w:hint="default"/>
        </w:rPr>
      </w:pPr>
      <w:r>
        <w:rPr/>
        <w:t>（</w:t>
      </w:r>
      <w:r>
        <w:rPr>
          <w:rFonts w:ascii="Times New Roman" w:hAnsi="Times New Roman" w:cs="Times New Roman" w:eastAsia="Times New Roman" w:hint="default"/>
        </w:rPr>
        <w:t>2</w:t>
      </w:r>
      <w:r>
        <w:rPr/>
        <w:t>）确认单独所承担的负债，以及按其份额确认共同承担的负债；</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7" w:footer="979" w:top="1120" w:bottom="1160" w:left="1140" w:right="1580"/>
        </w:sectPr>
      </w:pPr>
    </w:p>
    <w:p>
      <w:pPr>
        <w:spacing w:line="240" w:lineRule="auto" w:before="4"/>
        <w:rPr>
          <w:rFonts w:ascii="宋体" w:hAnsi="宋体" w:cs="宋体" w:eastAsia="宋体" w:hint="default"/>
          <w:sz w:val="24"/>
          <w:szCs w:val="24"/>
        </w:rPr>
      </w:pPr>
    </w:p>
    <w:p>
      <w:pPr>
        <w:pStyle w:val="BodyText"/>
        <w:spacing w:line="240" w:lineRule="auto" w:before="36"/>
        <w:ind w:left="562" w:right="2819"/>
        <w:jc w:val="left"/>
        <w:rPr>
          <w:rFonts w:ascii="宋体" w:hAnsi="宋体" w:cs="宋体" w:eastAsia="宋体" w:hint="default"/>
        </w:rPr>
      </w:pPr>
      <w:r>
        <w:rPr/>
        <w:t>（</w:t>
      </w:r>
      <w:r>
        <w:rPr>
          <w:rFonts w:ascii="Times New Roman" w:hAnsi="Times New Roman" w:cs="Times New Roman" w:eastAsia="Times New Roman" w:hint="default"/>
        </w:rPr>
        <w:t>3</w:t>
      </w:r>
      <w:r>
        <w:rPr/>
        <w:t>）确认出售其享有的共同经营产出份额所产生的收入；</w:t>
      </w:r>
      <w:r>
        <w:rPr>
          <w:rFonts w:ascii="宋体" w:hAnsi="宋体" w:cs="宋体" w:eastAsia="宋体" w:hint="default"/>
        </w:rPr>
        <w:t> </w:t>
      </w:r>
    </w:p>
    <w:p>
      <w:pPr>
        <w:pStyle w:val="BodyText"/>
        <w:spacing w:line="240" w:lineRule="auto" w:before="69"/>
        <w:ind w:left="557" w:right="2819"/>
        <w:jc w:val="left"/>
        <w:rPr>
          <w:rFonts w:ascii="宋体" w:hAnsi="宋体" w:cs="宋体" w:eastAsia="宋体" w:hint="default"/>
        </w:rPr>
      </w:pPr>
      <w:r>
        <w:rPr/>
        <w:t>（</w:t>
      </w:r>
      <w:r>
        <w:rPr>
          <w:rFonts w:ascii="Times New Roman" w:hAnsi="Times New Roman" w:cs="Times New Roman" w:eastAsia="Times New Roman" w:hint="default"/>
        </w:rPr>
        <w:t>4</w:t>
      </w:r>
      <w:r>
        <w:rPr/>
        <w:t>）按其份额确认共同经营因出售产出所产生的收入；</w:t>
      </w:r>
      <w:r>
        <w:rPr>
          <w:rFonts w:ascii="宋体" w:hAnsi="宋体" w:cs="宋体" w:eastAsia="宋体" w:hint="default"/>
        </w:rPr>
        <w:t> </w:t>
      </w:r>
    </w:p>
    <w:p>
      <w:pPr>
        <w:pStyle w:val="BodyText"/>
        <w:spacing w:line="297" w:lineRule="auto" w:before="69"/>
        <w:ind w:left="557" w:right="0"/>
        <w:jc w:val="left"/>
      </w:pPr>
      <w:r>
        <w:rPr/>
        <w:t>（</w:t>
      </w:r>
      <w:r>
        <w:rPr>
          <w:rFonts w:ascii="Times New Roman" w:hAnsi="Times New Roman" w:cs="Times New Roman" w:eastAsia="Times New Roman" w:hint="default"/>
        </w:rPr>
        <w:t>5</w:t>
      </w:r>
      <w:r>
        <w:rPr/>
        <w:t>）确认单独所发生的费用，以及按其份额确认共同经营发生的费用。</w:t>
      </w:r>
      <w:r>
        <w:rPr>
          <w:rFonts w:ascii="宋体" w:hAnsi="宋体" w:cs="宋体" w:eastAsia="宋体" w:hint="default"/>
          <w:w w:val="100"/>
        </w:rPr>
        <w:t> </w:t>
      </w:r>
      <w:r>
        <w:rPr>
          <w:spacing w:val="-2"/>
        </w:rPr>
        <w:t>本公司向共同经营投出或出售资产等（该资产构成业务的除外），在该资产等由共同经营出</w:t>
      </w:r>
    </w:p>
    <w:p>
      <w:pPr>
        <w:pStyle w:val="BodyText"/>
        <w:spacing w:line="304" w:lineRule="auto" w:before="34"/>
        <w:ind w:left="136" w:right="208"/>
        <w:jc w:val="both"/>
        <w:rPr>
          <w:rFonts w:ascii="宋体" w:hAnsi="宋体" w:cs="宋体" w:eastAsia="宋体" w:hint="default"/>
        </w:rPr>
      </w:pPr>
      <w:r>
        <w:rPr>
          <w:spacing w:val="-1"/>
        </w:rPr>
        <w:t>售给第三方之前，仅确认因该交易产生的损益中归属于共同经营其他参与方的部分。投出或出售</w:t>
      </w:r>
      <w:r>
        <w:rPr>
          <w:spacing w:val="-55"/>
        </w:rPr>
        <w:t> </w:t>
      </w:r>
      <w:r>
        <w:rPr>
          <w:spacing w:val="-55"/>
        </w:rPr>
      </w:r>
      <w:r>
        <w:rPr/>
        <w:t>的资产发生符合《企业会计准则第</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号——资产减值》等规定的资产减值损失的，本公司全额确</w:t>
      </w:r>
      <w:r>
        <w:rPr>
          <w:w w:val="100"/>
        </w:rPr>
        <w:t> </w:t>
      </w:r>
      <w:r>
        <w:rPr/>
        <w:t>认该损失。</w:t>
      </w:r>
      <w:r>
        <w:rPr>
          <w:rFonts w:ascii="宋体" w:hAnsi="宋体" w:cs="宋体" w:eastAsia="宋体" w:hint="default"/>
        </w:rPr>
        <w:t> </w:t>
      </w:r>
    </w:p>
    <w:p>
      <w:pPr>
        <w:pStyle w:val="BodyText"/>
        <w:spacing w:line="314" w:lineRule="auto" w:before="28"/>
        <w:ind w:left="136" w:right="139" w:firstLine="420"/>
        <w:jc w:val="both"/>
        <w:rPr>
          <w:rFonts w:ascii="宋体" w:hAnsi="宋体" w:cs="宋体" w:eastAsia="宋体" w:hint="default"/>
        </w:rPr>
      </w:pPr>
      <w:r>
        <w:rPr>
          <w:spacing w:val="-7"/>
        </w:rPr>
        <w:t>本公司自共同经营购买资产等（该资产构成业务的除外），在将该资产等出售给第三方之前，</w:t>
      </w:r>
      <w:r>
        <w:rPr>
          <w:w w:val="100"/>
        </w:rPr>
        <w:t> </w:t>
      </w:r>
      <w:r>
        <w:rPr/>
        <w:t>仅确认因该交易产生的损益中归属于共同经营其他参与方的部分。购入的资产发生符合《企业会</w:t>
      </w:r>
      <w:r>
        <w:rPr>
          <w:spacing w:val="-97"/>
        </w:rPr>
        <w:t> </w:t>
      </w:r>
      <w:r>
        <w:rPr>
          <w:spacing w:val="-97"/>
        </w:rPr>
      </w:r>
      <w:r>
        <w:rPr/>
        <w:t>计准则第</w:t>
      </w:r>
      <w:r>
        <w:rPr>
          <w:spacing w:val="-59"/>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t>号——资产减值》等规定的资产减值损失的，本公司按承担的份额确认该部分损失。</w:t>
      </w:r>
      <w:r>
        <w:rPr>
          <w:rFonts w:ascii="宋体" w:hAnsi="宋体" w:cs="宋体" w:eastAsia="宋体" w:hint="default"/>
        </w:rPr>
        <w:t> </w:t>
      </w:r>
    </w:p>
    <w:p>
      <w:pPr>
        <w:pStyle w:val="BodyText"/>
        <w:spacing w:line="314" w:lineRule="auto" w:before="8"/>
        <w:ind w:left="136" w:right="209" w:firstLine="420"/>
        <w:jc w:val="both"/>
        <w:rPr>
          <w:rFonts w:ascii="宋体" w:hAnsi="宋体" w:cs="宋体" w:eastAsia="宋体" w:hint="default"/>
        </w:rPr>
      </w:pPr>
      <w:r>
        <w:rPr>
          <w:spacing w:val="-2"/>
        </w:rPr>
        <w:t>本公司对共同经营不享有共同控制，如果本公司享有该共同经营相关资产且承担该共同经营</w:t>
      </w:r>
      <w:r>
        <w:rPr>
          <w:w w:val="100"/>
        </w:rPr>
        <w:t> </w:t>
      </w:r>
      <w:r>
        <w:rPr>
          <w:spacing w:val="-1"/>
        </w:rPr>
        <w:t>相关负债的，仍按上述原则进行会计处理，否则，应当按照相关企业会计准则的规定进行会计处</w:t>
      </w:r>
      <w:r>
        <w:rPr>
          <w:spacing w:val="-55"/>
        </w:rPr>
        <w:t> </w:t>
      </w:r>
      <w:r>
        <w:rPr>
          <w:spacing w:val="-55"/>
        </w:rPr>
      </w:r>
      <w:r>
        <w:rPr/>
        <w:t>理。</w:t>
      </w:r>
      <w:r>
        <w:rPr>
          <w:rFonts w:ascii="宋体" w:hAnsi="宋体" w:cs="宋体" w:eastAsia="宋体" w:hint="default"/>
        </w:rPr>
        <w:t> </w:t>
      </w:r>
    </w:p>
    <w:p>
      <w:pPr>
        <w:pStyle w:val="BodyText"/>
        <w:spacing w:line="218" w:lineRule="exact"/>
        <w:ind w:left="136" w:right="0"/>
        <w:jc w:val="both"/>
        <w:rPr>
          <w:rFonts w:ascii="宋体" w:hAnsi="宋体" w:cs="宋体" w:eastAsia="宋体" w:hint="default"/>
        </w:rPr>
      </w:pPr>
      <w:r>
        <w:rPr>
          <w:rFonts w:ascii="宋体"/>
          <w:w w:val="100"/>
        </w:rPr>
        <w:t> </w:t>
      </w:r>
    </w:p>
    <w:p>
      <w:pPr>
        <w:tabs>
          <w:tab w:pos="562" w:val="left" w:leader="none"/>
        </w:tabs>
        <w:spacing w:line="338" w:lineRule="auto" w:before="56"/>
        <w:ind w:left="617" w:right="209" w:hanging="48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3"/>
          <w:sz w:val="21"/>
          <w:szCs w:val="21"/>
        </w:rPr>
        <w:t>在编制现金流量表时，将本公司库存现金以及可以随时用于支付的存款确认为现金。将同时</w:t>
      </w:r>
    </w:p>
    <w:p>
      <w:pPr>
        <w:pStyle w:val="BodyText"/>
        <w:spacing w:line="283" w:lineRule="auto"/>
        <w:ind w:left="136" w:right="209"/>
        <w:jc w:val="both"/>
        <w:rPr>
          <w:rFonts w:ascii="宋体" w:hAnsi="宋体" w:cs="宋体" w:eastAsia="宋体" w:hint="default"/>
          <w:sz w:val="24"/>
          <w:szCs w:val="24"/>
        </w:rPr>
      </w:pPr>
      <w:r>
        <w:rPr>
          <w:spacing w:val="-1"/>
        </w:rPr>
        <w:t>具备期限短（一般从购买日起三个月内到期）、流动性强、易于转换为已知金额的现金、价值变</w:t>
      </w:r>
      <w:r>
        <w:rPr>
          <w:spacing w:val="-55"/>
        </w:rPr>
        <w:t> </w:t>
      </w:r>
      <w:r>
        <w:rPr>
          <w:spacing w:val="-55"/>
        </w:rPr>
      </w:r>
      <w:r>
        <w:rPr/>
        <w:t>动风险很小四个条件的投资，确定为现金等价物</w:t>
      </w:r>
      <w:r>
        <w:rPr>
          <w:sz w:val="24"/>
          <w:szCs w:val="24"/>
        </w:rPr>
        <w:t>。</w:t>
      </w:r>
      <w:r>
        <w:rPr>
          <w:rFonts w:ascii="宋体" w:hAnsi="宋体" w:cs="宋体" w:eastAsia="宋体" w:hint="default"/>
          <w:sz w:val="24"/>
          <w:szCs w:val="24"/>
        </w:rPr>
        <w:t> </w:t>
      </w:r>
    </w:p>
    <w:p>
      <w:pPr>
        <w:pStyle w:val="Heading3"/>
        <w:spacing w:line="269" w:lineRule="exact"/>
        <w:ind w:left="136" w:right="0"/>
        <w:jc w:val="both"/>
      </w:pPr>
      <w:r>
        <w:rPr/>
        <w:t> </w:t>
      </w:r>
    </w:p>
    <w:p>
      <w:pPr>
        <w:pStyle w:val="Heading4"/>
        <w:spacing w:line="240" w:lineRule="auto"/>
        <w:ind w:left="136" w:right="0"/>
        <w:jc w:val="both"/>
        <w:rPr>
          <w:b w:val="0"/>
          <w:bCs w:val="0"/>
        </w:rPr>
      </w:pPr>
      <w:r>
        <w:rPr>
          <w:rFonts w:ascii="Times New Roman" w:hAnsi="Times New Roman" w:cs="Times New Roman" w:eastAsia="Times New Roman" w:hint="default"/>
        </w:rPr>
        <w:t>9.    </w:t>
      </w:r>
      <w:r>
        <w:rPr>
          <w:rFonts w:ascii="Times New Roman" w:hAnsi="Times New Roman" w:cs="Times New Roman" w:eastAsia="Times New Roman" w:hint="default"/>
          <w:spacing w:val="6"/>
        </w:rPr>
        <w:t> </w:t>
      </w:r>
      <w:r>
        <w:rPr/>
        <w:t>外币业务和外币报表折算</w:t>
      </w:r>
      <w:r>
        <w:rPr>
          <w:b w:val="0"/>
          <w:bCs w:val="0"/>
        </w:rPr>
      </w:r>
    </w:p>
    <w:p>
      <w:pPr>
        <w:pStyle w:val="BodyText"/>
        <w:spacing w:line="274" w:lineRule="exact" w:before="41"/>
        <w:ind w:left="136" w:right="0"/>
        <w:jc w:val="both"/>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300" w:lineRule="auto"/>
        <w:ind w:left="557" w:right="0" w:firstLine="60"/>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100"/>
        </w:rPr>
        <w:t> </w:t>
      </w:r>
      <w:r>
        <w:rPr>
          <w:spacing w:val="-2"/>
        </w:rPr>
        <w:t>外币业务交易在初始确认时，采用交易发生日的即期汇率作为折算汇率折合成人民币记账。</w:t>
      </w:r>
      <w:r>
        <w:rPr>
          <w:spacing w:val="-28"/>
        </w:rPr>
        <w:t> </w:t>
      </w:r>
      <w:r>
        <w:rPr>
          <w:spacing w:val="-28"/>
        </w:rPr>
      </w:r>
      <w:r>
        <w:rPr>
          <w:spacing w:val="-2"/>
        </w:rPr>
        <w:t>资产负债表日，外币货币性项目按资产负债表日即期汇率折算，由此产生的汇兑差额，除属</w:t>
      </w:r>
    </w:p>
    <w:p>
      <w:pPr>
        <w:pStyle w:val="BodyText"/>
        <w:spacing w:line="314" w:lineRule="auto" w:before="32"/>
        <w:ind w:left="136" w:right="209"/>
        <w:jc w:val="both"/>
      </w:pPr>
      <w:r>
        <w:rPr>
          <w:spacing w:val="-1"/>
        </w:rPr>
        <w:t>于与购建符合资本化条件的资产相关的外币专门借款产生的汇兑差额按照借款费用资本化的原则</w:t>
      </w:r>
      <w:r>
        <w:rPr>
          <w:spacing w:val="-55"/>
        </w:rPr>
        <w:t> </w:t>
      </w:r>
      <w:r>
        <w:rPr>
          <w:spacing w:val="-55"/>
        </w:rPr>
      </w:r>
      <w:r>
        <w:rPr>
          <w:spacing w:val="-1"/>
        </w:rPr>
        <w:t>处理外，均计入当期损益。以历史成本计量的外币非货币性项目，仍采用交易发生日的即期汇率</w:t>
      </w:r>
      <w:r>
        <w:rPr>
          <w:spacing w:val="-55"/>
        </w:rPr>
        <w:t> </w:t>
      </w:r>
      <w:r>
        <w:rPr>
          <w:spacing w:val="-55"/>
        </w:rPr>
      </w:r>
      <w:r>
        <w:rPr/>
        <w:t>折算，不改变其记账本位币金额。</w:t>
      </w:r>
    </w:p>
    <w:p>
      <w:pPr>
        <w:pStyle w:val="BodyText"/>
        <w:spacing w:line="314" w:lineRule="auto" w:before="20"/>
        <w:ind w:left="136" w:right="209" w:firstLine="199"/>
        <w:jc w:val="both"/>
      </w:pPr>
      <w:r>
        <w:rPr>
          <w:spacing w:val="-1"/>
        </w:rPr>
        <w:t>以公允价值计量的外币非货币性项目，采用公允价值确定日的即期汇率折算，由此产生的汇兑</w:t>
      </w:r>
      <w:r>
        <w:rPr>
          <w:w w:val="100"/>
        </w:rPr>
        <w:t> </w:t>
      </w:r>
      <w:r>
        <w:rPr>
          <w:spacing w:val="-1"/>
        </w:rPr>
        <w:t>差额作为公允价值变动损益计入当期损益。如属于可供出售外币非货币性项目的，形成的汇兑差</w:t>
      </w:r>
      <w:r>
        <w:rPr>
          <w:spacing w:val="-56"/>
        </w:rPr>
        <w:t> </w:t>
      </w:r>
      <w:r>
        <w:rPr>
          <w:spacing w:val="-56"/>
        </w:rPr>
      </w:r>
      <w:r>
        <w:rPr/>
        <w:t>额计入其他综合收益。</w:t>
      </w:r>
    </w:p>
    <w:p>
      <w:pPr>
        <w:pStyle w:val="Heading4"/>
        <w:spacing w:line="234" w:lineRule="exact" w:before="0"/>
        <w:ind w:left="559" w:right="2819"/>
        <w:jc w:val="left"/>
        <w:rPr>
          <w:b w:val="0"/>
          <w:bCs w:val="0"/>
        </w:rPr>
      </w:pPr>
      <w:r>
        <w:rPr>
          <w:rFonts w:ascii="Times New Roman" w:hAnsi="Times New Roman" w:cs="Times New Roman" w:eastAsia="Times New Roman" w:hint="default"/>
        </w:rPr>
        <w:t>2.</w:t>
      </w:r>
      <w:r>
        <w:rPr/>
        <w:t>外币财务报表的折算</w:t>
      </w:r>
      <w:r>
        <w:rPr>
          <w:b w:val="0"/>
          <w:bCs w:val="0"/>
        </w:rPr>
      </w:r>
    </w:p>
    <w:p>
      <w:pPr>
        <w:pStyle w:val="BodyText"/>
        <w:spacing w:line="314" w:lineRule="auto" w:before="60"/>
        <w:ind w:left="136" w:right="208" w:firstLine="420"/>
        <w:jc w:val="both"/>
        <w:rPr>
          <w:rFonts w:ascii="宋体" w:hAnsi="宋体" w:cs="宋体" w:eastAsia="宋体" w:hint="default"/>
        </w:rPr>
      </w:pPr>
      <w:r>
        <w:rPr>
          <w:spacing w:val="-7"/>
          <w:w w:val="100"/>
        </w:rPr>
        <w:t>资产负债表中的资产和负债项目，采用资产负债表日的即期汇率折算；所有者权益项目除“未</w:t>
      </w:r>
      <w:r>
        <w:rPr>
          <w:w w:val="100"/>
        </w:rPr>
        <w:t> </w:t>
      </w:r>
      <w:r>
        <w:rPr>
          <w:spacing w:val="-1"/>
        </w:rPr>
        <w:t>分配利润”项目外，其他项目采用发生时的即期汇率折算。利润表中的收入和费用项目，采用交</w:t>
      </w:r>
      <w:r>
        <w:rPr>
          <w:spacing w:val="-54"/>
        </w:rPr>
        <w:t> </w:t>
      </w:r>
      <w:r>
        <w:rPr>
          <w:spacing w:val="-54"/>
        </w:rPr>
      </w:r>
      <w:r>
        <w:rPr/>
        <w:t>易发生日的即期汇率折算。按照上述折算产生的外币财务报表折算差额计入其他综合收益。</w:t>
      </w:r>
      <w:r>
        <w:rPr>
          <w:rFonts w:ascii="宋体" w:hAnsi="宋体" w:cs="宋体" w:eastAsia="宋体" w:hint="default"/>
        </w:rPr>
        <w:t> </w:t>
      </w:r>
    </w:p>
    <w:p>
      <w:pPr>
        <w:pStyle w:val="BodyText"/>
        <w:spacing w:line="314" w:lineRule="auto" w:before="20"/>
        <w:ind w:left="136" w:right="108" w:firstLine="199"/>
        <w:jc w:val="both"/>
        <w:rPr>
          <w:rFonts w:ascii="宋体" w:hAnsi="宋体" w:cs="宋体" w:eastAsia="宋体" w:hint="default"/>
        </w:rPr>
      </w:pPr>
      <w:r>
        <w:rPr/>
        <w:t>处置境外经营时，将资产负债表中其他综合收益项目中列示的、与该境外经营相关的外币财务</w:t>
      </w:r>
      <w:r>
        <w:rPr>
          <w:w w:val="100"/>
        </w:rPr>
        <w:t> </w:t>
      </w:r>
      <w:r>
        <w:rPr/>
        <w:t>报表折算差额，自其他综合收益项目转入处置当期损益；在处置部分股权投资或其他原因导致持</w:t>
      </w:r>
      <w:r>
        <w:rPr>
          <w:spacing w:val="-97"/>
        </w:rPr>
        <w:t> </w:t>
      </w:r>
      <w:r>
        <w:rPr>
          <w:spacing w:val="-97"/>
        </w:rPr>
      </w:r>
      <w:r>
        <w:rPr/>
        <w:t>有境外经营权益比例降低但不丧失对境外经营控制权时，与该境外经营处置部分相关的外币报表</w:t>
      </w:r>
      <w:r>
        <w:rPr>
          <w:spacing w:val="-97"/>
        </w:rPr>
        <w:t> </w:t>
      </w:r>
      <w:r>
        <w:rPr>
          <w:spacing w:val="-97"/>
        </w:rPr>
      </w:r>
      <w:r>
        <w:rPr/>
        <w:t>折算差额将归属于少数股东权益，不转入当期损益。在处置境外经营为联营企业或合营企业的部</w:t>
      </w:r>
      <w:r>
        <w:rPr>
          <w:spacing w:val="-97"/>
        </w:rPr>
        <w:t> </w:t>
      </w:r>
      <w:r>
        <w:rPr>
          <w:spacing w:val="-97"/>
        </w:rPr>
      </w:r>
      <w:r>
        <w:rPr>
          <w:spacing w:val="-7"/>
          <w:w w:val="100"/>
        </w:rPr>
        <w:t>分股权时，与该境外经营相关的外币报表折算差额，按处置该境外经营的比例转入处置当期损益。</w:t>
      </w:r>
      <w:r>
        <w:rPr>
          <w:rFonts w:ascii="宋体" w:hAnsi="宋体" w:cs="宋体" w:eastAsia="宋体" w:hint="default"/>
          <w:w w:val="100"/>
        </w:rPr>
        <w:t> </w:t>
      </w:r>
    </w:p>
    <w:p>
      <w:pPr>
        <w:spacing w:after="0" w:line="314" w:lineRule="auto"/>
        <w:jc w:val="both"/>
        <w:rPr>
          <w:rFonts w:ascii="宋体" w:hAnsi="宋体" w:cs="宋体" w:eastAsia="宋体" w:hint="default"/>
        </w:rPr>
        <w:sectPr>
          <w:pgSz w:w="11910" w:h="16840"/>
          <w:pgMar w:header="857" w:footer="979" w:top="1120" w:bottom="1160" w:left="1140" w:right="1580"/>
        </w:sectPr>
      </w:pPr>
    </w:p>
    <w:p>
      <w:pPr>
        <w:spacing w:line="240" w:lineRule="auto" w:before="10"/>
        <w:rPr>
          <w:rFonts w:ascii="宋体" w:hAnsi="宋体" w:cs="宋体" w:eastAsia="宋体" w:hint="default"/>
          <w:sz w:val="18"/>
          <w:szCs w:val="18"/>
        </w:rPr>
      </w:pPr>
    </w:p>
    <w:p>
      <w:pPr>
        <w:pStyle w:val="Heading3"/>
        <w:spacing w:line="313" w:lineRule="exact" w:before="26"/>
        <w:ind w:left="136" w:right="0"/>
        <w:jc w:val="left"/>
      </w:pPr>
      <w:r>
        <w:rPr/>
        <w:t> </w:t>
      </w:r>
    </w:p>
    <w:p>
      <w:pPr>
        <w:pStyle w:val="Heading3"/>
        <w:spacing w:line="313" w:lineRule="exact"/>
        <w:ind w:left="136" w:right="0"/>
        <w:jc w:val="left"/>
      </w:pPr>
      <w:r>
        <w:rPr/>
        <w:t> </w:t>
      </w:r>
    </w:p>
    <w:p>
      <w:pPr>
        <w:pStyle w:val="Heading4"/>
        <w:spacing w:line="240" w:lineRule="auto" w:before="61"/>
        <w:ind w:left="136" w:right="2819"/>
        <w:jc w:val="left"/>
        <w:rPr>
          <w:b w:val="0"/>
          <w:bCs w:val="0"/>
        </w:rPr>
      </w:pPr>
      <w:r>
        <w:rPr>
          <w:rFonts w:ascii="Times New Roman" w:hAnsi="Times New Roman" w:cs="Times New Roman" w:eastAsia="Times New Roman" w:hint="default"/>
        </w:rPr>
        <w:t>10.  </w:t>
      </w:r>
      <w:r>
        <w:rPr>
          <w:rFonts w:ascii="Times New Roman" w:hAnsi="Times New Roman" w:cs="Times New Roman" w:eastAsia="Times New Roman" w:hint="default"/>
          <w:spacing w:val="6"/>
        </w:rPr>
        <w:t> </w:t>
      </w:r>
      <w:r>
        <w:rPr/>
        <w:t>金融工具</w:t>
      </w:r>
      <w:r>
        <w:rPr>
          <w:b w:val="0"/>
          <w:bCs w:val="0"/>
        </w:rPr>
      </w:r>
    </w:p>
    <w:p>
      <w:pPr>
        <w:pStyle w:val="BodyText"/>
        <w:spacing w:line="304" w:lineRule="auto" w:before="43"/>
        <w:ind w:left="617" w:right="1255" w:hanging="481"/>
        <w:jc w:val="left"/>
      </w:pPr>
      <w:r>
        <w:rPr/>
        <w:t>√适用 </w:t>
      </w:r>
      <w:r>
        <w:rPr>
          <w:rFonts w:ascii="宋体" w:hAnsi="宋体" w:cs="宋体" w:eastAsia="宋体" w:hint="default"/>
        </w:rPr>
      </w:r>
      <w:r>
        <w:rPr/>
        <w:t>□不适用</w:t>
      </w:r>
      <w:r>
        <w:rPr>
          <w:spacing w:val="-104"/>
        </w:rPr>
        <w:t> </w:t>
      </w:r>
      <w:r>
        <w:rPr>
          <w:rFonts w:ascii="宋体" w:hAnsi="宋体" w:cs="宋体" w:eastAsia="宋体" w:hint="default"/>
          <w:spacing w:val="-104"/>
        </w:rPr>
      </w:r>
      <w:r>
        <w:rPr>
          <w:rFonts w:ascii="宋体" w:hAnsi="宋体" w:cs="宋体" w:eastAsia="宋体" w:hint="default"/>
          <w:spacing w:val="-104"/>
          <w:sz w:val="24"/>
          <w:szCs w:val="24"/>
        </w:rPr>
      </w:r>
      <w:r>
        <w:rPr>
          <w:spacing w:val="-2"/>
        </w:rPr>
        <w:t>在本公司成为金融工具合同的一方时确认一项金融资产或金融负债。</w:t>
      </w:r>
    </w:p>
    <w:p>
      <w:pPr>
        <w:pStyle w:val="BodyText"/>
        <w:spacing w:line="314" w:lineRule="auto" w:before="28"/>
        <w:ind w:left="136" w:right="211" w:firstLine="420"/>
        <w:jc w:val="both"/>
      </w:pPr>
      <w:r>
        <w:rPr>
          <w:spacing w:val="-2"/>
        </w:rPr>
        <w:t>实际利率法是指计算金融资产或金融负债的摊余成本以及将利息收入或利息费用分摊计入各</w:t>
      </w:r>
      <w:r>
        <w:rPr>
          <w:w w:val="100"/>
        </w:rPr>
        <w:t> </w:t>
      </w:r>
      <w:r>
        <w:rPr/>
        <w:t>会计期间的方法。</w:t>
      </w:r>
    </w:p>
    <w:p>
      <w:pPr>
        <w:pStyle w:val="BodyText"/>
        <w:spacing w:line="309" w:lineRule="auto" w:before="20"/>
        <w:ind w:left="136" w:right="209" w:firstLine="420"/>
        <w:jc w:val="both"/>
      </w:pPr>
      <w:r>
        <w:rPr>
          <w:spacing w:val="-2"/>
        </w:rPr>
        <w:t>实际利率，是指将金融资产或金融负债在预计存续期的估计未来现金流量，折现为该金融资</w:t>
      </w:r>
      <w:r>
        <w:rPr>
          <w:w w:val="100"/>
        </w:rPr>
        <w:t> </w:t>
      </w:r>
      <w:r>
        <w:rPr>
          <w:spacing w:val="-1"/>
        </w:rPr>
        <w:t>产账面余额或该金融负债摊余成本所使用的利率。在确定实际利率时，在考虑金融资产或金融负</w:t>
      </w:r>
      <w:r>
        <w:rPr>
          <w:spacing w:val="-55"/>
        </w:rPr>
        <w:t> </w:t>
      </w:r>
      <w:r>
        <w:rPr>
          <w:spacing w:val="-55"/>
        </w:rPr>
      </w:r>
      <w:r>
        <w:rPr/>
        <w:t>债所有合同条款</w:t>
      </w:r>
      <w:r>
        <w:rPr>
          <w:rFonts w:ascii="Times New Roman" w:hAnsi="Times New Roman" w:cs="Times New Roman" w:eastAsia="Times New Roman" w:hint="default"/>
        </w:rPr>
        <w:t>(</w:t>
      </w:r>
      <w:r>
        <w:rPr/>
        <w:t>如提前还款、展期、看涨期权或其他类似期权等</w:t>
      </w:r>
      <w:r>
        <w:rPr>
          <w:rFonts w:ascii="Times New Roman" w:hAnsi="Times New Roman" w:cs="Times New Roman" w:eastAsia="Times New Roman" w:hint="default"/>
        </w:rPr>
        <w:t>)</w:t>
      </w:r>
      <w:r>
        <w:rPr/>
        <w:t>的基础上估计预期现金流量，</w:t>
      </w:r>
      <w:r>
        <w:rPr>
          <w:spacing w:val="-22"/>
        </w:rPr>
        <w:t> </w:t>
      </w:r>
      <w:r>
        <w:rPr>
          <w:spacing w:val="-22"/>
        </w:rPr>
      </w:r>
      <w:r>
        <w:rPr/>
        <w:t>但不考虑预期信用损失。</w:t>
      </w:r>
    </w:p>
    <w:p>
      <w:pPr>
        <w:pStyle w:val="BodyText"/>
        <w:spacing w:line="314" w:lineRule="auto" w:before="25"/>
        <w:ind w:left="136" w:right="209" w:firstLine="420"/>
        <w:jc w:val="both"/>
      </w:pPr>
      <w:r>
        <w:rPr>
          <w:spacing w:val="-2"/>
        </w:rPr>
        <w:t>金融资产或金融负债的摊余成本是以该金融资产或金融负债的初始确认金额扣除已偿还的本</w:t>
      </w:r>
      <w:r>
        <w:rPr>
          <w:w w:val="100"/>
        </w:rPr>
        <w:t> </w:t>
      </w:r>
      <w:r>
        <w:rPr>
          <w:spacing w:val="-1"/>
        </w:rPr>
        <w:t>金，加上或减去采用实际利率法将该初始确认金额与到期日金额之间的差额进行摊销形成的累计</w:t>
      </w:r>
      <w:r>
        <w:rPr>
          <w:spacing w:val="-55"/>
        </w:rPr>
        <w:t> </w:t>
      </w:r>
      <w:r>
        <w:rPr>
          <w:spacing w:val="-55"/>
        </w:rPr>
      </w:r>
      <w:r>
        <w:rPr/>
        <w:t>摊销额，再扣除累计计提的损失准备</w:t>
      </w:r>
      <w:r>
        <w:rPr>
          <w:rFonts w:ascii="Times New Roman" w:hAnsi="Times New Roman" w:cs="Times New Roman" w:eastAsia="Times New Roman" w:hint="default"/>
        </w:rPr>
        <w:t>(</w:t>
      </w:r>
      <w:r>
        <w:rPr/>
        <w:t>仅适用于金融资产</w:t>
      </w:r>
      <w:r>
        <w:rPr>
          <w:rFonts w:ascii="Times New Roman" w:hAnsi="Times New Roman" w:cs="Times New Roman" w:eastAsia="Times New Roman" w:hint="default"/>
        </w:rPr>
        <w:t>)</w:t>
      </w:r>
      <w:r>
        <w:rPr/>
        <w:t>。</w:t>
      </w:r>
    </w:p>
    <w:p>
      <w:pPr>
        <w:spacing w:line="297" w:lineRule="auto" w:before="9"/>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．金融资产分类和计量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本公司根据所管理金融资产的业务模式和金融资产的合同现金流量特征，将金融资产划分为</w:t>
      </w:r>
    </w:p>
    <w:p>
      <w:pPr>
        <w:pStyle w:val="BodyText"/>
        <w:spacing w:line="240" w:lineRule="auto" w:before="34"/>
        <w:ind w:left="136" w:right="2819"/>
        <w:jc w:val="left"/>
      </w:pPr>
      <w:r>
        <w:rPr/>
        <w:t>以下三类：</w:t>
      </w:r>
    </w:p>
    <w:p>
      <w:pPr>
        <w:pStyle w:val="BodyText"/>
        <w:spacing w:line="240" w:lineRule="auto" w:before="85"/>
        <w:ind w:left="557" w:right="2819"/>
        <w:jc w:val="left"/>
      </w:pPr>
      <w:r>
        <w:rPr/>
        <w:t>（</w:t>
      </w:r>
      <w:r>
        <w:rPr>
          <w:rFonts w:ascii="Times New Roman" w:hAnsi="Times New Roman" w:cs="Times New Roman" w:eastAsia="Times New Roman" w:hint="default"/>
        </w:rPr>
        <w:t>1</w:t>
      </w:r>
      <w:r>
        <w:rPr/>
        <w:t>）以摊余成本计量的金融资产。</w:t>
      </w:r>
    </w:p>
    <w:p>
      <w:pPr>
        <w:pStyle w:val="BodyText"/>
        <w:spacing w:line="240" w:lineRule="auto" w:before="69"/>
        <w:ind w:left="557" w:right="0"/>
        <w:jc w:val="left"/>
      </w:pPr>
      <w:r>
        <w:rPr/>
        <w:t>（</w:t>
      </w:r>
      <w:r>
        <w:rPr>
          <w:rFonts w:ascii="Times New Roman" w:hAnsi="Times New Roman" w:cs="Times New Roman" w:eastAsia="Times New Roman" w:hint="default"/>
        </w:rPr>
        <w:t>2</w:t>
      </w:r>
      <w:r>
        <w:rPr/>
        <w:t>）以公允价值计量且其变动计入其他综合收益的金融资产。</w:t>
      </w:r>
    </w:p>
    <w:p>
      <w:pPr>
        <w:pStyle w:val="BodyText"/>
        <w:spacing w:line="297" w:lineRule="auto" w:before="69"/>
        <w:ind w:left="557" w:right="0"/>
        <w:jc w:val="left"/>
      </w:pPr>
      <w:r>
        <w:rPr/>
        <w:t>（</w:t>
      </w:r>
      <w:r>
        <w:rPr>
          <w:rFonts w:ascii="Times New Roman" w:hAnsi="Times New Roman" w:cs="Times New Roman" w:eastAsia="Times New Roman" w:hint="default"/>
        </w:rPr>
        <w:t>3</w:t>
      </w:r>
      <w:r>
        <w:rPr/>
        <w:t>）以公允价值计量且其变动计入当期损益的金融资产。</w:t>
      </w:r>
      <w:r>
        <w:rPr>
          <w:w w:val="100"/>
        </w:rPr>
        <w:t> </w:t>
      </w:r>
      <w:r>
        <w:rPr>
          <w:spacing w:val="-2"/>
        </w:rPr>
        <w:t>金融资产在初始确认时以公允价值计量，但是因销售商品或提供服务等产生的应收账款或应</w:t>
      </w:r>
    </w:p>
    <w:p>
      <w:pPr>
        <w:pStyle w:val="BodyText"/>
        <w:spacing w:line="314" w:lineRule="auto" w:before="34"/>
        <w:ind w:left="557" w:right="0" w:hanging="421"/>
        <w:jc w:val="left"/>
      </w:pPr>
      <w:r>
        <w:rPr/>
        <w:t>收票据未包含重大融资成分或不考虑不超过一年的融资成分的，按照交易价格进行初始计量。</w:t>
      </w:r>
      <w:r>
        <w:rPr>
          <w:w w:val="100"/>
        </w:rPr>
        <w:t> </w:t>
      </w:r>
      <w:r>
        <w:rPr>
          <w:spacing w:val="-2"/>
        </w:rPr>
        <w:t>对于以公允价值计量且其变动计入当期损益的金融资产，相关交易费用直接计入当期损益，</w:t>
      </w:r>
    </w:p>
    <w:p>
      <w:pPr>
        <w:pStyle w:val="BodyText"/>
        <w:spacing w:line="314" w:lineRule="auto" w:before="20"/>
        <w:ind w:left="557" w:right="0" w:hanging="421"/>
        <w:jc w:val="left"/>
      </w:pPr>
      <w:r>
        <w:rPr/>
        <w:t>其他类别的金融资产相关交易费用计入其初始确认金额。</w:t>
      </w:r>
      <w:r>
        <w:rPr>
          <w:w w:val="100"/>
        </w:rPr>
        <w:t> </w:t>
      </w:r>
      <w:r>
        <w:rPr>
          <w:spacing w:val="-2"/>
        </w:rPr>
        <w:t>金融资产的后续计量取决于其分类，当且仅当本公司改变管理金融资产的业务模式时，才对</w:t>
      </w:r>
    </w:p>
    <w:p>
      <w:pPr>
        <w:pStyle w:val="BodyText"/>
        <w:spacing w:line="240" w:lineRule="auto" w:before="20"/>
        <w:ind w:left="136" w:right="2819"/>
        <w:jc w:val="left"/>
      </w:pPr>
      <w:r>
        <w:rPr/>
        <w:t>所有受影响的相关金融资产进行重分类。</w:t>
      </w:r>
    </w:p>
    <w:p>
      <w:pPr>
        <w:pStyle w:val="BodyText"/>
        <w:spacing w:line="297" w:lineRule="auto" w:before="73"/>
        <w:ind w:left="557" w:right="0"/>
        <w:jc w:val="left"/>
      </w:pPr>
      <w:r>
        <w:rPr/>
        <w:t>（</w:t>
      </w:r>
      <w:r>
        <w:rPr>
          <w:rFonts w:ascii="Times New Roman" w:hAnsi="Times New Roman" w:cs="Times New Roman" w:eastAsia="Times New Roman" w:hint="default"/>
        </w:rPr>
        <w:t>1</w:t>
      </w:r>
      <w:r>
        <w:rPr/>
        <w:t>）分类为以摊余成本计量的金融资产</w:t>
      </w:r>
      <w:r>
        <w:rPr>
          <w:w w:val="100"/>
        </w:rPr>
        <w:t> </w:t>
      </w:r>
      <w:r>
        <w:rPr>
          <w:spacing w:val="-2"/>
        </w:rPr>
        <w:t>金融资产的合同条款规定在特定日期产生的现金流量仅为对本金和以未偿付本金金额为基础</w:t>
      </w:r>
    </w:p>
    <w:p>
      <w:pPr>
        <w:pStyle w:val="BodyText"/>
        <w:spacing w:line="314" w:lineRule="auto" w:before="34"/>
        <w:ind w:left="136" w:right="0"/>
        <w:jc w:val="left"/>
      </w:pPr>
      <w:r>
        <w:rPr/>
        <w:t>的利息的支付，且管理该金融资产的业务模式是以收取合同现金流量为目标，则本公司将该金融</w:t>
      </w:r>
      <w:r>
        <w:rPr>
          <w:spacing w:val="-97"/>
        </w:rPr>
        <w:t> </w:t>
      </w:r>
      <w:r>
        <w:rPr>
          <w:spacing w:val="-97"/>
        </w:rPr>
      </w:r>
      <w:r>
        <w:rPr>
          <w:spacing w:val="-4"/>
          <w:w w:val="100"/>
        </w:rPr>
        <w:t>资产分类为以摊余成本计量的金融资产。本公司分类为以摊余成本计量的金融资产包括货币资金、</w:t>
      </w:r>
      <w:r>
        <w:rPr>
          <w:spacing w:val="-85"/>
          <w:w w:val="100"/>
        </w:rPr>
        <w:t> </w:t>
      </w:r>
      <w:r>
        <w:rPr>
          <w:spacing w:val="-85"/>
          <w:w w:val="100"/>
        </w:rPr>
      </w:r>
      <w:r>
        <w:rPr>
          <w:spacing w:val="-4"/>
          <w:w w:val="100"/>
        </w:rPr>
        <w:t>应收票据及应收账款、其他应收款、长期应收款（包括一年内到期的非流动资产）、债权投资等。</w:t>
      </w:r>
    </w:p>
    <w:p>
      <w:pPr>
        <w:pStyle w:val="BodyText"/>
        <w:spacing w:line="314" w:lineRule="auto" w:before="20"/>
        <w:ind w:left="136" w:right="209" w:firstLine="420"/>
        <w:jc w:val="both"/>
      </w:pPr>
      <w:r>
        <w:rPr>
          <w:spacing w:val="-2"/>
        </w:rPr>
        <w:t>本公司对此类金融资产采用实际利率法确认利息收入，按摊余成本进行后续计量，其发生减</w:t>
      </w:r>
      <w:r>
        <w:rPr>
          <w:w w:val="100"/>
        </w:rPr>
        <w:t> </w:t>
      </w:r>
      <w:r>
        <w:rPr>
          <w:spacing w:val="-1"/>
        </w:rPr>
        <w:t>值时或终止确认、修改产生的利得或损失，计入当期损益。除下列情况外，本公司根据金融资产</w:t>
      </w:r>
      <w:r>
        <w:rPr>
          <w:spacing w:val="-55"/>
        </w:rPr>
        <w:t> </w:t>
      </w:r>
      <w:r>
        <w:rPr>
          <w:spacing w:val="-55"/>
        </w:rPr>
      </w:r>
      <w:r>
        <w:rPr/>
        <w:t>账面余额乘以实际利率计算确定利息收入：</w:t>
      </w:r>
    </w:p>
    <w:p>
      <w:pPr>
        <w:pStyle w:val="BodyText"/>
        <w:spacing w:line="297" w:lineRule="auto" w:before="20"/>
        <w:ind w:left="136" w:right="209" w:firstLine="420"/>
        <w:jc w:val="both"/>
      </w:pPr>
      <w:r>
        <w:rPr>
          <w:rFonts w:ascii="Times New Roman" w:hAnsi="Times New Roman" w:cs="Times New Roman" w:eastAsia="Times New Roman" w:hint="default"/>
          <w:spacing w:val="-4"/>
        </w:rPr>
        <w:t>1</w:t>
      </w:r>
      <w:r>
        <w:rPr>
          <w:spacing w:val="-4"/>
        </w:rPr>
        <w:t>）对于购入或源生的已发生信用减值的金融资产，本公司自初始确认起，按照该金融资产的</w:t>
      </w:r>
      <w:r>
        <w:rPr>
          <w:w w:val="100"/>
        </w:rPr>
        <w:t> </w:t>
      </w:r>
      <w:r>
        <w:rPr/>
        <w:t>摊余成本和经信用调整的实际利率计算确定其利息收入。</w:t>
      </w:r>
    </w:p>
    <w:p>
      <w:pPr>
        <w:pStyle w:val="BodyText"/>
        <w:spacing w:line="297" w:lineRule="auto" w:before="34"/>
        <w:ind w:left="136" w:right="209" w:firstLine="420"/>
        <w:jc w:val="both"/>
      </w:pPr>
      <w:r>
        <w:rPr>
          <w:rFonts w:ascii="Times New Roman" w:hAnsi="Times New Roman" w:cs="Times New Roman" w:eastAsia="Times New Roman" w:hint="default"/>
          <w:spacing w:val="-4"/>
        </w:rPr>
        <w:t>2</w:t>
      </w:r>
      <w:r>
        <w:rPr>
          <w:spacing w:val="-4"/>
        </w:rPr>
        <w:t>）对于购入或源生的未发生信用减值、但在后续期间成为已发生信用减值的金融资产，本公</w:t>
      </w:r>
      <w:r>
        <w:rPr>
          <w:w w:val="100"/>
        </w:rPr>
        <w:t> </w:t>
      </w:r>
      <w:r>
        <w:rPr>
          <w:spacing w:val="-1"/>
        </w:rPr>
        <w:t>司在后续期间，按照该金融资产的摊余成本和实际利率计算确定其利息收入。若该金融工具在后</w:t>
      </w:r>
    </w:p>
    <w:p>
      <w:pPr>
        <w:spacing w:after="0" w:line="297" w:lineRule="auto"/>
        <w:jc w:val="both"/>
        <w:sectPr>
          <w:pgSz w:w="11910" w:h="16840"/>
          <w:pgMar w:header="857" w:footer="979" w:top="1120" w:bottom="1160" w:left="1140" w:right="1580"/>
        </w:sectPr>
      </w:pPr>
    </w:p>
    <w:p>
      <w:pPr>
        <w:spacing w:line="240" w:lineRule="auto" w:before="4"/>
        <w:rPr>
          <w:rFonts w:ascii="宋体" w:hAnsi="宋体" w:cs="宋体" w:eastAsia="宋体" w:hint="default"/>
          <w:sz w:val="24"/>
          <w:szCs w:val="24"/>
        </w:rPr>
      </w:pPr>
    </w:p>
    <w:p>
      <w:pPr>
        <w:pStyle w:val="BodyText"/>
        <w:spacing w:line="314" w:lineRule="auto" w:before="36"/>
        <w:ind w:left="136" w:right="309"/>
        <w:jc w:val="both"/>
      </w:pPr>
      <w:r>
        <w:rPr>
          <w:spacing w:val="-1"/>
        </w:rPr>
        <w:t>续期间因其信用风险有所改善而不再存在信用减值，本公司转按实际利率乘以该金融资产账面余</w:t>
      </w:r>
      <w:r>
        <w:rPr>
          <w:spacing w:val="-55"/>
        </w:rPr>
        <w:t> </w:t>
      </w:r>
      <w:r>
        <w:rPr>
          <w:spacing w:val="-55"/>
        </w:rPr>
      </w:r>
      <w:r>
        <w:rPr/>
        <w:t>额来计算确定利息收入。</w:t>
      </w:r>
    </w:p>
    <w:p>
      <w:pPr>
        <w:pStyle w:val="BodyText"/>
        <w:spacing w:line="297" w:lineRule="auto" w:before="20"/>
        <w:ind w:left="557" w:right="0"/>
        <w:jc w:val="left"/>
      </w:pPr>
      <w:r>
        <w:rPr/>
        <w:t>（</w:t>
      </w:r>
      <w:r>
        <w:rPr>
          <w:rFonts w:ascii="Times New Roman" w:hAnsi="Times New Roman" w:cs="Times New Roman" w:eastAsia="Times New Roman" w:hint="default"/>
        </w:rPr>
        <w:t>2</w:t>
      </w:r>
      <w:r>
        <w:rPr/>
        <w:t>）分类为以公允价值计量且其变动计入其他综合收益的金融资产</w:t>
      </w:r>
      <w:r>
        <w:rPr>
          <w:w w:val="100"/>
        </w:rPr>
        <w:t> </w:t>
      </w:r>
      <w:r>
        <w:rPr>
          <w:spacing w:val="-2"/>
        </w:rPr>
        <w:t>金融资产的合同条款规定在特定日期产生的现金流量仅为对本金和以未偿付本金金额为基础</w:t>
      </w:r>
    </w:p>
    <w:p>
      <w:pPr>
        <w:pStyle w:val="BodyText"/>
        <w:spacing w:line="314" w:lineRule="auto" w:before="34"/>
        <w:ind w:left="0" w:right="309"/>
        <w:jc w:val="right"/>
      </w:pPr>
      <w:r>
        <w:rPr>
          <w:spacing w:val="-1"/>
        </w:rPr>
        <w:t>的利息的支付，且管理该金融资产的业务模式既以收取合同现金流量为目标又以出售该金融资产</w:t>
      </w:r>
      <w:r>
        <w:rPr>
          <w:spacing w:val="-71"/>
        </w:rPr>
        <w:t> </w:t>
      </w:r>
      <w:r>
        <w:rPr>
          <w:spacing w:val="-71"/>
        </w:rPr>
      </w:r>
      <w:r>
        <w:rPr>
          <w:spacing w:val="-2"/>
        </w:rPr>
        <w:t>为目标，则本公司将该金融资产分类为以公允价值计量且其变动计入其他综合收益的金融资产。</w:t>
      </w:r>
      <w:r>
        <w:rPr>
          <w:spacing w:val="-53"/>
        </w:rPr>
        <w:t> </w:t>
      </w:r>
      <w:r>
        <w:rPr>
          <w:spacing w:val="-53"/>
        </w:rPr>
      </w:r>
      <w:r>
        <w:rPr>
          <w:spacing w:val="-2"/>
        </w:rPr>
        <w:t>本公司对此类金融资产采用实际利率法确认利息收入。除利息收入、减值损失及汇兑差额确</w:t>
      </w:r>
      <w:r>
        <w:rPr>
          <w:w w:val="100"/>
        </w:rPr>
        <w:t> </w:t>
      </w:r>
      <w:r>
        <w:rPr>
          <w:spacing w:val="-1"/>
        </w:rPr>
        <w:t>认为当期损益外，其余公允价值变动计入其他综合收益。当该金融资产终止确认时，之前计入其</w:t>
      </w:r>
    </w:p>
    <w:p>
      <w:pPr>
        <w:pStyle w:val="BodyText"/>
        <w:spacing w:line="314" w:lineRule="auto" w:before="20"/>
        <w:ind w:left="557" w:right="0" w:hanging="421"/>
        <w:jc w:val="left"/>
      </w:pPr>
      <w:r>
        <w:rPr/>
        <w:t>他综合收益的累计利得或损失从其他综合收益中转出，计入当期损益。</w:t>
      </w:r>
      <w:r>
        <w:rPr>
          <w:w w:val="100"/>
        </w:rPr>
        <w:t> </w:t>
      </w:r>
      <w:r>
        <w:rPr>
          <w:spacing w:val="-2"/>
        </w:rPr>
        <w:t>以公允价值计量且变动计入其他综合收益的应收票据及应收账款列报为应收款项融资，其他</w:t>
      </w:r>
    </w:p>
    <w:p>
      <w:pPr>
        <w:pStyle w:val="BodyText"/>
        <w:spacing w:line="314" w:lineRule="auto" w:before="20"/>
        <w:ind w:left="136" w:right="309"/>
        <w:jc w:val="both"/>
      </w:pPr>
      <w:r>
        <w:rPr>
          <w:spacing w:val="-1"/>
        </w:rPr>
        <w:t>此类金融资产列报为其他债权投资，其中：自资产负债表日起一年内到期的其他债权投资列报为</w:t>
      </w:r>
      <w:r>
        <w:rPr>
          <w:spacing w:val="-55"/>
        </w:rPr>
        <w:t> </w:t>
      </w:r>
      <w:r>
        <w:rPr>
          <w:spacing w:val="-55"/>
        </w:rPr>
      </w:r>
      <w:r>
        <w:rPr/>
        <w:t>一年内到期的非流动资产，原到期日在一年以内的其他债权投资列报为其他流动资产。</w:t>
      </w:r>
    </w:p>
    <w:p>
      <w:pPr>
        <w:pStyle w:val="BodyText"/>
        <w:spacing w:line="297" w:lineRule="auto" w:before="20"/>
        <w:ind w:left="557" w:right="0"/>
        <w:jc w:val="left"/>
      </w:pPr>
      <w:r>
        <w:rPr/>
        <w:t>（</w:t>
      </w:r>
      <w:r>
        <w:rPr>
          <w:rFonts w:ascii="Times New Roman" w:hAnsi="Times New Roman" w:cs="Times New Roman" w:eastAsia="Times New Roman" w:hint="default"/>
        </w:rPr>
        <w:t>3</w:t>
      </w:r>
      <w:r>
        <w:rPr/>
        <w:t>）指定为以公允价值计量且其变动计入其他综合收益的金融资产</w:t>
      </w:r>
      <w:r>
        <w:rPr>
          <w:w w:val="100"/>
        </w:rPr>
        <w:t> </w:t>
      </w:r>
      <w:r>
        <w:rPr>
          <w:spacing w:val="-2"/>
        </w:rPr>
        <w:t>在初始确认时，本公司可以单项金融资产为基础不可撤销地将非交易性权益工具投资指定为</w:t>
      </w:r>
    </w:p>
    <w:p>
      <w:pPr>
        <w:pStyle w:val="BodyText"/>
        <w:spacing w:line="314" w:lineRule="auto" w:before="34"/>
        <w:ind w:left="557" w:right="0" w:hanging="421"/>
        <w:jc w:val="left"/>
      </w:pPr>
      <w:r>
        <w:rPr/>
        <w:t>以公允价值计量且其变动计入其他综合收益的金融资产。</w:t>
      </w:r>
      <w:r>
        <w:rPr>
          <w:w w:val="100"/>
        </w:rPr>
        <w:t> </w:t>
      </w:r>
      <w:r>
        <w:rPr>
          <w:spacing w:val="-2"/>
        </w:rPr>
        <w:t>此类金融资产的公允价值变动计入其他综合收益，不需计提减值准备。该金融资产终止确认</w:t>
      </w:r>
    </w:p>
    <w:p>
      <w:pPr>
        <w:pStyle w:val="BodyText"/>
        <w:spacing w:line="314" w:lineRule="auto" w:before="20"/>
        <w:ind w:left="136" w:right="308"/>
        <w:jc w:val="both"/>
      </w:pPr>
      <w:r>
        <w:rPr>
          <w:spacing w:val="-1"/>
        </w:rPr>
        <w:t>时，之前计入其他综合收益的累计利得或损失从其他综合收益中转出，计入留存收益。本公司持</w:t>
      </w:r>
      <w:r>
        <w:rPr>
          <w:spacing w:val="-55"/>
        </w:rPr>
        <w:t> </w:t>
      </w:r>
      <w:r>
        <w:rPr>
          <w:spacing w:val="-55"/>
        </w:rPr>
      </w:r>
      <w:r>
        <w:rPr>
          <w:spacing w:val="-1"/>
        </w:rPr>
        <w:t>有该权益工具投资期间，在本公司收取股利的权利已经确立，与股利相关的经济利益很可能流入</w:t>
      </w:r>
      <w:r>
        <w:rPr>
          <w:spacing w:val="-55"/>
        </w:rPr>
        <w:t> </w:t>
      </w:r>
      <w:r>
        <w:rPr>
          <w:spacing w:val="-55"/>
        </w:rPr>
      </w:r>
      <w:r>
        <w:rPr>
          <w:spacing w:val="-1"/>
        </w:rPr>
        <w:t>本公司，且股利的金额能够可靠计量时，确认股利收入并计入当期损益。本公司对此类金融资产</w:t>
      </w:r>
      <w:r>
        <w:rPr>
          <w:spacing w:val="-54"/>
        </w:rPr>
        <w:t> </w:t>
      </w:r>
      <w:r>
        <w:rPr>
          <w:spacing w:val="-54"/>
        </w:rPr>
      </w:r>
      <w:r>
        <w:rPr/>
        <w:t>在其他权益工具投资项目下列报。</w:t>
      </w:r>
    </w:p>
    <w:p>
      <w:pPr>
        <w:pStyle w:val="BodyText"/>
        <w:spacing w:line="314" w:lineRule="auto" w:before="20"/>
        <w:ind w:left="136" w:right="0" w:firstLine="420"/>
        <w:jc w:val="left"/>
      </w:pPr>
      <w:r>
        <w:rPr>
          <w:spacing w:val="-4"/>
          <w:w w:val="100"/>
        </w:rPr>
        <w:t>权益工具投资满足下列条件之一的，属于以公允价值计量且其变动计入当期损益的金融资产：</w:t>
      </w:r>
      <w:r>
        <w:rPr>
          <w:w w:val="100"/>
        </w:rPr>
        <w:t> </w:t>
      </w:r>
      <w:r>
        <w:rPr/>
        <w:t>取得该金融资产的目的主要是为了近期出售；初始确认时属于集中管理的可辨认金融资产工具组</w:t>
      </w:r>
      <w:r>
        <w:rPr>
          <w:spacing w:val="-97"/>
        </w:rPr>
        <w:t> </w:t>
      </w:r>
      <w:r>
        <w:rPr>
          <w:spacing w:val="-97"/>
        </w:rPr>
      </w:r>
      <w:r>
        <w:rPr/>
        <w:t>合的一部分，且有客观证据表明近期实际存在短期获利模式；属于衍生工具（符合财务担保合同</w:t>
      </w:r>
      <w:r>
        <w:rPr>
          <w:spacing w:val="-97"/>
        </w:rPr>
        <w:t> </w:t>
      </w:r>
      <w:r>
        <w:rPr>
          <w:spacing w:val="-97"/>
        </w:rPr>
      </w:r>
      <w:r>
        <w:rPr>
          <w:spacing w:val="-6"/>
          <w:w w:val="100"/>
        </w:rPr>
        <w:t>定义的以及被指定为有效套期工具的衍生工具除外）。</w:t>
      </w:r>
    </w:p>
    <w:p>
      <w:pPr>
        <w:pStyle w:val="BodyText"/>
        <w:spacing w:line="297" w:lineRule="auto" w:before="20"/>
        <w:ind w:left="557" w:right="0"/>
        <w:jc w:val="left"/>
      </w:pPr>
      <w:r>
        <w:rPr/>
        <w:t>（</w:t>
      </w:r>
      <w:r>
        <w:rPr>
          <w:rFonts w:ascii="Times New Roman" w:hAnsi="Times New Roman" w:cs="Times New Roman" w:eastAsia="Times New Roman" w:hint="default"/>
        </w:rPr>
        <w:t>4</w:t>
      </w:r>
      <w:r>
        <w:rPr/>
        <w:t>）分类为以公允价值计量且其变动计入当期损益的金融资产</w:t>
      </w:r>
      <w:r>
        <w:rPr>
          <w:w w:val="100"/>
        </w:rPr>
        <w:t> </w:t>
      </w:r>
      <w:r>
        <w:rPr>
          <w:spacing w:val="-1"/>
        </w:rPr>
        <w:t>不符合分类为以摊余成本计量或以公允价值计量且其变动计入其他综合收益的金融资产条件、</w:t>
      </w:r>
    </w:p>
    <w:p>
      <w:pPr>
        <w:pStyle w:val="BodyText"/>
        <w:spacing w:line="314" w:lineRule="auto" w:before="34"/>
        <w:ind w:left="136" w:right="309"/>
        <w:jc w:val="both"/>
      </w:pPr>
      <w:r>
        <w:rPr>
          <w:spacing w:val="-1"/>
        </w:rPr>
        <w:t>亦不指定为以公允价值计量且其变动计入其他综合收益的金融资产均分类为以公允价值计量且其</w:t>
      </w:r>
      <w:r>
        <w:rPr>
          <w:spacing w:val="-54"/>
        </w:rPr>
        <w:t> </w:t>
      </w:r>
      <w:r>
        <w:rPr>
          <w:spacing w:val="-54"/>
        </w:rPr>
      </w:r>
      <w:r>
        <w:rPr/>
        <w:t>变动计入当期损益的金融资产。</w:t>
      </w:r>
    </w:p>
    <w:p>
      <w:pPr>
        <w:pStyle w:val="BodyText"/>
        <w:spacing w:line="314" w:lineRule="auto" w:before="20"/>
        <w:ind w:left="136" w:right="0" w:firstLine="420"/>
        <w:jc w:val="left"/>
      </w:pPr>
      <w:r>
        <w:rPr>
          <w:spacing w:val="-2"/>
        </w:rPr>
        <w:t>本公司对此类金融资产采用公允价值进行后续计量，将公允价值变动形成的利得或损失以及</w:t>
      </w:r>
      <w:r>
        <w:rPr>
          <w:w w:val="100"/>
        </w:rPr>
        <w:t> </w:t>
      </w:r>
      <w:r>
        <w:rPr/>
        <w:t>与此类金融资产相关的股利和利息收入计入当期损益。</w:t>
      </w:r>
    </w:p>
    <w:p>
      <w:pPr>
        <w:pStyle w:val="BodyText"/>
        <w:spacing w:line="240" w:lineRule="auto" w:before="20"/>
        <w:ind w:left="557" w:right="0"/>
        <w:jc w:val="left"/>
      </w:pPr>
      <w:r>
        <w:rPr/>
        <w:t>本公司对此类金融资产根据其流动性在交易性金融资产、其他非流动金融资产项目列报。</w:t>
      </w:r>
    </w:p>
    <w:p>
      <w:pPr>
        <w:pStyle w:val="BodyText"/>
        <w:spacing w:line="297" w:lineRule="auto" w:before="85"/>
        <w:ind w:left="557" w:right="0"/>
        <w:jc w:val="left"/>
      </w:pPr>
      <w:r>
        <w:rPr/>
        <w:t>（</w:t>
      </w:r>
      <w:r>
        <w:rPr>
          <w:rFonts w:ascii="Times New Roman" w:hAnsi="Times New Roman" w:cs="Times New Roman" w:eastAsia="Times New Roman" w:hint="default"/>
        </w:rPr>
        <w:t>5</w:t>
      </w:r>
      <w:r>
        <w:rPr/>
        <w:t>）指定为以公允价值计量且其变动计入当期损益的金融资产</w:t>
      </w:r>
      <w:r>
        <w:rPr>
          <w:w w:val="100"/>
        </w:rPr>
        <w:t> </w:t>
      </w:r>
      <w:r>
        <w:rPr>
          <w:spacing w:val="-2"/>
        </w:rPr>
        <w:t>在初始确认时，本公司为了消除或显著减少会计错配，可以单项金融资产为基础不可撤销地</w:t>
      </w:r>
    </w:p>
    <w:p>
      <w:pPr>
        <w:pStyle w:val="BodyText"/>
        <w:spacing w:line="314" w:lineRule="auto" w:before="34"/>
        <w:ind w:left="557" w:right="0" w:hanging="421"/>
        <w:jc w:val="left"/>
      </w:pPr>
      <w:r>
        <w:rPr/>
        <w:t>将金融资产指定为以公允价值计量且其变动计入当期损益的金融资产。</w:t>
      </w:r>
      <w:r>
        <w:rPr>
          <w:w w:val="100"/>
        </w:rPr>
        <w:t> </w:t>
      </w:r>
      <w:r>
        <w:rPr>
          <w:spacing w:val="-2"/>
        </w:rPr>
        <w:t>混合合同包含一项或多项嵌入衍生工具，且其主合同不属于以上金融资产的，本公司可以将</w:t>
      </w:r>
    </w:p>
    <w:p>
      <w:pPr>
        <w:pStyle w:val="BodyText"/>
        <w:spacing w:line="314" w:lineRule="auto" w:before="20"/>
        <w:ind w:left="557" w:right="0" w:hanging="421"/>
        <w:jc w:val="left"/>
      </w:pPr>
      <w:r>
        <w:rPr>
          <w:spacing w:val="-2"/>
        </w:rPr>
        <w:t>其整体指定为以公允价值计量且其变动计入当期损益的金融工具。但下列情况除外：</w:t>
      </w:r>
      <w:r>
        <w:rPr>
          <w:spacing w:val="-35"/>
        </w:rPr>
        <w:t> </w:t>
      </w:r>
      <w:r>
        <w:rPr>
          <w:spacing w:val="-35"/>
        </w:rPr>
      </w:r>
      <w:r>
        <w:rPr>
          <w:rFonts w:ascii="宋体" w:hAnsi="宋体" w:cs="宋体" w:eastAsia="宋体" w:hint="default"/>
        </w:rPr>
        <w:t>1</w:t>
      </w:r>
      <w:r>
        <w:rPr/>
        <w:t>）嵌入衍生工具不会对混合合同的现金流量产生重大改变。</w:t>
      </w:r>
    </w:p>
    <w:p>
      <w:pPr>
        <w:pStyle w:val="BodyText"/>
        <w:spacing w:line="240" w:lineRule="auto" w:before="20"/>
        <w:ind w:left="557" w:right="0"/>
        <w:jc w:val="left"/>
      </w:pPr>
      <w:r>
        <w:rPr>
          <w:rFonts w:ascii="宋体" w:hAnsi="宋体" w:cs="宋体" w:eastAsia="宋体" w:hint="default"/>
          <w:w w:val="100"/>
        </w:rPr>
        <w:t>2</w:t>
      </w:r>
      <w:r>
        <w:rPr>
          <w:spacing w:val="-3"/>
          <w:w w:val="100"/>
        </w:rPr>
        <w:t>）</w:t>
      </w:r>
      <w:r>
        <w:rPr>
          <w:w w:val="100"/>
        </w:rPr>
        <w:t>在初</w:t>
      </w:r>
      <w:r>
        <w:rPr>
          <w:spacing w:val="-3"/>
          <w:w w:val="100"/>
        </w:rPr>
        <w:t>次</w:t>
      </w:r>
      <w:r>
        <w:rPr>
          <w:w w:val="100"/>
        </w:rPr>
        <w:t>确</w:t>
      </w:r>
      <w:r>
        <w:rPr>
          <w:spacing w:val="-3"/>
          <w:w w:val="100"/>
        </w:rPr>
        <w:t>定</w:t>
      </w:r>
      <w:r>
        <w:rPr>
          <w:w w:val="100"/>
        </w:rPr>
        <w:t>类</w:t>
      </w:r>
      <w:r>
        <w:rPr>
          <w:spacing w:val="-3"/>
          <w:w w:val="100"/>
        </w:rPr>
        <w:t>似</w:t>
      </w:r>
      <w:r>
        <w:rPr>
          <w:w w:val="100"/>
        </w:rPr>
        <w:t>的</w:t>
      </w:r>
      <w:r>
        <w:rPr>
          <w:spacing w:val="-3"/>
          <w:w w:val="100"/>
        </w:rPr>
        <w:t>混</w:t>
      </w:r>
      <w:r>
        <w:rPr>
          <w:w w:val="100"/>
        </w:rPr>
        <w:t>合</w:t>
      </w:r>
      <w:r>
        <w:rPr>
          <w:spacing w:val="-3"/>
          <w:w w:val="100"/>
        </w:rPr>
        <w:t>合</w:t>
      </w:r>
      <w:r>
        <w:rPr>
          <w:w w:val="100"/>
        </w:rPr>
        <w:t>同是</w:t>
      </w:r>
      <w:r>
        <w:rPr>
          <w:spacing w:val="-3"/>
          <w:w w:val="100"/>
        </w:rPr>
        <w:t>否</w:t>
      </w:r>
      <w:r>
        <w:rPr>
          <w:w w:val="100"/>
        </w:rPr>
        <w:t>需</w:t>
      </w:r>
      <w:r>
        <w:rPr>
          <w:spacing w:val="-3"/>
          <w:w w:val="100"/>
        </w:rPr>
        <w:t>要</w:t>
      </w:r>
      <w:r>
        <w:rPr>
          <w:w w:val="100"/>
        </w:rPr>
        <w:t>分</w:t>
      </w:r>
      <w:r>
        <w:rPr>
          <w:spacing w:val="-3"/>
          <w:w w:val="100"/>
        </w:rPr>
        <w:t>拆时</w:t>
      </w:r>
      <w:r>
        <w:rPr>
          <w:spacing w:val="-92"/>
          <w:w w:val="100"/>
        </w:rPr>
        <w:t>，</w:t>
      </w:r>
      <w:r>
        <w:rPr>
          <w:spacing w:val="-3"/>
          <w:w w:val="100"/>
        </w:rPr>
        <w:t>几</w:t>
      </w:r>
      <w:r>
        <w:rPr>
          <w:w w:val="100"/>
        </w:rPr>
        <w:t>乎</w:t>
      </w:r>
      <w:r>
        <w:rPr>
          <w:spacing w:val="-3"/>
          <w:w w:val="100"/>
        </w:rPr>
        <w:t>不</w:t>
      </w:r>
      <w:r>
        <w:rPr>
          <w:w w:val="100"/>
        </w:rPr>
        <w:t>需分</w:t>
      </w:r>
      <w:r>
        <w:rPr>
          <w:spacing w:val="-3"/>
          <w:w w:val="100"/>
        </w:rPr>
        <w:t>析</w:t>
      </w:r>
      <w:r>
        <w:rPr>
          <w:w w:val="100"/>
        </w:rPr>
        <w:t>就</w:t>
      </w:r>
      <w:r>
        <w:rPr>
          <w:spacing w:val="-3"/>
          <w:w w:val="100"/>
        </w:rPr>
        <w:t>能</w:t>
      </w:r>
      <w:r>
        <w:rPr>
          <w:w w:val="100"/>
        </w:rPr>
        <w:t>明</w:t>
      </w:r>
      <w:r>
        <w:rPr>
          <w:spacing w:val="-3"/>
          <w:w w:val="100"/>
        </w:rPr>
        <w:t>确</w:t>
      </w:r>
      <w:r>
        <w:rPr>
          <w:w w:val="100"/>
        </w:rPr>
        <w:t>其</w:t>
      </w:r>
      <w:r>
        <w:rPr>
          <w:spacing w:val="-3"/>
          <w:w w:val="100"/>
        </w:rPr>
        <w:t>包</w:t>
      </w:r>
      <w:r>
        <w:rPr>
          <w:w w:val="100"/>
        </w:rPr>
        <w:t>含</w:t>
      </w:r>
      <w:r>
        <w:rPr>
          <w:spacing w:val="-3"/>
          <w:w w:val="100"/>
        </w:rPr>
        <w:t>的</w:t>
      </w:r>
      <w:r>
        <w:rPr>
          <w:w w:val="100"/>
        </w:rPr>
        <w:t>嵌入</w:t>
      </w:r>
      <w:r>
        <w:rPr>
          <w:spacing w:val="-3"/>
          <w:w w:val="100"/>
        </w:rPr>
        <w:t>衍生</w:t>
      </w:r>
      <w:r>
        <w:rPr>
          <w:w w:val="100"/>
        </w:rPr>
        <w:t>工</w:t>
      </w:r>
    </w:p>
    <w:p>
      <w:pPr>
        <w:spacing w:after="0" w:line="240" w:lineRule="auto"/>
        <w:jc w:val="left"/>
        <w:sectPr>
          <w:pgSz w:w="11910" w:h="16840"/>
          <w:pgMar w:header="857" w:footer="979" w:top="1120" w:bottom="1160" w:left="1140" w:right="1480"/>
        </w:sectPr>
      </w:pPr>
    </w:p>
    <w:p>
      <w:pPr>
        <w:spacing w:line="240" w:lineRule="auto" w:before="4"/>
        <w:rPr>
          <w:rFonts w:ascii="宋体" w:hAnsi="宋体" w:cs="宋体" w:eastAsia="宋体" w:hint="default"/>
          <w:sz w:val="24"/>
          <w:szCs w:val="24"/>
        </w:rPr>
      </w:pPr>
    </w:p>
    <w:p>
      <w:pPr>
        <w:pStyle w:val="BodyText"/>
        <w:spacing w:line="314" w:lineRule="auto" w:before="36"/>
        <w:ind w:left="136" w:right="129"/>
        <w:jc w:val="both"/>
      </w:pPr>
      <w:r>
        <w:rPr>
          <w:spacing w:val="-1"/>
        </w:rPr>
        <w:t>具不应分拆。如嵌入贷款的提前还款权，允许持有人以接近摊余成本的金额提前偿还贷款，该提</w:t>
      </w:r>
      <w:r>
        <w:rPr>
          <w:spacing w:val="-55"/>
        </w:rPr>
        <w:t> </w:t>
      </w:r>
      <w:r>
        <w:rPr>
          <w:spacing w:val="-55"/>
        </w:rPr>
      </w:r>
      <w:r>
        <w:rPr/>
        <w:t>前还款权不需要分拆。</w:t>
      </w:r>
    </w:p>
    <w:p>
      <w:pPr>
        <w:pStyle w:val="BodyText"/>
        <w:spacing w:line="314" w:lineRule="auto" w:before="20"/>
        <w:ind w:left="136" w:right="131" w:firstLine="420"/>
        <w:jc w:val="both"/>
      </w:pPr>
      <w:r>
        <w:rPr>
          <w:spacing w:val="-2"/>
        </w:rPr>
        <w:t>本公司对此类金融资产采用公允价值进行后续计量，将公允价值变动形成的利得或损失以及</w:t>
      </w:r>
      <w:r>
        <w:rPr>
          <w:w w:val="100"/>
        </w:rPr>
        <w:t> </w:t>
      </w:r>
      <w:r>
        <w:rPr/>
        <w:t>与此类金融资产相关的股利和利息收入计入当期损益。</w:t>
      </w:r>
    </w:p>
    <w:p>
      <w:pPr>
        <w:pStyle w:val="BodyText"/>
        <w:spacing w:line="304" w:lineRule="auto" w:before="20"/>
        <w:ind w:left="557" w:right="0"/>
        <w:jc w:val="left"/>
      </w:pPr>
      <w:r>
        <w:rPr/>
        <w:t>本公司对此类金融资产根据其流动性在交易性金融资产、其他非流动金融资产项目列报。</w:t>
      </w:r>
      <w:r>
        <w:rPr>
          <w:w w:val="100"/>
        </w:rPr>
        <w:t> </w:t>
      </w:r>
      <w:r>
        <w:rPr>
          <w:rFonts w:ascii="Times New Roman" w:hAnsi="Times New Roman" w:cs="Times New Roman" w:eastAsia="Times New Roman" w:hint="default"/>
          <w:b/>
          <w:bCs/>
        </w:rPr>
        <w:t>2.</w:t>
      </w:r>
      <w:r>
        <w:rPr>
          <w:rFonts w:ascii="宋体" w:hAnsi="宋体" w:cs="宋体" w:eastAsia="宋体" w:hint="default"/>
          <w:b/>
          <w:bCs/>
        </w:rPr>
        <w:t>金融负债分类和计量</w:t>
      </w:r>
      <w:r>
        <w:rPr>
          <w:rFonts w:ascii="宋体" w:hAnsi="宋体" w:cs="宋体" w:eastAsia="宋体" w:hint="default"/>
          <w:b/>
          <w:bCs/>
          <w:w w:val="100"/>
        </w:rPr>
        <w:t> </w:t>
      </w:r>
      <w:r>
        <w:rPr>
          <w:spacing w:val="-2"/>
        </w:rPr>
        <w:t>本公司根据所发行金融工具的合同条款及其所反映的经济实质而非仅以法律形式，结合金融</w:t>
      </w:r>
    </w:p>
    <w:p>
      <w:pPr>
        <w:pStyle w:val="BodyText"/>
        <w:spacing w:line="314" w:lineRule="auto" w:before="28"/>
        <w:ind w:left="136" w:right="129"/>
        <w:jc w:val="both"/>
      </w:pPr>
      <w:r>
        <w:rPr>
          <w:spacing w:val="-1"/>
        </w:rPr>
        <w:t>负债和权益工具的定义，在初始确认时将该金融工具或其组成部分分类为金融负债或权益工具。</w:t>
      </w:r>
      <w:r>
        <w:rPr>
          <w:spacing w:val="-55"/>
        </w:rPr>
        <w:t> </w:t>
      </w:r>
      <w:r>
        <w:rPr>
          <w:spacing w:val="-55"/>
        </w:rPr>
      </w:r>
      <w:r>
        <w:rPr>
          <w:spacing w:val="-1"/>
        </w:rPr>
        <w:t>金融负债在初始确认时分类为：以公允价值计量且其变动计入当期损益的金融负债、其他金融负</w:t>
      </w:r>
      <w:r>
        <w:rPr>
          <w:spacing w:val="-55"/>
        </w:rPr>
        <w:t> </w:t>
      </w:r>
      <w:r>
        <w:rPr>
          <w:spacing w:val="-55"/>
        </w:rPr>
      </w:r>
      <w:r>
        <w:rPr/>
        <w:t>债、被指定为有效套期工具的衍生工具。</w:t>
      </w:r>
    </w:p>
    <w:p>
      <w:pPr>
        <w:pStyle w:val="BodyText"/>
        <w:spacing w:line="314" w:lineRule="auto" w:before="20"/>
        <w:ind w:left="136" w:right="129" w:firstLine="420"/>
        <w:jc w:val="both"/>
      </w:pPr>
      <w:r>
        <w:rPr>
          <w:spacing w:val="-2"/>
        </w:rPr>
        <w:t>金融负债在初始确认时以公允价值计量。对于以公允价值计量且其变动计入当期损益的金融</w:t>
      </w:r>
      <w:r>
        <w:rPr>
          <w:w w:val="100"/>
        </w:rPr>
        <w:t> </w:t>
      </w:r>
      <w:r>
        <w:rPr>
          <w:spacing w:val="-1"/>
        </w:rPr>
        <w:t>负债，相关的交易费用直接计入当期损益；对于其他类别的金融负债，相关交易费用计入初始确</w:t>
      </w:r>
      <w:r>
        <w:rPr>
          <w:spacing w:val="-55"/>
        </w:rPr>
        <w:t> </w:t>
      </w:r>
      <w:r>
        <w:rPr>
          <w:spacing w:val="-55"/>
        </w:rPr>
      </w:r>
      <w:r>
        <w:rPr/>
        <w:t>认金额。</w:t>
      </w:r>
    </w:p>
    <w:p>
      <w:pPr>
        <w:pStyle w:val="BodyText"/>
        <w:spacing w:line="240" w:lineRule="auto" w:before="20"/>
        <w:ind w:left="557" w:right="0"/>
        <w:jc w:val="left"/>
      </w:pPr>
      <w:r>
        <w:rPr/>
        <w:t>金融负债的后续计量取决于其分类：</w:t>
      </w:r>
    </w:p>
    <w:p>
      <w:pPr>
        <w:pStyle w:val="BodyText"/>
        <w:spacing w:line="297" w:lineRule="auto" w:before="85"/>
        <w:ind w:left="557" w:right="0"/>
        <w:jc w:val="left"/>
      </w:pPr>
      <w:r>
        <w:rPr/>
        <w:t>（</w:t>
      </w:r>
      <w:r>
        <w:rPr>
          <w:rFonts w:ascii="Times New Roman" w:hAnsi="Times New Roman" w:cs="Times New Roman" w:eastAsia="Times New Roman" w:hint="default"/>
        </w:rPr>
        <w:t>1</w:t>
      </w:r>
      <w:r>
        <w:rPr/>
        <w:t>）以公允价值计量且其变动计入当期损益的金融负债</w:t>
      </w:r>
      <w:r>
        <w:rPr>
          <w:w w:val="100"/>
        </w:rPr>
        <w:t> </w:t>
      </w:r>
      <w:r>
        <w:rPr>
          <w:spacing w:val="-2"/>
        </w:rPr>
        <w:t>此类金融负债包括交易性金融负债（含属于金融负债的衍生工具）和初始确认时指定为以公</w:t>
      </w:r>
    </w:p>
    <w:p>
      <w:pPr>
        <w:pStyle w:val="BodyText"/>
        <w:spacing w:line="314" w:lineRule="auto" w:before="34"/>
        <w:ind w:left="557" w:right="0" w:hanging="421"/>
        <w:jc w:val="left"/>
      </w:pPr>
      <w:r>
        <w:rPr/>
        <w:t>允价值计量且其变动计入当期损益的金融负债。</w:t>
      </w:r>
      <w:r>
        <w:rPr>
          <w:w w:val="100"/>
        </w:rPr>
        <w:t> </w:t>
      </w:r>
      <w:r>
        <w:rPr>
          <w:spacing w:val="-2"/>
        </w:rPr>
        <w:t>满足下列条件之一的，属于交易性金融负债：承担相关金融负债的目的主要是为了在近期内</w:t>
      </w:r>
    </w:p>
    <w:p>
      <w:pPr>
        <w:pStyle w:val="BodyText"/>
        <w:spacing w:line="314" w:lineRule="auto" w:before="20"/>
        <w:ind w:left="136" w:right="129"/>
        <w:jc w:val="both"/>
      </w:pPr>
      <w:r>
        <w:rPr>
          <w:spacing w:val="-1"/>
        </w:rPr>
        <w:t>出售或回购；属于集中管理的可辨认金融工具组合的一部分，且有客观证据表明企业近期采用短</w:t>
      </w:r>
      <w:r>
        <w:rPr>
          <w:spacing w:val="-55"/>
        </w:rPr>
        <w:t> </w:t>
      </w:r>
      <w:r>
        <w:rPr>
          <w:spacing w:val="-55"/>
        </w:rPr>
      </w:r>
      <w:r>
        <w:rPr>
          <w:spacing w:val="-1"/>
        </w:rPr>
        <w:t>期获利方式模式；属于衍生工具，但是，被指定且为有效套期工具的衍生工具、符合财务担保合</w:t>
      </w:r>
      <w:r>
        <w:rPr>
          <w:spacing w:val="-55"/>
        </w:rPr>
        <w:t> </w:t>
      </w:r>
      <w:r>
        <w:rPr>
          <w:spacing w:val="-55"/>
        </w:rPr>
      </w:r>
      <w:r>
        <w:rPr>
          <w:spacing w:val="-11"/>
          <w:w w:val="100"/>
        </w:rPr>
        <w:t>同的衍生工具除外。交易性金融负债（含属于金融负债的衍生工具），按照公允价值进行后续计量，</w:t>
      </w:r>
      <w:r>
        <w:rPr>
          <w:spacing w:val="-94"/>
          <w:w w:val="100"/>
        </w:rPr>
        <w:t> </w:t>
      </w:r>
      <w:r>
        <w:rPr>
          <w:spacing w:val="-94"/>
          <w:w w:val="100"/>
        </w:rPr>
      </w:r>
      <w:r>
        <w:rPr/>
        <w:t>除与套期会计有关外，所有公允价值变动均计入当期损益。</w:t>
      </w:r>
    </w:p>
    <w:p>
      <w:pPr>
        <w:pStyle w:val="BodyText"/>
        <w:spacing w:line="314" w:lineRule="auto" w:before="20"/>
        <w:ind w:left="136" w:right="131" w:firstLine="420"/>
        <w:jc w:val="both"/>
      </w:pPr>
      <w:r>
        <w:rPr>
          <w:spacing w:val="-2"/>
        </w:rPr>
        <w:t>在初始确认时，为了提供更相关的会计信息，本公司将满足下列条件之一的金融负债不可撤</w:t>
      </w:r>
      <w:r>
        <w:rPr>
          <w:w w:val="100"/>
        </w:rPr>
        <w:t> </w:t>
      </w:r>
      <w:r>
        <w:rPr/>
        <w:t>销地指定为以公允价值计量且其变动计入当期损益的金融负债：</w:t>
      </w:r>
    </w:p>
    <w:p>
      <w:pPr>
        <w:pStyle w:val="BodyText"/>
        <w:spacing w:line="240" w:lineRule="auto" w:before="20"/>
        <w:ind w:left="557" w:right="0"/>
        <w:jc w:val="left"/>
      </w:pPr>
      <w:r>
        <w:rPr>
          <w:rFonts w:ascii="宋体" w:hAnsi="宋体" w:cs="宋体" w:eastAsia="宋体" w:hint="default"/>
        </w:rPr>
        <w:t>3</w:t>
      </w:r>
      <w:r>
        <w:rPr/>
        <w:t>）能够消除或显著减少会计错配。</w:t>
      </w:r>
    </w:p>
    <w:p>
      <w:pPr>
        <w:pStyle w:val="BodyText"/>
        <w:spacing w:line="314" w:lineRule="auto" w:before="85"/>
        <w:ind w:left="136" w:right="129" w:firstLine="420"/>
        <w:jc w:val="right"/>
      </w:pPr>
      <w:r>
        <w:rPr>
          <w:rFonts w:ascii="宋体" w:hAnsi="宋体" w:cs="宋体" w:eastAsia="宋体" w:hint="default"/>
          <w:spacing w:val="-4"/>
          <w:w w:val="100"/>
        </w:rPr>
        <w:t>4</w:t>
      </w:r>
      <w:r>
        <w:rPr>
          <w:spacing w:val="-4"/>
          <w:w w:val="100"/>
        </w:rPr>
        <w:t>）根据正式书面文件载明的企业风险管理或投资策略，以公允价值为基础对金融负债组合或</w:t>
      </w:r>
      <w:r>
        <w:rPr>
          <w:w w:val="100"/>
        </w:rPr>
        <w:t> </w:t>
      </w:r>
      <w:r>
        <w:rPr>
          <w:spacing w:val="-2"/>
        </w:rPr>
        <w:t>金融资产和金融负债组合进行管理和业绩评价，并在企业内部以此为基础向关键管理人员报告。</w:t>
      </w:r>
      <w:r>
        <w:rPr>
          <w:spacing w:val="-53"/>
        </w:rPr>
        <w:t> </w:t>
      </w:r>
      <w:r>
        <w:rPr>
          <w:spacing w:val="-53"/>
        </w:rPr>
      </w:r>
      <w:r>
        <w:rPr>
          <w:spacing w:val="-2"/>
        </w:rPr>
        <w:t>本公司对此类金融负债采用公允价值进行后续计量，除由本公司自身信用风险变动引起的公</w:t>
      </w:r>
      <w:r>
        <w:rPr>
          <w:w w:val="100"/>
        </w:rPr>
        <w:t> </w:t>
      </w:r>
      <w:r>
        <w:rPr>
          <w:spacing w:val="-1"/>
        </w:rPr>
        <w:t>允价值变动计入其他综合收益之外，其他公允价值变动计入当期损益。除非由本公司自身信用风</w:t>
      </w:r>
      <w:r>
        <w:rPr>
          <w:spacing w:val="-71"/>
        </w:rPr>
        <w:t> </w:t>
      </w:r>
      <w:r>
        <w:rPr>
          <w:spacing w:val="-71"/>
        </w:rPr>
      </w:r>
      <w:r>
        <w:rPr>
          <w:spacing w:val="-1"/>
        </w:rPr>
        <w:t>险变动引起的公允价值变动计入其他综合收益会造成或扩大损益中的会计错配，本公司将所有公</w:t>
      </w:r>
    </w:p>
    <w:p>
      <w:pPr>
        <w:pStyle w:val="BodyText"/>
        <w:spacing w:line="240" w:lineRule="auto" w:before="20"/>
        <w:ind w:left="136" w:right="0"/>
        <w:jc w:val="both"/>
      </w:pPr>
      <w:r>
        <w:rPr/>
        <w:t>允价值变动（包括自身信用风险变动的影响金额）计入当期损益。</w:t>
      </w:r>
    </w:p>
    <w:p>
      <w:pPr>
        <w:pStyle w:val="BodyText"/>
        <w:spacing w:line="297" w:lineRule="auto" w:before="85"/>
        <w:ind w:left="557" w:right="0"/>
        <w:jc w:val="left"/>
      </w:pPr>
      <w:r>
        <w:rPr/>
        <w:t>（</w:t>
      </w:r>
      <w:r>
        <w:rPr>
          <w:rFonts w:ascii="Times New Roman" w:hAnsi="Times New Roman" w:cs="Times New Roman" w:eastAsia="Times New Roman" w:hint="default"/>
        </w:rPr>
        <w:t>2</w:t>
      </w:r>
      <w:r>
        <w:rPr/>
        <w:t>）其他金融负债</w:t>
      </w:r>
      <w:r>
        <w:rPr>
          <w:w w:val="100"/>
        </w:rPr>
        <w:t> </w:t>
      </w:r>
      <w:r>
        <w:rPr>
          <w:spacing w:val="-2"/>
        </w:rPr>
        <w:t>除下列各项外，公司将金融负债分类为以摊余成本计量的金融负债，对此类金融负债采用实</w:t>
      </w:r>
    </w:p>
    <w:p>
      <w:pPr>
        <w:pStyle w:val="BodyText"/>
        <w:spacing w:line="314" w:lineRule="auto" w:before="34"/>
        <w:ind w:left="557" w:right="0" w:hanging="421"/>
        <w:jc w:val="left"/>
      </w:pPr>
      <w:r>
        <w:rPr>
          <w:spacing w:val="-2"/>
        </w:rPr>
        <w:t>际利率法，按照摊余成本进行后续计量，终止确认或摊销产生的利得或损失计入当期损益：</w:t>
      </w:r>
      <w:r>
        <w:rPr>
          <w:spacing w:val="-28"/>
        </w:rPr>
        <w:t> </w:t>
      </w:r>
      <w:r>
        <w:rPr>
          <w:spacing w:val="-28"/>
        </w:rPr>
      </w:r>
      <w:r>
        <w:rPr>
          <w:rFonts w:ascii="宋体" w:hAnsi="宋体" w:cs="宋体" w:eastAsia="宋体" w:hint="default"/>
        </w:rPr>
        <w:t>5</w:t>
      </w:r>
      <w:r>
        <w:rPr/>
        <w:t>）以公允价值计量且其变动计入当期损益的金融负债。</w:t>
      </w:r>
    </w:p>
    <w:p>
      <w:pPr>
        <w:pStyle w:val="BodyText"/>
        <w:spacing w:line="240" w:lineRule="auto" w:before="20"/>
        <w:ind w:left="557" w:right="0"/>
        <w:jc w:val="left"/>
      </w:pPr>
      <w:r>
        <w:rPr>
          <w:rFonts w:ascii="宋体" w:hAnsi="宋体" w:cs="宋体" w:eastAsia="宋体" w:hint="default"/>
        </w:rPr>
        <w:t>6</w:t>
      </w:r>
      <w:r>
        <w:rPr/>
        <w:t>）金融资产转移不符合终止确认条件或继续涉入被转移金融资产所形成的金融负债。</w:t>
      </w:r>
    </w:p>
    <w:p>
      <w:pPr>
        <w:pStyle w:val="BodyText"/>
        <w:spacing w:line="297" w:lineRule="auto" w:before="85"/>
        <w:ind w:left="136" w:right="129" w:firstLine="420"/>
        <w:jc w:val="both"/>
      </w:pPr>
      <w:r>
        <w:rPr>
          <w:rFonts w:ascii="宋体" w:hAnsi="宋体" w:cs="宋体" w:eastAsia="宋体" w:hint="default"/>
          <w:spacing w:val="-3"/>
        </w:rPr>
        <w:t>7</w:t>
      </w:r>
      <w:r>
        <w:rPr>
          <w:spacing w:val="-3"/>
        </w:rPr>
        <w:t>）不属于本条前两类情形的财务担保合同，以及不属于本条第</w:t>
      </w:r>
      <w:r>
        <w:rPr>
          <w:spacing w:val="-1"/>
        </w:rPr>
        <w:t> </w:t>
      </w:r>
      <w:r>
        <w:rPr>
          <w:rFonts w:ascii="Times New Roman" w:hAnsi="Times New Roman" w:cs="Times New Roman" w:eastAsia="Times New Roman" w:hint="default"/>
          <w:spacing w:val="-3"/>
        </w:rPr>
        <w:t>1</w:t>
      </w:r>
      <w:r>
        <w:rPr>
          <w:spacing w:val="-3"/>
        </w:rPr>
        <w:t>）类情形的以低于市场利率</w:t>
      </w:r>
      <w:r>
        <w:rPr>
          <w:w w:val="100"/>
        </w:rPr>
        <w:t> </w:t>
      </w:r>
      <w:r>
        <w:rPr/>
        <w:t>贷款的贷款承诺。</w:t>
      </w:r>
    </w:p>
    <w:p>
      <w:pPr>
        <w:spacing w:after="0" w:line="297" w:lineRule="auto"/>
        <w:jc w:val="both"/>
        <w:sectPr>
          <w:pgSz w:w="11910" w:h="16840"/>
          <w:pgMar w:header="857" w:footer="979" w:top="1120" w:bottom="1160" w:left="1140" w:right="1660"/>
        </w:sectPr>
      </w:pPr>
    </w:p>
    <w:p>
      <w:pPr>
        <w:spacing w:line="240" w:lineRule="auto" w:before="4"/>
        <w:rPr>
          <w:rFonts w:ascii="宋体" w:hAnsi="宋体" w:cs="宋体" w:eastAsia="宋体" w:hint="default"/>
          <w:sz w:val="24"/>
          <w:szCs w:val="24"/>
        </w:rPr>
      </w:pPr>
    </w:p>
    <w:p>
      <w:pPr>
        <w:pStyle w:val="BodyText"/>
        <w:spacing w:line="314" w:lineRule="auto" w:before="36"/>
        <w:ind w:left="136" w:right="209" w:firstLine="420"/>
        <w:jc w:val="both"/>
      </w:pPr>
      <w:r>
        <w:rPr>
          <w:spacing w:val="-2"/>
        </w:rPr>
        <w:t>财务担保合同是指当特定债务人到期不能按照最初或修改后的债务工具条款偿付债务时，要</w:t>
      </w:r>
      <w:r>
        <w:rPr>
          <w:w w:val="100"/>
        </w:rPr>
        <w:t> </w:t>
      </w:r>
      <w:r>
        <w:rPr>
          <w:spacing w:val="-1"/>
        </w:rPr>
        <w:t>求发行方向蒙受损失的合同持有人赔付特定金额的合同。不属于指定为以公允价值计量且其变动</w:t>
      </w:r>
      <w:r>
        <w:rPr>
          <w:spacing w:val="-55"/>
        </w:rPr>
        <w:t> </w:t>
      </w:r>
      <w:r>
        <w:rPr>
          <w:spacing w:val="-55"/>
        </w:rPr>
      </w:r>
      <w:r>
        <w:rPr>
          <w:spacing w:val="-1"/>
        </w:rPr>
        <w:t>计入当期损益的金融负债的财务担保合同，在初始确认后按照损失准备金额以及初始确认金额扣</w:t>
      </w:r>
      <w:r>
        <w:rPr>
          <w:spacing w:val="-55"/>
        </w:rPr>
        <w:t> </w:t>
      </w:r>
      <w:r>
        <w:rPr>
          <w:spacing w:val="-55"/>
        </w:rPr>
      </w:r>
      <w:r>
        <w:rPr/>
        <w:t>除担保期内的累计摊销额后的余额孰高进行计量。</w:t>
      </w:r>
    </w:p>
    <w:p>
      <w:pPr>
        <w:pStyle w:val="Heading4"/>
        <w:spacing w:line="240" w:lineRule="auto" w:before="20"/>
        <w:ind w:left="557" w:right="2819"/>
        <w:jc w:val="left"/>
        <w:rPr>
          <w:b w:val="0"/>
          <w:bCs w:val="0"/>
        </w:rPr>
      </w:pPr>
      <w:r>
        <w:rPr>
          <w:rFonts w:ascii="Times New Roman" w:hAnsi="Times New Roman" w:cs="Times New Roman" w:eastAsia="Times New Roman" w:hint="default"/>
        </w:rPr>
        <w:t>3.</w:t>
      </w:r>
      <w:r>
        <w:rPr/>
        <w:t>金融资产和金融负债的终止确认</w:t>
      </w:r>
      <w:r>
        <w:rPr>
          <w:b w:val="0"/>
          <w:bCs w:val="0"/>
        </w:rPr>
      </w:r>
    </w:p>
    <w:p>
      <w:pPr>
        <w:pStyle w:val="BodyText"/>
        <w:spacing w:line="297" w:lineRule="auto" w:before="69"/>
        <w:ind w:left="1277" w:right="0" w:hanging="720"/>
        <w:jc w:val="left"/>
      </w:pPr>
      <w:r>
        <w:rPr/>
        <w:t>（</w:t>
      </w:r>
      <w:r>
        <w:rPr>
          <w:rFonts w:ascii="Times New Roman" w:hAnsi="Times New Roman" w:cs="Times New Roman" w:eastAsia="Times New Roman" w:hint="default"/>
        </w:rPr>
        <w:t>1</w:t>
      </w:r>
      <w:r>
        <w:rPr/>
        <w:t>）</w:t>
      </w:r>
      <w:r>
        <w:rPr>
          <w:spacing w:val="41"/>
        </w:rPr>
        <w:t> </w:t>
      </w:r>
      <w:r>
        <w:rPr>
          <w:rFonts w:ascii="宋体" w:hAnsi="宋体" w:cs="宋体" w:eastAsia="宋体" w:hint="default"/>
          <w:spacing w:val="41"/>
        </w:rPr>
      </w:r>
      <w:r>
        <w:rPr>
          <w:spacing w:val="-4"/>
        </w:rPr>
        <w:t>金融资产满足下列条件之一的，终止确认金融资产，即从其账户和资产负债表内予以</w:t>
      </w:r>
      <w:r>
        <w:rPr>
          <w:spacing w:val="-100"/>
        </w:rPr>
        <w:t> </w:t>
      </w:r>
      <w:r>
        <w:rPr>
          <w:spacing w:val="-100"/>
        </w:rPr>
      </w:r>
      <w:r>
        <w:rPr/>
        <w:t>转销：</w:t>
      </w:r>
    </w:p>
    <w:p>
      <w:pPr>
        <w:pStyle w:val="BodyText"/>
        <w:spacing w:line="240" w:lineRule="auto" w:before="34"/>
        <w:ind w:left="562" w:right="2819"/>
        <w:jc w:val="left"/>
      </w:pPr>
      <w:r>
        <w:rPr>
          <w:rFonts w:ascii="Times New Roman" w:hAnsi="Times New Roman" w:cs="Times New Roman" w:eastAsia="Times New Roman" w:hint="default"/>
        </w:rPr>
        <w:t>1</w:t>
      </w:r>
      <w:r>
        <w:rPr/>
        <w:t>）</w:t>
      </w:r>
      <w:r>
        <w:rPr>
          <w:spacing w:val="-62"/>
        </w:rPr>
        <w:t> </w:t>
      </w:r>
      <w:r>
        <w:rPr/>
        <w:t>收取该金融资产现金流量的合同权利终止。</w:t>
      </w:r>
    </w:p>
    <w:p>
      <w:pPr>
        <w:pStyle w:val="BodyText"/>
        <w:spacing w:line="240" w:lineRule="auto" w:before="69"/>
        <w:ind w:left="562" w:right="0"/>
        <w:jc w:val="left"/>
      </w:pPr>
      <w:r>
        <w:rPr>
          <w:rFonts w:ascii="Times New Roman" w:hAnsi="Times New Roman" w:cs="Times New Roman" w:eastAsia="Times New Roman" w:hint="default"/>
        </w:rPr>
        <w:t>2</w:t>
      </w:r>
      <w:r>
        <w:rPr/>
        <w:t>）</w:t>
      </w:r>
      <w:r>
        <w:rPr>
          <w:spacing w:val="-7"/>
        </w:rPr>
        <w:t> </w:t>
      </w:r>
      <w:r>
        <w:rPr>
          <w:spacing w:val="-2"/>
        </w:rPr>
        <w:t>该金融资产已转移，且该转移满足金融资产终止确认的规定。</w:t>
      </w:r>
    </w:p>
    <w:p>
      <w:pPr>
        <w:pStyle w:val="BodyText"/>
        <w:spacing w:line="297" w:lineRule="auto" w:before="69"/>
        <w:ind w:left="557" w:right="0"/>
        <w:jc w:val="left"/>
      </w:pPr>
      <w:r>
        <w:rPr/>
        <w:t>（</w:t>
      </w:r>
      <w:r>
        <w:rPr>
          <w:rFonts w:ascii="Times New Roman" w:hAnsi="Times New Roman" w:cs="Times New Roman" w:eastAsia="Times New Roman" w:hint="default"/>
        </w:rPr>
        <w:t>2</w:t>
      </w:r>
      <w:r>
        <w:rPr/>
        <w:t>）金融负债终止确认条件</w:t>
      </w:r>
      <w:r>
        <w:rPr>
          <w:w w:val="100"/>
        </w:rPr>
        <w:t> </w:t>
      </w:r>
      <w:r>
        <w:rPr>
          <w:spacing w:val="-2"/>
        </w:rPr>
        <w:t>金融负债（或其一部分）的现时义务已经解除的，则终止确认该金融负债（或该部分金融负</w:t>
      </w:r>
    </w:p>
    <w:p>
      <w:pPr>
        <w:pStyle w:val="BodyText"/>
        <w:spacing w:line="240" w:lineRule="auto" w:before="34"/>
        <w:ind w:left="136" w:right="2819"/>
        <w:jc w:val="left"/>
      </w:pPr>
      <w:r>
        <w:rPr>
          <w:w w:val="100"/>
        </w:rPr>
        <w:t>债</w:t>
      </w:r>
      <w:r>
        <w:rPr>
          <w:spacing w:val="-106"/>
          <w:w w:val="100"/>
        </w:rPr>
        <w:t>）</w:t>
      </w:r>
      <w:r>
        <w:rPr>
          <w:w w:val="100"/>
        </w:rPr>
        <w:t>。</w:t>
      </w:r>
    </w:p>
    <w:p>
      <w:pPr>
        <w:pStyle w:val="BodyText"/>
        <w:spacing w:line="314" w:lineRule="auto" w:before="85"/>
        <w:ind w:left="136" w:right="209" w:firstLine="420"/>
        <w:jc w:val="both"/>
      </w:pPr>
      <w:r>
        <w:rPr>
          <w:spacing w:val="-2"/>
        </w:rPr>
        <w:t>本公司与借出方之间签订协议，以承担新金融负债方式替换原金融负债，且新金融负债与原</w:t>
      </w:r>
      <w:r>
        <w:rPr>
          <w:w w:val="100"/>
        </w:rPr>
        <w:t> </w:t>
      </w:r>
      <w:r>
        <w:rPr>
          <w:spacing w:val="-1"/>
        </w:rPr>
        <w:t>金融负债的合同条款实质上不同的，或对原金融负债（或其一部分）的合同条款做出实质性修改</w:t>
      </w:r>
      <w:r>
        <w:rPr>
          <w:spacing w:val="-55"/>
        </w:rPr>
        <w:t> </w:t>
      </w:r>
      <w:r>
        <w:rPr>
          <w:spacing w:val="-55"/>
        </w:rPr>
      </w:r>
      <w:r>
        <w:rPr>
          <w:spacing w:val="-1"/>
        </w:rPr>
        <w:t>的，则终止确认原金融负债，同时确认一项新金融负债，账面价值与支付的对价（包括转出的非</w:t>
      </w:r>
      <w:r>
        <w:rPr>
          <w:spacing w:val="-55"/>
        </w:rPr>
        <w:t> </w:t>
      </w:r>
      <w:r>
        <w:rPr>
          <w:spacing w:val="-55"/>
        </w:rPr>
      </w:r>
      <w:r>
        <w:rPr/>
        <w:t>现金资产或承担的负债）之间的差额，计入当期损益。</w:t>
      </w:r>
    </w:p>
    <w:p>
      <w:pPr>
        <w:pStyle w:val="BodyText"/>
        <w:spacing w:line="314" w:lineRule="auto" w:before="20"/>
        <w:ind w:left="136" w:right="209" w:firstLine="420"/>
        <w:jc w:val="both"/>
      </w:pPr>
      <w:r>
        <w:rPr>
          <w:spacing w:val="-2"/>
        </w:rPr>
        <w:t>本公司回购金融负债一部分的，按照继续确认部分和终止确认部分在回购日各自的公允价值</w:t>
      </w:r>
      <w:r>
        <w:rPr>
          <w:w w:val="100"/>
        </w:rPr>
        <w:t> </w:t>
      </w:r>
      <w:r>
        <w:rPr>
          <w:spacing w:val="-1"/>
        </w:rPr>
        <w:t>占整体公允价值的比例，对该金融负债整体的账面价值进行分配。分配给终止确认部分的账面价</w:t>
      </w:r>
      <w:r>
        <w:rPr>
          <w:spacing w:val="-55"/>
        </w:rPr>
        <w:t> </w:t>
      </w:r>
      <w:r>
        <w:rPr>
          <w:spacing w:val="-55"/>
        </w:rPr>
      </w:r>
      <w:r>
        <w:rPr/>
        <w:t>值与支付的对价（包括转出的非现金资产或承担的负债）之间的差额，应当计入当期损益。</w:t>
      </w:r>
    </w:p>
    <w:p>
      <w:pPr>
        <w:spacing w:line="297" w:lineRule="auto" w:before="20"/>
        <w:ind w:left="55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本公司在发生金融资产转移时，评估其保留金融资产所有权上的风险和报酬的程度，并分别</w:t>
      </w:r>
    </w:p>
    <w:p>
      <w:pPr>
        <w:pStyle w:val="BodyText"/>
        <w:spacing w:line="240" w:lineRule="auto" w:before="34"/>
        <w:ind w:left="136" w:right="2819"/>
        <w:jc w:val="left"/>
      </w:pPr>
      <w:r>
        <w:rPr/>
        <w:t>下列情形处理：</w:t>
      </w:r>
    </w:p>
    <w:p>
      <w:pPr>
        <w:pStyle w:val="BodyText"/>
        <w:spacing w:line="297" w:lineRule="auto" w:before="85"/>
        <w:ind w:left="136" w:right="209" w:firstLine="420"/>
        <w:jc w:val="both"/>
      </w:pPr>
      <w:r>
        <w:rPr>
          <w:spacing w:val="-4"/>
        </w:rPr>
        <w:t>（</w:t>
      </w:r>
      <w:r>
        <w:rPr>
          <w:rFonts w:ascii="Times New Roman" w:hAnsi="Times New Roman" w:cs="Times New Roman" w:eastAsia="Times New Roman" w:hint="default"/>
          <w:spacing w:val="-4"/>
        </w:rPr>
        <w:t>1</w:t>
      </w:r>
      <w:r>
        <w:rPr>
          <w:spacing w:val="-4"/>
        </w:rPr>
        <w:t>）转移了金融资产所有权上几乎所有风险和报酬的，则终止确认该金融资产，并将转移中</w:t>
      </w:r>
      <w:r>
        <w:rPr>
          <w:w w:val="100"/>
        </w:rPr>
        <w:t> </w:t>
      </w:r>
      <w:r>
        <w:rPr/>
        <w:t>产生或保留的权利和义务单独确认为资产或负债。</w:t>
      </w:r>
    </w:p>
    <w:p>
      <w:pPr>
        <w:pStyle w:val="BodyText"/>
        <w:spacing w:line="240" w:lineRule="auto" w:before="34"/>
        <w:ind w:left="557" w:right="0"/>
        <w:jc w:val="left"/>
      </w:pPr>
      <w:r>
        <w:rPr/>
        <w:t>（</w:t>
      </w:r>
      <w:r>
        <w:rPr>
          <w:rFonts w:ascii="Times New Roman" w:hAnsi="Times New Roman" w:cs="Times New Roman" w:eastAsia="Times New Roman" w:hint="default"/>
        </w:rPr>
        <w:t>2</w:t>
      </w:r>
      <w:r>
        <w:rPr/>
        <w:t>）保留了金融资产所有权上几乎所有风险和报酬的，则继续确认该金融资产。</w:t>
      </w:r>
    </w:p>
    <w:p>
      <w:pPr>
        <w:pStyle w:val="BodyText"/>
        <w:spacing w:line="297" w:lineRule="auto" w:before="69"/>
        <w:ind w:left="242" w:right="97" w:firstLine="314"/>
        <w:jc w:val="left"/>
      </w:pPr>
      <w:r>
        <w:rPr>
          <w:w w:val="100"/>
        </w:rPr>
        <w:t>（</w:t>
      </w:r>
      <w:r>
        <w:rPr>
          <w:rFonts w:ascii="Times New Roman" w:hAnsi="Times New Roman" w:cs="Times New Roman" w:eastAsia="Times New Roman" w:hint="default"/>
          <w:spacing w:val="-1"/>
          <w:w w:val="100"/>
        </w:rPr>
        <w:t>3</w:t>
      </w:r>
      <w:r>
        <w:rPr>
          <w:w w:val="100"/>
        </w:rPr>
        <w:t>）</w:t>
      </w:r>
      <w:r>
        <w:rPr>
          <w:spacing w:val="-3"/>
          <w:w w:val="100"/>
        </w:rPr>
        <w:t>既</w:t>
      </w:r>
      <w:r>
        <w:rPr>
          <w:w w:val="100"/>
        </w:rPr>
        <w:t>没有</w:t>
      </w:r>
      <w:r>
        <w:rPr>
          <w:spacing w:val="-3"/>
          <w:w w:val="100"/>
        </w:rPr>
        <w:t>转</w:t>
      </w:r>
      <w:r>
        <w:rPr>
          <w:w w:val="100"/>
        </w:rPr>
        <w:t>移也</w:t>
      </w:r>
      <w:r>
        <w:rPr>
          <w:spacing w:val="-3"/>
          <w:w w:val="100"/>
        </w:rPr>
        <w:t>没</w:t>
      </w:r>
      <w:r>
        <w:rPr>
          <w:w w:val="100"/>
        </w:rPr>
        <w:t>有</w:t>
      </w:r>
      <w:r>
        <w:rPr>
          <w:spacing w:val="-3"/>
          <w:w w:val="100"/>
        </w:rPr>
        <w:t>保</w:t>
      </w:r>
      <w:r>
        <w:rPr>
          <w:w w:val="100"/>
        </w:rPr>
        <w:t>留金融</w:t>
      </w:r>
      <w:r>
        <w:rPr>
          <w:spacing w:val="-3"/>
          <w:w w:val="100"/>
        </w:rPr>
        <w:t>资</w:t>
      </w:r>
      <w:r>
        <w:rPr>
          <w:w w:val="100"/>
        </w:rPr>
        <w:t>产</w:t>
      </w:r>
      <w:r>
        <w:rPr>
          <w:spacing w:val="-3"/>
          <w:w w:val="100"/>
        </w:rPr>
        <w:t>所</w:t>
      </w:r>
      <w:r>
        <w:rPr>
          <w:w w:val="100"/>
        </w:rPr>
        <w:t>有权</w:t>
      </w:r>
      <w:r>
        <w:rPr>
          <w:spacing w:val="-3"/>
          <w:w w:val="100"/>
        </w:rPr>
        <w:t>上</w:t>
      </w:r>
      <w:r>
        <w:rPr>
          <w:w w:val="100"/>
        </w:rPr>
        <w:t>几</w:t>
      </w:r>
      <w:r>
        <w:rPr>
          <w:spacing w:val="-3"/>
          <w:w w:val="100"/>
        </w:rPr>
        <w:t>乎</w:t>
      </w:r>
      <w:r>
        <w:rPr>
          <w:w w:val="100"/>
        </w:rPr>
        <w:t>所有风</w:t>
      </w:r>
      <w:r>
        <w:rPr>
          <w:spacing w:val="-3"/>
          <w:w w:val="100"/>
        </w:rPr>
        <w:t>险</w:t>
      </w:r>
      <w:r>
        <w:rPr>
          <w:w w:val="100"/>
        </w:rPr>
        <w:t>和</w:t>
      </w:r>
      <w:r>
        <w:rPr>
          <w:spacing w:val="-3"/>
          <w:w w:val="100"/>
        </w:rPr>
        <w:t>报</w:t>
      </w:r>
      <w:r>
        <w:rPr>
          <w:w w:val="100"/>
        </w:rPr>
        <w:t>酬的</w:t>
      </w:r>
      <w:r>
        <w:rPr>
          <w:spacing w:val="-3"/>
          <w:w w:val="100"/>
        </w:rPr>
        <w:t>（</w:t>
      </w:r>
      <w:r>
        <w:rPr>
          <w:w w:val="100"/>
        </w:rPr>
        <w:t>即</w:t>
      </w:r>
      <w:r>
        <w:rPr>
          <w:spacing w:val="-3"/>
          <w:w w:val="100"/>
        </w:rPr>
        <w:t>除</w:t>
      </w:r>
      <w:r>
        <w:rPr>
          <w:w w:val="100"/>
        </w:rPr>
        <w:t>本条（</w:t>
      </w:r>
      <w:r>
        <w:rPr>
          <w:rFonts w:ascii="Times New Roman" w:hAnsi="Times New Roman" w:cs="Times New Roman" w:eastAsia="Times New Roman" w:hint="default"/>
          <w:w w:val="100"/>
        </w:rPr>
        <w:t>1</w:t>
      </w:r>
      <w:r>
        <w:rPr>
          <w:spacing w:val="-106"/>
          <w:w w:val="100"/>
        </w:rPr>
        <w:t>）</w:t>
      </w:r>
      <w:r>
        <w:rPr>
          <w:spacing w:val="-108"/>
          <w:w w:val="100"/>
        </w:rPr>
        <w:t>、</w:t>
      </w:r>
      <w:r>
        <w:rPr>
          <w:spacing w:val="-1"/>
          <w:w w:val="100"/>
        </w:rPr>
        <w:t>（</w:t>
      </w:r>
      <w:r>
        <w:rPr>
          <w:rFonts w:ascii="Times New Roman" w:hAnsi="Times New Roman" w:cs="Times New Roman" w:eastAsia="Times New Roman" w:hint="default"/>
          <w:w w:val="100"/>
        </w:rPr>
        <w:t>2</w:t>
      </w:r>
      <w:r>
        <w:rPr>
          <w:w w:val="100"/>
        </w:rPr>
        <w:t>） 之外</w:t>
      </w:r>
      <w:r>
        <w:rPr>
          <w:spacing w:val="-3"/>
          <w:w w:val="100"/>
        </w:rPr>
        <w:t>的</w:t>
      </w:r>
      <w:r>
        <w:rPr>
          <w:w w:val="100"/>
        </w:rPr>
        <w:t>其</w:t>
      </w:r>
      <w:r>
        <w:rPr>
          <w:spacing w:val="-3"/>
          <w:w w:val="100"/>
        </w:rPr>
        <w:t>他</w:t>
      </w:r>
      <w:r>
        <w:rPr>
          <w:w w:val="100"/>
        </w:rPr>
        <w:t>情</w:t>
      </w:r>
      <w:r>
        <w:rPr>
          <w:spacing w:val="-3"/>
          <w:w w:val="100"/>
        </w:rPr>
        <w:t>形</w:t>
      </w:r>
      <w:r>
        <w:rPr>
          <w:spacing w:val="-106"/>
          <w:w w:val="100"/>
        </w:rPr>
        <w:t>）</w:t>
      </w:r>
      <w:r>
        <w:rPr>
          <w:spacing w:val="-3"/>
          <w:w w:val="100"/>
        </w:rPr>
        <w:t>，</w:t>
      </w:r>
      <w:r>
        <w:rPr>
          <w:w w:val="100"/>
        </w:rPr>
        <w:t>则</w:t>
      </w:r>
      <w:r>
        <w:rPr>
          <w:spacing w:val="-3"/>
          <w:w w:val="100"/>
        </w:rPr>
        <w:t>根据</w:t>
      </w:r>
      <w:r>
        <w:rPr>
          <w:w w:val="100"/>
        </w:rPr>
        <w:t>其是</w:t>
      </w:r>
      <w:r>
        <w:rPr>
          <w:spacing w:val="-3"/>
          <w:w w:val="100"/>
        </w:rPr>
        <w:t>否</w:t>
      </w:r>
      <w:r>
        <w:rPr>
          <w:w w:val="100"/>
        </w:rPr>
        <w:t>保</w:t>
      </w:r>
      <w:r>
        <w:rPr>
          <w:spacing w:val="-3"/>
          <w:w w:val="100"/>
        </w:rPr>
        <w:t>留</w:t>
      </w:r>
      <w:r>
        <w:rPr>
          <w:w w:val="100"/>
        </w:rPr>
        <w:t>了</w:t>
      </w:r>
      <w:r>
        <w:rPr>
          <w:spacing w:val="-3"/>
          <w:w w:val="100"/>
        </w:rPr>
        <w:t>对</w:t>
      </w:r>
      <w:r>
        <w:rPr>
          <w:w w:val="100"/>
        </w:rPr>
        <w:t>金</w:t>
      </w:r>
      <w:r>
        <w:rPr>
          <w:spacing w:val="-3"/>
          <w:w w:val="100"/>
        </w:rPr>
        <w:t>融</w:t>
      </w:r>
      <w:r>
        <w:rPr>
          <w:w w:val="100"/>
        </w:rPr>
        <w:t>资</w:t>
      </w:r>
      <w:r>
        <w:rPr>
          <w:spacing w:val="-3"/>
          <w:w w:val="100"/>
        </w:rPr>
        <w:t>产</w:t>
      </w:r>
      <w:r>
        <w:rPr>
          <w:w w:val="100"/>
        </w:rPr>
        <w:t>的控</w:t>
      </w:r>
      <w:r>
        <w:rPr>
          <w:spacing w:val="-3"/>
          <w:w w:val="100"/>
        </w:rPr>
        <w:t>制</w:t>
      </w:r>
      <w:r>
        <w:rPr>
          <w:w w:val="100"/>
        </w:rPr>
        <w:t>，</w:t>
      </w:r>
      <w:r>
        <w:rPr>
          <w:spacing w:val="-3"/>
          <w:w w:val="100"/>
        </w:rPr>
        <w:t>分</w:t>
      </w:r>
      <w:r>
        <w:rPr>
          <w:w w:val="100"/>
        </w:rPr>
        <w:t>别</w:t>
      </w:r>
      <w:r>
        <w:rPr>
          <w:spacing w:val="-3"/>
          <w:w w:val="100"/>
        </w:rPr>
        <w:t>下</w:t>
      </w:r>
      <w:r>
        <w:rPr>
          <w:w w:val="100"/>
        </w:rPr>
        <w:t>列</w:t>
      </w:r>
      <w:r>
        <w:rPr>
          <w:spacing w:val="-3"/>
          <w:w w:val="100"/>
        </w:rPr>
        <w:t>情</w:t>
      </w:r>
      <w:r>
        <w:rPr>
          <w:w w:val="100"/>
        </w:rPr>
        <w:t>形</w:t>
      </w:r>
      <w:r>
        <w:rPr>
          <w:spacing w:val="-3"/>
          <w:w w:val="100"/>
        </w:rPr>
        <w:t>处</w:t>
      </w:r>
      <w:r>
        <w:rPr>
          <w:w w:val="100"/>
        </w:rPr>
        <w:t>理：</w:t>
      </w:r>
    </w:p>
    <w:p>
      <w:pPr>
        <w:pStyle w:val="BodyText"/>
        <w:spacing w:line="297" w:lineRule="auto" w:before="34"/>
        <w:ind w:left="136" w:right="211" w:firstLine="420"/>
        <w:jc w:val="both"/>
      </w:pPr>
      <w:r>
        <w:rPr>
          <w:rFonts w:ascii="Times New Roman" w:hAnsi="Times New Roman" w:cs="Times New Roman" w:eastAsia="Times New Roman" w:hint="default"/>
          <w:spacing w:val="-4"/>
        </w:rPr>
        <w:t>3</w:t>
      </w:r>
      <w:r>
        <w:rPr>
          <w:spacing w:val="-4"/>
        </w:rPr>
        <w:t>）未保留对该金融资产控制的，则终止确认该金融资产，并将转移中产生或保留的权利和义</w:t>
      </w:r>
      <w:r>
        <w:rPr>
          <w:w w:val="100"/>
        </w:rPr>
        <w:t> </w:t>
      </w:r>
      <w:r>
        <w:rPr/>
        <w:t>务单独确认为资产或负债。</w:t>
      </w:r>
    </w:p>
    <w:p>
      <w:pPr>
        <w:pStyle w:val="BodyText"/>
        <w:spacing w:line="307" w:lineRule="auto" w:before="34"/>
        <w:ind w:left="136" w:right="209" w:firstLine="420"/>
        <w:jc w:val="both"/>
      </w:pPr>
      <w:r>
        <w:rPr>
          <w:rFonts w:ascii="Times New Roman" w:hAnsi="Times New Roman" w:cs="Times New Roman" w:eastAsia="Times New Roman" w:hint="default"/>
          <w:spacing w:val="-4"/>
          <w:w w:val="100"/>
        </w:rPr>
        <w:t>4</w:t>
      </w:r>
      <w:r>
        <w:rPr>
          <w:spacing w:val="-4"/>
          <w:w w:val="100"/>
        </w:rPr>
        <w:t>）保留了对该金融资产控制的，则按照其继续涉入被转移金融资产的程度继续确认有关金融</w:t>
      </w:r>
      <w:r>
        <w:rPr>
          <w:w w:val="100"/>
        </w:rPr>
        <w:t> </w:t>
      </w:r>
      <w:r>
        <w:rPr>
          <w:spacing w:val="-1"/>
        </w:rPr>
        <w:t>资产，并相应确认相关负债。继续涉入被转移金融资产的程度，是指本公司承担的被转移金融资</w:t>
      </w:r>
      <w:r>
        <w:rPr>
          <w:spacing w:val="-55"/>
        </w:rPr>
        <w:t> </w:t>
      </w:r>
      <w:r>
        <w:rPr>
          <w:spacing w:val="-55"/>
        </w:rPr>
      </w:r>
      <w:r>
        <w:rPr/>
        <w:t>产价值变动风险或报酬的程度。</w:t>
      </w:r>
    </w:p>
    <w:p>
      <w:pPr>
        <w:pStyle w:val="BodyText"/>
        <w:spacing w:line="314" w:lineRule="auto" w:before="26"/>
        <w:ind w:left="136" w:right="211" w:firstLine="420"/>
        <w:jc w:val="both"/>
      </w:pPr>
      <w:r>
        <w:rPr>
          <w:spacing w:val="-2"/>
        </w:rPr>
        <w:t>在判断金融资产转移是否满足上述金融资产终止确认条件时，采用实质重于形式的原则。公</w:t>
      </w:r>
      <w:r>
        <w:rPr>
          <w:w w:val="100"/>
        </w:rPr>
        <w:t> </w:t>
      </w:r>
      <w:r>
        <w:rPr/>
        <w:t>司将金融资产转移区分为金融资产整体转移和部分转移。</w:t>
      </w:r>
    </w:p>
    <w:p>
      <w:pPr>
        <w:pStyle w:val="BodyText"/>
        <w:spacing w:line="240" w:lineRule="auto" w:before="20"/>
        <w:ind w:left="557" w:right="0"/>
        <w:jc w:val="left"/>
      </w:pPr>
      <w:r>
        <w:rPr/>
        <w:t>（</w:t>
      </w:r>
      <w:r>
        <w:rPr>
          <w:rFonts w:ascii="Times New Roman" w:hAnsi="Times New Roman" w:cs="Times New Roman" w:eastAsia="Times New Roman" w:hint="default"/>
        </w:rPr>
        <w:t>1</w:t>
      </w:r>
      <w:r>
        <w:rPr/>
        <w:t>）</w:t>
      </w:r>
      <w:r>
        <w:rPr>
          <w:spacing w:val="84"/>
        </w:rPr>
        <w:t> </w:t>
      </w:r>
      <w:r>
        <w:rPr>
          <w:rFonts w:ascii="宋体" w:hAnsi="宋体" w:cs="宋体" w:eastAsia="宋体" w:hint="default"/>
          <w:spacing w:val="84"/>
        </w:rPr>
      </w:r>
      <w:r>
        <w:rPr/>
        <w:t>金融资产整体转移满足终止确认条件的，将下列两项金额的差额计入当期损益：</w:t>
      </w:r>
    </w:p>
    <w:p>
      <w:pPr>
        <w:pStyle w:val="BodyText"/>
        <w:spacing w:line="240" w:lineRule="auto" w:before="69"/>
        <w:ind w:left="562" w:right="2819"/>
        <w:jc w:val="left"/>
      </w:pPr>
      <w:r>
        <w:rPr>
          <w:rFonts w:ascii="Times New Roman" w:hAnsi="Times New Roman" w:cs="Times New Roman" w:eastAsia="Times New Roman" w:hint="default"/>
        </w:rPr>
        <w:t>1</w:t>
      </w:r>
      <w:r>
        <w:rPr/>
        <w:t>）</w:t>
      </w:r>
      <w:r>
        <w:rPr>
          <w:spacing w:val="-62"/>
        </w:rPr>
        <w:t> </w:t>
      </w:r>
      <w:r>
        <w:rPr/>
        <w:t>被转移金融资产在终止确认日的账面价值。</w:t>
      </w:r>
    </w:p>
    <w:p>
      <w:pPr>
        <w:pStyle w:val="BodyText"/>
        <w:spacing w:line="297" w:lineRule="auto" w:before="69"/>
        <w:ind w:left="557" w:right="0"/>
        <w:jc w:val="left"/>
      </w:pPr>
      <w:r>
        <w:rPr>
          <w:rFonts w:ascii="Times New Roman" w:hAnsi="Times New Roman" w:cs="Times New Roman" w:eastAsia="Times New Roman" w:hint="default"/>
          <w:spacing w:val="-4"/>
        </w:rPr>
        <w:t>2</w:t>
      </w:r>
      <w:r>
        <w:rPr>
          <w:spacing w:val="-4"/>
        </w:rPr>
        <w:t>）因转移金融资产而收到的对价，与原直接计入其他综合收益的公允价值变动累计额中对应</w:t>
      </w:r>
      <w:r>
        <w:rPr>
          <w:spacing w:val="-41"/>
        </w:rPr>
        <w:t> </w:t>
      </w:r>
      <w:r>
        <w:rPr>
          <w:spacing w:val="-41"/>
        </w:rPr>
      </w:r>
      <w:r>
        <w:rPr>
          <w:spacing w:val="-2"/>
        </w:rPr>
        <w:t>终止确认部分的金额（涉及转移的金融资产为以公允价值计量且其变动计入其他综合收益的</w:t>
      </w:r>
    </w:p>
    <w:p>
      <w:pPr>
        <w:spacing w:after="0" w:line="297" w:lineRule="auto"/>
        <w:jc w:val="left"/>
        <w:sectPr>
          <w:pgSz w:w="11910" w:h="16840"/>
          <w:pgMar w:header="857" w:footer="979" w:top="1120" w:bottom="1160" w:left="1140" w:right="1580"/>
        </w:sectPr>
      </w:pPr>
    </w:p>
    <w:p>
      <w:pPr>
        <w:spacing w:line="240" w:lineRule="auto" w:before="4"/>
        <w:rPr>
          <w:rFonts w:ascii="宋体" w:hAnsi="宋体" w:cs="宋体" w:eastAsia="宋体" w:hint="default"/>
          <w:sz w:val="24"/>
          <w:szCs w:val="24"/>
        </w:rPr>
      </w:pPr>
    </w:p>
    <w:p>
      <w:pPr>
        <w:pStyle w:val="BodyText"/>
        <w:spacing w:line="240" w:lineRule="auto" w:before="36"/>
        <w:ind w:left="557" w:right="2819"/>
        <w:jc w:val="left"/>
      </w:pPr>
      <w:r>
        <w:rPr/>
        <w:t>金融资产）之和。</w:t>
      </w:r>
    </w:p>
    <w:p>
      <w:pPr>
        <w:pStyle w:val="BodyText"/>
        <w:spacing w:line="309" w:lineRule="auto" w:before="85"/>
        <w:ind w:left="136" w:right="208" w:firstLine="420"/>
        <w:jc w:val="both"/>
      </w:pPr>
      <w:r>
        <w:rPr>
          <w:spacing w:val="-4"/>
        </w:rPr>
        <w:t>（</w:t>
      </w:r>
      <w:r>
        <w:rPr>
          <w:rFonts w:ascii="Times New Roman" w:hAnsi="Times New Roman" w:cs="Times New Roman" w:eastAsia="Times New Roman" w:hint="default"/>
          <w:spacing w:val="-4"/>
        </w:rPr>
        <w:t>2</w:t>
      </w:r>
      <w:r>
        <w:rPr>
          <w:spacing w:val="-4"/>
        </w:rPr>
        <w:t>）金融资产部分转移且该被转移部分整体满足终止确认条件的，将转移前金融资产整体的</w:t>
      </w:r>
      <w:r>
        <w:rPr>
          <w:w w:val="100"/>
        </w:rPr>
        <w:t> </w:t>
      </w:r>
      <w:r>
        <w:rPr>
          <w:spacing w:val="-1"/>
        </w:rPr>
        <w:t>账面价值，在终止确认部分和继续确认部分（在此种情形下，所保留的服务资产应当视同继续确</w:t>
      </w:r>
      <w:r>
        <w:rPr>
          <w:spacing w:val="-55"/>
        </w:rPr>
        <w:t> </w:t>
      </w:r>
      <w:r>
        <w:rPr>
          <w:spacing w:val="-55"/>
        </w:rPr>
      </w:r>
      <w:r>
        <w:rPr>
          <w:spacing w:val="-1"/>
        </w:rPr>
        <w:t>认金融资产的一部分）之间，按照转移日各自的相对公允价值进行分摊，并将下列两项金额的差</w:t>
      </w:r>
      <w:r>
        <w:rPr>
          <w:spacing w:val="-55"/>
        </w:rPr>
        <w:t> </w:t>
      </w:r>
      <w:r>
        <w:rPr>
          <w:spacing w:val="-55"/>
        </w:rPr>
      </w:r>
      <w:r>
        <w:rPr/>
        <w:t>额计入当期损益：</w:t>
      </w:r>
    </w:p>
    <w:p>
      <w:pPr>
        <w:pStyle w:val="BodyText"/>
        <w:spacing w:line="240" w:lineRule="auto" w:before="24"/>
        <w:ind w:left="557" w:right="2819"/>
        <w:jc w:val="left"/>
      </w:pPr>
      <w:r>
        <w:rPr>
          <w:rFonts w:ascii="Times New Roman" w:hAnsi="Times New Roman" w:cs="Times New Roman" w:eastAsia="Times New Roman" w:hint="default"/>
        </w:rPr>
        <w:t>2</w:t>
      </w:r>
      <w:r>
        <w:rPr/>
        <w:t>）终止确认部分在终止确认日的账面价值。</w:t>
      </w:r>
    </w:p>
    <w:p>
      <w:pPr>
        <w:pStyle w:val="BodyText"/>
        <w:spacing w:line="304" w:lineRule="auto" w:before="69"/>
        <w:ind w:left="136" w:right="209" w:firstLine="420"/>
        <w:jc w:val="both"/>
      </w:pPr>
      <w:r>
        <w:rPr>
          <w:rFonts w:ascii="Times New Roman" w:hAnsi="Times New Roman" w:cs="Times New Roman" w:eastAsia="Times New Roman" w:hint="default"/>
          <w:spacing w:val="-4"/>
          <w:w w:val="100"/>
        </w:rPr>
        <w:t>3</w:t>
      </w:r>
      <w:r>
        <w:rPr>
          <w:spacing w:val="-4"/>
          <w:w w:val="100"/>
        </w:rPr>
        <w:t>）终止确认部分收到的对价，与原计入其他综合收益的公允价值变动累计额中对应终止确认</w:t>
      </w:r>
      <w:r>
        <w:rPr>
          <w:w w:val="100"/>
        </w:rPr>
        <w:t> </w:t>
      </w:r>
      <w:r>
        <w:rPr>
          <w:spacing w:val="-1"/>
        </w:rPr>
        <w:t>部分的金额（涉及转移的金融资产为以公允价值计量且其变动计入其他综合收益的金融资产）之</w:t>
      </w:r>
      <w:r>
        <w:rPr>
          <w:spacing w:val="-55"/>
        </w:rPr>
        <w:t> </w:t>
      </w:r>
      <w:r>
        <w:rPr>
          <w:spacing w:val="-55"/>
        </w:rPr>
      </w:r>
      <w:r>
        <w:rPr/>
        <w:t>和。</w:t>
      </w:r>
    </w:p>
    <w:p>
      <w:pPr>
        <w:pStyle w:val="BodyText"/>
        <w:spacing w:line="314" w:lineRule="auto" w:before="28"/>
        <w:ind w:left="136" w:right="211" w:firstLine="420"/>
        <w:jc w:val="both"/>
      </w:pPr>
      <w:r>
        <w:rPr>
          <w:spacing w:val="-2"/>
        </w:rPr>
        <w:t>金融资产转移不满足终止确认条件的，继续确认该金融资产，所收到的对价确认为一项金融</w:t>
      </w:r>
      <w:r>
        <w:rPr>
          <w:w w:val="100"/>
        </w:rPr>
        <w:t> </w:t>
      </w:r>
      <w:r>
        <w:rPr/>
        <w:t>负债。</w:t>
      </w:r>
    </w:p>
    <w:p>
      <w:pPr>
        <w:spacing w:line="297" w:lineRule="auto" w:before="20"/>
        <w:ind w:left="55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存在活跃市场的金融资产或金融负债，以活跃市场的报价确定其公允价值，除非该项金融资</w:t>
      </w:r>
    </w:p>
    <w:p>
      <w:pPr>
        <w:pStyle w:val="BodyText"/>
        <w:spacing w:line="314" w:lineRule="auto" w:before="34"/>
        <w:ind w:left="136" w:right="209"/>
        <w:jc w:val="both"/>
      </w:pPr>
      <w:r>
        <w:rPr>
          <w:spacing w:val="-1"/>
        </w:rPr>
        <w:t>产存在针对资产本身的限售期。对于针对资产本身的限售的金融资产，按照活跃市场的报价扣除</w:t>
      </w:r>
      <w:r>
        <w:rPr>
          <w:spacing w:val="-55"/>
        </w:rPr>
        <w:t> </w:t>
      </w:r>
      <w:r>
        <w:rPr>
          <w:spacing w:val="-55"/>
        </w:rPr>
      </w:r>
      <w:r>
        <w:rPr>
          <w:spacing w:val="-1"/>
        </w:rPr>
        <w:t>市场参与者因承担指定期间内无法在公开市场上出售该金融资产的风险而要求获得的补偿金额后</w:t>
      </w:r>
      <w:r>
        <w:rPr>
          <w:spacing w:val="-55"/>
        </w:rPr>
        <w:t> </w:t>
      </w:r>
      <w:r>
        <w:rPr>
          <w:spacing w:val="-55"/>
        </w:rPr>
      </w:r>
      <w:r>
        <w:rPr>
          <w:spacing w:val="-1"/>
        </w:rPr>
        <w:t>确定。活跃市场的报价包括易于且可定期从交易所、交易商、经纪人、行业集团、定价机构或监</w:t>
      </w:r>
      <w:r>
        <w:rPr>
          <w:spacing w:val="-55"/>
        </w:rPr>
        <w:t> </w:t>
      </w:r>
      <w:r>
        <w:rPr>
          <w:spacing w:val="-55"/>
        </w:rPr>
      </w:r>
      <w:r>
        <w:rPr>
          <w:spacing w:val="-2"/>
        </w:rPr>
        <w:t>管机构等获得相关资产或负债的报价，且能代表在公平交易基础上实际并经常发生的市场交易。</w:t>
      </w:r>
    </w:p>
    <w:p>
      <w:pPr>
        <w:pStyle w:val="BodyText"/>
        <w:spacing w:line="314" w:lineRule="auto" w:before="20"/>
        <w:ind w:left="557" w:right="0"/>
        <w:jc w:val="left"/>
      </w:pPr>
      <w:r>
        <w:rPr>
          <w:spacing w:val="-4"/>
          <w:w w:val="100"/>
        </w:rPr>
        <w:t>初始取得或衍生的金融资产或承担的金融负债，以市场交易价格作为确定其公允价值的基础。</w:t>
      </w:r>
      <w:r>
        <w:rPr>
          <w:spacing w:val="-93"/>
          <w:w w:val="100"/>
        </w:rPr>
        <w:t> </w:t>
      </w:r>
      <w:r>
        <w:rPr>
          <w:spacing w:val="-93"/>
          <w:w w:val="100"/>
        </w:rPr>
      </w:r>
      <w:r>
        <w:rPr/>
        <w:t>不存在活跃市场的金融资产或金融负债，采用估值技术确定其公允价值。在估值时，本公司</w:t>
      </w:r>
    </w:p>
    <w:p>
      <w:pPr>
        <w:pStyle w:val="BodyText"/>
        <w:spacing w:line="314" w:lineRule="auto" w:before="20"/>
        <w:ind w:left="136" w:right="209"/>
        <w:jc w:val="both"/>
      </w:pPr>
      <w:r>
        <w:rPr>
          <w:spacing w:val="-1"/>
        </w:rPr>
        <w:t>采用在当前情况下适用并且有足够可利用数据和其他信息支持的估值技术，选择与市场参与者在</w:t>
      </w:r>
      <w:r>
        <w:rPr>
          <w:spacing w:val="-55"/>
        </w:rPr>
        <w:t> </w:t>
      </w:r>
      <w:r>
        <w:rPr>
          <w:spacing w:val="-55"/>
        </w:rPr>
      </w:r>
      <w:r>
        <w:rPr>
          <w:spacing w:val="-1"/>
        </w:rPr>
        <w:t>相关资产或负债的交易中所考虑的资产或负债特征相一致的输入值，并尽可能优先使用相关可观</w:t>
      </w:r>
      <w:r>
        <w:rPr>
          <w:spacing w:val="-55"/>
        </w:rPr>
        <w:t> </w:t>
      </w:r>
      <w:r>
        <w:rPr>
          <w:spacing w:val="-55"/>
        </w:rPr>
      </w:r>
      <w:r>
        <w:rPr/>
        <w:t>察输入值。在相关可观察输入值无法取得或取得不切实可行的情况下，使用不可观察输入值。</w:t>
      </w:r>
    </w:p>
    <w:p>
      <w:pPr>
        <w:pStyle w:val="BodyText"/>
        <w:spacing w:line="297" w:lineRule="auto" w:before="20"/>
        <w:ind w:left="557" w:right="0"/>
        <w:jc w:val="left"/>
      </w:pPr>
      <w:r>
        <w:rPr>
          <w:rFonts w:ascii="Times New Roman" w:hAnsi="Times New Roman" w:cs="Times New Roman" w:eastAsia="Times New Roman" w:hint="default"/>
          <w:b/>
          <w:bCs/>
        </w:rPr>
        <w:t>6.</w:t>
      </w:r>
      <w:r>
        <w:rPr>
          <w:rFonts w:ascii="宋体" w:hAnsi="宋体" w:cs="宋体" w:eastAsia="宋体" w:hint="default"/>
          <w:b/>
          <w:bCs/>
        </w:rPr>
        <w:t>金融工具减值</w:t>
      </w:r>
      <w:r>
        <w:rPr>
          <w:rFonts w:ascii="宋体" w:hAnsi="宋体" w:cs="宋体" w:eastAsia="宋体" w:hint="default"/>
          <w:b/>
          <w:bCs/>
          <w:w w:val="100"/>
        </w:rPr>
        <w:t> </w:t>
      </w:r>
      <w:r>
        <w:rPr>
          <w:spacing w:val="-2"/>
        </w:rPr>
        <w:t>本公司以预期信用损失为基础，对分类为以摊余成本计量的金融资产、分类为以公允价值计</w:t>
      </w:r>
    </w:p>
    <w:p>
      <w:pPr>
        <w:pStyle w:val="BodyText"/>
        <w:spacing w:line="314" w:lineRule="auto" w:before="34"/>
        <w:ind w:left="557" w:right="103" w:hanging="421"/>
        <w:jc w:val="left"/>
      </w:pPr>
      <w:r>
        <w:rPr>
          <w:w w:val="100"/>
        </w:rPr>
        <w:t>量且</w:t>
      </w:r>
      <w:r>
        <w:rPr>
          <w:spacing w:val="-3"/>
          <w:w w:val="100"/>
        </w:rPr>
        <w:t>其</w:t>
      </w:r>
      <w:r>
        <w:rPr>
          <w:w w:val="100"/>
        </w:rPr>
        <w:t>变</w:t>
      </w:r>
      <w:r>
        <w:rPr>
          <w:spacing w:val="-3"/>
          <w:w w:val="100"/>
        </w:rPr>
        <w:t>动</w:t>
      </w:r>
      <w:r>
        <w:rPr>
          <w:w w:val="100"/>
        </w:rPr>
        <w:t>计</w:t>
      </w:r>
      <w:r>
        <w:rPr>
          <w:spacing w:val="-3"/>
          <w:w w:val="100"/>
        </w:rPr>
        <w:t>入</w:t>
      </w:r>
      <w:r>
        <w:rPr>
          <w:w w:val="100"/>
        </w:rPr>
        <w:t>其</w:t>
      </w:r>
      <w:r>
        <w:rPr>
          <w:spacing w:val="-3"/>
          <w:w w:val="100"/>
        </w:rPr>
        <w:t>他</w:t>
      </w:r>
      <w:r>
        <w:rPr>
          <w:w w:val="100"/>
        </w:rPr>
        <w:t>综</w:t>
      </w:r>
      <w:r>
        <w:rPr>
          <w:spacing w:val="-3"/>
          <w:w w:val="100"/>
        </w:rPr>
        <w:t>合</w:t>
      </w:r>
      <w:r>
        <w:rPr>
          <w:w w:val="100"/>
        </w:rPr>
        <w:t>收益</w:t>
      </w:r>
      <w:r>
        <w:rPr>
          <w:spacing w:val="-3"/>
          <w:w w:val="100"/>
        </w:rPr>
        <w:t>的</w:t>
      </w:r>
      <w:r>
        <w:rPr>
          <w:w w:val="100"/>
        </w:rPr>
        <w:t>金</w:t>
      </w:r>
      <w:r>
        <w:rPr>
          <w:spacing w:val="-3"/>
          <w:w w:val="100"/>
        </w:rPr>
        <w:t>融</w:t>
      </w:r>
      <w:r>
        <w:rPr>
          <w:w w:val="100"/>
        </w:rPr>
        <w:t>资</w:t>
      </w:r>
      <w:r>
        <w:rPr>
          <w:spacing w:val="-3"/>
          <w:w w:val="100"/>
        </w:rPr>
        <w:t>产</w:t>
      </w:r>
      <w:r>
        <w:rPr>
          <w:w w:val="100"/>
        </w:rPr>
        <w:t>以</w:t>
      </w:r>
      <w:r>
        <w:rPr>
          <w:spacing w:val="-3"/>
          <w:w w:val="100"/>
        </w:rPr>
        <w:t>及</w:t>
      </w:r>
      <w:r>
        <w:rPr>
          <w:w w:val="100"/>
        </w:rPr>
        <w:t>财</w:t>
      </w:r>
      <w:r>
        <w:rPr>
          <w:spacing w:val="-3"/>
          <w:w w:val="100"/>
        </w:rPr>
        <w:t>务</w:t>
      </w:r>
      <w:r>
        <w:rPr>
          <w:w w:val="100"/>
        </w:rPr>
        <w:t>担保</w:t>
      </w:r>
      <w:r>
        <w:rPr>
          <w:spacing w:val="-3"/>
          <w:w w:val="100"/>
        </w:rPr>
        <w:t>合同</w:t>
      </w:r>
      <w:r>
        <w:rPr>
          <w:spacing w:val="-92"/>
          <w:w w:val="100"/>
        </w:rPr>
        <w:t>，</w:t>
      </w:r>
      <w:r>
        <w:rPr>
          <w:spacing w:val="-3"/>
          <w:w w:val="100"/>
        </w:rPr>
        <w:t>进</w:t>
      </w:r>
      <w:r>
        <w:rPr>
          <w:w w:val="100"/>
        </w:rPr>
        <w:t>行</w:t>
      </w:r>
      <w:r>
        <w:rPr>
          <w:spacing w:val="-3"/>
          <w:w w:val="100"/>
        </w:rPr>
        <w:t>减</w:t>
      </w:r>
      <w:r>
        <w:rPr>
          <w:w w:val="100"/>
        </w:rPr>
        <w:t>值</w:t>
      </w:r>
      <w:r>
        <w:rPr>
          <w:spacing w:val="-3"/>
          <w:w w:val="100"/>
        </w:rPr>
        <w:t>会</w:t>
      </w:r>
      <w:r>
        <w:rPr>
          <w:w w:val="100"/>
        </w:rPr>
        <w:t>计</w:t>
      </w:r>
      <w:r>
        <w:rPr>
          <w:spacing w:val="-3"/>
          <w:w w:val="100"/>
        </w:rPr>
        <w:t>处</w:t>
      </w:r>
      <w:r>
        <w:rPr>
          <w:w w:val="100"/>
        </w:rPr>
        <w:t>理并</w:t>
      </w:r>
      <w:r>
        <w:rPr>
          <w:spacing w:val="-3"/>
          <w:w w:val="100"/>
        </w:rPr>
        <w:t>确</w:t>
      </w:r>
      <w:r>
        <w:rPr>
          <w:w w:val="100"/>
        </w:rPr>
        <w:t>认</w:t>
      </w:r>
      <w:r>
        <w:rPr>
          <w:spacing w:val="-3"/>
          <w:w w:val="100"/>
        </w:rPr>
        <w:t>损失准备</w:t>
      </w:r>
      <w:r>
        <w:rPr>
          <w:w w:val="100"/>
        </w:rPr>
        <w:t>。</w:t>
      </w:r>
      <w:r>
        <w:rPr>
          <w:w w:val="100"/>
        </w:rPr>
        <w:t> 预</w:t>
      </w:r>
      <w:r>
        <w:rPr>
          <w:spacing w:val="-1"/>
          <w:w w:val="100"/>
        </w:rPr>
        <w:t>期</w:t>
      </w:r>
      <w:r>
        <w:rPr>
          <w:spacing w:val="-3"/>
          <w:w w:val="100"/>
        </w:rPr>
        <w:t>信</w:t>
      </w:r>
      <w:r>
        <w:rPr>
          <w:w w:val="100"/>
        </w:rPr>
        <w:t>用</w:t>
      </w:r>
      <w:r>
        <w:rPr>
          <w:spacing w:val="-3"/>
          <w:w w:val="100"/>
        </w:rPr>
        <w:t>损</w:t>
      </w:r>
      <w:r>
        <w:rPr>
          <w:w w:val="100"/>
        </w:rPr>
        <w:t>失</w:t>
      </w:r>
      <w:r>
        <w:rPr>
          <w:spacing w:val="-101"/>
          <w:w w:val="100"/>
        </w:rPr>
        <w:t>，</w:t>
      </w:r>
      <w:r>
        <w:rPr>
          <w:w w:val="100"/>
        </w:rPr>
        <w:t>是</w:t>
      </w:r>
      <w:r>
        <w:rPr>
          <w:spacing w:val="-3"/>
          <w:w w:val="100"/>
        </w:rPr>
        <w:t>指</w:t>
      </w:r>
      <w:r>
        <w:rPr>
          <w:w w:val="100"/>
        </w:rPr>
        <w:t>以</w:t>
      </w:r>
      <w:r>
        <w:rPr>
          <w:spacing w:val="-3"/>
          <w:w w:val="100"/>
        </w:rPr>
        <w:t>发生</w:t>
      </w:r>
      <w:r>
        <w:rPr>
          <w:w w:val="100"/>
        </w:rPr>
        <w:t>违约</w:t>
      </w:r>
      <w:r>
        <w:rPr>
          <w:spacing w:val="-3"/>
          <w:w w:val="100"/>
        </w:rPr>
        <w:t>的</w:t>
      </w:r>
      <w:r>
        <w:rPr>
          <w:w w:val="100"/>
        </w:rPr>
        <w:t>风</w:t>
      </w:r>
      <w:r>
        <w:rPr>
          <w:spacing w:val="-3"/>
          <w:w w:val="100"/>
        </w:rPr>
        <w:t>险</w:t>
      </w:r>
      <w:r>
        <w:rPr>
          <w:w w:val="100"/>
        </w:rPr>
        <w:t>为</w:t>
      </w:r>
      <w:r>
        <w:rPr>
          <w:spacing w:val="-3"/>
          <w:w w:val="100"/>
        </w:rPr>
        <w:t>权</w:t>
      </w:r>
      <w:r>
        <w:rPr>
          <w:w w:val="100"/>
        </w:rPr>
        <w:t>重</w:t>
      </w:r>
      <w:r>
        <w:rPr>
          <w:spacing w:val="-3"/>
          <w:w w:val="100"/>
        </w:rPr>
        <w:t>的</w:t>
      </w:r>
      <w:r>
        <w:rPr>
          <w:w w:val="100"/>
        </w:rPr>
        <w:t>金</w:t>
      </w:r>
      <w:r>
        <w:rPr>
          <w:spacing w:val="-3"/>
          <w:w w:val="100"/>
        </w:rPr>
        <w:t>融</w:t>
      </w:r>
      <w:r>
        <w:rPr>
          <w:w w:val="100"/>
        </w:rPr>
        <w:t>工具</w:t>
      </w:r>
      <w:r>
        <w:rPr>
          <w:spacing w:val="-3"/>
          <w:w w:val="100"/>
        </w:rPr>
        <w:t>信</w:t>
      </w:r>
      <w:r>
        <w:rPr>
          <w:w w:val="100"/>
        </w:rPr>
        <w:t>用</w:t>
      </w:r>
      <w:r>
        <w:rPr>
          <w:spacing w:val="-3"/>
          <w:w w:val="100"/>
        </w:rPr>
        <w:t>损</w:t>
      </w:r>
      <w:r>
        <w:rPr>
          <w:w w:val="100"/>
        </w:rPr>
        <w:t>失</w:t>
      </w:r>
      <w:r>
        <w:rPr>
          <w:spacing w:val="-3"/>
          <w:w w:val="100"/>
        </w:rPr>
        <w:t>的</w:t>
      </w:r>
      <w:r>
        <w:rPr>
          <w:w w:val="100"/>
        </w:rPr>
        <w:t>加</w:t>
      </w:r>
      <w:r>
        <w:rPr>
          <w:spacing w:val="-3"/>
          <w:w w:val="100"/>
        </w:rPr>
        <w:t>权</w:t>
      </w:r>
      <w:r>
        <w:rPr>
          <w:w w:val="100"/>
        </w:rPr>
        <w:t>平</w:t>
      </w:r>
      <w:r>
        <w:rPr>
          <w:spacing w:val="-3"/>
          <w:w w:val="100"/>
        </w:rPr>
        <w:t>均</w:t>
      </w:r>
      <w:r>
        <w:rPr>
          <w:w w:val="100"/>
        </w:rPr>
        <w:t>值</w:t>
      </w:r>
      <w:r>
        <w:rPr>
          <w:spacing w:val="-101"/>
          <w:w w:val="100"/>
        </w:rPr>
        <w:t>。</w:t>
      </w:r>
      <w:r>
        <w:rPr>
          <w:w w:val="100"/>
        </w:rPr>
        <w:t>信</w:t>
      </w:r>
      <w:r>
        <w:rPr>
          <w:spacing w:val="-3"/>
          <w:w w:val="100"/>
        </w:rPr>
        <w:t>用</w:t>
      </w:r>
      <w:r>
        <w:rPr>
          <w:w w:val="100"/>
        </w:rPr>
        <w:t>损</w:t>
      </w:r>
      <w:r>
        <w:rPr>
          <w:spacing w:val="-3"/>
          <w:w w:val="100"/>
        </w:rPr>
        <w:t>失</w:t>
      </w:r>
      <w:r>
        <w:rPr>
          <w:w w:val="100"/>
        </w:rPr>
        <w:t>，</w:t>
      </w:r>
    </w:p>
    <w:p>
      <w:pPr>
        <w:pStyle w:val="BodyText"/>
        <w:spacing w:line="314" w:lineRule="auto" w:before="20"/>
        <w:ind w:left="136" w:right="209"/>
        <w:jc w:val="both"/>
      </w:pPr>
      <w:r>
        <w:rPr>
          <w:spacing w:val="-1"/>
        </w:rPr>
        <w:t>是指本公司按照原实际利率折现的、根据合同应收的所有合同现金流量与预期收取的所有现金流</w:t>
      </w:r>
      <w:r>
        <w:rPr>
          <w:spacing w:val="-55"/>
        </w:rPr>
        <w:t> </w:t>
      </w:r>
      <w:r>
        <w:rPr>
          <w:spacing w:val="-55"/>
        </w:rPr>
      </w:r>
      <w:r>
        <w:rPr>
          <w:spacing w:val="-1"/>
        </w:rPr>
        <w:t>量之间的差额，即全部现金短缺的现值。其中，对于本公司购买或源生的已发生信用减值的金融</w:t>
      </w:r>
      <w:r>
        <w:rPr>
          <w:spacing w:val="-55"/>
        </w:rPr>
        <w:t> </w:t>
      </w:r>
      <w:r>
        <w:rPr>
          <w:spacing w:val="-55"/>
        </w:rPr>
      </w:r>
      <w:r>
        <w:rPr/>
        <w:t>资产，应按照该金融资产经信用调整的实际利率折现。</w:t>
      </w:r>
    </w:p>
    <w:p>
      <w:pPr>
        <w:pStyle w:val="BodyText"/>
        <w:spacing w:line="309" w:lineRule="auto" w:before="20"/>
        <w:ind w:left="136" w:right="209" w:firstLine="420"/>
        <w:jc w:val="both"/>
      </w:pPr>
      <w:r>
        <w:rPr>
          <w:spacing w:val="-2"/>
        </w:rPr>
        <w:t>对由收入准则规范的交易形成的应收款，本公司运用简化计量方法，按照相当于整个存续期</w:t>
      </w:r>
      <w:r>
        <w:rPr>
          <w:w w:val="100"/>
        </w:rPr>
        <w:t> </w:t>
      </w:r>
      <w:r>
        <w:rPr>
          <w:spacing w:val="-1"/>
        </w:rPr>
        <w:t>内预期信用损失的金额计量损失准备。对于包含重大融资成分的应收款项，本公司参考历史信用</w:t>
      </w:r>
      <w:r>
        <w:rPr>
          <w:spacing w:val="-54"/>
        </w:rPr>
        <w:t> </w:t>
      </w:r>
      <w:r>
        <w:rPr>
          <w:spacing w:val="-54"/>
        </w:rPr>
      </w:r>
      <w:r>
        <w:rPr>
          <w:spacing w:val="-5"/>
        </w:rPr>
        <w:t>损失经验，结合当前状况以及对未来经济状况的预测，通过违约风险敞口和未来 </w:t>
      </w:r>
      <w:r>
        <w:rPr>
          <w:rFonts w:ascii="Times New Roman" w:hAnsi="Times New Roman" w:cs="Times New Roman" w:eastAsia="Times New Roman" w:hint="default"/>
        </w:rPr>
        <w:t>12 </w:t>
      </w:r>
      <w:r>
        <w:rPr/>
        <w:t>个月内或整个</w:t>
      </w:r>
      <w:r>
        <w:rPr>
          <w:spacing w:val="-81"/>
        </w:rPr>
        <w:t> </w:t>
      </w:r>
      <w:r>
        <w:rPr>
          <w:spacing w:val="-81"/>
        </w:rPr>
      </w:r>
      <w:r>
        <w:rPr/>
        <w:t>存续期预期信用损失率，计算预期信用损失。</w:t>
      </w:r>
    </w:p>
    <w:p>
      <w:pPr>
        <w:pStyle w:val="BodyText"/>
        <w:spacing w:line="314" w:lineRule="auto" w:before="24"/>
        <w:ind w:left="136" w:right="209" w:firstLine="420"/>
        <w:jc w:val="both"/>
      </w:pPr>
      <w:r>
        <w:rPr>
          <w:spacing w:val="-2"/>
        </w:rPr>
        <w:t>对于购买或源生的已发生信用减值的金融资产，在资产负债表日仅将自初始确认后整个存续</w:t>
      </w:r>
      <w:r>
        <w:rPr>
          <w:w w:val="100"/>
        </w:rPr>
        <w:t> </w:t>
      </w:r>
      <w:r>
        <w:rPr>
          <w:spacing w:val="-1"/>
        </w:rPr>
        <w:t>期内预期信用损失的累计变动确认为损失准备。在每个资产负债表日，将整个存续期内预期信用</w:t>
      </w:r>
      <w:r>
        <w:rPr>
          <w:spacing w:val="-55"/>
        </w:rPr>
        <w:t> </w:t>
      </w:r>
      <w:r>
        <w:rPr>
          <w:spacing w:val="-55"/>
        </w:rPr>
      </w:r>
      <w:r>
        <w:rPr>
          <w:spacing w:val="-1"/>
        </w:rPr>
        <w:t>损失的变动金额作为减值损失或利得计入当期损益。即使该资产负债表日确定的整个存续期内预</w:t>
      </w:r>
      <w:r>
        <w:rPr>
          <w:spacing w:val="-55"/>
        </w:rPr>
        <w:t> </w:t>
      </w:r>
      <w:r>
        <w:rPr>
          <w:spacing w:val="-55"/>
        </w:rPr>
      </w:r>
      <w:r>
        <w:rPr>
          <w:spacing w:val="-1"/>
        </w:rPr>
        <w:t>期信用损失小于初始确认时估计现金流量所反映的预期信用损失的金额，也将预期信用损失的有</w:t>
      </w:r>
      <w:r>
        <w:rPr>
          <w:spacing w:val="-55"/>
        </w:rPr>
        <w:t> </w:t>
      </w:r>
      <w:r>
        <w:rPr>
          <w:spacing w:val="-55"/>
        </w:rPr>
      </w:r>
      <w:r>
        <w:rPr/>
        <w:t>利变动确认为减值利得。</w:t>
      </w:r>
    </w:p>
    <w:p>
      <w:pPr>
        <w:spacing w:after="0" w:line="314" w:lineRule="auto"/>
        <w:jc w:val="both"/>
        <w:sectPr>
          <w:pgSz w:w="11910" w:h="16840"/>
          <w:pgMar w:header="857" w:footer="979" w:top="1120" w:bottom="1160" w:left="1140" w:right="1580"/>
        </w:sectPr>
      </w:pPr>
    </w:p>
    <w:p>
      <w:pPr>
        <w:spacing w:line="240" w:lineRule="auto" w:before="4"/>
        <w:rPr>
          <w:rFonts w:ascii="宋体" w:hAnsi="宋体" w:cs="宋体" w:eastAsia="宋体" w:hint="default"/>
          <w:sz w:val="24"/>
          <w:szCs w:val="24"/>
        </w:rPr>
      </w:pPr>
    </w:p>
    <w:p>
      <w:pPr>
        <w:pStyle w:val="BodyText"/>
        <w:spacing w:line="314" w:lineRule="auto" w:before="36"/>
        <w:ind w:left="136" w:right="209" w:firstLine="420"/>
        <w:jc w:val="both"/>
      </w:pPr>
      <w:r>
        <w:rPr>
          <w:spacing w:val="-2"/>
        </w:rPr>
        <w:t>除上述采用简化计量方法和购买或源生的已发生信用减值以外的其他金融资产，本公司在每</w:t>
      </w:r>
      <w:r>
        <w:rPr>
          <w:w w:val="100"/>
        </w:rPr>
        <w:t> </w:t>
      </w:r>
      <w:r>
        <w:rPr>
          <w:spacing w:val="-1"/>
        </w:rPr>
        <w:t>个资产负债表日评估相关金融工具的信用风险自初始确认后是否已显著增加，并按照下列情形分</w:t>
      </w:r>
      <w:r>
        <w:rPr>
          <w:spacing w:val="-55"/>
        </w:rPr>
        <w:t> </w:t>
      </w:r>
      <w:r>
        <w:rPr>
          <w:spacing w:val="-55"/>
        </w:rPr>
      </w:r>
      <w:r>
        <w:rPr/>
        <w:t>别计量其损失准备、确认预期信用损失及其变动：</w:t>
      </w:r>
    </w:p>
    <w:p>
      <w:pPr>
        <w:pStyle w:val="BodyText"/>
        <w:spacing w:line="297" w:lineRule="auto" w:before="20"/>
        <w:ind w:left="136" w:right="209" w:firstLine="420"/>
        <w:jc w:val="both"/>
      </w:pPr>
      <w:r>
        <w:rPr>
          <w:spacing w:val="-4"/>
        </w:rPr>
        <w:t>（</w:t>
      </w:r>
      <w:r>
        <w:rPr>
          <w:rFonts w:ascii="Times New Roman" w:hAnsi="Times New Roman" w:cs="Times New Roman" w:eastAsia="Times New Roman" w:hint="default"/>
          <w:spacing w:val="-4"/>
        </w:rPr>
        <w:t>1</w:t>
      </w:r>
      <w:r>
        <w:rPr>
          <w:spacing w:val="-4"/>
        </w:rPr>
        <w:t>）如果该金融工具的信用风险自初始确认后并未显著增加，处于第一阶段，则按照相当于</w:t>
      </w:r>
      <w:r>
        <w:rPr>
          <w:w w:val="100"/>
        </w:rPr>
        <w:t> </w:t>
      </w:r>
      <w:r>
        <w:rPr/>
        <w:t>该金融工具未来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个月内预期信用损失的金额计量其损失准备，并按照账面余额和实际利率计</w:t>
      </w:r>
      <w:r>
        <w:rPr>
          <w:w w:val="100"/>
        </w:rPr>
        <w:t> </w:t>
      </w:r>
      <w:r>
        <w:rPr/>
        <w:t>算利息收入。</w:t>
      </w:r>
    </w:p>
    <w:p>
      <w:pPr>
        <w:pStyle w:val="BodyText"/>
        <w:spacing w:line="304" w:lineRule="auto" w:before="34"/>
        <w:ind w:left="136" w:right="208" w:firstLine="420"/>
        <w:jc w:val="both"/>
      </w:pPr>
      <w:r>
        <w:rPr>
          <w:spacing w:val="-4"/>
        </w:rPr>
        <w:t>（</w:t>
      </w:r>
      <w:r>
        <w:rPr>
          <w:rFonts w:ascii="Times New Roman" w:hAnsi="Times New Roman" w:cs="Times New Roman" w:eastAsia="Times New Roman" w:hint="default"/>
          <w:spacing w:val="-4"/>
        </w:rPr>
        <w:t>2</w:t>
      </w:r>
      <w:r>
        <w:rPr>
          <w:spacing w:val="-4"/>
        </w:rPr>
        <w:t>）如果该金融工具的信用风险自初始确认后已显著增加但尚未发生信用减值的，处于第二</w:t>
      </w:r>
      <w:r>
        <w:rPr>
          <w:w w:val="100"/>
        </w:rPr>
        <w:t> </w:t>
      </w:r>
      <w:r>
        <w:rPr>
          <w:spacing w:val="-1"/>
        </w:rPr>
        <w:t>阶段，则按照相当于该金融工具整个存续期内预期信用损失的金额计量其损失准备，并按照账面</w:t>
      </w:r>
      <w:r>
        <w:rPr>
          <w:spacing w:val="-55"/>
        </w:rPr>
        <w:t> </w:t>
      </w:r>
      <w:r>
        <w:rPr>
          <w:spacing w:val="-55"/>
        </w:rPr>
      </w:r>
      <w:r>
        <w:rPr/>
        <w:t>余额和实际利率计算利息收入。</w:t>
      </w:r>
    </w:p>
    <w:p>
      <w:pPr>
        <w:pStyle w:val="BodyText"/>
        <w:spacing w:line="307" w:lineRule="auto" w:before="28"/>
        <w:ind w:left="136" w:right="209" w:firstLine="420"/>
        <w:jc w:val="both"/>
      </w:pPr>
      <w:r>
        <w:rPr>
          <w:spacing w:val="-4"/>
        </w:rPr>
        <w:t>（</w:t>
      </w:r>
      <w:r>
        <w:rPr>
          <w:rFonts w:ascii="Times New Roman" w:hAnsi="Times New Roman" w:cs="Times New Roman" w:eastAsia="Times New Roman" w:hint="default"/>
          <w:spacing w:val="-4"/>
        </w:rPr>
        <w:t>3</w:t>
      </w:r>
      <w:r>
        <w:rPr>
          <w:spacing w:val="-4"/>
        </w:rPr>
        <w:t>）如果该金融工具自初始确认后已经发生信用减值的，处于第三阶段，本公司按照相当于</w:t>
      </w:r>
      <w:r>
        <w:rPr>
          <w:w w:val="100"/>
        </w:rPr>
        <w:t> </w:t>
      </w:r>
      <w:r>
        <w:rPr>
          <w:spacing w:val="-1"/>
        </w:rPr>
        <w:t>该金融工具整个存续期内预期信用损失的金额计量其损失准备，并按照摊余成本和实际利率计算</w:t>
      </w:r>
      <w:r>
        <w:rPr>
          <w:spacing w:val="-55"/>
        </w:rPr>
        <w:t> </w:t>
      </w:r>
      <w:r>
        <w:rPr>
          <w:spacing w:val="-55"/>
        </w:rPr>
      </w:r>
      <w:r>
        <w:rPr/>
        <w:t>利息收入。</w:t>
      </w:r>
    </w:p>
    <w:p>
      <w:pPr>
        <w:pStyle w:val="BodyText"/>
        <w:spacing w:line="314" w:lineRule="auto" w:before="26"/>
        <w:ind w:left="136" w:right="0" w:firstLine="420"/>
        <w:jc w:val="left"/>
      </w:pPr>
      <w:r>
        <w:rPr/>
        <w:t>金融工具信用损失准备的增加或转回金额，作为减值损失或利得计入当期损益。除分类为以</w:t>
      </w:r>
      <w:r>
        <w:rPr>
          <w:w w:val="100"/>
        </w:rPr>
        <w:t> </w:t>
      </w:r>
      <w:r>
        <w:rPr>
          <w:spacing w:val="-4"/>
          <w:w w:val="100"/>
        </w:rPr>
        <w:t>公允价值计量且其变动计入其他综合收益的金融资产外，信用损失准备抵减金融资产的账面余额。</w:t>
      </w:r>
      <w:r>
        <w:rPr>
          <w:spacing w:val="-86"/>
          <w:w w:val="100"/>
        </w:rPr>
        <w:t> </w:t>
      </w:r>
      <w:r>
        <w:rPr>
          <w:spacing w:val="-86"/>
          <w:w w:val="100"/>
        </w:rPr>
      </w:r>
      <w:r>
        <w:rPr/>
        <w:t>对于分类为以公允价值计量且其变动计入其他综合收益的金融资产，本公司在其他综合收益中确</w:t>
      </w:r>
      <w:r>
        <w:rPr>
          <w:spacing w:val="-97"/>
        </w:rPr>
        <w:t> </w:t>
      </w:r>
      <w:r>
        <w:rPr>
          <w:spacing w:val="-97"/>
        </w:rPr>
      </w:r>
      <w:r>
        <w:rPr/>
        <w:t>认其信用损失准备，不减少该金融资产在资产负债表中列示的账面价值。</w:t>
      </w:r>
    </w:p>
    <w:p>
      <w:pPr>
        <w:pStyle w:val="BodyText"/>
        <w:spacing w:line="309" w:lineRule="auto" w:before="20"/>
        <w:ind w:left="136" w:right="209" w:firstLine="420"/>
        <w:jc w:val="both"/>
      </w:pPr>
      <w:r>
        <w:rPr>
          <w:spacing w:val="-2"/>
        </w:rPr>
        <w:t>本公司在前一会计期间已经按照相当于金融工具整个存续期内预期信用损失的金额计量了损</w:t>
      </w:r>
      <w:r>
        <w:rPr>
          <w:w w:val="100"/>
        </w:rPr>
        <w:t> </w:t>
      </w:r>
      <w:r>
        <w:rPr>
          <w:spacing w:val="-1"/>
        </w:rPr>
        <w:t>失准备，但在当期资产负债表日，该金融工具已不再属于自初始确认后信用风险显著增加的情形</w:t>
      </w:r>
      <w:r>
        <w:rPr>
          <w:spacing w:val="-55"/>
        </w:rPr>
        <w:t> </w:t>
      </w:r>
      <w:r>
        <w:rPr>
          <w:spacing w:val="-55"/>
        </w:rPr>
      </w:r>
      <w:r>
        <w:rPr>
          <w:spacing w:val="-6"/>
          <w:w w:val="100"/>
        </w:rPr>
        <w:t>的，本公司在当期资产负债表日按照相当于未来</w:t>
      </w:r>
      <w:r>
        <w:rPr>
          <w:spacing w:val="-45"/>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4"/>
          <w:w w:val="100"/>
        </w:rPr>
        <w:t> </w:t>
      </w:r>
      <w:r>
        <w:rPr>
          <w:spacing w:val="-2"/>
          <w:w w:val="100"/>
        </w:rPr>
        <w:t>个月内预期信用损失的金额计量该金融工具的</w:t>
      </w:r>
      <w:r>
        <w:rPr>
          <w:spacing w:val="-103"/>
          <w:w w:val="100"/>
        </w:rPr>
        <w:t> </w:t>
      </w:r>
      <w:r>
        <w:rPr>
          <w:spacing w:val="-103"/>
          <w:w w:val="100"/>
        </w:rPr>
      </w:r>
      <w:r>
        <w:rPr/>
        <w:t>损失准备，由此形成的损失准备的转回金额作为减值利得计入当期损益。</w:t>
      </w:r>
    </w:p>
    <w:p>
      <w:pPr>
        <w:pStyle w:val="BodyText"/>
        <w:spacing w:line="297" w:lineRule="auto" w:before="24"/>
        <w:ind w:left="557" w:right="0"/>
        <w:jc w:val="left"/>
      </w:pPr>
      <w:r>
        <w:rPr/>
        <w:t>（</w:t>
      </w:r>
      <w:r>
        <w:rPr>
          <w:rFonts w:ascii="Times New Roman" w:hAnsi="Times New Roman" w:cs="Times New Roman" w:eastAsia="Times New Roman" w:hint="default"/>
        </w:rPr>
        <w:t>1</w:t>
      </w:r>
      <w:r>
        <w:rPr/>
        <w:t>）信用风险显著增加</w:t>
      </w:r>
      <w:r>
        <w:rPr>
          <w:w w:val="100"/>
        </w:rPr>
        <w:t> </w:t>
      </w:r>
      <w:r>
        <w:rPr>
          <w:spacing w:val="-2"/>
        </w:rPr>
        <w:t>本公司利用可获得的合理且有依据的前瞻性信息，通过比较金融工具在资产负债表日发生违</w:t>
      </w:r>
    </w:p>
    <w:p>
      <w:pPr>
        <w:pStyle w:val="BodyText"/>
        <w:spacing w:line="314" w:lineRule="auto" w:before="34"/>
        <w:ind w:left="136" w:right="209"/>
        <w:jc w:val="both"/>
      </w:pPr>
      <w:r>
        <w:rPr>
          <w:spacing w:val="-1"/>
        </w:rPr>
        <w:t>约的风险与在初始确认日发生违约的风险，以确定金融工具的信用风险自初始确认后是否已显著</w:t>
      </w:r>
      <w:r>
        <w:rPr>
          <w:spacing w:val="-55"/>
        </w:rPr>
        <w:t> </w:t>
      </w:r>
      <w:r>
        <w:rPr>
          <w:spacing w:val="-55"/>
        </w:rPr>
      </w:r>
      <w:r>
        <w:rPr>
          <w:spacing w:val="-1"/>
        </w:rPr>
        <w:t>增加。对于财务担保合同，本公司在应用金融工具减值规定时，将本公司成为做出不可撤销承诺</w:t>
      </w:r>
      <w:r>
        <w:rPr>
          <w:spacing w:val="-55"/>
        </w:rPr>
        <w:t> </w:t>
      </w:r>
      <w:r>
        <w:rPr>
          <w:spacing w:val="-55"/>
        </w:rPr>
      </w:r>
      <w:r>
        <w:rPr/>
        <w:t>的一方之日作为初始确认日。</w:t>
      </w:r>
    </w:p>
    <w:p>
      <w:pPr>
        <w:pStyle w:val="BodyText"/>
        <w:spacing w:line="240" w:lineRule="auto" w:before="20"/>
        <w:ind w:left="557" w:right="2819"/>
        <w:jc w:val="left"/>
      </w:pPr>
      <w:r>
        <w:rPr/>
        <w:t>本公司在评估信用风险是否显著增加时会考虑如下因素：</w:t>
      </w:r>
    </w:p>
    <w:p>
      <w:pPr>
        <w:pStyle w:val="BodyText"/>
        <w:spacing w:line="240" w:lineRule="auto" w:before="85"/>
        <w:ind w:left="557" w:right="2819"/>
        <w:jc w:val="left"/>
      </w:pPr>
      <w:r>
        <w:rPr>
          <w:rFonts w:ascii="Times New Roman" w:hAnsi="Times New Roman" w:cs="Times New Roman" w:eastAsia="Times New Roman" w:hint="default"/>
        </w:rPr>
        <w:t>4</w:t>
      </w:r>
      <w:r>
        <w:rPr/>
        <w:t>）债务人经营成果实际或预期是否发生显著变化；</w:t>
      </w:r>
    </w:p>
    <w:p>
      <w:pPr>
        <w:pStyle w:val="BodyText"/>
        <w:spacing w:line="240" w:lineRule="auto" w:before="69"/>
        <w:ind w:left="557" w:right="0"/>
        <w:jc w:val="left"/>
      </w:pPr>
      <w:r>
        <w:rPr>
          <w:rFonts w:ascii="Times New Roman" w:hAnsi="Times New Roman" w:cs="Times New Roman" w:eastAsia="Times New Roman" w:hint="default"/>
        </w:rPr>
        <w:t>5</w:t>
      </w:r>
      <w:r>
        <w:rPr/>
        <w:t>）债务人所处的监管、经济或技术环境是否发生显著不利变化；</w:t>
      </w:r>
    </w:p>
    <w:p>
      <w:pPr>
        <w:pStyle w:val="BodyText"/>
        <w:spacing w:line="297" w:lineRule="auto" w:before="69"/>
        <w:ind w:left="136" w:right="209" w:firstLine="420"/>
        <w:jc w:val="both"/>
      </w:pPr>
      <w:r>
        <w:rPr>
          <w:rFonts w:ascii="Times New Roman" w:hAnsi="Times New Roman" w:cs="Times New Roman" w:eastAsia="Times New Roman" w:hint="default"/>
          <w:spacing w:val="-4"/>
          <w:w w:val="100"/>
        </w:rPr>
        <w:t>6</w:t>
      </w:r>
      <w:r>
        <w:rPr>
          <w:spacing w:val="-4"/>
          <w:w w:val="100"/>
        </w:rPr>
        <w:t>）作为债务抵押的担保物价值或第三方提供的担保或信用增级质量是否发生显著变化，这些</w:t>
      </w:r>
      <w:r>
        <w:rPr>
          <w:w w:val="100"/>
        </w:rPr>
        <w:t> </w:t>
      </w:r>
      <w:r>
        <w:rPr/>
        <w:t>变化预期将降低债务人按合同规定期限还款的经济动机或者影响违约概率；</w:t>
      </w:r>
    </w:p>
    <w:p>
      <w:pPr>
        <w:pStyle w:val="BodyText"/>
        <w:spacing w:line="240" w:lineRule="auto" w:before="35"/>
        <w:ind w:left="557" w:right="2819"/>
        <w:jc w:val="left"/>
      </w:pPr>
      <w:r>
        <w:rPr>
          <w:rFonts w:ascii="Times New Roman" w:hAnsi="Times New Roman" w:cs="Times New Roman" w:eastAsia="Times New Roman" w:hint="default"/>
        </w:rPr>
        <w:t>7</w:t>
      </w:r>
      <w:r>
        <w:rPr/>
        <w:t>）债务人预期表现和还款行为是否发生显著变化；</w:t>
      </w:r>
    </w:p>
    <w:p>
      <w:pPr>
        <w:pStyle w:val="BodyText"/>
        <w:spacing w:line="297" w:lineRule="auto" w:before="69"/>
        <w:ind w:left="557" w:right="0"/>
        <w:jc w:val="left"/>
      </w:pPr>
      <w:r>
        <w:rPr>
          <w:rFonts w:ascii="Times New Roman" w:hAnsi="Times New Roman" w:cs="Times New Roman" w:eastAsia="Times New Roman" w:hint="default"/>
        </w:rPr>
        <w:t>8</w:t>
      </w:r>
      <w:r>
        <w:rPr/>
        <w:t>）本公司对金融工具信用管理方法是否发生变化等。</w:t>
      </w:r>
      <w:r>
        <w:rPr>
          <w:w w:val="100"/>
        </w:rPr>
        <w:t> </w:t>
      </w:r>
      <w:r>
        <w:rPr>
          <w:spacing w:val="-2"/>
        </w:rPr>
        <w:t>于资产负债表日，若本公司判断金融工具只具有较低的信用风险，则本公司假定该金融工具</w:t>
      </w:r>
    </w:p>
    <w:p>
      <w:pPr>
        <w:pStyle w:val="BodyText"/>
        <w:spacing w:line="314" w:lineRule="auto" w:before="34"/>
        <w:ind w:left="136" w:right="209"/>
        <w:jc w:val="both"/>
      </w:pPr>
      <w:r>
        <w:rPr>
          <w:spacing w:val="-1"/>
        </w:rPr>
        <w:t>的信用风险自初始确认后并未显著增加。如果金融工具的违约风险较低，借款人在短期内履行其</w:t>
      </w:r>
      <w:r>
        <w:rPr>
          <w:spacing w:val="-55"/>
        </w:rPr>
        <w:t> </w:t>
      </w:r>
      <w:r>
        <w:rPr>
          <w:spacing w:val="-55"/>
        </w:rPr>
      </w:r>
      <w:r>
        <w:rPr>
          <w:spacing w:val="-1"/>
        </w:rPr>
        <w:t>合同现金流量义务的能力很强，并且即使较长时期内经济形势和经营环境存在不利变化，但未必</w:t>
      </w:r>
      <w:r>
        <w:rPr>
          <w:spacing w:val="-55"/>
        </w:rPr>
        <w:t> </w:t>
      </w:r>
      <w:r>
        <w:rPr>
          <w:spacing w:val="-55"/>
        </w:rPr>
      </w:r>
      <w:r>
        <w:rPr/>
        <w:t>一定降低借款人履行其合同现金流量义务的能力，则该金融工具被视为具有较低的信用风险。</w:t>
      </w:r>
    </w:p>
    <w:p>
      <w:pPr>
        <w:pStyle w:val="BodyText"/>
        <w:spacing w:line="297" w:lineRule="auto" w:before="20"/>
        <w:ind w:left="557" w:right="0"/>
        <w:jc w:val="left"/>
      </w:pPr>
      <w:r>
        <w:rPr/>
        <w:t>（</w:t>
      </w:r>
      <w:r>
        <w:rPr>
          <w:rFonts w:ascii="Times New Roman" w:hAnsi="Times New Roman" w:cs="Times New Roman" w:eastAsia="Times New Roman" w:hint="default"/>
        </w:rPr>
        <w:t>2</w:t>
      </w:r>
      <w:r>
        <w:rPr/>
        <w:t>）已发生信用减值的金融资产</w:t>
      </w:r>
      <w:r>
        <w:rPr>
          <w:w w:val="100"/>
        </w:rPr>
        <w:t> </w:t>
      </w:r>
      <w:r>
        <w:rPr>
          <w:spacing w:val="-2"/>
        </w:rPr>
        <w:t>当对金融资产预期未来现金流量具有不利影响的一项或多项事件发生时，该金融资产成为已</w:t>
      </w:r>
    </w:p>
    <w:p>
      <w:pPr>
        <w:spacing w:after="0" w:line="297" w:lineRule="auto"/>
        <w:jc w:val="left"/>
        <w:sectPr>
          <w:pgSz w:w="11910" w:h="16840"/>
          <w:pgMar w:header="857" w:footer="979" w:top="1120" w:bottom="1160" w:left="1140" w:right="1580"/>
        </w:sectPr>
      </w:pPr>
    </w:p>
    <w:p>
      <w:pPr>
        <w:spacing w:line="240" w:lineRule="auto" w:before="4"/>
        <w:rPr>
          <w:rFonts w:ascii="宋体" w:hAnsi="宋体" w:cs="宋体" w:eastAsia="宋体" w:hint="default"/>
          <w:sz w:val="24"/>
          <w:szCs w:val="24"/>
        </w:rPr>
      </w:pPr>
    </w:p>
    <w:p>
      <w:pPr>
        <w:pStyle w:val="BodyText"/>
        <w:spacing w:line="314" w:lineRule="auto" w:before="36"/>
        <w:ind w:left="557" w:right="0" w:hanging="421"/>
        <w:jc w:val="left"/>
      </w:pPr>
      <w:r>
        <w:rPr>
          <w:spacing w:val="-2"/>
        </w:rPr>
        <w:t>发生信用减值的金融资产。金融资产已发生信用减值的证据包括下列可观察信息：</w:t>
      </w:r>
      <w:r>
        <w:rPr>
          <w:spacing w:val="-35"/>
        </w:rPr>
        <w:t> </w:t>
      </w:r>
      <w:r>
        <w:rPr>
          <w:spacing w:val="-35"/>
        </w:rPr>
      </w:r>
      <w:r>
        <w:rPr>
          <w:rFonts w:ascii="宋体" w:hAnsi="宋体" w:cs="宋体" w:eastAsia="宋体" w:hint="default"/>
        </w:rPr>
        <w:t>1</w:t>
      </w:r>
      <w:r>
        <w:rPr/>
        <w:t>）发行方或债务人发生重大财务困难；</w:t>
      </w:r>
    </w:p>
    <w:p>
      <w:pPr>
        <w:pStyle w:val="BodyText"/>
        <w:spacing w:line="240" w:lineRule="auto" w:before="20"/>
        <w:ind w:left="557" w:right="0"/>
        <w:jc w:val="left"/>
      </w:pPr>
      <w:r>
        <w:rPr>
          <w:rFonts w:ascii="宋体" w:hAnsi="宋体" w:cs="宋体" w:eastAsia="宋体" w:hint="default"/>
        </w:rPr>
        <w:t>2</w:t>
      </w:r>
      <w:r>
        <w:rPr/>
        <w:t>）债务人违反合同，如偿付利息或本金违约或逾期等；</w:t>
      </w:r>
    </w:p>
    <w:p>
      <w:pPr>
        <w:pStyle w:val="BodyText"/>
        <w:spacing w:line="314" w:lineRule="auto" w:before="85"/>
        <w:ind w:left="136" w:right="0" w:firstLine="420"/>
        <w:jc w:val="left"/>
      </w:pPr>
      <w:r>
        <w:rPr>
          <w:rFonts w:ascii="宋体" w:hAnsi="宋体" w:cs="宋体" w:eastAsia="宋体" w:hint="default"/>
          <w:spacing w:val="-4"/>
          <w:w w:val="100"/>
        </w:rPr>
        <w:t>3</w:t>
      </w:r>
      <w:r>
        <w:rPr>
          <w:spacing w:val="-4"/>
          <w:w w:val="100"/>
        </w:rPr>
        <w:t>）债权人出于与债务人财务困难有关的经济或合同考虑，给予债务人在任何其他情况下都不</w:t>
      </w:r>
      <w:r>
        <w:rPr>
          <w:w w:val="100"/>
        </w:rPr>
        <w:t> </w:t>
      </w:r>
      <w:r>
        <w:rPr/>
        <w:t>会做出的让步；</w:t>
      </w:r>
    </w:p>
    <w:p>
      <w:pPr>
        <w:pStyle w:val="BodyText"/>
        <w:spacing w:line="240" w:lineRule="auto" w:before="20"/>
        <w:ind w:left="557" w:right="0"/>
        <w:jc w:val="left"/>
      </w:pPr>
      <w:r>
        <w:rPr>
          <w:rFonts w:ascii="宋体" w:hAnsi="宋体" w:cs="宋体" w:eastAsia="宋体" w:hint="default"/>
        </w:rPr>
        <w:t>4</w:t>
      </w:r>
      <w:r>
        <w:rPr/>
        <w:t>）债务人很可能破产或进行其他财务重组；</w:t>
      </w:r>
    </w:p>
    <w:p>
      <w:pPr>
        <w:pStyle w:val="BodyText"/>
        <w:spacing w:line="240" w:lineRule="auto" w:before="85"/>
        <w:ind w:left="557" w:right="0"/>
        <w:jc w:val="left"/>
      </w:pPr>
      <w:r>
        <w:rPr>
          <w:rFonts w:ascii="宋体" w:hAnsi="宋体" w:cs="宋体" w:eastAsia="宋体" w:hint="default"/>
        </w:rPr>
        <w:t>5</w:t>
      </w:r>
      <w:r>
        <w:rPr/>
        <w:t>）发行方或债务人财务困难导致该金融资产的活跃市场消失；</w:t>
      </w:r>
    </w:p>
    <w:p>
      <w:pPr>
        <w:pStyle w:val="BodyText"/>
        <w:spacing w:line="314" w:lineRule="auto" w:before="85"/>
        <w:ind w:left="557" w:right="0"/>
        <w:jc w:val="left"/>
      </w:pPr>
      <w:r>
        <w:rPr>
          <w:rFonts w:ascii="宋体" w:hAnsi="宋体" w:cs="宋体" w:eastAsia="宋体" w:hint="default"/>
        </w:rPr>
        <w:t>6</w:t>
      </w:r>
      <w:r>
        <w:rPr/>
        <w:t>）以大幅折扣购买或源生一项金融资产，该折扣反映了发生信用损失的事实。</w:t>
      </w:r>
      <w:r>
        <w:rPr>
          <w:w w:val="100"/>
        </w:rPr>
        <w:t> </w:t>
      </w:r>
      <w:r>
        <w:rPr>
          <w:spacing w:val="-7"/>
          <w:w w:val="100"/>
        </w:rPr>
        <w:t>金融资产发生信用减值，有可能是多个事件的共同作用所致，未必是可单独识别的事件所致。</w:t>
      </w:r>
    </w:p>
    <w:p>
      <w:pPr>
        <w:pStyle w:val="BodyText"/>
        <w:spacing w:line="297" w:lineRule="auto" w:before="20"/>
        <w:ind w:left="557" w:right="0"/>
        <w:jc w:val="left"/>
      </w:pPr>
      <w:r>
        <w:rPr/>
        <w:t>（</w:t>
      </w:r>
      <w:r>
        <w:rPr>
          <w:rFonts w:ascii="Times New Roman" w:hAnsi="Times New Roman" w:cs="Times New Roman" w:eastAsia="Times New Roman" w:hint="default"/>
        </w:rPr>
        <w:t>3</w:t>
      </w:r>
      <w:r>
        <w:rPr/>
        <w:t>）预期信用损失的确定</w:t>
      </w:r>
      <w:r>
        <w:rPr>
          <w:w w:val="100"/>
        </w:rPr>
        <w:t> </w:t>
      </w:r>
      <w:r>
        <w:rPr>
          <w:spacing w:val="-2"/>
        </w:rPr>
        <w:t>本公司基于单项和组合评估金融工具的预期信用损失，在评估预期信用损失时，考虑有关过</w:t>
      </w:r>
    </w:p>
    <w:p>
      <w:pPr>
        <w:pStyle w:val="BodyText"/>
        <w:spacing w:line="314" w:lineRule="auto" w:before="34"/>
        <w:ind w:left="557" w:right="0" w:hanging="421"/>
        <w:jc w:val="left"/>
      </w:pPr>
      <w:r>
        <w:rPr/>
        <w:t>去事项、当前状况以及未来经济状况预测的合理且有依据的信息。</w:t>
      </w:r>
      <w:r>
        <w:rPr>
          <w:w w:val="100"/>
        </w:rPr>
        <w:t> </w:t>
      </w:r>
      <w:r>
        <w:rPr>
          <w:spacing w:val="-2"/>
        </w:rPr>
        <w:t>本公司以共同信用风险特征为依据，将金融工具分为不同组合。本公司采用的共同信用风险</w:t>
      </w:r>
    </w:p>
    <w:p>
      <w:pPr>
        <w:pStyle w:val="BodyText"/>
        <w:spacing w:line="314" w:lineRule="auto" w:before="20"/>
        <w:ind w:left="136" w:right="0"/>
        <w:jc w:val="left"/>
      </w:pPr>
      <w:r>
        <w:rPr>
          <w:spacing w:val="-1"/>
        </w:rPr>
        <w:t>特征包括：金融工具类型、信用风险评级、账龄组合、合同结算周期、债务人所处行业等。相关</w:t>
      </w:r>
      <w:r>
        <w:rPr>
          <w:spacing w:val="-55"/>
        </w:rPr>
        <w:t> </w:t>
      </w:r>
      <w:r>
        <w:rPr>
          <w:spacing w:val="-55"/>
        </w:rPr>
      </w:r>
      <w:r>
        <w:rPr/>
        <w:t>金融工具的单项评估标准和组合信用风险特征详见相关金融工具的会计政策。</w:t>
      </w:r>
    </w:p>
    <w:p>
      <w:pPr>
        <w:pStyle w:val="BodyText"/>
        <w:spacing w:line="240" w:lineRule="auto" w:before="20"/>
        <w:ind w:left="557" w:right="0"/>
        <w:jc w:val="left"/>
      </w:pPr>
      <w:r>
        <w:rPr/>
        <w:t>本公司按照下列方法确定相关金融工具的预期信用损失：</w:t>
      </w:r>
    </w:p>
    <w:p>
      <w:pPr>
        <w:pStyle w:val="BodyText"/>
        <w:spacing w:line="297" w:lineRule="auto" w:before="85"/>
        <w:ind w:left="136" w:right="0" w:firstLine="420"/>
        <w:jc w:val="left"/>
      </w:pPr>
      <w:r>
        <w:rPr>
          <w:rFonts w:ascii="Times New Roman" w:hAnsi="Times New Roman" w:cs="Times New Roman" w:eastAsia="Times New Roman" w:hint="default"/>
          <w:spacing w:val="-4"/>
        </w:rPr>
        <w:t>1</w:t>
      </w:r>
      <w:r>
        <w:rPr>
          <w:spacing w:val="-4"/>
        </w:rPr>
        <w:t>）对于金融资产，信用损失为本公司应收取的合同现金流量与预期收取的现金流量之间差额</w:t>
      </w:r>
      <w:r>
        <w:rPr>
          <w:w w:val="100"/>
        </w:rPr>
        <w:t> </w:t>
      </w:r>
      <w:r>
        <w:rPr/>
        <w:t>的现值。</w:t>
      </w:r>
    </w:p>
    <w:p>
      <w:pPr>
        <w:pStyle w:val="BodyText"/>
        <w:spacing w:line="304" w:lineRule="auto" w:before="34"/>
        <w:ind w:left="136" w:right="128" w:firstLine="420"/>
        <w:jc w:val="right"/>
      </w:pPr>
      <w:r>
        <w:rPr>
          <w:rFonts w:ascii="Times New Roman" w:hAnsi="Times New Roman" w:cs="Times New Roman" w:eastAsia="Times New Roman" w:hint="default"/>
        </w:rPr>
        <w:t>2</w:t>
      </w:r>
      <w:r>
        <w:rPr/>
        <w:t>）</w:t>
      </w:r>
      <w:r>
        <w:rPr>
          <w:spacing w:val="5"/>
        </w:rPr>
        <w:t> </w:t>
      </w:r>
      <w:r>
        <w:rPr/>
        <w:t>对于财务担保合同，信用损失为本公司就该合同持有人发生的信用损失向其做出赔付的</w:t>
      </w:r>
      <w:r>
        <w:rPr>
          <w:w w:val="100"/>
        </w:rPr>
        <w:t> 预计</w:t>
      </w:r>
      <w:r>
        <w:rPr>
          <w:spacing w:val="-3"/>
          <w:w w:val="100"/>
        </w:rPr>
        <w:t>付</w:t>
      </w:r>
      <w:r>
        <w:rPr>
          <w:w w:val="100"/>
        </w:rPr>
        <w:t>款</w:t>
      </w:r>
      <w:r>
        <w:rPr>
          <w:spacing w:val="-3"/>
          <w:w w:val="100"/>
        </w:rPr>
        <w:t>额</w:t>
      </w:r>
      <w:r>
        <w:rPr>
          <w:spacing w:val="-99"/>
          <w:w w:val="100"/>
        </w:rPr>
        <w:t>，</w:t>
      </w:r>
      <w:r>
        <w:rPr>
          <w:spacing w:val="-3"/>
          <w:w w:val="100"/>
        </w:rPr>
        <w:t>减</w:t>
      </w:r>
      <w:r>
        <w:rPr>
          <w:w w:val="100"/>
        </w:rPr>
        <w:t>去</w:t>
      </w:r>
      <w:r>
        <w:rPr>
          <w:spacing w:val="-3"/>
          <w:w w:val="100"/>
        </w:rPr>
        <w:t>本</w:t>
      </w:r>
      <w:r>
        <w:rPr>
          <w:w w:val="100"/>
        </w:rPr>
        <w:t>公</w:t>
      </w:r>
      <w:r>
        <w:rPr>
          <w:spacing w:val="-3"/>
          <w:w w:val="100"/>
        </w:rPr>
        <w:t>司预</w:t>
      </w:r>
      <w:r>
        <w:rPr>
          <w:w w:val="100"/>
        </w:rPr>
        <w:t>期向</w:t>
      </w:r>
      <w:r>
        <w:rPr>
          <w:spacing w:val="-3"/>
          <w:w w:val="100"/>
        </w:rPr>
        <w:t>该</w:t>
      </w:r>
      <w:r>
        <w:rPr>
          <w:w w:val="100"/>
        </w:rPr>
        <w:t>合</w:t>
      </w:r>
      <w:r>
        <w:rPr>
          <w:spacing w:val="-3"/>
          <w:w w:val="100"/>
        </w:rPr>
        <w:t>同</w:t>
      </w:r>
      <w:r>
        <w:rPr>
          <w:w w:val="100"/>
        </w:rPr>
        <w:t>持</w:t>
      </w:r>
      <w:r>
        <w:rPr>
          <w:spacing w:val="-3"/>
          <w:w w:val="100"/>
        </w:rPr>
        <w:t>有</w:t>
      </w:r>
      <w:r>
        <w:rPr>
          <w:w w:val="100"/>
        </w:rPr>
        <w:t>人</w:t>
      </w:r>
      <w:r>
        <w:rPr>
          <w:spacing w:val="-101"/>
          <w:w w:val="100"/>
        </w:rPr>
        <w:t>、</w:t>
      </w:r>
      <w:r>
        <w:rPr>
          <w:w w:val="100"/>
        </w:rPr>
        <w:t>债</w:t>
      </w:r>
      <w:r>
        <w:rPr>
          <w:spacing w:val="-3"/>
          <w:w w:val="100"/>
        </w:rPr>
        <w:t>务人</w:t>
      </w:r>
      <w:r>
        <w:rPr>
          <w:w w:val="100"/>
        </w:rPr>
        <w:t>或任</w:t>
      </w:r>
      <w:r>
        <w:rPr>
          <w:spacing w:val="-3"/>
          <w:w w:val="100"/>
        </w:rPr>
        <w:t>何</w:t>
      </w:r>
      <w:r>
        <w:rPr>
          <w:w w:val="100"/>
        </w:rPr>
        <w:t>其</w:t>
      </w:r>
      <w:r>
        <w:rPr>
          <w:spacing w:val="-3"/>
          <w:w w:val="100"/>
        </w:rPr>
        <w:t>他</w:t>
      </w:r>
      <w:r>
        <w:rPr>
          <w:w w:val="100"/>
        </w:rPr>
        <w:t>方</w:t>
      </w:r>
      <w:r>
        <w:rPr>
          <w:spacing w:val="-3"/>
          <w:w w:val="100"/>
        </w:rPr>
        <w:t>收</w:t>
      </w:r>
      <w:r>
        <w:rPr>
          <w:w w:val="100"/>
        </w:rPr>
        <w:t>取</w:t>
      </w:r>
      <w:r>
        <w:rPr>
          <w:spacing w:val="-3"/>
          <w:w w:val="100"/>
        </w:rPr>
        <w:t>的</w:t>
      </w:r>
      <w:r>
        <w:rPr>
          <w:w w:val="100"/>
        </w:rPr>
        <w:t>金</w:t>
      </w:r>
      <w:r>
        <w:rPr>
          <w:spacing w:val="-3"/>
          <w:w w:val="100"/>
        </w:rPr>
        <w:t>额</w:t>
      </w:r>
      <w:r>
        <w:rPr>
          <w:w w:val="100"/>
        </w:rPr>
        <w:t>之间</w:t>
      </w:r>
      <w:r>
        <w:rPr>
          <w:spacing w:val="-3"/>
          <w:w w:val="100"/>
        </w:rPr>
        <w:t>差</w:t>
      </w:r>
      <w:r>
        <w:rPr>
          <w:w w:val="100"/>
        </w:rPr>
        <w:t>额</w:t>
      </w:r>
      <w:r>
        <w:rPr>
          <w:spacing w:val="-3"/>
          <w:w w:val="100"/>
        </w:rPr>
        <w:t>的现值</w:t>
      </w:r>
      <w:r>
        <w:rPr>
          <w:w w:val="100"/>
        </w:rPr>
        <w:t>。</w:t>
      </w:r>
      <w:r>
        <w:rPr>
          <w:w w:val="100"/>
        </w:rPr>
        <w:t> </w:t>
      </w:r>
      <w:r>
        <w:rPr>
          <w:rFonts w:ascii="Times New Roman" w:hAnsi="Times New Roman" w:cs="Times New Roman" w:eastAsia="Times New Roman" w:hint="default"/>
          <w:spacing w:val="-4"/>
        </w:rPr>
        <w:t>3</w:t>
      </w:r>
      <w:r>
        <w:rPr>
          <w:spacing w:val="-4"/>
        </w:rPr>
        <w:t>）对于资产负债表日已发生信用减值但并非购买或源生已发生信用减值的金融资产，信用损</w:t>
      </w:r>
    </w:p>
    <w:p>
      <w:pPr>
        <w:pStyle w:val="BodyText"/>
        <w:spacing w:line="314" w:lineRule="auto" w:before="6"/>
        <w:ind w:left="557" w:right="0" w:hanging="421"/>
        <w:jc w:val="left"/>
      </w:pPr>
      <w:r>
        <w:rPr/>
        <w:t>失为该金融资产账面余额与按原实际利率折现的估计未来现金流量的现值之间的差额。</w:t>
      </w:r>
      <w:r>
        <w:rPr>
          <w:w w:val="100"/>
        </w:rPr>
        <w:t> </w:t>
      </w:r>
      <w:r>
        <w:rPr>
          <w:spacing w:val="-2"/>
        </w:rPr>
        <w:t>本公司计量金融工具预期信用损失的方法反映的因素包括：通过评价一系列可能的结果而确</w:t>
      </w:r>
    </w:p>
    <w:p>
      <w:pPr>
        <w:pStyle w:val="BodyText"/>
        <w:spacing w:line="314" w:lineRule="auto" w:before="20"/>
        <w:ind w:left="136" w:right="0"/>
        <w:jc w:val="left"/>
      </w:pPr>
      <w:r>
        <w:rPr>
          <w:spacing w:val="-1"/>
        </w:rPr>
        <w:t>定的无偏概率加权平均金额；货币时间价值；在资产负债表日无须付出不必要的额外成本或努力</w:t>
      </w:r>
      <w:r>
        <w:rPr>
          <w:spacing w:val="-55"/>
        </w:rPr>
        <w:t> </w:t>
      </w:r>
      <w:r>
        <w:rPr>
          <w:spacing w:val="-55"/>
        </w:rPr>
      </w:r>
      <w:r>
        <w:rPr/>
        <w:t>即可获得的有关过去事项、当前状况以及未来经济状况预测的合理且有依据的信息。</w:t>
      </w:r>
    </w:p>
    <w:p>
      <w:pPr>
        <w:pStyle w:val="BodyText"/>
        <w:spacing w:line="297" w:lineRule="auto" w:before="20"/>
        <w:ind w:left="557" w:right="0"/>
        <w:jc w:val="left"/>
      </w:pPr>
      <w:r>
        <w:rPr/>
        <w:t>（</w:t>
      </w:r>
      <w:r>
        <w:rPr>
          <w:rFonts w:ascii="Times New Roman" w:hAnsi="Times New Roman" w:cs="Times New Roman" w:eastAsia="Times New Roman" w:hint="default"/>
        </w:rPr>
        <w:t>4</w:t>
      </w:r>
      <w:r>
        <w:rPr/>
        <w:t>）减记金融资产</w:t>
      </w:r>
      <w:r>
        <w:rPr>
          <w:w w:val="100"/>
        </w:rPr>
        <w:t> </w:t>
      </w:r>
      <w:r>
        <w:rPr>
          <w:spacing w:val="-2"/>
        </w:rPr>
        <w:t>当本公司不再合理预期金融资产合同现金流量能够全部或部分收回的，直接减记该金融资产</w:t>
      </w:r>
    </w:p>
    <w:p>
      <w:pPr>
        <w:pStyle w:val="BodyText"/>
        <w:spacing w:line="240" w:lineRule="auto" w:before="34"/>
        <w:ind w:left="136" w:right="0"/>
        <w:jc w:val="left"/>
      </w:pPr>
      <w:r>
        <w:rPr/>
        <w:t>的账面余额。这种减记构成相关金融资产的终止确认。</w:t>
      </w:r>
    </w:p>
    <w:p>
      <w:pPr>
        <w:spacing w:line="297" w:lineRule="auto" w:before="85"/>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金融资产及金融负债的抵销</w:t>
      </w:r>
      <w:r>
        <w:rPr>
          <w:rFonts w:ascii="宋体" w:hAnsi="宋体" w:cs="宋体" w:eastAsia="宋体" w:hint="default"/>
          <w:b/>
          <w:bCs/>
          <w:w w:val="100"/>
          <w:sz w:val="21"/>
          <w:szCs w:val="21"/>
        </w:rPr>
        <w:t> </w:t>
      </w:r>
      <w:r>
        <w:rPr>
          <w:rFonts w:ascii="宋体" w:hAnsi="宋体" w:cs="宋体" w:eastAsia="宋体" w:hint="default"/>
          <w:spacing w:val="-7"/>
          <w:sz w:val="21"/>
          <w:szCs w:val="21"/>
        </w:rPr>
        <w:t>金融资产和金融负债在资产负债表内分别列示，没有相互抵销。但是，同时满足下列条件的，</w:t>
      </w:r>
    </w:p>
    <w:p>
      <w:pPr>
        <w:pStyle w:val="BodyText"/>
        <w:spacing w:line="240" w:lineRule="auto" w:before="35"/>
        <w:ind w:left="136" w:right="0"/>
        <w:jc w:val="left"/>
      </w:pPr>
      <w:r>
        <w:rPr/>
        <w:t>以相互抵销后的净额在资产负债表内列示：</w:t>
      </w:r>
    </w:p>
    <w:p>
      <w:pPr>
        <w:pStyle w:val="BodyText"/>
        <w:spacing w:line="240" w:lineRule="auto" w:before="85"/>
        <w:ind w:left="557" w:right="0"/>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69"/>
        <w:ind w:left="557" w:right="0"/>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7"/>
        <w:rPr>
          <w:rFonts w:ascii="宋体" w:hAnsi="宋体" w:cs="宋体" w:eastAsia="宋体" w:hint="default"/>
          <w:sz w:val="31"/>
          <w:szCs w:val="31"/>
        </w:rPr>
      </w:pPr>
    </w:p>
    <w:p>
      <w:pPr>
        <w:pStyle w:val="Heading4"/>
        <w:spacing w:line="273" w:lineRule="auto" w:before="0"/>
        <w:ind w:left="136" w:right="3425"/>
        <w:jc w:val="left"/>
        <w:rPr>
          <w:rFonts w:ascii="宋体" w:hAnsi="宋体" w:cs="宋体" w:eastAsia="宋体" w:hint="default"/>
          <w:b w:val="0"/>
          <w:bCs w:val="0"/>
        </w:rPr>
      </w:pP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29"/>
        <w:ind w:left="617" w:right="0" w:hanging="48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spacing w:val="-2"/>
        </w:rPr>
        <w:t>本公司对应收票据的预期信用损失的确定方法及会计处理方法详见本节五／</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6.</w:t>
      </w:r>
      <w:r>
        <w:rPr>
          <w:spacing w:val="-2"/>
        </w:rPr>
        <w:t>金融工具</w:t>
      </w:r>
    </w:p>
    <w:p>
      <w:pPr>
        <w:spacing w:after="0" w:line="304" w:lineRule="auto"/>
        <w:jc w:val="left"/>
        <w:sectPr>
          <w:pgSz w:w="11910" w:h="16840"/>
          <w:pgMar w:header="857" w:footer="979" w:top="1120" w:bottom="1160" w:left="1140" w:right="1660"/>
        </w:sectPr>
      </w:pPr>
    </w:p>
    <w:p>
      <w:pPr>
        <w:spacing w:line="240" w:lineRule="auto" w:before="4"/>
        <w:rPr>
          <w:rFonts w:ascii="宋体" w:hAnsi="宋体" w:cs="宋体" w:eastAsia="宋体" w:hint="default"/>
          <w:sz w:val="24"/>
          <w:szCs w:val="24"/>
        </w:rPr>
      </w:pPr>
    </w:p>
    <w:p>
      <w:pPr>
        <w:pStyle w:val="BodyText"/>
        <w:spacing w:line="240" w:lineRule="auto" w:before="36"/>
        <w:ind w:left="216" w:right="0"/>
        <w:jc w:val="left"/>
        <w:rPr>
          <w:rFonts w:ascii="宋体" w:hAnsi="宋体" w:cs="宋体" w:eastAsia="宋体" w:hint="default"/>
        </w:rPr>
      </w:pPr>
      <w:r>
        <w:rPr/>
        <w:t>减值。</w:t>
      </w:r>
      <w:r>
        <w:rPr>
          <w:rFonts w:ascii="宋体" w:hAnsi="宋体" w:cs="宋体" w:eastAsia="宋体" w:hint="default"/>
        </w:rPr>
        <w:t> </w:t>
      </w:r>
    </w:p>
    <w:p>
      <w:pPr>
        <w:pStyle w:val="BodyText"/>
        <w:spacing w:line="314" w:lineRule="auto" w:before="85"/>
        <w:ind w:left="637" w:right="0"/>
        <w:jc w:val="left"/>
      </w:pPr>
      <w:r>
        <w:rPr/>
        <w:t>本公司对单项金额重大且在初始确认后已经发生信用减值的应收票据单独确定其信用损失。</w:t>
      </w:r>
      <w:r>
        <w:rPr>
          <w:rFonts w:ascii="宋体" w:hAnsi="宋体" w:cs="宋体" w:eastAsia="宋体" w:hint="default"/>
          <w:w w:val="100"/>
        </w:rPr>
        <w:t> </w:t>
      </w:r>
      <w:r>
        <w:rPr/>
        <w:t>当在单项工具层面无法以合理成本评估预期信用损失的充分证据时，本公司参考历史信用损</w:t>
      </w:r>
    </w:p>
    <w:p>
      <w:pPr>
        <w:pStyle w:val="BodyText"/>
        <w:spacing w:line="314" w:lineRule="auto" w:before="20"/>
        <w:ind w:left="216" w:right="0"/>
        <w:jc w:val="left"/>
        <w:rPr>
          <w:rFonts w:ascii="宋体" w:hAnsi="宋体" w:cs="宋体" w:eastAsia="宋体" w:hint="default"/>
        </w:rPr>
      </w:pPr>
      <w:r>
        <w:rPr/>
        <w:pict>
          <v:shape style="position:absolute;margin-left:58.200001pt;margin-top:34.86367pt;width:453.25pt;height:127.9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4578"/>
                    <w:gridCol w:w="2876"/>
                  </w:tblGrid>
                  <w:tr>
                    <w:trPr>
                      <w:trHeight w:val="3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72"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45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8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5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出票人具有较高的信用评级，历史上未发生票据</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pacing w:val="-4"/>
                            <w:sz w:val="21"/>
                            <w:szCs w:val="21"/>
                          </w:rPr>
                          <w:t>违约，信用损失风险极低，在短期内履行其支付</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合同现金流量义务的能力很强</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1"/>
                          <w:jc w:val="left"/>
                          <w:rPr>
                            <w:rFonts w:ascii="宋体" w:hAnsi="宋体" w:cs="宋体" w:eastAsia="宋体" w:hint="default"/>
                            <w:sz w:val="21"/>
                            <w:szCs w:val="21"/>
                          </w:rPr>
                        </w:pPr>
                        <w:r>
                          <w:rPr>
                            <w:rFonts w:ascii="宋体" w:hAnsi="宋体" w:cs="宋体" w:eastAsia="宋体" w:hint="default"/>
                            <w:spacing w:val="8"/>
                            <w:sz w:val="21"/>
                            <w:szCs w:val="21"/>
                          </w:rPr>
                          <w:t>参考历史信用损失经验不计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提坏账准备</w:t>
                        </w:r>
                      </w:p>
                    </w:tc>
                  </w:tr>
                  <w:tr>
                    <w:trPr>
                      <w:trHeight w:val="13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4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一般企业单位</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本公司参考历史信用损失经</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7"/>
                            <w:sz w:val="21"/>
                            <w:szCs w:val="21"/>
                          </w:rPr>
                          <w:t>验，结合当前状况以及对未来</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7"/>
                            <w:sz w:val="21"/>
                            <w:szCs w:val="21"/>
                          </w:rPr>
                          <w:t>经济状况的预测，在整个存续</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8"/>
                            <w:sz w:val="21"/>
                            <w:szCs w:val="21"/>
                          </w:rPr>
                          <w:t>期预期信用损失率对照表，</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计算预期信用损失</w:t>
                        </w:r>
                      </w:p>
                    </w:tc>
                  </w:tr>
                </w:tbl>
                <w:p>
                  <w:pPr/>
                </w:p>
              </w:txbxContent>
            </v:textbox>
            <w10:wrap type="none"/>
          </v:shape>
        </w:pict>
      </w:r>
      <w:r>
        <w:rPr>
          <w:spacing w:val="-2"/>
        </w:rPr>
        <w:t>失经验，结合当前状况以及对未来经济状况的判断，依据信用风险特征将应收票据划分为若干组</w:t>
      </w:r>
      <w:r>
        <w:rPr>
          <w:spacing w:val="-16"/>
        </w:rPr>
        <w:t> </w:t>
      </w:r>
      <w:r>
        <w:rPr>
          <w:spacing w:val="-16"/>
        </w:rPr>
      </w:r>
      <w:r>
        <w:rPr/>
        <w:t>合，在组合基础上计算预期信用损失。确定组合的依据如下：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3"/>
        <w:spacing w:line="240" w:lineRule="auto" w:before="26"/>
        <w:ind w:left="216" w:right="0"/>
        <w:jc w:val="left"/>
      </w:pPr>
      <w:r>
        <w:rPr/>
        <w:t> </w:t>
      </w:r>
    </w:p>
    <w:p>
      <w:pPr>
        <w:pStyle w:val="Heading4"/>
        <w:spacing w:line="273" w:lineRule="auto"/>
        <w:ind w:left="216" w:right="3298"/>
        <w:jc w:val="left"/>
        <w:rPr>
          <w:rFonts w:ascii="宋体" w:hAnsi="宋体" w:cs="宋体" w:eastAsia="宋体" w:hint="default"/>
          <w:b w:val="0"/>
          <w:bCs w:val="0"/>
        </w:rPr>
      </w:pP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29"/>
        <w:ind w:left="697" w:right="0" w:hanging="48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spacing w:val="-2"/>
        </w:rPr>
        <w:t>本公司对应收账款的预期信用损失的确定方法及会计处理方法详见本节五／</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6.</w:t>
      </w:r>
      <w:r>
        <w:rPr>
          <w:spacing w:val="-2"/>
        </w:rPr>
        <w:t>金融工具</w:t>
      </w:r>
    </w:p>
    <w:p>
      <w:pPr>
        <w:pStyle w:val="BodyText"/>
        <w:spacing w:line="240" w:lineRule="auto" w:before="6"/>
        <w:ind w:left="216" w:right="0"/>
        <w:jc w:val="left"/>
        <w:rPr>
          <w:rFonts w:ascii="宋体" w:hAnsi="宋体" w:cs="宋体" w:eastAsia="宋体" w:hint="default"/>
        </w:rPr>
      </w:pPr>
      <w:r>
        <w:rPr/>
        <w:t>减值。</w:t>
      </w:r>
      <w:r>
        <w:rPr>
          <w:rFonts w:ascii="宋体" w:hAnsi="宋体" w:cs="宋体" w:eastAsia="宋体" w:hint="default"/>
        </w:rPr>
        <w:t> </w:t>
      </w:r>
    </w:p>
    <w:p>
      <w:pPr>
        <w:pStyle w:val="BodyText"/>
        <w:spacing w:line="314" w:lineRule="auto" w:before="85"/>
        <w:ind w:left="216" w:right="231" w:firstLine="420"/>
        <w:jc w:val="both"/>
        <w:rPr>
          <w:rFonts w:ascii="宋体" w:hAnsi="宋体" w:cs="宋体" w:eastAsia="宋体" w:hint="default"/>
        </w:rPr>
      </w:pPr>
      <w:r>
        <w:rPr/>
        <w:t>本公司对单项金额重大且在初始确认后已经发生信用减值；示例</w:t>
      </w:r>
      <w:r>
        <w:rPr>
          <w:spacing w:val="4"/>
        </w:rPr>
        <w:t> </w:t>
      </w:r>
      <w:r>
        <w:rPr>
          <w:rFonts w:ascii="宋体" w:hAnsi="宋体" w:cs="宋体" w:eastAsia="宋体" w:hint="default"/>
        </w:rPr>
        <w:t>2</w:t>
      </w:r>
      <w:r>
        <w:rPr/>
        <w:t>：在单项工具层面能以合</w:t>
      </w:r>
      <w:r>
        <w:rPr>
          <w:w w:val="100"/>
        </w:rPr>
        <w:t> </w:t>
      </w:r>
      <w:r>
        <w:rPr/>
        <w:t>理成本评估预期信用损失的充分证据的应收账款单独确定其信用损失。</w:t>
      </w:r>
      <w:r>
        <w:rPr>
          <w:rFonts w:ascii="宋体" w:hAnsi="宋体" w:cs="宋体" w:eastAsia="宋体" w:hint="default"/>
        </w:rPr>
        <w:t> </w:t>
      </w:r>
    </w:p>
    <w:p>
      <w:pPr>
        <w:pStyle w:val="BodyText"/>
        <w:spacing w:line="314" w:lineRule="auto" w:before="20"/>
        <w:ind w:left="216" w:right="229" w:firstLine="420"/>
        <w:jc w:val="both"/>
        <w:rPr>
          <w:rFonts w:ascii="宋体" w:hAnsi="宋体" w:cs="宋体" w:eastAsia="宋体" w:hint="default"/>
        </w:rPr>
      </w:pPr>
      <w:r>
        <w:rPr/>
        <w:pict>
          <v:shape style="position:absolute;margin-left:58.200001pt;margin-top:52.863667pt;width:453.25pt;height:114.8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7"/>
                    <w:gridCol w:w="4167"/>
                    <w:gridCol w:w="2876"/>
                  </w:tblGrid>
                  <w:tr>
                    <w:trPr>
                      <w:trHeight w:val="350" w:hRule="exact"/>
                    </w:trPr>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78"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4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828" w:hRule="exact"/>
                    </w:trPr>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组合一</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合并范围单位</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参考历史信用损失经验，结合</w:t>
                        </w:r>
                      </w:p>
                      <w:p>
                        <w:pPr>
                          <w:pStyle w:val="TableParagraph"/>
                          <w:spacing w:line="272" w:lineRule="exact" w:before="27"/>
                          <w:ind w:left="103" w:right="238"/>
                          <w:jc w:val="left"/>
                          <w:rPr>
                            <w:rFonts w:ascii="宋体" w:hAnsi="宋体" w:cs="宋体" w:eastAsia="宋体" w:hint="default"/>
                            <w:sz w:val="21"/>
                            <w:szCs w:val="21"/>
                          </w:rPr>
                        </w:pPr>
                        <w:r>
                          <w:rPr>
                            <w:rFonts w:ascii="宋体" w:hAnsi="宋体" w:cs="宋体" w:eastAsia="宋体" w:hint="default"/>
                            <w:spacing w:val="-2"/>
                            <w:sz w:val="21"/>
                            <w:szCs w:val="21"/>
                          </w:rPr>
                          <w:t>当前状况以及对未来经济状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况的预期计量坏账准备</w:t>
                        </w:r>
                      </w:p>
                    </w:tc>
                  </w:tr>
                  <w:tr>
                    <w:trPr>
                      <w:trHeight w:val="554" w:hRule="exact"/>
                    </w:trPr>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组合二</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政府、事业单位</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按账龄与整个存续期预期信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用损失率对照表计提</w:t>
                        </w:r>
                      </w:p>
                    </w:tc>
                  </w:tr>
                  <w:tr>
                    <w:trPr>
                      <w:trHeight w:val="554" w:hRule="exact"/>
                    </w:trPr>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组合三</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企业单位</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按账龄与整个存续期预期信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用损失率对照表计提</w:t>
                        </w:r>
                      </w:p>
                    </w:tc>
                  </w:tr>
                </w:tbl>
                <w:p>
                  <w:pPr/>
                </w:p>
              </w:txbxContent>
            </v:textbox>
            <w10:wrap type="none"/>
          </v:shape>
        </w:pict>
      </w:r>
      <w:r>
        <w:rPr>
          <w:spacing w:val="-2"/>
        </w:rPr>
        <w:t>当在单项工具层面无法以合理成本评估预期信用损失的充分证据时，本公司参考历史信用损</w:t>
      </w:r>
      <w:r>
        <w:rPr>
          <w:w w:val="100"/>
        </w:rPr>
        <w:t> </w:t>
      </w:r>
      <w:r>
        <w:rPr>
          <w:spacing w:val="-1"/>
        </w:rPr>
        <w:t>失经验，结合当前状况以及对未来经济状况的判断，依据信用风险特征将应收账款划分为若干组</w:t>
      </w:r>
      <w:r>
        <w:rPr>
          <w:spacing w:val="-55"/>
        </w:rPr>
        <w:t> </w:t>
      </w:r>
      <w:r>
        <w:rPr>
          <w:spacing w:val="-55"/>
        </w:rPr>
      </w:r>
      <w:r>
        <w:rPr/>
        <w:t>合，在组合基础上计算预期信用损失。确定组合的依据如下：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3"/>
        <w:spacing w:line="240" w:lineRule="auto" w:before="26"/>
        <w:ind w:left="216" w:right="0"/>
        <w:jc w:val="left"/>
      </w:pPr>
      <w:r>
        <w:rPr/>
        <w:t> </w:t>
      </w:r>
    </w:p>
    <w:p>
      <w:pPr>
        <w:pStyle w:val="Heading4"/>
        <w:spacing w:line="240" w:lineRule="auto"/>
        <w:ind w:left="216" w:right="0"/>
        <w:jc w:val="left"/>
        <w:rPr>
          <w:b w:val="0"/>
          <w:bCs w:val="0"/>
        </w:rPr>
      </w:pPr>
      <w:r>
        <w:rPr>
          <w:rFonts w:ascii="Times New Roman" w:hAnsi="Times New Roman" w:cs="Times New Roman" w:eastAsia="Times New Roman" w:hint="default"/>
        </w:rPr>
        <w:t>13.  </w:t>
      </w:r>
      <w:r>
        <w:rPr>
          <w:rFonts w:ascii="Times New Roman" w:hAnsi="Times New Roman" w:cs="Times New Roman" w:eastAsia="Times New Roman" w:hint="default"/>
          <w:spacing w:val="6"/>
        </w:rPr>
        <w:t> </w:t>
      </w:r>
      <w:r>
        <w:rPr/>
        <w:t>应收款项融资</w:t>
      </w:r>
      <w:r>
        <w:rPr>
          <w:b w:val="0"/>
          <w:bCs w:val="0"/>
        </w:rPr>
      </w:r>
    </w:p>
    <w:p>
      <w:pPr>
        <w:pStyle w:val="BodyText"/>
        <w:spacing w:line="307" w:lineRule="auto" w:before="40"/>
        <w:ind w:left="697" w:right="0" w:hanging="48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本公司对应收款项融资的预期信用损失的确定方法及会计处理方法详见本节五／</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6.</w:t>
      </w:r>
      <w:r>
        <w:rPr>
          <w:spacing w:val="-2"/>
        </w:rPr>
        <w:t>金融</w:t>
      </w:r>
      <w:r>
        <w:rPr/>
      </w:r>
    </w:p>
    <w:p>
      <w:pPr>
        <w:pStyle w:val="BodyText"/>
        <w:spacing w:line="240" w:lineRule="auto" w:before="4"/>
        <w:ind w:left="216" w:right="0"/>
        <w:jc w:val="left"/>
        <w:rPr>
          <w:rFonts w:ascii="宋体" w:hAnsi="宋体" w:cs="宋体" w:eastAsia="宋体" w:hint="default"/>
        </w:rPr>
      </w:pPr>
      <w:r>
        <w:rPr/>
        <w:t>工具减值。</w:t>
      </w:r>
      <w:r>
        <w:rPr>
          <w:rFonts w:ascii="宋体" w:hAnsi="宋体" w:cs="宋体" w:eastAsia="宋体" w:hint="default"/>
        </w:rPr>
        <w:t> </w:t>
      </w:r>
    </w:p>
    <w:p>
      <w:pPr>
        <w:pStyle w:val="BodyText"/>
        <w:spacing w:line="240" w:lineRule="auto" w:before="8"/>
        <w:ind w:left="216" w:right="0"/>
        <w:jc w:val="left"/>
        <w:rPr>
          <w:rFonts w:ascii="宋体" w:hAnsi="宋体" w:cs="宋体" w:eastAsia="宋体" w:hint="default"/>
        </w:rPr>
      </w:pPr>
      <w:r>
        <w:rPr>
          <w:rFonts w:ascii="宋体"/>
          <w:w w:val="100"/>
        </w:rPr>
        <w:t> </w:t>
      </w:r>
    </w:p>
    <w:p>
      <w:pPr>
        <w:pStyle w:val="Heading4"/>
        <w:spacing w:line="276" w:lineRule="auto" w:before="56"/>
        <w:ind w:left="216" w:right="3298"/>
        <w:jc w:val="left"/>
        <w:rPr>
          <w:rFonts w:ascii="宋体" w:hAnsi="宋体" w:cs="宋体" w:eastAsia="宋体" w:hint="default"/>
          <w:b w:val="0"/>
          <w:bCs w:val="0"/>
        </w:rPr>
      </w:pPr>
      <w:r>
        <w:rPr>
          <w:rFonts w:ascii="Times New Roman" w:hAnsi="Times New Roman" w:cs="Times New Roman" w:eastAsia="Times New Roman" w:hint="default"/>
        </w:rPr>
        <w:t>14. </w:t>
      </w:r>
      <w:r>
        <w:rPr/>
        <w:t>其他应收款</w:t>
      </w:r>
      <w:r>
        <w:rPr>
          <w:spacing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25"/>
        <w:ind w:left="697" w:right="0" w:hanging="48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spacing w:val="-2"/>
        </w:rPr>
        <w:t>本公司对其他应收款的预期信用损失的确定方法及会计处理方法详见本节五／</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6.</w:t>
      </w:r>
      <w:r>
        <w:rPr>
          <w:spacing w:val="-2"/>
        </w:rPr>
        <w:t>金融工</w:t>
      </w:r>
    </w:p>
    <w:p>
      <w:pPr>
        <w:spacing w:after="0" w:line="304" w:lineRule="auto"/>
        <w:jc w:val="left"/>
        <w:sectPr>
          <w:pgSz w:w="11910" w:h="16840"/>
          <w:pgMar w:header="857" w:footer="979" w:top="1120" w:bottom="1160" w:left="1060" w:right="1560"/>
        </w:sectPr>
      </w:pPr>
    </w:p>
    <w:p>
      <w:pPr>
        <w:spacing w:line="240" w:lineRule="auto" w:before="4"/>
        <w:rPr>
          <w:rFonts w:ascii="宋体" w:hAnsi="宋体" w:cs="宋体" w:eastAsia="宋体" w:hint="default"/>
          <w:sz w:val="24"/>
          <w:szCs w:val="24"/>
        </w:rPr>
      </w:pPr>
    </w:p>
    <w:p>
      <w:pPr>
        <w:pStyle w:val="BodyText"/>
        <w:spacing w:line="240" w:lineRule="auto" w:before="36"/>
        <w:ind w:left="216" w:right="0"/>
        <w:jc w:val="left"/>
        <w:rPr>
          <w:rFonts w:ascii="宋体" w:hAnsi="宋体" w:cs="宋体" w:eastAsia="宋体" w:hint="default"/>
        </w:rPr>
      </w:pPr>
      <w:r>
        <w:rPr/>
        <w:t>具减值。</w:t>
      </w:r>
      <w:r>
        <w:rPr>
          <w:rFonts w:ascii="宋体" w:hAnsi="宋体" w:cs="宋体" w:eastAsia="宋体" w:hint="default"/>
        </w:rPr>
        <w:t> </w:t>
      </w:r>
    </w:p>
    <w:p>
      <w:pPr>
        <w:pStyle w:val="BodyText"/>
        <w:spacing w:line="314" w:lineRule="auto" w:before="85"/>
        <w:ind w:left="637" w:right="0"/>
        <w:jc w:val="left"/>
      </w:pPr>
      <w:r>
        <w:rPr>
          <w:spacing w:val="-4"/>
          <w:w w:val="100"/>
        </w:rPr>
        <w:t>本公司对单项金额重大且在初始确认后已经发生信用减值的其他应收款单独确定其信用损失。</w:t>
      </w:r>
      <w:r>
        <w:rPr>
          <w:spacing w:val="-95"/>
          <w:w w:val="100"/>
        </w:rPr>
        <w:t> </w:t>
      </w:r>
      <w:r>
        <w:rPr>
          <w:rFonts w:ascii="宋体" w:hAnsi="宋体" w:cs="宋体" w:eastAsia="宋体" w:hint="default"/>
          <w:spacing w:val="-95"/>
          <w:w w:val="100"/>
        </w:rPr>
      </w:r>
      <w:r>
        <w:rPr/>
        <w:t>当在单项工具层面无法以合理成本评估预期信用损失的充分证据时，本公司参考历史信用损</w:t>
      </w:r>
    </w:p>
    <w:p>
      <w:pPr>
        <w:pStyle w:val="BodyText"/>
        <w:spacing w:line="314" w:lineRule="auto" w:before="20"/>
        <w:ind w:left="216" w:right="0"/>
        <w:jc w:val="left"/>
        <w:rPr>
          <w:rFonts w:ascii="宋体" w:hAnsi="宋体" w:cs="宋体" w:eastAsia="宋体" w:hint="default"/>
        </w:rPr>
      </w:pPr>
      <w:r>
        <w:rPr/>
        <w:pict>
          <v:shape style="position:absolute;margin-left:58.200001pt;margin-top:34.86367pt;width:453.25pt;height:160.1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0"/>
                    <w:gridCol w:w="4475"/>
                    <w:gridCol w:w="2876"/>
                  </w:tblGrid>
                  <w:tr>
                    <w:trPr>
                      <w:trHeight w:val="350"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8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组合一</w:t>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合并范围单位</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hanging="68"/>
                          <w:jc w:val="left"/>
                          <w:rPr>
                            <w:rFonts w:ascii="宋体" w:hAnsi="宋体" w:cs="宋体" w:eastAsia="宋体" w:hint="default"/>
                            <w:sz w:val="21"/>
                            <w:szCs w:val="21"/>
                          </w:rPr>
                        </w:pPr>
                        <w:r>
                          <w:rPr>
                            <w:rFonts w:ascii="宋体" w:hAnsi="宋体" w:cs="宋体" w:eastAsia="宋体" w:hint="default"/>
                            <w:spacing w:val="-7"/>
                            <w:sz w:val="21"/>
                            <w:szCs w:val="21"/>
                          </w:rPr>
                          <w:t>参考历史信用损失经验，结合</w:t>
                        </w:r>
                      </w:p>
                      <w:p>
                        <w:pPr>
                          <w:pStyle w:val="TableParagraph"/>
                          <w:spacing w:line="240" w:lineRule="auto"/>
                          <w:ind w:left="381" w:right="171" w:hanging="212"/>
                          <w:jc w:val="left"/>
                          <w:rPr>
                            <w:rFonts w:ascii="宋体" w:hAnsi="宋体" w:cs="宋体" w:eastAsia="宋体" w:hint="default"/>
                            <w:sz w:val="21"/>
                            <w:szCs w:val="21"/>
                          </w:rPr>
                        </w:pPr>
                        <w:r>
                          <w:rPr>
                            <w:rFonts w:ascii="宋体" w:hAnsi="宋体" w:cs="宋体" w:eastAsia="宋体" w:hint="default"/>
                            <w:spacing w:val="-2"/>
                            <w:sz w:val="21"/>
                            <w:szCs w:val="21"/>
                          </w:rPr>
                          <w:t>当前状况以及对未来经济状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况的预期计量坏账准备</w:t>
                        </w:r>
                      </w:p>
                    </w:tc>
                  </w:tr>
                  <w:tr>
                    <w:trPr>
                      <w:trHeight w:val="557"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组合二</w:t>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应收政府、事业单位履约保证金</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按账龄与整个存续期预期信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用损失率对照表计提</w:t>
                        </w:r>
                      </w:p>
                    </w:tc>
                  </w:tr>
                  <w:tr>
                    <w:trPr>
                      <w:trHeight w:val="555"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组合三</w:t>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应收企业单位履约保证金</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按账龄与整个存续期预期信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用损失率对照表计提</w:t>
                        </w:r>
                      </w:p>
                    </w:tc>
                  </w:tr>
                  <w:tr>
                    <w:trPr>
                      <w:trHeight w:val="350"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组合四</w:t>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押金、备用金等组合</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不计提</w:t>
                        </w: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组合五</w:t>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除上述以外</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按账龄与整个存续期预期信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用损失率对照表计提</w:t>
                        </w:r>
                      </w:p>
                    </w:tc>
                  </w:tr>
                </w:tbl>
                <w:p>
                  <w:pPr/>
                </w:p>
              </w:txbxContent>
            </v:textbox>
            <w10:wrap type="none"/>
          </v:shape>
        </w:pict>
      </w:r>
      <w:r>
        <w:rPr>
          <w:spacing w:val="-1"/>
        </w:rPr>
        <w:t>失经验，结合当前状况以及对未来经济状况的判断，依据信用风险特征将其他应收款划分为若干</w:t>
      </w:r>
      <w:r>
        <w:rPr>
          <w:spacing w:val="-55"/>
        </w:rPr>
        <w:t> </w:t>
      </w:r>
      <w:r>
        <w:rPr>
          <w:spacing w:val="-55"/>
        </w:rPr>
      </w:r>
      <w:r>
        <w:rPr/>
        <w:t>组合，在组合基础上计算预期信用损失。确定组合的依据如下：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3"/>
        <w:spacing w:line="240" w:lineRule="auto" w:before="26"/>
        <w:ind w:left="216" w:right="0"/>
        <w:jc w:val="left"/>
      </w:pPr>
      <w:r>
        <w:rPr/>
        <w:t> </w:t>
      </w:r>
    </w:p>
    <w:p>
      <w:pPr>
        <w:pStyle w:val="Heading4"/>
        <w:spacing w:line="240" w:lineRule="auto" w:before="61"/>
        <w:ind w:left="216" w:right="0"/>
        <w:jc w:val="left"/>
        <w:rPr>
          <w:b w:val="0"/>
          <w:bCs w:val="0"/>
        </w:rPr>
      </w:pPr>
      <w:r>
        <w:rPr>
          <w:rFonts w:ascii="Times New Roman" w:hAnsi="Times New Roman" w:cs="Times New Roman" w:eastAsia="Times New Roman" w:hint="default"/>
        </w:rPr>
        <w:t>15.  </w:t>
      </w:r>
      <w:r>
        <w:rPr>
          <w:rFonts w:ascii="Times New Roman" w:hAnsi="Times New Roman" w:cs="Times New Roman" w:eastAsia="Times New Roman" w:hint="default"/>
          <w:spacing w:val="5"/>
        </w:rPr>
        <w:t> </w:t>
      </w:r>
      <w:r>
        <w:rPr/>
        <w:t>存货</w:t>
      </w:r>
      <w:r>
        <w:rPr>
          <w:b w:val="0"/>
          <w:bCs w:val="0"/>
        </w:rPr>
      </w:r>
    </w:p>
    <w:p>
      <w:pPr>
        <w:pStyle w:val="BodyText"/>
        <w:spacing w:line="240" w:lineRule="auto" w:before="43"/>
        <w:ind w:left="216" w:right="0"/>
        <w:jc w:val="left"/>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97" w:lineRule="auto" w:before="73"/>
        <w:ind w:left="637" w:right="0" w:firstLine="60"/>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2"/>
        </w:rPr>
        <w:t>存货是指本公司在日常活动中持有以备出售的产成品或商品、处在生产过程中的在产品、在</w:t>
      </w:r>
    </w:p>
    <w:p>
      <w:pPr>
        <w:pStyle w:val="BodyText"/>
        <w:spacing w:line="314" w:lineRule="auto" w:before="34"/>
        <w:ind w:left="216" w:right="309"/>
        <w:jc w:val="both"/>
        <w:rPr>
          <w:rFonts w:ascii="宋体" w:hAnsi="宋体" w:cs="宋体" w:eastAsia="宋体" w:hint="default"/>
        </w:rPr>
      </w:pPr>
      <w:r>
        <w:rPr>
          <w:spacing w:val="-1"/>
        </w:rPr>
        <w:t>生产过程或提供劳务过程中耗用的材料和物料等。主要包括库存商品、低值易耗品、在建系统集</w:t>
      </w:r>
      <w:r>
        <w:rPr>
          <w:spacing w:val="-54"/>
        </w:rPr>
        <w:t> </w:t>
      </w:r>
      <w:r>
        <w:rPr>
          <w:spacing w:val="-54"/>
        </w:rPr>
      </w:r>
      <w:r>
        <w:rPr/>
        <w:t>成等。</w:t>
      </w:r>
      <w:r>
        <w:rPr>
          <w:rFonts w:ascii="宋体" w:hAnsi="宋体" w:cs="宋体" w:eastAsia="宋体" w:hint="default"/>
        </w:rPr>
        <w:t> </w:t>
      </w:r>
    </w:p>
    <w:p>
      <w:pPr>
        <w:pStyle w:val="BodyText"/>
        <w:spacing w:line="297" w:lineRule="auto" w:before="20"/>
        <w:ind w:left="637" w:right="0" w:firstLine="2"/>
        <w:jc w:val="left"/>
      </w:pPr>
      <w:r>
        <w:rPr>
          <w:rFonts w:ascii="Times New Roman" w:hAnsi="Times New Roman" w:cs="Times New Roman" w:eastAsia="Times New Roman" w:hint="default"/>
          <w:b/>
          <w:bCs/>
        </w:rPr>
        <w:t>2</w:t>
      </w:r>
      <w:r>
        <w:rPr>
          <w:rFonts w:ascii="宋体" w:hAnsi="宋体" w:cs="宋体" w:eastAsia="宋体" w:hint="default"/>
          <w:b/>
          <w:bCs/>
        </w:rPr>
        <w:t>．存货的计价方法</w:t>
      </w:r>
      <w:r>
        <w:rPr>
          <w:rFonts w:ascii="宋体" w:hAnsi="宋体" w:cs="宋体" w:eastAsia="宋体" w:hint="default"/>
          <w:b/>
          <w:bCs/>
          <w:w w:val="99"/>
        </w:rPr>
        <w:t> </w:t>
      </w:r>
      <w:r>
        <w:rPr>
          <w:spacing w:val="-1"/>
        </w:rPr>
        <w:t>存货在取得时，按成本进行初始计量，包括采购成本、加工成本和其他成本。存货发出时计</w:t>
      </w:r>
    </w:p>
    <w:p>
      <w:pPr>
        <w:spacing w:line="304" w:lineRule="auto" w:before="34"/>
        <w:ind w:left="637" w:right="0" w:hanging="421"/>
        <w:jc w:val="left"/>
        <w:rPr>
          <w:rFonts w:ascii="宋体" w:hAnsi="宋体" w:cs="宋体" w:eastAsia="宋体" w:hint="default"/>
          <w:sz w:val="21"/>
          <w:szCs w:val="21"/>
        </w:rPr>
      </w:pPr>
      <w:r>
        <w:rPr>
          <w:rFonts w:ascii="宋体" w:hAnsi="宋体" w:cs="宋体" w:eastAsia="宋体" w:hint="default"/>
          <w:sz w:val="21"/>
          <w:szCs w:val="21"/>
        </w:rPr>
        <w:t>价方法：零售采用先进先出法，其余采用个别认定法核算计价。</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2"/>
          <w:sz w:val="21"/>
          <w:szCs w:val="21"/>
        </w:rPr>
        <w:t>期末对存货进行全面清查后，按存货的成本与可变现净值孰低提取或调整存货跌价准备。产</w:t>
      </w:r>
    </w:p>
    <w:p>
      <w:pPr>
        <w:pStyle w:val="BodyText"/>
        <w:spacing w:line="314" w:lineRule="auto" w:before="28"/>
        <w:ind w:left="216" w:right="309"/>
        <w:jc w:val="both"/>
        <w:rPr>
          <w:rFonts w:ascii="宋体" w:hAnsi="宋体" w:cs="宋体" w:eastAsia="宋体" w:hint="default"/>
        </w:rPr>
      </w:pPr>
      <w:r>
        <w:rPr>
          <w:spacing w:val="-1"/>
        </w:rPr>
        <w:t>成品、库存商品和用于出售的材料等直接用于出售的商品存货，在正常生产经营过程中，以该存</w:t>
      </w:r>
      <w:r>
        <w:rPr>
          <w:spacing w:val="-55"/>
        </w:rPr>
        <w:t> </w:t>
      </w:r>
      <w:r>
        <w:rPr>
          <w:spacing w:val="-55"/>
        </w:rPr>
      </w:r>
      <w:r>
        <w:rPr>
          <w:spacing w:val="-1"/>
        </w:rPr>
        <w:t>货的估计售价减去估计的销售费用和相关税费后的金额，确定其可变现净值；需要经过加工的材</w:t>
      </w:r>
      <w:r>
        <w:rPr>
          <w:spacing w:val="-55"/>
        </w:rPr>
        <w:t> </w:t>
      </w:r>
      <w:r>
        <w:rPr>
          <w:spacing w:val="-55"/>
        </w:rPr>
      </w:r>
      <w:r>
        <w:rPr>
          <w:spacing w:val="-1"/>
        </w:rPr>
        <w:t>料存货，在正常生产经营过程中，以所生产的产成品的估计售价减去至完工时估计将要发生的成</w:t>
      </w:r>
      <w:r>
        <w:rPr>
          <w:spacing w:val="-55"/>
        </w:rPr>
        <w:t> </w:t>
      </w:r>
      <w:r>
        <w:rPr>
          <w:spacing w:val="-55"/>
        </w:rPr>
      </w:r>
      <w:r>
        <w:rPr>
          <w:spacing w:val="-1"/>
        </w:rPr>
        <w:t>本、估计的销售费用和相关税费后的金额，确定其可变现净值；为执行销售合同或者劳务合同而</w:t>
      </w:r>
      <w:r>
        <w:rPr>
          <w:spacing w:val="-55"/>
        </w:rPr>
        <w:t> </w:t>
      </w:r>
      <w:r>
        <w:rPr>
          <w:spacing w:val="-55"/>
        </w:rPr>
      </w:r>
      <w:r>
        <w:rPr>
          <w:spacing w:val="-6"/>
          <w:w w:val="100"/>
        </w:rPr>
        <w:t>持有的存货，其可变现净值以合同价格为基础计算，若持有存货的数量多于销售合同订购数量的，</w:t>
      </w:r>
      <w:r>
        <w:rPr>
          <w:w w:val="100"/>
        </w:rPr>
        <w:t> </w:t>
      </w:r>
      <w:r>
        <w:rPr/>
        <w:t>超出部分的存货的可变现净值以一般销售价格为基础计算。</w:t>
      </w:r>
      <w:r>
        <w:rPr>
          <w:rFonts w:ascii="宋体" w:hAnsi="宋体" w:cs="宋体" w:eastAsia="宋体" w:hint="default"/>
        </w:rPr>
        <w:t> </w:t>
      </w:r>
    </w:p>
    <w:p>
      <w:pPr>
        <w:pStyle w:val="BodyText"/>
        <w:spacing w:line="314" w:lineRule="auto" w:before="20"/>
        <w:ind w:left="216" w:right="309" w:firstLine="420"/>
        <w:jc w:val="both"/>
        <w:rPr>
          <w:rFonts w:ascii="宋体" w:hAnsi="宋体" w:cs="宋体" w:eastAsia="宋体" w:hint="default"/>
        </w:rPr>
      </w:pPr>
      <w:r>
        <w:rPr>
          <w:spacing w:val="-2"/>
        </w:rPr>
        <w:t>期末按照单个存货项目计提存货跌价准备；但对于数量繁多、单价较低的存货，按照存货类</w:t>
      </w:r>
      <w:r>
        <w:rPr>
          <w:w w:val="100"/>
        </w:rPr>
        <w:t> </w:t>
      </w:r>
      <w:r>
        <w:rPr>
          <w:spacing w:val="-1"/>
        </w:rPr>
        <w:t>别计提存货跌价准备；与在同一地区生产和销售的产品系列相关、具有相同或类似最终用途或目</w:t>
      </w:r>
      <w:r>
        <w:rPr>
          <w:spacing w:val="-55"/>
        </w:rPr>
        <w:t> </w:t>
      </w:r>
      <w:r>
        <w:rPr>
          <w:spacing w:val="-55"/>
        </w:rPr>
      </w:r>
      <w:r>
        <w:rPr/>
        <w:t>的，且难以与其他项目分开计量的存货，则合并计提存货跌价准备。</w:t>
      </w:r>
      <w:r>
        <w:rPr>
          <w:rFonts w:ascii="宋体" w:hAnsi="宋体" w:cs="宋体" w:eastAsia="宋体" w:hint="default"/>
        </w:rPr>
        <w:t> </w:t>
      </w:r>
    </w:p>
    <w:p>
      <w:pPr>
        <w:pStyle w:val="BodyText"/>
        <w:spacing w:line="314" w:lineRule="auto" w:before="20"/>
        <w:ind w:left="216" w:right="311" w:firstLine="420"/>
        <w:jc w:val="both"/>
        <w:rPr>
          <w:rFonts w:ascii="宋体" w:hAnsi="宋体" w:cs="宋体" w:eastAsia="宋体" w:hint="default"/>
        </w:rPr>
      </w:pPr>
      <w:r>
        <w:rPr>
          <w:spacing w:val="-2"/>
        </w:rPr>
        <w:t>以前减记存货价值的影响因素已经消失的，减记的金额予以恢复，并在原已计提的存货跌价</w:t>
      </w:r>
      <w:r>
        <w:rPr>
          <w:w w:val="100"/>
        </w:rPr>
        <w:t> </w:t>
      </w:r>
      <w:r>
        <w:rPr/>
        <w:t>准备金额内转回，转回的金额计入当期损益。</w:t>
      </w:r>
      <w:r>
        <w:rPr>
          <w:rFonts w:ascii="宋体" w:hAnsi="宋体" w:cs="宋体" w:eastAsia="宋体" w:hint="default"/>
        </w:rPr>
        <w:t> </w:t>
      </w:r>
    </w:p>
    <w:p>
      <w:pPr>
        <w:pStyle w:val="Heading4"/>
        <w:spacing w:line="240" w:lineRule="auto" w:before="20"/>
        <w:ind w:left="639" w:right="0"/>
        <w:jc w:val="left"/>
        <w:rPr>
          <w:rFonts w:ascii="宋体" w:hAnsi="宋体" w:cs="宋体" w:eastAsia="宋体" w:hint="default"/>
          <w:b w:val="0"/>
          <w:bCs w:val="0"/>
        </w:rPr>
      </w:pPr>
      <w:r>
        <w:rPr>
          <w:rFonts w:ascii="Times New Roman" w:hAnsi="Times New Roman" w:cs="Times New Roman" w:eastAsia="Times New Roman" w:hint="default"/>
        </w:rPr>
        <w:t>4</w:t>
      </w:r>
      <w:r>
        <w:rPr/>
        <w:t>．存货的盘存制度</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857" w:footer="979" w:top="1120" w:bottom="1160" w:left="1060" w:right="1480"/>
        </w:sectPr>
      </w:pPr>
    </w:p>
    <w:p>
      <w:pPr>
        <w:spacing w:line="240" w:lineRule="auto" w:before="4"/>
        <w:rPr>
          <w:rFonts w:ascii="宋体" w:hAnsi="宋体" w:cs="宋体" w:eastAsia="宋体" w:hint="default"/>
          <w:b/>
          <w:bCs/>
          <w:sz w:val="24"/>
          <w:szCs w:val="24"/>
        </w:rPr>
      </w:pPr>
    </w:p>
    <w:p>
      <w:pPr>
        <w:pStyle w:val="BodyText"/>
        <w:spacing w:line="240" w:lineRule="auto" w:before="36"/>
        <w:ind w:left="557" w:right="2819"/>
        <w:jc w:val="left"/>
        <w:rPr>
          <w:rFonts w:ascii="宋体" w:hAnsi="宋体" w:cs="宋体" w:eastAsia="宋体" w:hint="default"/>
        </w:rPr>
      </w:pPr>
      <w:r>
        <w:rPr/>
        <w:t>采用永续盘存制低值易耗品采用一次转销法</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Heading4"/>
        <w:spacing w:line="240" w:lineRule="auto" w:before="36"/>
        <w:ind w:left="136" w:right="2819"/>
        <w:jc w:val="left"/>
        <w:rPr>
          <w:b w:val="0"/>
          <w:bCs w:val="0"/>
        </w:rPr>
      </w:pPr>
      <w:r>
        <w:rPr>
          <w:rFonts w:ascii="Times New Roman" w:hAnsi="Times New Roman" w:cs="Times New Roman" w:eastAsia="Times New Roman" w:hint="default"/>
        </w:rPr>
        <w:t>16.  </w:t>
      </w:r>
      <w:r>
        <w:rPr>
          <w:rFonts w:ascii="Times New Roman" w:hAnsi="Times New Roman" w:cs="Times New Roman" w:eastAsia="Times New Roman" w:hint="default"/>
          <w:spacing w:val="5"/>
        </w:rPr>
        <w:t> </w:t>
      </w:r>
      <w:r>
        <w:rPr/>
        <w:t>持有待售资产</w:t>
      </w:r>
      <w:r>
        <w:rPr>
          <w:b w:val="0"/>
          <w:bCs w:val="0"/>
        </w:rPr>
      </w:r>
    </w:p>
    <w:p>
      <w:pPr>
        <w:pStyle w:val="BodyText"/>
        <w:spacing w:line="240" w:lineRule="auto" w:before="43"/>
        <w:ind w:left="136" w:right="2819"/>
        <w:jc w:val="left"/>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97" w:lineRule="auto" w:before="73"/>
        <w:ind w:left="557" w:right="0" w:firstLine="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．划分为持有待售确认标准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本公司将同时满足下列条件的非流动资产或处置组确认为持有待售组成部分：</w:t>
      </w:r>
    </w:p>
    <w:p>
      <w:pPr>
        <w:pStyle w:val="BodyText"/>
        <w:spacing w:line="240" w:lineRule="auto" w:before="34"/>
        <w:ind w:left="557"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297" w:lineRule="auto" w:before="69"/>
        <w:ind w:left="136" w:right="0" w:firstLine="420"/>
        <w:jc w:val="left"/>
      </w:pPr>
      <w:r>
        <w:rPr>
          <w:spacing w:val="-4"/>
        </w:rPr>
        <w:t>（</w:t>
      </w:r>
      <w:r>
        <w:rPr>
          <w:rFonts w:ascii="Times New Roman" w:hAnsi="Times New Roman" w:cs="Times New Roman" w:eastAsia="Times New Roman" w:hint="default"/>
          <w:spacing w:val="-4"/>
        </w:rPr>
        <w:t>2</w:t>
      </w:r>
      <w:r>
        <w:rPr>
          <w:spacing w:val="-4"/>
        </w:rPr>
        <w:t>）出售极可能发生，即本公司已经就一项出售计划作出决议，并已获得监管部门批准（如</w:t>
      </w:r>
      <w:r>
        <w:rPr>
          <w:w w:val="100"/>
        </w:rPr>
        <w:t> </w:t>
      </w:r>
      <w:r>
        <w:rPr>
          <w:spacing w:val="-6"/>
          <w:w w:val="100"/>
        </w:rPr>
        <w:t>适用），且获得确定的购买承诺，预计出售将在一年内完成。</w:t>
      </w:r>
    </w:p>
    <w:p>
      <w:pPr>
        <w:pStyle w:val="BodyText"/>
        <w:spacing w:line="314" w:lineRule="auto" w:before="34"/>
        <w:ind w:left="136" w:right="0" w:firstLine="420"/>
        <w:jc w:val="left"/>
      </w:pPr>
      <w:r>
        <w:rPr>
          <w:spacing w:val="-2"/>
        </w:rPr>
        <w:t>确定的购买承诺，是指本公司与其他方签订的具有法律约束力的购买协议，该协议包含交易</w:t>
      </w:r>
      <w:r>
        <w:rPr>
          <w:w w:val="100"/>
        </w:rPr>
        <w:t> </w:t>
      </w:r>
      <w:r>
        <w:rPr/>
        <w:t>价格、时间和足够严厉的违约惩罚等重要条款，使协议出现重大调整或者撤销的可能性极小。</w:t>
      </w:r>
    </w:p>
    <w:p>
      <w:pPr>
        <w:spacing w:line="297" w:lineRule="auto" w:before="20"/>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．持有待售核算方法</w:t>
      </w:r>
      <w:r>
        <w:rPr>
          <w:rFonts w:ascii="宋体" w:hAnsi="宋体" w:cs="宋体" w:eastAsia="宋体" w:hint="default"/>
          <w:b/>
          <w:bCs/>
          <w:w w:val="99"/>
          <w:sz w:val="21"/>
          <w:szCs w:val="21"/>
        </w:rPr>
        <w:t> </w:t>
      </w:r>
      <w:r>
        <w:rPr>
          <w:rFonts w:ascii="宋体" w:hAnsi="宋体" w:cs="宋体" w:eastAsia="宋体" w:hint="default"/>
          <w:spacing w:val="-2"/>
          <w:sz w:val="21"/>
          <w:szCs w:val="21"/>
        </w:rPr>
        <w:t>本公司对于持有待售的非流动资产或处置组不计提折旧或摊销，其账面价值高于公允价值减</w:t>
      </w:r>
    </w:p>
    <w:p>
      <w:pPr>
        <w:pStyle w:val="BodyText"/>
        <w:spacing w:line="314" w:lineRule="auto" w:before="34"/>
        <w:ind w:left="136" w:right="0"/>
        <w:jc w:val="left"/>
        <w:rPr>
          <w:rFonts w:ascii="宋体" w:hAnsi="宋体" w:cs="宋体" w:eastAsia="宋体" w:hint="default"/>
        </w:rPr>
      </w:pPr>
      <w:r>
        <w:rPr>
          <w:spacing w:val="-1"/>
        </w:rPr>
        <w:t>去出售费用后的净额的，应当将账面价值减记至公允价值减去出售费用后的净额，减记的金额确</w:t>
      </w:r>
      <w:r>
        <w:rPr>
          <w:spacing w:val="-55"/>
        </w:rPr>
        <w:t> </w:t>
      </w:r>
      <w:r>
        <w:rPr>
          <w:spacing w:val="-55"/>
        </w:rPr>
      </w:r>
      <w:r>
        <w:rPr/>
        <w:t>认为资产减值损失，计入当期损益，同时计提持有待售资产减值准备。</w:t>
      </w:r>
      <w:r>
        <w:rPr>
          <w:rFonts w:ascii="宋体" w:hAnsi="宋体" w:cs="宋体" w:eastAsia="宋体" w:hint="default"/>
        </w:rPr>
        <w:t> </w:t>
      </w:r>
    </w:p>
    <w:p>
      <w:pPr>
        <w:pStyle w:val="BodyText"/>
        <w:spacing w:line="314" w:lineRule="auto" w:before="20"/>
        <w:ind w:left="136" w:right="0" w:firstLine="420"/>
        <w:jc w:val="left"/>
        <w:rPr>
          <w:rFonts w:ascii="宋体" w:hAnsi="宋体" w:cs="宋体" w:eastAsia="宋体" w:hint="default"/>
        </w:rPr>
      </w:pPr>
      <w:r>
        <w:rPr>
          <w:spacing w:val="-2"/>
        </w:rPr>
        <w:t>对于取得日划分为持有待售类别的非流动资产或处置组，在初始计量时比较假定其不划分为</w:t>
      </w:r>
      <w:r>
        <w:rPr>
          <w:w w:val="100"/>
        </w:rPr>
        <w:t> </w:t>
      </w:r>
      <w:r>
        <w:rPr/>
        <w:t>持有待售类别情况下的初始计量金额和公允价值减去出售费用后的净额，以两者孰低计量。</w:t>
      </w:r>
      <w:r>
        <w:rPr>
          <w:rFonts w:ascii="宋体" w:hAnsi="宋体" w:cs="宋体" w:eastAsia="宋体" w:hint="default"/>
        </w:rPr>
        <w:t> </w:t>
      </w:r>
    </w:p>
    <w:p>
      <w:pPr>
        <w:pStyle w:val="BodyText"/>
        <w:spacing w:line="314" w:lineRule="auto" w:before="20"/>
        <w:ind w:left="136" w:right="0" w:firstLine="420"/>
        <w:jc w:val="left"/>
        <w:rPr>
          <w:rFonts w:ascii="宋体" w:hAnsi="宋体" w:cs="宋体" w:eastAsia="宋体" w:hint="default"/>
        </w:rPr>
      </w:pPr>
      <w:r>
        <w:rPr>
          <w:spacing w:val="-4"/>
          <w:w w:val="100"/>
        </w:rPr>
        <w:t>上述原则适用于所有非流动资产，但不包括采用公允价值模式进行后续计量的投资性房地产、</w:t>
      </w:r>
      <w:r>
        <w:rPr>
          <w:w w:val="100"/>
        </w:rPr>
        <w:t> </w:t>
      </w:r>
      <w:r>
        <w:rPr/>
        <w:t>采用公允价值减去出售费用后的净额计量的生物资产、职工薪酬形成的资产、递延所得税资产、</w:t>
      </w:r>
      <w:r>
        <w:rPr>
          <w:spacing w:val="-97"/>
        </w:rPr>
        <w:t> </w:t>
      </w:r>
      <w:r>
        <w:rPr>
          <w:spacing w:val="-97"/>
        </w:rPr>
      </w:r>
      <w:r>
        <w:rPr/>
        <w:t>由金融工具相关会计准则规范的金融资产、由保险合同相关会计准则规范的保险合同所产生的权</w:t>
      </w:r>
      <w:r>
        <w:rPr>
          <w:spacing w:val="-97"/>
        </w:rPr>
        <w:t> </w:t>
      </w:r>
      <w:r>
        <w:rPr>
          <w:spacing w:val="-97"/>
        </w:rPr>
      </w:r>
      <w:r>
        <w:rPr/>
        <w:t>利。</w:t>
      </w:r>
      <w:r>
        <w:rPr>
          <w:rFonts w:ascii="宋体" w:hAnsi="宋体" w:cs="宋体" w:eastAsia="宋体" w:hint="default"/>
        </w:rPr>
        <w:t> </w:t>
      </w:r>
    </w:p>
    <w:p>
      <w:pPr>
        <w:pStyle w:val="Heading3"/>
        <w:spacing w:line="251" w:lineRule="exact"/>
        <w:ind w:left="136" w:right="0"/>
        <w:jc w:val="left"/>
      </w:pPr>
      <w:r>
        <w:rPr/>
        <w:t> </w:t>
      </w:r>
    </w:p>
    <w:p>
      <w:pPr>
        <w:pStyle w:val="Heading4"/>
        <w:spacing w:line="273" w:lineRule="auto"/>
        <w:ind w:left="136" w:right="3282"/>
        <w:jc w:val="left"/>
        <w:rPr>
          <w:rFonts w:ascii="宋体" w:hAnsi="宋体" w:cs="宋体" w:eastAsia="宋体" w:hint="default"/>
          <w:b w:val="0"/>
          <w:bCs w:val="0"/>
        </w:rPr>
      </w:pPr>
      <w:r>
        <w:rPr>
          <w:rFonts w:ascii="Times New Roman" w:hAnsi="Times New Roman" w:cs="Times New Roman" w:eastAsia="Times New Roman" w:hint="default"/>
        </w:rPr>
        <w:t>17. </w:t>
      </w:r>
      <w:r>
        <w:rPr/>
        <w:t>债权投资</w:t>
      </w:r>
      <w:r>
        <w:rPr>
          <w:spacing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29"/>
        <w:ind w:left="136" w:right="2819"/>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136" w:right="0"/>
        <w:jc w:val="left"/>
      </w:pPr>
      <w:r>
        <w:rPr/>
        <w:t> </w:t>
      </w:r>
    </w:p>
    <w:p>
      <w:pPr>
        <w:pStyle w:val="Heading4"/>
        <w:spacing w:line="276" w:lineRule="auto"/>
        <w:ind w:left="136" w:right="2819"/>
        <w:jc w:val="left"/>
        <w:rPr>
          <w:rFonts w:ascii="宋体" w:hAnsi="宋体" w:cs="宋体" w:eastAsia="宋体" w:hint="default"/>
          <w:b w:val="0"/>
          <w:bCs w:val="0"/>
        </w:rPr>
      </w:pPr>
      <w:r>
        <w:rPr>
          <w:rFonts w:ascii="Times New Roman" w:hAnsi="Times New Roman" w:cs="Times New Roman" w:eastAsia="Times New Roman" w:hint="default"/>
        </w:rPr>
        <w:t>18. </w:t>
      </w:r>
      <w:r>
        <w:rPr/>
        <w:t>其他债权投资</w:t>
      </w:r>
      <w:r>
        <w:rPr>
          <w:spacing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07" w:lineRule="auto" w:before="25"/>
        <w:ind w:left="5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本公司对其他债权投资的预期信用损失的确定方法及会计处理方法详见本节五／（</w:t>
      </w:r>
      <w:r>
        <w:rPr>
          <w:rFonts w:ascii="宋体" w:hAnsi="宋体" w:cs="宋体" w:eastAsia="宋体" w:hint="default"/>
          <w:spacing w:val="-1"/>
        </w:rPr>
        <w:t>10</w:t>
      </w:r>
      <w:r>
        <w:rPr>
          <w:spacing w:val="-1"/>
        </w:rPr>
        <w:t>）</w:t>
      </w:r>
      <w:r>
        <w:rPr>
          <w:rFonts w:ascii="宋体" w:hAnsi="宋体" w:cs="宋体" w:eastAsia="宋体" w:hint="default"/>
          <w:spacing w:val="-1"/>
        </w:rPr>
        <w:t>6.</w:t>
      </w:r>
      <w:r>
        <w:rPr>
          <w:spacing w:val="-1"/>
        </w:rPr>
        <w:t>金</w:t>
      </w:r>
    </w:p>
    <w:p>
      <w:pPr>
        <w:pStyle w:val="BodyText"/>
        <w:spacing w:line="240" w:lineRule="auto" w:before="27"/>
        <w:ind w:left="136" w:right="2819"/>
        <w:jc w:val="left"/>
      </w:pPr>
      <w:r>
        <w:rPr/>
        <w:t>融工具减值。</w:t>
      </w:r>
    </w:p>
    <w:p>
      <w:pPr>
        <w:pStyle w:val="BodyText"/>
        <w:spacing w:line="240" w:lineRule="auto" w:before="8"/>
        <w:ind w:left="136" w:right="0"/>
        <w:jc w:val="left"/>
        <w:rPr>
          <w:rFonts w:ascii="宋体" w:hAnsi="宋体" w:cs="宋体" w:eastAsia="宋体" w:hint="default"/>
        </w:rPr>
      </w:pPr>
      <w:r>
        <w:rPr>
          <w:rFonts w:ascii="宋体"/>
          <w:w w:val="100"/>
        </w:rPr>
        <w:t> </w:t>
      </w:r>
    </w:p>
    <w:p>
      <w:pPr>
        <w:pStyle w:val="Heading4"/>
        <w:spacing w:line="276" w:lineRule="auto" w:before="56"/>
        <w:ind w:left="136" w:right="2819"/>
        <w:jc w:val="left"/>
        <w:rPr>
          <w:rFonts w:ascii="宋体" w:hAnsi="宋体" w:cs="宋体" w:eastAsia="宋体" w:hint="default"/>
          <w:b w:val="0"/>
          <w:bCs w:val="0"/>
        </w:rPr>
      </w:pPr>
      <w:r>
        <w:rPr>
          <w:rFonts w:ascii="Times New Roman" w:hAnsi="Times New Roman" w:cs="Times New Roman" w:eastAsia="Times New Roman" w:hint="default"/>
        </w:rPr>
        <w:t>19. </w:t>
      </w:r>
      <w:r>
        <w:rPr/>
        <w:t>长期应收款</w:t>
      </w:r>
      <w:r>
        <w:rPr>
          <w:spacing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25"/>
        <w:ind w:left="617" w:right="0" w:hanging="48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本公司对长期应收款的预期信用损失的确定方法及会计处理方法详见本节五／</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6.</w:t>
      </w:r>
      <w:r>
        <w:rPr>
          <w:spacing w:val="-2"/>
        </w:rPr>
        <w:t>金融工</w:t>
      </w:r>
    </w:p>
    <w:p>
      <w:pPr>
        <w:pStyle w:val="BodyText"/>
        <w:spacing w:line="240" w:lineRule="auto" w:before="6"/>
        <w:ind w:left="136" w:right="2819"/>
        <w:jc w:val="left"/>
        <w:rPr>
          <w:rFonts w:ascii="宋体" w:hAnsi="宋体" w:cs="宋体" w:eastAsia="宋体" w:hint="default"/>
        </w:rPr>
      </w:pPr>
      <w:r>
        <w:rPr/>
        <w:t>具减值。</w:t>
      </w:r>
      <w:r>
        <w:rPr>
          <w:rFonts w:ascii="宋体" w:hAnsi="宋体" w:cs="宋体" w:eastAsia="宋体" w:hint="default"/>
        </w:rPr>
        <w:t> </w:t>
      </w:r>
    </w:p>
    <w:p>
      <w:pPr>
        <w:pStyle w:val="BodyText"/>
        <w:spacing w:line="314" w:lineRule="auto" w:before="85"/>
        <w:ind w:left="136" w:right="0" w:firstLine="420"/>
        <w:jc w:val="left"/>
      </w:pPr>
      <w:r>
        <w:rPr>
          <w:spacing w:val="-2"/>
        </w:rPr>
        <w:t>当在单项工具层面无法以合理成本评估预期信用损失的充分证据时，本公司参考历史信用损</w:t>
      </w:r>
      <w:r>
        <w:rPr>
          <w:w w:val="100"/>
        </w:rPr>
        <w:t> </w:t>
      </w:r>
      <w:r>
        <w:rPr>
          <w:spacing w:val="-1"/>
        </w:rPr>
        <w:t>失经验，结合当前状况以及对未来经济状况的判断，依据信用风险特征将长期应收款划分为若干</w:t>
      </w:r>
    </w:p>
    <w:p>
      <w:pPr>
        <w:spacing w:after="0" w:line="314" w:lineRule="auto"/>
        <w:jc w:val="left"/>
        <w:sectPr>
          <w:pgSz w:w="11910" w:h="16840"/>
          <w:pgMar w:header="857" w:footer="979" w:top="1120" w:bottom="1160" w:left="1140" w:right="1580"/>
        </w:sectPr>
      </w:pPr>
    </w:p>
    <w:p>
      <w:pPr>
        <w:spacing w:line="240" w:lineRule="auto" w:before="4"/>
        <w:rPr>
          <w:rFonts w:ascii="宋体" w:hAnsi="宋体" w:cs="宋体" w:eastAsia="宋体" w:hint="default"/>
          <w:sz w:val="24"/>
          <w:szCs w:val="24"/>
        </w:rPr>
      </w:pPr>
    </w:p>
    <w:p>
      <w:pPr>
        <w:pStyle w:val="BodyText"/>
        <w:spacing w:line="240" w:lineRule="auto" w:before="36"/>
        <w:ind w:left="216" w:right="0"/>
        <w:jc w:val="left"/>
        <w:rPr>
          <w:rFonts w:ascii="宋体" w:hAnsi="宋体" w:cs="宋体" w:eastAsia="宋体" w:hint="default"/>
        </w:rPr>
      </w:pPr>
      <w:r>
        <w:rPr/>
        <w:t>组合，在组合基础上计算预期信用损失。确定组合的依据如下：</w:t>
      </w:r>
      <w:r>
        <w:rPr>
          <w:rFonts w:ascii="宋体" w:hAnsi="宋体" w:cs="宋体" w:eastAsia="宋体" w:hint="default"/>
        </w:rPr>
        <w:t> </w:t>
      </w:r>
    </w:p>
    <w:p>
      <w:pPr>
        <w:spacing w:line="240" w:lineRule="auto" w:before="4"/>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177"/>
        <w:gridCol w:w="3344"/>
        <w:gridCol w:w="3529"/>
      </w:tblGrid>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2"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29"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组合一</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合并范围单位</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按账龄与整个存续期预期信用损失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率对照表计提</w:t>
            </w: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组合二</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政府、事业单位</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按账龄与整个存续期预期信用损失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率对照表计提</w:t>
            </w: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组合三</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企业单位</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按账龄与整个存续期预期信用损失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率对照表计提</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Times New Roman" w:hAnsi="Times New Roman" w:cs="Times New Roman" w:eastAsia="Times New Roman" w:hint="default"/>
        </w:rPr>
        <w:t>20.  </w:t>
      </w:r>
      <w:r>
        <w:rPr>
          <w:rFonts w:ascii="Times New Roman" w:hAnsi="Times New Roman" w:cs="Times New Roman" w:eastAsia="Times New Roman" w:hint="default"/>
          <w:spacing w:val="6"/>
        </w:rPr>
        <w:t> </w:t>
      </w:r>
      <w:r>
        <w:rPr/>
        <w:t>长期股权投资</w:t>
      </w:r>
      <w:r>
        <w:rPr>
          <w:b w:val="0"/>
          <w:bCs w:val="0"/>
        </w:rPr>
      </w:r>
    </w:p>
    <w:p>
      <w:pPr>
        <w:pStyle w:val="BodyText"/>
        <w:spacing w:line="240" w:lineRule="auto" w:before="40"/>
        <w:ind w:left="216" w:right="0"/>
        <w:jc w:val="left"/>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4"/>
        <w:spacing w:line="240" w:lineRule="auto" w:before="75"/>
        <w:ind w:left="639" w:right="0"/>
        <w:jc w:val="left"/>
        <w:rPr>
          <w:rFonts w:ascii="宋体" w:hAnsi="宋体" w:cs="宋体" w:eastAsia="宋体" w:hint="default"/>
          <w:b w:val="0"/>
          <w:bCs w:val="0"/>
        </w:rPr>
      </w:pPr>
      <w:r>
        <w:rPr>
          <w:rFonts w:ascii="Times New Roman" w:hAnsi="Times New Roman" w:cs="Times New Roman" w:eastAsia="Times New Roman" w:hint="default"/>
        </w:rPr>
        <w:t>1</w:t>
      </w:r>
      <w:r>
        <w:rPr/>
        <w:t>．</w:t>
      </w:r>
      <w:r>
        <w:rPr>
          <w:spacing w:val="-61"/>
        </w:rPr>
        <w:t> </w:t>
      </w:r>
      <w:r>
        <w:rPr/>
        <w:t>初始投资成本的确定</w:t>
      </w:r>
      <w:r>
        <w:rPr>
          <w:rFonts w:ascii="宋体" w:hAnsi="宋体" w:cs="宋体" w:eastAsia="宋体" w:hint="default"/>
          <w:w w:val="99"/>
        </w:rPr>
        <w:t> </w:t>
      </w:r>
      <w:r>
        <w:rPr>
          <w:rFonts w:ascii="宋体" w:hAnsi="宋体" w:cs="宋体" w:eastAsia="宋体" w:hint="default"/>
          <w:b w:val="0"/>
          <w:bCs w:val="0"/>
        </w:rPr>
      </w:r>
    </w:p>
    <w:p>
      <w:pPr>
        <w:pStyle w:val="BodyText"/>
        <w:spacing w:line="297" w:lineRule="auto" w:before="70"/>
        <w:ind w:left="216" w:right="309" w:firstLine="420"/>
        <w:jc w:val="both"/>
        <w:rPr>
          <w:rFonts w:ascii="宋体" w:hAnsi="宋体" w:cs="宋体" w:eastAsia="宋体" w:hint="default"/>
        </w:rPr>
      </w:pPr>
      <w:r>
        <w:rPr>
          <w:spacing w:val="-3"/>
        </w:rPr>
        <w:t>（</w:t>
      </w:r>
      <w:r>
        <w:rPr>
          <w:rFonts w:ascii="宋体" w:hAnsi="宋体" w:cs="宋体" w:eastAsia="宋体" w:hint="default"/>
          <w:spacing w:val="-3"/>
        </w:rPr>
        <w:t>1</w:t>
      </w:r>
      <w:r>
        <w:rPr>
          <w:spacing w:val="-3"/>
        </w:rPr>
        <w:t>）企业合并形成的长期股权投资，具体会计政策详见本节五／</w:t>
      </w:r>
      <w:r>
        <w:rPr>
          <w:rFonts w:ascii="Times New Roman" w:hAnsi="Times New Roman" w:cs="Times New Roman" w:eastAsia="Times New Roman" w:hint="default"/>
          <w:spacing w:val="-3"/>
        </w:rPr>
        <w:t>5.</w:t>
      </w:r>
      <w:r>
        <w:rPr>
          <w:spacing w:val="-3"/>
        </w:rPr>
        <w:t>同一控制下和非同一控制</w:t>
      </w:r>
      <w:r>
        <w:rPr>
          <w:w w:val="100"/>
        </w:rPr>
        <w:t> </w:t>
      </w:r>
      <w:r>
        <w:rPr/>
        <w:t>下企业合并的会计处理方法。</w:t>
      </w:r>
      <w:r>
        <w:rPr>
          <w:rFonts w:ascii="宋体" w:hAnsi="宋体" w:cs="宋体" w:eastAsia="宋体" w:hint="default"/>
        </w:rPr>
        <w:t> </w:t>
      </w:r>
    </w:p>
    <w:p>
      <w:pPr>
        <w:pStyle w:val="BodyText"/>
        <w:spacing w:line="314" w:lineRule="auto" w:before="34"/>
        <w:ind w:left="637" w:right="0"/>
        <w:jc w:val="left"/>
      </w:pPr>
      <w:r>
        <w:rPr/>
        <w:t>（</w:t>
      </w:r>
      <w:r>
        <w:rPr>
          <w:rFonts w:ascii="宋体" w:hAnsi="宋体" w:cs="宋体" w:eastAsia="宋体" w:hint="default"/>
        </w:rPr>
        <w:t>2</w:t>
      </w:r>
      <w:r>
        <w:rPr/>
        <w:t>）其他方式取得的长期股权投资</w:t>
      </w:r>
      <w:r>
        <w:rPr>
          <w:rFonts w:ascii="宋体" w:hAnsi="宋体" w:cs="宋体" w:eastAsia="宋体" w:hint="default"/>
          <w:w w:val="100"/>
        </w:rPr>
        <w:t> </w:t>
      </w:r>
      <w:r>
        <w:rPr>
          <w:spacing w:val="-1"/>
        </w:rPr>
        <w:t>以支付现金方式取得的长期股权投资，按照实际支付的购买价款作为初始投资成本。初始投</w:t>
      </w:r>
    </w:p>
    <w:p>
      <w:pPr>
        <w:pStyle w:val="BodyText"/>
        <w:spacing w:line="314" w:lineRule="auto" w:before="20"/>
        <w:ind w:left="637" w:right="0" w:hanging="421"/>
        <w:jc w:val="left"/>
      </w:pPr>
      <w:r>
        <w:rPr/>
        <w:t>资成本包括与取得长期股权投资直接相关的费用、税金及其他必要支出。</w:t>
      </w:r>
      <w:r>
        <w:rPr>
          <w:rFonts w:ascii="宋体" w:hAnsi="宋体" w:cs="宋体" w:eastAsia="宋体" w:hint="default"/>
          <w:w w:val="100"/>
        </w:rPr>
        <w:t> </w:t>
      </w:r>
      <w:r>
        <w:rPr>
          <w:spacing w:val="-4"/>
          <w:w w:val="100"/>
        </w:rPr>
        <w:t>以发行权益性证券取得的长期股权投资，按照发行权益性证券的公允价值作为初始投资成本；</w:t>
      </w:r>
    </w:p>
    <w:p>
      <w:pPr>
        <w:pStyle w:val="BodyText"/>
        <w:spacing w:line="314" w:lineRule="auto" w:before="20"/>
        <w:ind w:left="637" w:right="0" w:hanging="421"/>
        <w:jc w:val="left"/>
      </w:pPr>
      <w:r>
        <w:rPr/>
        <w:t>发行或取得自身权益工具时发生的交易费用，可直接归属于权益性交易的从权益中扣减。</w:t>
      </w:r>
      <w:r>
        <w:rPr>
          <w:rFonts w:ascii="宋体" w:hAnsi="宋体" w:cs="宋体" w:eastAsia="宋体" w:hint="default"/>
          <w:w w:val="100"/>
        </w:rPr>
        <w:t> </w:t>
      </w:r>
      <w:r>
        <w:rPr>
          <w:spacing w:val="-1"/>
        </w:rPr>
        <w:t>在非货币性资产交换具备商业实质和换入资产或换出资产的公允价值能够可靠计量的前提下，</w:t>
      </w:r>
    </w:p>
    <w:p>
      <w:pPr>
        <w:pStyle w:val="BodyText"/>
        <w:spacing w:line="314" w:lineRule="auto" w:before="20"/>
        <w:ind w:left="216" w:right="309"/>
        <w:jc w:val="both"/>
        <w:rPr>
          <w:rFonts w:ascii="宋体" w:hAnsi="宋体" w:cs="宋体" w:eastAsia="宋体" w:hint="default"/>
        </w:rPr>
      </w:pPr>
      <w:r>
        <w:rPr>
          <w:spacing w:val="-1"/>
        </w:rPr>
        <w:t>非货币性资产交换换入的长期股权投资以换出资产的公允价值为基础确定其初始投资成本，除非</w:t>
      </w:r>
      <w:r>
        <w:rPr>
          <w:spacing w:val="-54"/>
        </w:rPr>
        <w:t> </w:t>
      </w:r>
      <w:r>
        <w:rPr>
          <w:spacing w:val="-54"/>
        </w:rPr>
      </w:r>
      <w:r>
        <w:rPr>
          <w:spacing w:val="-1"/>
        </w:rPr>
        <w:t>有确凿证据表明换入资产的公允价值更加可靠；不满足上述前提的非货币性资产交换，以换出资</w:t>
      </w:r>
      <w:r>
        <w:rPr>
          <w:spacing w:val="-55"/>
        </w:rPr>
        <w:t> </w:t>
      </w:r>
      <w:r>
        <w:rPr>
          <w:spacing w:val="-55"/>
        </w:rPr>
      </w:r>
      <w:r>
        <w:rPr/>
        <w:t>产的账面价值和应支付的相关税费作为换入长期股权投资的初始投资成本。</w:t>
      </w:r>
      <w:r>
        <w:rPr>
          <w:rFonts w:ascii="宋体" w:hAnsi="宋体" w:cs="宋体" w:eastAsia="宋体" w:hint="default"/>
        </w:rPr>
        <w:t> </w:t>
      </w:r>
    </w:p>
    <w:p>
      <w:pPr>
        <w:pStyle w:val="BodyText"/>
        <w:spacing w:line="314" w:lineRule="auto" w:before="20"/>
        <w:ind w:left="216" w:right="311" w:firstLine="420"/>
        <w:jc w:val="both"/>
        <w:rPr>
          <w:rFonts w:ascii="宋体" w:hAnsi="宋体" w:cs="宋体" w:eastAsia="宋体" w:hint="default"/>
        </w:rPr>
      </w:pPr>
      <w:r>
        <w:rPr>
          <w:spacing w:val="-2"/>
        </w:rPr>
        <w:t>通过债务重组取得的对合营、联营企业的长期股权投资，其初始投资成本按照放弃债权的公</w:t>
      </w:r>
      <w:r>
        <w:rPr>
          <w:w w:val="100"/>
        </w:rPr>
        <w:t> </w:t>
      </w:r>
      <w:r>
        <w:rPr>
          <w:spacing w:val="-6"/>
          <w:w w:val="100"/>
        </w:rPr>
        <w:t>允价值和可直接归属于该资产的税金等其他成本确定。。</w:t>
      </w:r>
      <w:r>
        <w:rPr>
          <w:rFonts w:ascii="宋体" w:hAnsi="宋体" w:cs="宋体" w:eastAsia="宋体" w:hint="default"/>
          <w:w w:val="100"/>
        </w:rPr>
        <w:t> </w:t>
      </w:r>
    </w:p>
    <w:p>
      <w:pPr>
        <w:pStyle w:val="Heading4"/>
        <w:spacing w:line="240" w:lineRule="auto" w:before="20"/>
        <w:ind w:left="639" w:right="0"/>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61"/>
        </w:rPr>
        <w:t> </w:t>
      </w:r>
      <w:r>
        <w:rPr/>
        <w:t>后续计量及损益确认</w:t>
      </w:r>
      <w:r>
        <w:rPr>
          <w:rFonts w:ascii="宋体" w:hAnsi="宋体" w:cs="宋体" w:eastAsia="宋体" w:hint="default"/>
          <w:w w:val="99"/>
        </w:rPr>
        <w:t> </w:t>
      </w:r>
      <w:r>
        <w:rPr>
          <w:rFonts w:ascii="宋体" w:hAnsi="宋体" w:cs="宋体" w:eastAsia="宋体" w:hint="default"/>
          <w:b w:val="0"/>
          <w:bCs w:val="0"/>
        </w:rPr>
      </w:r>
    </w:p>
    <w:p>
      <w:pPr>
        <w:pStyle w:val="BodyText"/>
        <w:spacing w:line="314" w:lineRule="auto" w:before="69"/>
        <w:ind w:left="637" w:right="0"/>
        <w:jc w:val="left"/>
      </w:pPr>
      <w:r>
        <w:rPr/>
        <w:t>（</w:t>
      </w:r>
      <w:r>
        <w:rPr>
          <w:rFonts w:ascii="宋体" w:hAnsi="宋体" w:cs="宋体" w:eastAsia="宋体" w:hint="default"/>
        </w:rPr>
        <w:t>1</w:t>
      </w:r>
      <w:r>
        <w:rPr/>
        <w:t>）成本法</w:t>
      </w:r>
      <w:r>
        <w:rPr>
          <w:rFonts w:ascii="宋体" w:hAnsi="宋体" w:cs="宋体" w:eastAsia="宋体" w:hint="default"/>
          <w:w w:val="100"/>
        </w:rPr>
        <w:t> </w:t>
      </w:r>
      <w:r>
        <w:rPr>
          <w:spacing w:val="-2"/>
        </w:rPr>
        <w:t>本公司能够对被投资单位实施控制的长期股权投资采用成本法核算，并按照初始投资成本计</w:t>
      </w:r>
    </w:p>
    <w:p>
      <w:pPr>
        <w:pStyle w:val="BodyText"/>
        <w:spacing w:line="314" w:lineRule="auto" w:before="20"/>
        <w:ind w:left="637" w:right="0" w:hanging="421"/>
        <w:jc w:val="left"/>
      </w:pPr>
      <w:r>
        <w:rPr/>
        <w:t>价，追加或收回投资调整长期股权投资的成本。</w:t>
      </w:r>
      <w:r>
        <w:rPr>
          <w:rFonts w:ascii="宋体" w:hAnsi="宋体" w:cs="宋体" w:eastAsia="宋体" w:hint="default"/>
          <w:w w:val="100"/>
        </w:rPr>
        <w:t> </w:t>
      </w:r>
      <w:r>
        <w:rPr>
          <w:spacing w:val="-2"/>
        </w:rPr>
        <w:t>除取得投资时实际支付的价款或对价中包含的已宣告但尚未发放的现金股利或利润外，本公</w:t>
      </w:r>
    </w:p>
    <w:p>
      <w:pPr>
        <w:pStyle w:val="BodyText"/>
        <w:spacing w:line="240" w:lineRule="auto" w:before="20"/>
        <w:ind w:left="216" w:right="0"/>
        <w:jc w:val="left"/>
        <w:rPr>
          <w:rFonts w:ascii="宋体" w:hAnsi="宋体" w:cs="宋体" w:eastAsia="宋体" w:hint="default"/>
        </w:rPr>
      </w:pPr>
      <w:r>
        <w:rPr/>
        <w:t>司按照享有被投资单位宣告分派的现金股利或利润确认为当期投资收益。</w:t>
      </w:r>
      <w:r>
        <w:rPr>
          <w:rFonts w:ascii="宋体" w:hAnsi="宋体" w:cs="宋体" w:eastAsia="宋体" w:hint="default"/>
        </w:rPr>
        <w:t> </w:t>
      </w:r>
    </w:p>
    <w:p>
      <w:pPr>
        <w:pStyle w:val="BodyText"/>
        <w:spacing w:line="314" w:lineRule="auto" w:before="85"/>
        <w:ind w:left="637" w:right="0"/>
        <w:jc w:val="left"/>
      </w:pPr>
      <w:r>
        <w:rPr/>
        <w:t>（</w:t>
      </w:r>
      <w:r>
        <w:rPr>
          <w:rFonts w:ascii="宋体" w:hAnsi="宋体" w:cs="宋体" w:eastAsia="宋体" w:hint="default"/>
        </w:rPr>
        <w:t>2</w:t>
      </w:r>
      <w:r>
        <w:rPr/>
        <w:t>）权益法</w:t>
      </w:r>
      <w:r>
        <w:rPr>
          <w:rFonts w:ascii="宋体" w:hAnsi="宋体" w:cs="宋体" w:eastAsia="宋体" w:hint="default"/>
          <w:w w:val="100"/>
        </w:rPr>
        <w:t> </w:t>
      </w:r>
      <w:r>
        <w:rPr>
          <w:spacing w:val="-2"/>
        </w:rPr>
        <w:t>本公司对联营企业和合营企业的长期股权投资采用权益法核算；对于其中一部分通过风险投</w:t>
      </w:r>
    </w:p>
    <w:p>
      <w:pPr>
        <w:pStyle w:val="BodyText"/>
        <w:spacing w:line="314" w:lineRule="auto" w:before="20"/>
        <w:ind w:left="216" w:right="0"/>
        <w:jc w:val="left"/>
        <w:rPr>
          <w:rFonts w:ascii="宋体" w:hAnsi="宋体" w:cs="宋体" w:eastAsia="宋体" w:hint="default"/>
        </w:rPr>
      </w:pPr>
      <w:r>
        <w:rPr>
          <w:spacing w:val="-1"/>
        </w:rPr>
        <w:t>资机构、共同基金、信托公司或包括投连险基金在内的类似主体间接持有的联营企业的权益性投</w:t>
      </w:r>
      <w:r>
        <w:rPr>
          <w:spacing w:val="-55"/>
        </w:rPr>
        <w:t> </w:t>
      </w:r>
      <w:r>
        <w:rPr>
          <w:spacing w:val="-55"/>
        </w:rPr>
      </w:r>
      <w:r>
        <w:rPr/>
        <w:t>资，采用公允价值计量且其变动计入损益。</w:t>
      </w:r>
      <w:r>
        <w:rPr>
          <w:rFonts w:ascii="宋体" w:hAnsi="宋体" w:cs="宋体" w:eastAsia="宋体" w:hint="default"/>
        </w:rPr>
        <w:t> </w:t>
      </w:r>
    </w:p>
    <w:p>
      <w:pPr>
        <w:pStyle w:val="BodyText"/>
        <w:spacing w:line="314" w:lineRule="auto" w:before="20"/>
        <w:ind w:left="216" w:right="309" w:firstLine="420"/>
        <w:jc w:val="both"/>
        <w:rPr>
          <w:rFonts w:ascii="宋体" w:hAnsi="宋体" w:cs="宋体" w:eastAsia="宋体" w:hint="default"/>
        </w:rPr>
      </w:pPr>
      <w:r>
        <w:rPr>
          <w:spacing w:val="-2"/>
        </w:rPr>
        <w:t>长期股权投资的初始投资成本大于投资时应享有被投资单位可辨认净资产公允价值份额的差</w:t>
      </w:r>
      <w:r>
        <w:rPr>
          <w:w w:val="100"/>
        </w:rPr>
        <w:t> </w:t>
      </w:r>
      <w:r>
        <w:rPr>
          <w:spacing w:val="-1"/>
        </w:rPr>
        <w:t>额，不调整长期股权投资的初始投资成本；初始投资成本小于投资时应享有被投资单位可辨认净</w:t>
      </w:r>
      <w:r>
        <w:rPr>
          <w:spacing w:val="-55"/>
        </w:rPr>
        <w:t> </w:t>
      </w:r>
      <w:r>
        <w:rPr>
          <w:spacing w:val="-55"/>
        </w:rPr>
      </w:r>
      <w:r>
        <w:rPr/>
        <w:t>资产公允价值份额的差额，计入当期损益。</w:t>
      </w:r>
      <w:r>
        <w:rPr>
          <w:rFonts w:ascii="宋体" w:hAnsi="宋体" w:cs="宋体" w:eastAsia="宋体" w:hint="default"/>
        </w:rPr>
        <w:t> </w:t>
      </w:r>
    </w:p>
    <w:p>
      <w:pPr>
        <w:pStyle w:val="BodyText"/>
        <w:spacing w:line="314" w:lineRule="auto" w:before="20"/>
        <w:ind w:left="216" w:right="309" w:firstLine="420"/>
        <w:jc w:val="both"/>
      </w:pPr>
      <w:r>
        <w:rPr>
          <w:spacing w:val="-2"/>
        </w:rPr>
        <w:t>本公司取得长期股权投资后，按照应享有或应分担的被投资单位实现的净损益和其他综合收</w:t>
      </w:r>
      <w:r>
        <w:rPr>
          <w:w w:val="100"/>
        </w:rPr>
        <w:t> </w:t>
      </w:r>
      <w:r>
        <w:rPr>
          <w:spacing w:val="-1"/>
        </w:rPr>
        <w:t>益的份额，分别确认投资收益和其他综合收益，同时调整长期股权投资的账面价值；并按照被投</w:t>
      </w:r>
    </w:p>
    <w:p>
      <w:pPr>
        <w:spacing w:after="0" w:line="314" w:lineRule="auto"/>
        <w:jc w:val="both"/>
        <w:sectPr>
          <w:pgSz w:w="11910" w:h="16840"/>
          <w:pgMar w:header="857" w:footer="979" w:top="1120" w:bottom="1160" w:left="1060" w:right="1480"/>
        </w:sectPr>
      </w:pPr>
    </w:p>
    <w:p>
      <w:pPr>
        <w:spacing w:line="240" w:lineRule="auto" w:before="4"/>
        <w:rPr>
          <w:rFonts w:ascii="宋体" w:hAnsi="宋体" w:cs="宋体" w:eastAsia="宋体" w:hint="default"/>
          <w:sz w:val="24"/>
          <w:szCs w:val="24"/>
        </w:rPr>
      </w:pPr>
    </w:p>
    <w:p>
      <w:pPr>
        <w:pStyle w:val="BodyText"/>
        <w:spacing w:line="314" w:lineRule="auto" w:before="36"/>
        <w:ind w:left="136" w:right="209"/>
        <w:jc w:val="both"/>
        <w:rPr>
          <w:rFonts w:ascii="宋体" w:hAnsi="宋体" w:cs="宋体" w:eastAsia="宋体" w:hint="default"/>
        </w:rPr>
      </w:pPr>
      <w:r>
        <w:rPr>
          <w:spacing w:val="-1"/>
        </w:rPr>
        <w:t>资单位宣告分派的利润或现金股利计算应享有的部分，相应减少长期股权投资的账面价值；对于</w:t>
      </w:r>
      <w:r>
        <w:rPr>
          <w:spacing w:val="-55"/>
        </w:rPr>
        <w:t> </w:t>
      </w:r>
      <w:r>
        <w:rPr>
          <w:spacing w:val="-55"/>
        </w:rPr>
      </w:r>
      <w:r>
        <w:rPr>
          <w:spacing w:val="-1"/>
        </w:rPr>
        <w:t>被投资单位除净损益、其他综合收益和利润分配以外所有者权益的其他变动，调整长期股权投资</w:t>
      </w:r>
      <w:r>
        <w:rPr>
          <w:spacing w:val="-55"/>
        </w:rPr>
        <w:t> </w:t>
      </w:r>
      <w:r>
        <w:rPr>
          <w:spacing w:val="-55"/>
        </w:rPr>
      </w:r>
      <w:r>
        <w:rPr/>
        <w:t>的账面价值并计入所有者权益。</w:t>
      </w:r>
      <w:r>
        <w:rPr>
          <w:rFonts w:ascii="宋体" w:hAnsi="宋体" w:cs="宋体" w:eastAsia="宋体" w:hint="default"/>
        </w:rPr>
        <w:t> </w:t>
      </w:r>
    </w:p>
    <w:p>
      <w:pPr>
        <w:pStyle w:val="BodyText"/>
        <w:spacing w:line="314" w:lineRule="auto" w:before="20"/>
        <w:ind w:left="136" w:right="208" w:firstLine="420"/>
        <w:jc w:val="both"/>
        <w:rPr>
          <w:rFonts w:ascii="宋体" w:hAnsi="宋体" w:cs="宋体" w:eastAsia="宋体" w:hint="default"/>
        </w:rPr>
      </w:pPr>
      <w:r>
        <w:rPr>
          <w:spacing w:val="-2"/>
        </w:rPr>
        <w:t>本公司在确认应享有被投资单位净损益的份额时，以取得投资时被投资单位各项可辨认资产</w:t>
      </w:r>
      <w:r>
        <w:rPr>
          <w:w w:val="100"/>
        </w:rPr>
        <w:t> </w:t>
      </w:r>
      <w:r>
        <w:rPr>
          <w:spacing w:val="-1"/>
        </w:rPr>
        <w:t>等的公允价值为基础，对被投资单位的净利润进行调整后确认。本公司与联营企业、合营企业之</w:t>
      </w:r>
      <w:r>
        <w:rPr>
          <w:spacing w:val="-54"/>
        </w:rPr>
        <w:t> </w:t>
      </w:r>
      <w:r>
        <w:rPr>
          <w:spacing w:val="-54"/>
        </w:rPr>
      </w:r>
      <w:r>
        <w:rPr>
          <w:spacing w:val="-1"/>
        </w:rPr>
        <w:t>间发生的未实现内部交易损益按照应享有的比例计算归属于本公司的部分予以抵销，在此基础上</w:t>
      </w:r>
      <w:r>
        <w:rPr>
          <w:spacing w:val="-56"/>
        </w:rPr>
        <w:t> </w:t>
      </w:r>
      <w:r>
        <w:rPr>
          <w:spacing w:val="-56"/>
        </w:rPr>
      </w:r>
      <w:r>
        <w:rPr/>
        <w:t>确认投资损益。</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本公司确认应分担被投资单位发生的亏损时，按照以下顺序进行处理：首先，冲减长期股权</w:t>
      </w:r>
      <w:r>
        <w:rPr>
          <w:w w:val="100"/>
        </w:rPr>
        <w:t> </w:t>
      </w:r>
      <w:r>
        <w:rPr>
          <w:spacing w:val="-1"/>
        </w:rPr>
        <w:t>投资的账面价值。其次，长期股权投资的账面价值不足以冲减的，以其他实质上构成对被投资单</w:t>
      </w:r>
      <w:r>
        <w:rPr>
          <w:spacing w:val="-55"/>
        </w:rPr>
        <w:t> </w:t>
      </w:r>
      <w:r>
        <w:rPr>
          <w:spacing w:val="-55"/>
        </w:rPr>
      </w:r>
      <w:r>
        <w:rPr>
          <w:spacing w:val="-1"/>
        </w:rPr>
        <w:t>位净投资的长期权益账面价值为限继续确认投资损失，冲减长期应收项目等的账面价值。最后，</w:t>
      </w:r>
      <w:r>
        <w:rPr>
          <w:spacing w:val="-55"/>
        </w:rPr>
        <w:t> </w:t>
      </w:r>
      <w:r>
        <w:rPr>
          <w:spacing w:val="-55"/>
        </w:rPr>
      </w:r>
      <w:r>
        <w:rPr>
          <w:spacing w:val="-1"/>
        </w:rPr>
        <w:t>经过上述处理，按照投资合同或协议约定企业仍承担额外义务的，按预计承担的义务确认预计负</w:t>
      </w:r>
      <w:r>
        <w:rPr>
          <w:spacing w:val="-55"/>
        </w:rPr>
        <w:t> </w:t>
      </w:r>
      <w:r>
        <w:rPr>
          <w:spacing w:val="-55"/>
        </w:rPr>
      </w:r>
      <w:r>
        <w:rPr/>
        <w:t>债，计入当期投资损失。</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被投资单位以后期间实现盈利的，公司在扣除未确认的亏损分担额后，按与上述相反的顺序</w:t>
      </w:r>
      <w:r>
        <w:rPr>
          <w:w w:val="100"/>
        </w:rPr>
        <w:t> </w:t>
      </w:r>
      <w:r>
        <w:rPr>
          <w:spacing w:val="-1"/>
        </w:rPr>
        <w:t>处理，减记已确认预计负债的账面余额、恢复其他实质上构成对被投资单位净投资的长期权益及</w:t>
      </w:r>
      <w:r>
        <w:rPr>
          <w:spacing w:val="-55"/>
        </w:rPr>
        <w:t> </w:t>
      </w:r>
      <w:r>
        <w:rPr>
          <w:spacing w:val="-55"/>
        </w:rPr>
      </w:r>
      <w:r>
        <w:rPr/>
        <w:t>长期股权投资的账面价值后，恢复确认投资收益。</w:t>
      </w:r>
      <w:r>
        <w:rPr>
          <w:rFonts w:ascii="宋体" w:hAnsi="宋体" w:cs="宋体" w:eastAsia="宋体" w:hint="default"/>
        </w:rPr>
        <w:t> </w:t>
      </w:r>
    </w:p>
    <w:p>
      <w:pPr>
        <w:pStyle w:val="Heading4"/>
        <w:spacing w:line="240" w:lineRule="auto" w:before="20"/>
        <w:ind w:left="559" w:right="2819"/>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64"/>
        </w:rPr>
        <w:t> </w:t>
      </w:r>
      <w:r>
        <w:rPr/>
        <w:t>长期股权投资核算方法的转换</w:t>
      </w:r>
      <w:r>
        <w:rPr>
          <w:rFonts w:ascii="宋体" w:hAnsi="宋体" w:cs="宋体" w:eastAsia="宋体" w:hint="default"/>
          <w:w w:val="99"/>
        </w:rPr>
        <w:t> </w:t>
      </w:r>
      <w:r>
        <w:rPr>
          <w:rFonts w:ascii="宋体" w:hAnsi="宋体" w:cs="宋体" w:eastAsia="宋体" w:hint="default"/>
          <w:b w:val="0"/>
          <w:bCs w:val="0"/>
        </w:rPr>
      </w:r>
    </w:p>
    <w:p>
      <w:pPr>
        <w:pStyle w:val="BodyText"/>
        <w:spacing w:line="314" w:lineRule="auto" w:before="69"/>
        <w:ind w:left="557" w:right="0"/>
        <w:jc w:val="left"/>
      </w:pPr>
      <w:r>
        <w:rPr/>
        <w:t>（</w:t>
      </w:r>
      <w:r>
        <w:rPr>
          <w:rFonts w:ascii="宋体" w:hAnsi="宋体" w:cs="宋体" w:eastAsia="宋体" w:hint="default"/>
        </w:rPr>
        <w:t>1</w:t>
      </w:r>
      <w:r>
        <w:rPr/>
        <w:t>）公允价值计量转权益法核算</w:t>
      </w:r>
      <w:r>
        <w:rPr>
          <w:rFonts w:ascii="宋体" w:hAnsi="宋体" w:cs="宋体" w:eastAsia="宋体" w:hint="default"/>
          <w:w w:val="100"/>
        </w:rPr>
        <w:t> </w:t>
      </w:r>
      <w:r>
        <w:rPr>
          <w:spacing w:val="-2"/>
        </w:rPr>
        <w:t>本公司原持有的对被投资单位不具有控制、共同控制或重大影响的按金融工具确认和计量准</w:t>
      </w:r>
    </w:p>
    <w:p>
      <w:pPr>
        <w:pStyle w:val="BodyText"/>
        <w:spacing w:line="314" w:lineRule="auto" w:before="20"/>
        <w:ind w:left="136" w:right="209"/>
        <w:jc w:val="both"/>
        <w:rPr>
          <w:rFonts w:ascii="宋体" w:hAnsi="宋体" w:cs="宋体" w:eastAsia="宋体" w:hint="default"/>
        </w:rPr>
      </w:pPr>
      <w:r>
        <w:rPr>
          <w:spacing w:val="-1"/>
        </w:rPr>
        <w:t>则进行会计处理的权益性投资，因追加投资等原因能够对被投资单位施加重大影响或实施共同控</w:t>
      </w:r>
      <w:r>
        <w:rPr>
          <w:spacing w:val="-55"/>
        </w:rPr>
        <w:t> </w:t>
      </w:r>
      <w:r>
        <w:rPr>
          <w:spacing w:val="-55"/>
        </w:rPr>
      </w:r>
      <w:r>
        <w:rPr>
          <w:spacing w:val="-5"/>
        </w:rPr>
        <w:t>制但不构成控制的，按照《企业会计准则第</w:t>
      </w:r>
      <w:r>
        <w:rPr>
          <w:spacing w:val="-24"/>
        </w:rPr>
        <w:t> </w:t>
      </w:r>
      <w:r>
        <w:rPr>
          <w:rFonts w:ascii="宋体" w:hAnsi="宋体" w:cs="宋体" w:eastAsia="宋体" w:hint="default"/>
        </w:rPr>
        <w:t>22</w:t>
      </w:r>
      <w:r>
        <w:rPr>
          <w:rFonts w:ascii="宋体" w:hAnsi="宋体" w:cs="宋体" w:eastAsia="宋体" w:hint="default"/>
          <w:spacing w:val="-29"/>
        </w:rPr>
        <w:t> </w:t>
      </w:r>
      <w:r>
        <w:rPr>
          <w:spacing w:val="-3"/>
        </w:rPr>
        <w:t>号——金融工具确认和计量》确定的原持有的股权</w:t>
      </w:r>
      <w:r>
        <w:rPr>
          <w:spacing w:val="-96"/>
        </w:rPr>
        <w:t> </w:t>
      </w:r>
      <w:r>
        <w:rPr>
          <w:spacing w:val="-96"/>
        </w:rPr>
      </w:r>
      <w:r>
        <w:rPr/>
        <w:t>投资的公允价值加上新增投资成本之和，作为改按权益法核算的初始投资成本。</w:t>
      </w:r>
      <w:r>
        <w:rPr>
          <w:rFonts w:ascii="宋体" w:hAnsi="宋体" w:cs="宋体" w:eastAsia="宋体" w:hint="default"/>
        </w:rPr>
        <w:t> </w:t>
      </w:r>
    </w:p>
    <w:p>
      <w:pPr>
        <w:pStyle w:val="BodyText"/>
        <w:spacing w:line="314" w:lineRule="auto" w:before="20"/>
        <w:ind w:left="136" w:right="211" w:firstLine="420"/>
        <w:jc w:val="both"/>
        <w:rPr>
          <w:rFonts w:ascii="宋体" w:hAnsi="宋体" w:cs="宋体" w:eastAsia="宋体" w:hint="default"/>
        </w:rPr>
      </w:pPr>
      <w:r>
        <w:rPr>
          <w:spacing w:val="-2"/>
        </w:rPr>
        <w:t>原持有的股权投资分类为可供出售金融资产的，其公允价值与账面价值之间的差额，以及原</w:t>
      </w:r>
      <w:r>
        <w:rPr>
          <w:w w:val="100"/>
        </w:rPr>
        <w:t> </w:t>
      </w:r>
      <w:r>
        <w:rPr/>
        <w:t>计入其他综合收益的累计公允价值变动转入改按权益法核算的当期损益。</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按权益法核算的初始投资成本小于按照追加投资后全新的持股比例计算确定的应享有被投资</w:t>
      </w:r>
      <w:r>
        <w:rPr>
          <w:w w:val="100"/>
        </w:rPr>
        <w:t> </w:t>
      </w:r>
      <w:r>
        <w:rPr>
          <w:spacing w:val="-1"/>
        </w:rPr>
        <w:t>单位在追加投资日可辨认净资产公允价值份额之间的差额，调整长期股权投资的账面价值，并计</w:t>
      </w:r>
      <w:r>
        <w:rPr>
          <w:spacing w:val="-55"/>
        </w:rPr>
        <w:t> </w:t>
      </w:r>
      <w:r>
        <w:rPr>
          <w:spacing w:val="-55"/>
        </w:rPr>
      </w:r>
      <w:r>
        <w:rPr/>
        <w:t>入当期营业外收入。</w:t>
      </w:r>
      <w:r>
        <w:rPr>
          <w:rFonts w:ascii="宋体" w:hAnsi="宋体" w:cs="宋体" w:eastAsia="宋体" w:hint="default"/>
        </w:rPr>
        <w:t> </w:t>
      </w:r>
    </w:p>
    <w:p>
      <w:pPr>
        <w:pStyle w:val="BodyText"/>
        <w:spacing w:line="314" w:lineRule="auto" w:before="20"/>
        <w:ind w:left="557" w:right="0"/>
        <w:jc w:val="left"/>
      </w:pPr>
      <w:r>
        <w:rPr/>
        <w:t>（</w:t>
      </w:r>
      <w:r>
        <w:rPr>
          <w:rFonts w:ascii="宋体" w:hAnsi="宋体" w:cs="宋体" w:eastAsia="宋体" w:hint="default"/>
        </w:rPr>
        <w:t>2</w:t>
      </w:r>
      <w:r>
        <w:rPr/>
        <w:t>）公允价值计量或权益法核算转成本法核算</w:t>
      </w:r>
      <w:r>
        <w:rPr>
          <w:rFonts w:ascii="宋体" w:hAnsi="宋体" w:cs="宋体" w:eastAsia="宋体" w:hint="default"/>
          <w:w w:val="100"/>
        </w:rPr>
        <w:t> </w:t>
      </w:r>
      <w:r>
        <w:rPr>
          <w:spacing w:val="-2"/>
        </w:rPr>
        <w:t>本公司原持有的对被投资单位不具有控制、共同控制或重大影响的按金融工具确认和计量准</w:t>
      </w:r>
    </w:p>
    <w:p>
      <w:pPr>
        <w:pStyle w:val="BodyText"/>
        <w:spacing w:line="314" w:lineRule="auto" w:before="20"/>
        <w:ind w:left="136" w:right="209"/>
        <w:jc w:val="both"/>
        <w:rPr>
          <w:rFonts w:ascii="宋体" w:hAnsi="宋体" w:cs="宋体" w:eastAsia="宋体" w:hint="default"/>
        </w:rPr>
      </w:pPr>
      <w:r>
        <w:rPr>
          <w:spacing w:val="-1"/>
        </w:rPr>
        <w:t>则进行会计处理的权益性投资，或原持有对联营企业、合营企业的长期股权投资，因追加投资等</w:t>
      </w:r>
      <w:r>
        <w:rPr>
          <w:spacing w:val="-55"/>
        </w:rPr>
        <w:t> </w:t>
      </w:r>
      <w:r>
        <w:rPr>
          <w:spacing w:val="-55"/>
        </w:rPr>
      </w:r>
      <w:r>
        <w:rPr>
          <w:spacing w:val="-1"/>
        </w:rPr>
        <w:t>原因能够对非同一控制下的被投资单位实施控制的，在编制个别财务报表时，按照原持有的股权</w:t>
      </w:r>
      <w:r>
        <w:rPr>
          <w:spacing w:val="-55"/>
        </w:rPr>
        <w:t> </w:t>
      </w:r>
      <w:r>
        <w:rPr>
          <w:spacing w:val="-55"/>
        </w:rPr>
      </w:r>
      <w:r>
        <w:rPr/>
        <w:t>投资账面价值加上新增投资成本之和，作为改按成本法核算的初始投资成本。</w:t>
      </w:r>
      <w:r>
        <w:rPr>
          <w:rFonts w:ascii="宋体" w:hAnsi="宋体" w:cs="宋体" w:eastAsia="宋体" w:hint="default"/>
        </w:rPr>
        <w:t> </w:t>
      </w:r>
    </w:p>
    <w:p>
      <w:pPr>
        <w:pStyle w:val="BodyText"/>
        <w:spacing w:line="314" w:lineRule="auto" w:before="20"/>
        <w:ind w:left="136" w:right="211" w:firstLine="420"/>
        <w:jc w:val="both"/>
        <w:rPr>
          <w:rFonts w:ascii="宋体" w:hAnsi="宋体" w:cs="宋体" w:eastAsia="宋体" w:hint="default"/>
        </w:rPr>
      </w:pPr>
      <w:r>
        <w:rPr>
          <w:spacing w:val="-2"/>
        </w:rPr>
        <w:t>购买日之前持有的股权投资因采用权益法核算而确认的其他综合收益，在处置该项投资时采</w:t>
      </w:r>
      <w:r>
        <w:rPr>
          <w:w w:val="100"/>
        </w:rPr>
        <w:t> </w:t>
      </w:r>
      <w:r>
        <w:rPr/>
        <w:t>用与被投资单位直接处置相关资产或负债相同的基础进行会计处理。</w:t>
      </w:r>
      <w:r>
        <w:rPr>
          <w:rFonts w:ascii="宋体" w:hAnsi="宋体" w:cs="宋体" w:eastAsia="宋体" w:hint="default"/>
        </w:rPr>
        <w:t> </w:t>
      </w:r>
    </w:p>
    <w:p>
      <w:pPr>
        <w:pStyle w:val="BodyText"/>
        <w:spacing w:line="314" w:lineRule="auto" w:before="20"/>
        <w:ind w:left="136" w:right="0" w:firstLine="420"/>
        <w:jc w:val="left"/>
        <w:rPr>
          <w:rFonts w:ascii="宋体" w:hAnsi="宋体" w:cs="宋体" w:eastAsia="宋体" w:hint="default"/>
        </w:rPr>
      </w:pPr>
      <w:r>
        <w:rPr>
          <w:spacing w:val="-4"/>
        </w:rPr>
        <w:t>购买日之前持有的股权投资按照《企业会计准则第 </w:t>
      </w:r>
      <w:r>
        <w:rPr>
          <w:rFonts w:ascii="宋体" w:hAnsi="宋体" w:cs="宋体" w:eastAsia="宋体" w:hint="default"/>
        </w:rPr>
        <w:t>22</w:t>
      </w:r>
      <w:r>
        <w:rPr>
          <w:rFonts w:ascii="宋体" w:hAnsi="宋体" w:cs="宋体" w:eastAsia="宋体" w:hint="default"/>
          <w:spacing w:val="-67"/>
        </w:rPr>
        <w:t> </w:t>
      </w:r>
      <w:r>
        <w:rPr>
          <w:spacing w:val="-5"/>
        </w:rPr>
        <w:t>号——金融工具确认和计量》的有关规</w:t>
      </w:r>
      <w:r>
        <w:rPr>
          <w:w w:val="100"/>
        </w:rPr>
        <w:t> </w:t>
      </w:r>
      <w:r>
        <w:rPr>
          <w:spacing w:val="-7"/>
          <w:w w:val="100"/>
        </w:rPr>
        <w:t>定进行会计处理的，原计入其他综合收益的累计公允价值变动在改按成本法核算时转入当期损益。</w:t>
      </w:r>
      <w:r>
        <w:rPr>
          <w:rFonts w:ascii="宋体" w:hAnsi="宋体" w:cs="宋体" w:eastAsia="宋体" w:hint="default"/>
          <w:w w:val="100"/>
        </w:rPr>
        <w:t> </w:t>
      </w:r>
    </w:p>
    <w:p>
      <w:pPr>
        <w:pStyle w:val="BodyText"/>
        <w:spacing w:line="314" w:lineRule="auto" w:before="20"/>
        <w:ind w:left="557" w:right="0"/>
        <w:jc w:val="left"/>
      </w:pPr>
      <w:r>
        <w:rPr/>
        <w:t>（</w:t>
      </w:r>
      <w:r>
        <w:rPr>
          <w:rFonts w:ascii="宋体" w:hAnsi="宋体" w:cs="宋体" w:eastAsia="宋体" w:hint="default"/>
        </w:rPr>
        <w:t>3</w:t>
      </w:r>
      <w:r>
        <w:rPr/>
        <w:t>）权益法核算转公允价值计量</w:t>
      </w:r>
      <w:r>
        <w:rPr>
          <w:rFonts w:ascii="宋体" w:hAnsi="宋体" w:cs="宋体" w:eastAsia="宋体" w:hint="default"/>
          <w:w w:val="100"/>
        </w:rPr>
        <w:t> </w:t>
      </w:r>
      <w:r>
        <w:rPr>
          <w:spacing w:val="-2"/>
        </w:rPr>
        <w:t>本公司因处置部分股权投资等原因丧失了对被投资单位的共同控制或重大影响的，处置后的</w:t>
      </w:r>
    </w:p>
    <w:p>
      <w:pPr>
        <w:pStyle w:val="BodyText"/>
        <w:spacing w:line="240" w:lineRule="auto" w:before="20"/>
        <w:ind w:left="136" w:right="0"/>
        <w:jc w:val="both"/>
      </w:pPr>
      <w:r>
        <w:rPr>
          <w:spacing w:val="-4"/>
        </w:rPr>
        <w:t>剩余股权改按《企业会计准则第 </w:t>
      </w:r>
      <w:r>
        <w:rPr>
          <w:rFonts w:ascii="宋体" w:hAnsi="宋体" w:cs="宋体" w:eastAsia="宋体" w:hint="default"/>
        </w:rPr>
        <w:t>22</w:t>
      </w:r>
      <w:r>
        <w:rPr>
          <w:rFonts w:ascii="宋体" w:hAnsi="宋体" w:cs="宋体" w:eastAsia="宋体" w:hint="default"/>
          <w:spacing w:val="-39"/>
        </w:rPr>
        <w:t> </w:t>
      </w:r>
      <w:r>
        <w:rPr>
          <w:spacing w:val="-4"/>
        </w:rPr>
        <w:t>号——金融工具确认和计量》核算，其在丧失共同控制或重大</w:t>
      </w:r>
    </w:p>
    <w:p>
      <w:pPr>
        <w:spacing w:after="0" w:line="240" w:lineRule="auto"/>
        <w:jc w:val="both"/>
        <w:sectPr>
          <w:pgSz w:w="11910" w:h="16840"/>
          <w:pgMar w:header="857" w:footer="979" w:top="1120" w:bottom="1160" w:left="1140" w:right="1580"/>
        </w:sectPr>
      </w:pPr>
    </w:p>
    <w:p>
      <w:pPr>
        <w:spacing w:line="240" w:lineRule="auto" w:before="4"/>
        <w:rPr>
          <w:rFonts w:ascii="宋体" w:hAnsi="宋体" w:cs="宋体" w:eastAsia="宋体" w:hint="default"/>
          <w:sz w:val="24"/>
          <w:szCs w:val="24"/>
        </w:rPr>
      </w:pPr>
    </w:p>
    <w:p>
      <w:pPr>
        <w:pStyle w:val="BodyText"/>
        <w:spacing w:line="314" w:lineRule="auto" w:before="36"/>
        <w:ind w:left="557" w:right="0" w:hanging="421"/>
        <w:jc w:val="left"/>
      </w:pPr>
      <w:r>
        <w:rPr/>
        <w:t>影响之日的公允价值与账面价值之间的差额计入当期损益。</w:t>
      </w:r>
      <w:r>
        <w:rPr>
          <w:rFonts w:ascii="宋体" w:hAnsi="宋体" w:cs="宋体" w:eastAsia="宋体" w:hint="default"/>
          <w:w w:val="100"/>
        </w:rPr>
        <w:t> </w:t>
      </w:r>
      <w:r>
        <w:rPr>
          <w:spacing w:val="-2"/>
        </w:rPr>
        <w:t>原股权投资因采用权益法核算而确认的其他综合收益，在终止采用权益法核算时采用与被投</w:t>
      </w:r>
    </w:p>
    <w:p>
      <w:pPr>
        <w:pStyle w:val="BodyText"/>
        <w:spacing w:line="240" w:lineRule="auto" w:before="20"/>
        <w:ind w:left="136" w:right="0"/>
        <w:jc w:val="both"/>
        <w:rPr>
          <w:rFonts w:ascii="宋体" w:hAnsi="宋体" w:cs="宋体" w:eastAsia="宋体" w:hint="default"/>
        </w:rPr>
      </w:pPr>
      <w:r>
        <w:rPr/>
        <w:t>资单位直接处置相关资产或负债相同的基础进行会计处理。</w:t>
      </w:r>
      <w:r>
        <w:rPr>
          <w:rFonts w:ascii="宋体" w:hAnsi="宋体" w:cs="宋体" w:eastAsia="宋体" w:hint="default"/>
        </w:rPr>
        <w:t> </w:t>
      </w:r>
    </w:p>
    <w:p>
      <w:pPr>
        <w:pStyle w:val="BodyText"/>
        <w:spacing w:line="314" w:lineRule="auto" w:before="85"/>
        <w:ind w:left="557" w:right="0"/>
        <w:jc w:val="left"/>
      </w:pPr>
      <w:r>
        <w:rPr/>
        <w:t>（</w:t>
      </w:r>
      <w:r>
        <w:rPr>
          <w:rFonts w:ascii="宋体" w:hAnsi="宋体" w:cs="宋体" w:eastAsia="宋体" w:hint="default"/>
        </w:rPr>
        <w:t>4</w:t>
      </w:r>
      <w:r>
        <w:rPr/>
        <w:t>）成本法转权益法</w:t>
      </w:r>
      <w:r>
        <w:rPr>
          <w:rFonts w:ascii="宋体" w:hAnsi="宋体" w:cs="宋体" w:eastAsia="宋体" w:hint="default"/>
          <w:w w:val="100"/>
        </w:rPr>
        <w:t> </w:t>
      </w:r>
      <w:r>
        <w:rPr>
          <w:spacing w:val="-4"/>
          <w:w w:val="100"/>
        </w:rPr>
        <w:t>本公司因处置部分权益性投资等原因丧失了对被投资单位的控制的，在编制个别财务报表时，</w:t>
      </w:r>
    </w:p>
    <w:p>
      <w:pPr>
        <w:pStyle w:val="BodyText"/>
        <w:spacing w:line="314" w:lineRule="auto" w:before="20"/>
        <w:ind w:left="136" w:right="209"/>
        <w:jc w:val="both"/>
        <w:rPr>
          <w:rFonts w:ascii="宋体" w:hAnsi="宋体" w:cs="宋体" w:eastAsia="宋体" w:hint="default"/>
        </w:rPr>
      </w:pPr>
      <w:r>
        <w:rPr>
          <w:spacing w:val="-1"/>
        </w:rPr>
        <w:t>处置后的剩余股权能够对被投资单位实施共同控制或施加重大影响的，改按权益法核算，并对该</w:t>
      </w:r>
      <w:r>
        <w:rPr>
          <w:spacing w:val="-55"/>
        </w:rPr>
        <w:t> </w:t>
      </w:r>
      <w:r>
        <w:rPr>
          <w:spacing w:val="-55"/>
        </w:rPr>
      </w:r>
      <w:r>
        <w:rPr/>
        <w:t>剩余股权视同自取得时即采用权益法核算进行调整。</w:t>
      </w:r>
      <w:r>
        <w:rPr>
          <w:rFonts w:ascii="宋体" w:hAnsi="宋体" w:cs="宋体" w:eastAsia="宋体" w:hint="default"/>
        </w:rPr>
        <w:t> </w:t>
      </w:r>
    </w:p>
    <w:p>
      <w:pPr>
        <w:pStyle w:val="BodyText"/>
        <w:spacing w:line="314" w:lineRule="auto" w:before="20"/>
        <w:ind w:left="557" w:right="0"/>
        <w:jc w:val="left"/>
      </w:pPr>
      <w:r>
        <w:rPr/>
        <w:t>（</w:t>
      </w:r>
      <w:r>
        <w:rPr>
          <w:rFonts w:ascii="宋体" w:hAnsi="宋体" w:cs="宋体" w:eastAsia="宋体" w:hint="default"/>
        </w:rPr>
        <w:t>5</w:t>
      </w:r>
      <w:r>
        <w:rPr/>
        <w:t>）成本法转公允价值计量</w:t>
      </w:r>
      <w:r>
        <w:rPr>
          <w:rFonts w:ascii="宋体" w:hAnsi="宋体" w:cs="宋体" w:eastAsia="宋体" w:hint="default"/>
          <w:w w:val="100"/>
        </w:rPr>
        <w:t> </w:t>
      </w:r>
      <w:r>
        <w:rPr>
          <w:spacing w:val="-4"/>
          <w:w w:val="100"/>
        </w:rPr>
        <w:t>本公司因处置部分权益性投资等原因丧失了对被投资单位的控制的，在编制个别财务报表时，</w:t>
      </w:r>
    </w:p>
    <w:p>
      <w:pPr>
        <w:pStyle w:val="BodyText"/>
        <w:spacing w:line="314" w:lineRule="auto" w:before="20"/>
        <w:ind w:left="136" w:right="208"/>
        <w:jc w:val="both"/>
        <w:rPr>
          <w:rFonts w:ascii="宋体" w:hAnsi="宋体" w:cs="宋体" w:eastAsia="宋体" w:hint="default"/>
        </w:rPr>
      </w:pPr>
      <w:r>
        <w:rPr>
          <w:spacing w:val="-3"/>
        </w:rPr>
        <w:t>处置后的剩余股权不能对被投资单位实施共同控制或施加重大影响的，改按《企业会计准则第 </w:t>
      </w:r>
      <w:r>
        <w:rPr>
          <w:rFonts w:ascii="宋体" w:hAnsi="宋体" w:cs="宋体" w:eastAsia="宋体" w:hint="default"/>
        </w:rPr>
        <w:t>22</w:t>
      </w:r>
      <w:r>
        <w:rPr>
          <w:rFonts w:ascii="宋体" w:hAnsi="宋体" w:cs="宋体" w:eastAsia="宋体" w:hint="default"/>
          <w:spacing w:val="-80"/>
        </w:rPr>
        <w:t> </w:t>
      </w:r>
      <w:r>
        <w:rPr>
          <w:spacing w:val="-1"/>
        </w:rPr>
        <w:t>号——金融工具确认和计量》的有关规定进行会计处理，其在丧失控制之日的公允价值与账面价</w:t>
      </w:r>
      <w:r>
        <w:rPr>
          <w:spacing w:val="-55"/>
        </w:rPr>
        <w:t> </w:t>
      </w:r>
      <w:r>
        <w:rPr>
          <w:spacing w:val="-55"/>
        </w:rPr>
      </w:r>
      <w:r>
        <w:rPr/>
        <w:t>值间的差额计入当期损益。</w:t>
      </w:r>
      <w:r>
        <w:rPr>
          <w:rFonts w:ascii="宋体" w:hAnsi="宋体" w:cs="宋体" w:eastAsia="宋体" w:hint="default"/>
        </w:rPr>
        <w:t> </w:t>
      </w:r>
    </w:p>
    <w:p>
      <w:pPr>
        <w:spacing w:line="297" w:lineRule="auto" w:before="20"/>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长期股权投资的处置</w:t>
      </w:r>
      <w:r>
        <w:rPr>
          <w:rFonts w:ascii="宋体" w:hAnsi="宋体" w:cs="宋体" w:eastAsia="宋体" w:hint="default"/>
          <w:b/>
          <w:bCs/>
          <w:w w:val="99"/>
          <w:sz w:val="21"/>
          <w:szCs w:val="21"/>
        </w:rPr>
        <w:t> </w:t>
      </w:r>
      <w:r>
        <w:rPr>
          <w:rFonts w:ascii="宋体" w:hAnsi="宋体" w:cs="宋体" w:eastAsia="宋体" w:hint="default"/>
          <w:spacing w:val="-2"/>
          <w:sz w:val="21"/>
          <w:szCs w:val="21"/>
        </w:rPr>
        <w:t>处置长期股权投资，其账面价值与实际取得价款之间的差额，应当计入当期损益。采用权益</w:t>
      </w:r>
    </w:p>
    <w:p>
      <w:pPr>
        <w:pStyle w:val="BodyText"/>
        <w:spacing w:line="314" w:lineRule="auto" w:before="34"/>
        <w:ind w:left="136" w:right="209"/>
        <w:jc w:val="both"/>
        <w:rPr>
          <w:rFonts w:ascii="宋体" w:hAnsi="宋体" w:cs="宋体" w:eastAsia="宋体" w:hint="default"/>
        </w:rPr>
      </w:pPr>
      <w:r>
        <w:rPr>
          <w:spacing w:val="-1"/>
        </w:rPr>
        <w:t>法核算的长期股权投资，在处置该项投资时，采用与被投资单位直接处置相关资产或负债相同的</w:t>
      </w:r>
      <w:r>
        <w:rPr>
          <w:spacing w:val="-55"/>
        </w:rPr>
        <w:t> </w:t>
      </w:r>
      <w:r>
        <w:rPr>
          <w:spacing w:val="-55"/>
        </w:rPr>
      </w:r>
      <w:r>
        <w:rPr/>
        <w:t>基础，按相应比例对原计入其他综合收益的部分进行会计处理。</w:t>
      </w:r>
      <w:r>
        <w:rPr>
          <w:rFonts w:ascii="宋体" w:hAnsi="宋体" w:cs="宋体" w:eastAsia="宋体" w:hint="default"/>
        </w:rPr>
        <w:t> </w:t>
      </w:r>
    </w:p>
    <w:p>
      <w:pPr>
        <w:pStyle w:val="BodyText"/>
        <w:spacing w:line="314" w:lineRule="auto" w:before="20"/>
        <w:ind w:left="136" w:right="211" w:firstLine="420"/>
        <w:jc w:val="both"/>
        <w:rPr>
          <w:rFonts w:ascii="宋体" w:hAnsi="宋体" w:cs="宋体" w:eastAsia="宋体" w:hint="default"/>
        </w:rPr>
      </w:pPr>
      <w:r>
        <w:rPr>
          <w:spacing w:val="-2"/>
        </w:rPr>
        <w:t>处置对子公司股权投资的各项交易的条款、条件以及经济影响符合以下一种或多种情况，将</w:t>
      </w:r>
      <w:r>
        <w:rPr>
          <w:w w:val="100"/>
        </w:rPr>
        <w:t> </w:t>
      </w:r>
      <w:r>
        <w:rPr/>
        <w:t>多次交易事项作为一揽子交易进行会计处理：</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w:t>
      </w:r>
      <w:r>
        <w:rPr>
          <w:rFonts w:ascii="宋体" w:hAnsi="宋体" w:cs="宋体" w:eastAsia="宋体" w:hint="default"/>
        </w:rPr>
        <w:t>6</w:t>
      </w:r>
      <w:r>
        <w:rPr/>
        <w:t>）这些交易是同时或者在考虑了彼此影响的情况下订立的；</w:t>
      </w:r>
      <w:r>
        <w:rPr>
          <w:rFonts w:ascii="宋体" w:hAnsi="宋体" w:cs="宋体" w:eastAsia="宋体" w:hint="default"/>
        </w:rPr>
        <w:t> </w:t>
      </w:r>
    </w:p>
    <w:p>
      <w:pPr>
        <w:pStyle w:val="BodyText"/>
        <w:spacing w:line="240" w:lineRule="auto" w:before="85"/>
        <w:ind w:left="557" w:right="2819"/>
        <w:jc w:val="left"/>
        <w:rPr>
          <w:rFonts w:ascii="宋体" w:hAnsi="宋体" w:cs="宋体" w:eastAsia="宋体" w:hint="default"/>
        </w:rPr>
      </w:pPr>
      <w:r>
        <w:rPr/>
        <w:t>（</w:t>
      </w:r>
      <w:r>
        <w:rPr>
          <w:rFonts w:ascii="宋体" w:hAnsi="宋体" w:cs="宋体" w:eastAsia="宋体" w:hint="default"/>
        </w:rPr>
        <w:t>7</w:t>
      </w:r>
      <w:r>
        <w:rPr/>
        <w:t>）这些交易整体才能达成一项完整的商业结果；</w:t>
      </w:r>
      <w:r>
        <w:rPr>
          <w:rFonts w:ascii="宋体" w:hAnsi="宋体" w:cs="宋体" w:eastAsia="宋体" w:hint="default"/>
        </w:rPr>
        <w:t> </w:t>
      </w:r>
    </w:p>
    <w:p>
      <w:pPr>
        <w:pStyle w:val="BodyText"/>
        <w:spacing w:line="240" w:lineRule="auto" w:before="85"/>
        <w:ind w:left="557" w:right="2819"/>
        <w:jc w:val="left"/>
        <w:rPr>
          <w:rFonts w:ascii="宋体" w:hAnsi="宋体" w:cs="宋体" w:eastAsia="宋体" w:hint="default"/>
        </w:rPr>
      </w:pPr>
      <w:r>
        <w:rPr/>
        <w:t>（</w:t>
      </w:r>
      <w:r>
        <w:rPr>
          <w:rFonts w:ascii="宋体" w:hAnsi="宋体" w:cs="宋体" w:eastAsia="宋体" w:hint="default"/>
        </w:rPr>
        <w:t>8</w:t>
      </w:r>
      <w:r>
        <w:rPr/>
        <w:t>）一项交易的发生取决于其他至少一项交易的发生；</w:t>
      </w:r>
      <w:r>
        <w:rPr>
          <w:rFonts w:ascii="宋体" w:hAnsi="宋体" w:cs="宋体" w:eastAsia="宋体" w:hint="default"/>
        </w:rPr>
        <w:t> </w:t>
      </w:r>
    </w:p>
    <w:p>
      <w:pPr>
        <w:pStyle w:val="BodyText"/>
        <w:spacing w:line="314" w:lineRule="auto" w:before="85"/>
        <w:ind w:left="557" w:right="0"/>
        <w:jc w:val="left"/>
      </w:pPr>
      <w:r>
        <w:rPr/>
        <w:t>（</w:t>
      </w:r>
      <w:r>
        <w:rPr>
          <w:rFonts w:ascii="宋体" w:hAnsi="宋体" w:cs="宋体" w:eastAsia="宋体" w:hint="default"/>
        </w:rPr>
        <w:t>9</w:t>
      </w:r>
      <w:r>
        <w:rPr/>
        <w:t>）一项交易单独看是不经济的，但是和其他交易一并考虑时是经济的。</w:t>
      </w:r>
      <w:r>
        <w:rPr>
          <w:rFonts w:ascii="宋体" w:hAnsi="宋体" w:cs="宋体" w:eastAsia="宋体" w:hint="default"/>
          <w:w w:val="100"/>
        </w:rPr>
        <w:t> </w:t>
      </w:r>
      <w:r>
        <w:rPr>
          <w:spacing w:val="-2"/>
        </w:rPr>
        <w:t>因处置部分股权投资或其他原因丧失了对原有子公司控制权的，不属于一揽子交易的，区分</w:t>
      </w:r>
    </w:p>
    <w:p>
      <w:pPr>
        <w:pStyle w:val="BodyText"/>
        <w:spacing w:line="240" w:lineRule="auto" w:before="20"/>
        <w:ind w:left="136" w:right="0"/>
        <w:jc w:val="both"/>
        <w:rPr>
          <w:rFonts w:ascii="宋体" w:hAnsi="宋体" w:cs="宋体" w:eastAsia="宋体" w:hint="default"/>
        </w:rPr>
      </w:pPr>
      <w:r>
        <w:rPr/>
        <w:t>个别财务报表和合并财务报表进行相关会计处理：</w:t>
      </w:r>
      <w:r>
        <w:rPr>
          <w:rFonts w:ascii="宋体" w:hAnsi="宋体" w:cs="宋体" w:eastAsia="宋体" w:hint="default"/>
        </w:rPr>
        <w:t> </w:t>
      </w:r>
    </w:p>
    <w:p>
      <w:pPr>
        <w:pStyle w:val="BodyText"/>
        <w:spacing w:line="314" w:lineRule="auto" w:before="85"/>
        <w:ind w:left="136" w:right="210" w:firstLine="420"/>
        <w:jc w:val="both"/>
        <w:rPr>
          <w:rFonts w:ascii="宋体" w:hAnsi="宋体" w:cs="宋体" w:eastAsia="宋体" w:hint="default"/>
        </w:rPr>
      </w:pPr>
      <w:r>
        <w:rPr>
          <w:spacing w:val="-4"/>
        </w:rPr>
        <w:t>（</w:t>
      </w:r>
      <w:r>
        <w:rPr>
          <w:rFonts w:ascii="宋体" w:hAnsi="宋体" w:cs="宋体" w:eastAsia="宋体" w:hint="default"/>
          <w:spacing w:val="-4"/>
        </w:rPr>
        <w:t>1</w:t>
      </w:r>
      <w:r>
        <w:rPr>
          <w:spacing w:val="-4"/>
        </w:rPr>
        <w:t>）在个别财务报表中，对于处置的股权，其账面价值与实际取得价款之间的差额计入当期</w:t>
      </w:r>
      <w:r>
        <w:rPr>
          <w:w w:val="100"/>
        </w:rPr>
        <w:t> </w:t>
      </w:r>
      <w:r>
        <w:rPr>
          <w:spacing w:val="-1"/>
        </w:rPr>
        <w:t>损益。处置后的剩余股权能够对被投资单位实施共同控制或施加重大影响的，改按权益法核算，</w:t>
      </w:r>
      <w:r>
        <w:rPr>
          <w:spacing w:val="-55"/>
        </w:rPr>
        <w:t> </w:t>
      </w:r>
      <w:r>
        <w:rPr>
          <w:spacing w:val="-55"/>
        </w:rPr>
      </w:r>
      <w:r>
        <w:rPr>
          <w:spacing w:val="-1"/>
        </w:rPr>
        <w:t>并对该剩余股权视同自取得时即采用权益法核算进行调整；处置后的剩余股权不能对被投资单位</w:t>
      </w:r>
      <w:r>
        <w:rPr>
          <w:spacing w:val="-55"/>
        </w:rPr>
        <w:t> </w:t>
      </w:r>
      <w:r>
        <w:rPr>
          <w:spacing w:val="-55"/>
        </w:rPr>
      </w:r>
      <w:r>
        <w:rPr>
          <w:spacing w:val="-4"/>
        </w:rPr>
        <w:t>实施共同控制或施加重大影响的，改按《企业会计准则第</w:t>
      </w:r>
      <w:r>
        <w:rPr>
          <w:spacing w:val="-25"/>
        </w:rPr>
        <w:t> </w:t>
      </w:r>
      <w:r>
        <w:rPr>
          <w:rFonts w:ascii="宋体" w:hAnsi="宋体" w:cs="宋体" w:eastAsia="宋体" w:hint="default"/>
        </w:rPr>
        <w:t>22</w:t>
      </w:r>
      <w:r>
        <w:rPr>
          <w:rFonts w:ascii="宋体" w:hAnsi="宋体" w:cs="宋体" w:eastAsia="宋体" w:hint="default"/>
          <w:spacing w:val="-29"/>
        </w:rPr>
        <w:t> </w:t>
      </w:r>
      <w:r>
        <w:rPr>
          <w:spacing w:val="-4"/>
        </w:rPr>
        <w:t>号——金融工具确认和计量》的有关</w:t>
      </w:r>
      <w:r>
        <w:rPr>
          <w:spacing w:val="-95"/>
        </w:rPr>
        <w:t> </w:t>
      </w:r>
      <w:r>
        <w:rPr>
          <w:spacing w:val="-95"/>
        </w:rPr>
      </w:r>
      <w:r>
        <w:rPr/>
        <w:t>规定进行会计处理，其在丧失控制之日的公允价值与账面价值间的差额计入当期损益。</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4"/>
        </w:rPr>
        <w:t>（</w:t>
      </w:r>
      <w:r>
        <w:rPr>
          <w:rFonts w:ascii="宋体" w:hAnsi="宋体" w:cs="宋体" w:eastAsia="宋体" w:hint="default"/>
          <w:spacing w:val="-4"/>
        </w:rPr>
        <w:t>2</w:t>
      </w:r>
      <w:r>
        <w:rPr>
          <w:spacing w:val="-4"/>
        </w:rPr>
        <w:t>）在合并财务报表中，对于在丧失对子公司控制权以前的各项交易，处置价款与处置长期</w:t>
      </w:r>
      <w:r>
        <w:rPr>
          <w:w w:val="100"/>
        </w:rPr>
        <w:t> </w:t>
      </w:r>
      <w:r>
        <w:rPr>
          <w:spacing w:val="-1"/>
        </w:rPr>
        <w:t>股权投资相应对享有子公司自购买日或合并日开始持续计算的净资产份额之间的差额，调整资本</w:t>
      </w:r>
      <w:r>
        <w:rPr>
          <w:spacing w:val="-55"/>
        </w:rPr>
        <w:t> </w:t>
      </w:r>
      <w:r>
        <w:rPr>
          <w:spacing w:val="-55"/>
        </w:rPr>
      </w:r>
      <w:r>
        <w:rPr>
          <w:spacing w:val="-6"/>
          <w:w w:val="100"/>
        </w:rPr>
        <w:t>公积（股本溢价），资本公积不足冲减的，调整留存收益；在丧失对子公司控制权时，对于剩余股</w:t>
      </w:r>
      <w:r>
        <w:rPr>
          <w:w w:val="100"/>
        </w:rPr>
        <w:t> </w:t>
      </w:r>
      <w:r>
        <w:rPr>
          <w:spacing w:val="-1"/>
        </w:rPr>
        <w:t>权，按照其在丧失控制权日的公允价值进行重新计量。处置股权取得的对价与剩余股权公允价值</w:t>
      </w:r>
      <w:r>
        <w:rPr>
          <w:spacing w:val="-55"/>
        </w:rPr>
        <w:t> </w:t>
      </w:r>
      <w:r>
        <w:rPr>
          <w:spacing w:val="-55"/>
        </w:rPr>
      </w:r>
      <w:r>
        <w:rPr>
          <w:spacing w:val="-1"/>
        </w:rPr>
        <w:t>之和，减去按原持股比例计算应享有原有子公司自购买日开始持续计算的净资产的份额之间的差</w:t>
      </w:r>
      <w:r>
        <w:rPr>
          <w:spacing w:val="-55"/>
        </w:rPr>
        <w:t> </w:t>
      </w:r>
      <w:r>
        <w:rPr>
          <w:spacing w:val="-55"/>
        </w:rPr>
      </w:r>
      <w:r>
        <w:rPr>
          <w:spacing w:val="-1"/>
        </w:rPr>
        <w:t>额，计入丧失控制权当期的投资收益，同时冲减商誉。与原有子公司股权投资相关的其他综合收</w:t>
      </w:r>
      <w:r>
        <w:rPr>
          <w:spacing w:val="-55"/>
        </w:rPr>
        <w:t> </w:t>
      </w:r>
      <w:r>
        <w:rPr>
          <w:spacing w:val="-55"/>
        </w:rPr>
      </w:r>
      <w:r>
        <w:rPr/>
        <w:t>益等，在丧失控制权时转为当期投资收益。</w:t>
      </w:r>
      <w:r>
        <w:rPr>
          <w:rFonts w:ascii="宋体" w:hAnsi="宋体" w:cs="宋体" w:eastAsia="宋体" w:hint="default"/>
        </w:rPr>
        <w:t> </w:t>
      </w:r>
    </w:p>
    <w:p>
      <w:pPr>
        <w:pStyle w:val="BodyText"/>
        <w:spacing w:line="314" w:lineRule="auto" w:before="20"/>
        <w:ind w:left="136" w:right="209" w:firstLine="420"/>
        <w:jc w:val="both"/>
      </w:pPr>
      <w:r>
        <w:rPr>
          <w:spacing w:val="-2"/>
        </w:rPr>
        <w:t>处置对子公司股权投资直至丧失控制权的各项交易属于一揽子交易的，将各项交易作为一项</w:t>
      </w:r>
      <w:r>
        <w:rPr>
          <w:w w:val="100"/>
        </w:rPr>
        <w:t> </w:t>
      </w:r>
      <w:r>
        <w:rPr>
          <w:spacing w:val="-1"/>
        </w:rPr>
        <w:t>处置子公司股权投资并丧失控制权的交易进行会计处理，区分个别财务报表和合并财务报表进行</w:t>
      </w:r>
    </w:p>
    <w:p>
      <w:pPr>
        <w:spacing w:after="0" w:line="314" w:lineRule="auto"/>
        <w:jc w:val="both"/>
        <w:sectPr>
          <w:pgSz w:w="11910" w:h="16840"/>
          <w:pgMar w:header="857" w:footer="979" w:top="1120" w:bottom="1160" w:left="1140" w:right="1580"/>
        </w:sectPr>
      </w:pPr>
    </w:p>
    <w:p>
      <w:pPr>
        <w:spacing w:line="240" w:lineRule="auto" w:before="4"/>
        <w:rPr>
          <w:rFonts w:ascii="宋体" w:hAnsi="宋体" w:cs="宋体" w:eastAsia="宋体" w:hint="default"/>
          <w:sz w:val="24"/>
          <w:szCs w:val="24"/>
        </w:rPr>
      </w:pPr>
    </w:p>
    <w:p>
      <w:pPr>
        <w:pStyle w:val="BodyText"/>
        <w:spacing w:line="240" w:lineRule="auto" w:before="36"/>
        <w:ind w:left="216" w:right="0"/>
        <w:jc w:val="both"/>
        <w:rPr>
          <w:rFonts w:ascii="宋体" w:hAnsi="宋体" w:cs="宋体" w:eastAsia="宋体" w:hint="default"/>
        </w:rPr>
      </w:pPr>
      <w:r>
        <w:rPr/>
        <w:t>相关会计处理：</w:t>
      </w:r>
      <w:r>
        <w:rPr>
          <w:rFonts w:ascii="宋体" w:hAnsi="宋体" w:cs="宋体" w:eastAsia="宋体" w:hint="default"/>
        </w:rPr>
        <w:t> </w:t>
      </w:r>
    </w:p>
    <w:p>
      <w:pPr>
        <w:pStyle w:val="BodyText"/>
        <w:spacing w:line="314" w:lineRule="auto" w:before="85"/>
        <w:ind w:left="216" w:right="0" w:firstLine="420"/>
        <w:jc w:val="left"/>
        <w:rPr>
          <w:rFonts w:ascii="宋体" w:hAnsi="宋体" w:cs="宋体" w:eastAsia="宋体" w:hint="default"/>
        </w:rPr>
      </w:pPr>
      <w:r>
        <w:rPr>
          <w:spacing w:val="-4"/>
        </w:rPr>
        <w:t>（</w:t>
      </w:r>
      <w:r>
        <w:rPr>
          <w:rFonts w:ascii="宋体" w:hAnsi="宋体" w:cs="宋体" w:eastAsia="宋体" w:hint="default"/>
          <w:spacing w:val="-4"/>
        </w:rPr>
        <w:t>1</w:t>
      </w:r>
      <w:r>
        <w:rPr>
          <w:spacing w:val="-4"/>
        </w:rPr>
        <w:t>）在个别财务报表中，在丧失控制权之前每一次处置价款与处置的股权对应的长期股权投</w:t>
      </w:r>
      <w:r>
        <w:rPr>
          <w:w w:val="100"/>
        </w:rPr>
        <w:t> </w:t>
      </w:r>
      <w:r>
        <w:rPr>
          <w:spacing w:val="-7"/>
          <w:w w:val="100"/>
        </w:rPr>
        <w:t>资账面价值之间的差额，确认为其他综合收益，在丧失控制权时一并转入丧失控制权当期的损益。</w:t>
      </w:r>
      <w:r>
        <w:rPr>
          <w:rFonts w:ascii="宋体" w:hAnsi="宋体" w:cs="宋体" w:eastAsia="宋体" w:hint="default"/>
          <w:w w:val="100"/>
        </w:rPr>
        <w:t> </w:t>
      </w:r>
    </w:p>
    <w:p>
      <w:pPr>
        <w:pStyle w:val="BodyText"/>
        <w:spacing w:line="314" w:lineRule="auto" w:before="20"/>
        <w:ind w:left="216" w:right="228" w:firstLine="420"/>
        <w:jc w:val="both"/>
        <w:rPr>
          <w:rFonts w:ascii="宋体" w:hAnsi="宋体" w:cs="宋体" w:eastAsia="宋体" w:hint="default"/>
        </w:rPr>
      </w:pPr>
      <w:r>
        <w:rPr>
          <w:spacing w:val="-4"/>
        </w:rPr>
        <w:t>（</w:t>
      </w:r>
      <w:r>
        <w:rPr>
          <w:rFonts w:ascii="宋体" w:hAnsi="宋体" w:cs="宋体" w:eastAsia="宋体" w:hint="default"/>
          <w:spacing w:val="-4"/>
        </w:rPr>
        <w:t>2</w:t>
      </w:r>
      <w:r>
        <w:rPr>
          <w:spacing w:val="-4"/>
        </w:rPr>
        <w:t>）在合并财务报表中，在丧失控制权之前每一次处置价款与处置投资对应的享有该子公司</w:t>
      </w:r>
      <w:r>
        <w:rPr>
          <w:w w:val="100"/>
        </w:rPr>
        <w:t> </w:t>
      </w:r>
      <w:r>
        <w:rPr/>
        <w:t>净资产份额的差额，确认为其他综合收益，在丧失控制权时一并转入丧失控制权当期的损益。</w:t>
      </w:r>
      <w:r>
        <w:rPr>
          <w:rFonts w:ascii="宋体" w:hAnsi="宋体" w:cs="宋体" w:eastAsia="宋体" w:hint="default"/>
        </w:rPr>
        <w:t> </w:t>
      </w:r>
    </w:p>
    <w:p>
      <w:pPr>
        <w:pStyle w:val="BodyText"/>
        <w:spacing w:line="297" w:lineRule="auto" w:before="20"/>
        <w:ind w:left="637" w:right="0" w:firstLine="2"/>
        <w:jc w:val="left"/>
      </w:pPr>
      <w:r>
        <w:rPr>
          <w:rFonts w:ascii="Times New Roman" w:hAnsi="Times New Roman" w:cs="Times New Roman" w:eastAsia="Times New Roman" w:hint="default"/>
        </w:rPr>
        <w:t>1</w:t>
      </w:r>
      <w:r>
        <w:rPr/>
        <w:t>．</w:t>
      </w:r>
      <w:r>
        <w:rPr>
          <w:spacing w:val="-62"/>
        </w:rPr>
        <w:t> </w:t>
      </w:r>
      <w:r>
        <w:rPr/>
        <w:t>共同控制、重大影响的判断标准</w:t>
      </w:r>
      <w:r>
        <w:rPr>
          <w:rFonts w:ascii="宋体" w:hAnsi="宋体" w:cs="宋体" w:eastAsia="宋体" w:hint="default"/>
          <w:w w:val="100"/>
        </w:rPr>
        <w:t> </w:t>
      </w:r>
      <w:r>
        <w:rPr>
          <w:spacing w:val="-2"/>
        </w:rPr>
        <w:t>如果本公司按照相关约定与其他参与方集体控制某项安排，并且对该安排回报具有重大影响</w:t>
      </w:r>
    </w:p>
    <w:p>
      <w:pPr>
        <w:pStyle w:val="BodyText"/>
        <w:spacing w:line="314" w:lineRule="auto" w:before="34"/>
        <w:ind w:left="216" w:right="229"/>
        <w:jc w:val="both"/>
        <w:rPr>
          <w:rFonts w:ascii="宋体" w:hAnsi="宋体" w:cs="宋体" w:eastAsia="宋体" w:hint="default"/>
        </w:rPr>
      </w:pPr>
      <w:r>
        <w:rPr>
          <w:spacing w:val="-1"/>
        </w:rPr>
        <w:t>的活动决策，需要经过分享控制权的参与方一致同意时才存在，则视为本公司与其他参与方共同</w:t>
      </w:r>
      <w:r>
        <w:rPr>
          <w:spacing w:val="-55"/>
        </w:rPr>
        <w:t> </w:t>
      </w:r>
      <w:r>
        <w:rPr>
          <w:spacing w:val="-55"/>
        </w:rPr>
      </w:r>
      <w:r>
        <w:rPr/>
        <w:t>控制某项安排，该安排即属于合营安排。</w:t>
      </w:r>
      <w:r>
        <w:rPr>
          <w:rFonts w:ascii="宋体" w:hAnsi="宋体" w:cs="宋体" w:eastAsia="宋体" w:hint="default"/>
        </w:rPr>
        <w:t> </w:t>
      </w:r>
    </w:p>
    <w:p>
      <w:pPr>
        <w:pStyle w:val="BodyText"/>
        <w:spacing w:line="314" w:lineRule="auto" w:before="20"/>
        <w:ind w:left="216" w:right="0" w:firstLine="420"/>
        <w:jc w:val="left"/>
        <w:rPr>
          <w:rFonts w:ascii="宋体" w:hAnsi="宋体" w:cs="宋体" w:eastAsia="宋体" w:hint="default"/>
        </w:rPr>
      </w:pPr>
      <w:r>
        <w:rPr>
          <w:spacing w:val="-4"/>
          <w:w w:val="100"/>
        </w:rPr>
        <w:t>合营安排通过单独主体达成的，根据相关约定判断本公司对该单独主体的净资产享有权利时，</w:t>
      </w:r>
      <w:r>
        <w:rPr>
          <w:w w:val="100"/>
        </w:rPr>
        <w:t> </w:t>
      </w:r>
      <w:r>
        <w:rPr/>
        <w:t>将该单独主体作为合营企业，采用权益法核算。若根据相关约定判断本公司并非对该单独主体的</w:t>
      </w:r>
      <w:r>
        <w:rPr>
          <w:spacing w:val="-97"/>
        </w:rPr>
        <w:t> </w:t>
      </w:r>
      <w:r>
        <w:rPr>
          <w:spacing w:val="-97"/>
        </w:rPr>
      </w:r>
      <w:r>
        <w:rPr/>
        <w:t>净资产享有权利时，该单独主体作为共同经营，本公司确认与共同经营利益份额相关的项目，并</w:t>
      </w:r>
      <w:r>
        <w:rPr>
          <w:spacing w:val="-97"/>
        </w:rPr>
        <w:t> </w:t>
      </w:r>
      <w:r>
        <w:rPr>
          <w:spacing w:val="-97"/>
        </w:rPr>
      </w:r>
      <w:r>
        <w:rPr/>
        <w:t>按照相关企业会计准则的规定进行会计处理。</w:t>
      </w:r>
      <w:r>
        <w:rPr>
          <w:rFonts w:ascii="宋体" w:hAnsi="宋体" w:cs="宋体" w:eastAsia="宋体" w:hint="default"/>
        </w:rPr>
        <w:t> </w:t>
      </w:r>
    </w:p>
    <w:p>
      <w:pPr>
        <w:pStyle w:val="BodyText"/>
        <w:spacing w:line="314" w:lineRule="auto" w:before="20"/>
        <w:ind w:left="216" w:right="125" w:firstLine="420"/>
        <w:jc w:val="both"/>
      </w:pPr>
      <w:r>
        <w:rPr/>
        <w:t>重大影响，是指投资方对被投资单位的财务和经营政策有参与决策的权力，但并不能够控制</w:t>
      </w:r>
      <w:r>
        <w:rPr>
          <w:w w:val="100"/>
        </w:rPr>
        <w:t> </w:t>
      </w:r>
      <w:r>
        <w:rPr/>
        <w:t>或者与其他方一起共同控制这些政策的制定。本公司通过以下一种或多种情形，并综合考虑所有</w:t>
      </w:r>
      <w:r>
        <w:rPr>
          <w:spacing w:val="-97"/>
        </w:rPr>
        <w:t> </w:t>
      </w:r>
      <w:r>
        <w:rPr>
          <w:spacing w:val="-97"/>
        </w:rPr>
      </w:r>
      <w:r>
        <w:rPr>
          <w:spacing w:val="-4"/>
          <w:w w:val="100"/>
        </w:rPr>
        <w:t>事实和情况后，判断对被投资单位具有重大影响：（</w:t>
      </w:r>
      <w:r>
        <w:rPr>
          <w:rFonts w:ascii="宋体" w:hAnsi="宋体" w:cs="宋体" w:eastAsia="宋体" w:hint="default"/>
          <w:spacing w:val="-4"/>
          <w:w w:val="100"/>
        </w:rPr>
        <w:t>1</w:t>
      </w:r>
      <w:r>
        <w:rPr>
          <w:spacing w:val="-4"/>
          <w:w w:val="100"/>
        </w:rPr>
        <w:t>）在被投资单位的董事会或类似权力机构中</w:t>
      </w:r>
      <w:r>
        <w:rPr>
          <w:spacing w:val="-81"/>
          <w:w w:val="100"/>
        </w:rPr>
        <w:t> </w:t>
      </w:r>
      <w:r>
        <w:rPr>
          <w:spacing w:val="-81"/>
          <w:w w:val="100"/>
        </w:rPr>
      </w:r>
      <w:r>
        <w:rPr>
          <w:spacing w:val="-9"/>
          <w:w w:val="100"/>
        </w:rPr>
        <w:t>派有代表；（</w:t>
      </w:r>
      <w:r>
        <w:rPr>
          <w:rFonts w:ascii="宋体" w:hAnsi="宋体" w:cs="宋体" w:eastAsia="宋体" w:hint="default"/>
          <w:spacing w:val="-9"/>
          <w:w w:val="100"/>
        </w:rPr>
        <w:t>2</w:t>
      </w:r>
      <w:r>
        <w:rPr>
          <w:spacing w:val="-9"/>
          <w:w w:val="100"/>
        </w:rPr>
        <w:t>）参与被投资单位财务和经营政策制定过程；（</w:t>
      </w:r>
      <w:r>
        <w:rPr>
          <w:rFonts w:ascii="宋体" w:hAnsi="宋体" w:cs="宋体" w:eastAsia="宋体" w:hint="default"/>
          <w:spacing w:val="-9"/>
          <w:w w:val="100"/>
        </w:rPr>
        <w:t>3</w:t>
      </w:r>
      <w:r>
        <w:rPr>
          <w:spacing w:val="-9"/>
          <w:w w:val="100"/>
        </w:rPr>
        <w:t>）与被投资单位之间发生重要交易；</w:t>
      </w:r>
    </w:p>
    <w:p>
      <w:pPr>
        <w:pStyle w:val="BodyText"/>
        <w:spacing w:line="240" w:lineRule="auto" w:before="20"/>
        <w:ind w:left="216" w:right="0"/>
        <w:jc w:val="both"/>
        <w:rPr>
          <w:rFonts w:ascii="宋体" w:hAnsi="宋体" w:cs="宋体" w:eastAsia="宋体" w:hint="default"/>
        </w:rPr>
      </w:pPr>
      <w:r>
        <w:rPr>
          <w:w w:val="100"/>
        </w:rPr>
        <w:t>（</w:t>
      </w:r>
      <w:r>
        <w:rPr>
          <w:rFonts w:ascii="宋体" w:hAnsi="宋体" w:cs="宋体" w:eastAsia="宋体" w:hint="default"/>
          <w:w w:val="100"/>
        </w:rPr>
        <w:t>4</w:t>
      </w:r>
      <w:r>
        <w:rPr>
          <w:spacing w:val="-3"/>
          <w:w w:val="100"/>
        </w:rPr>
        <w:t>）</w:t>
      </w:r>
      <w:r>
        <w:rPr>
          <w:w w:val="100"/>
        </w:rPr>
        <w:t>向</w:t>
      </w:r>
      <w:r>
        <w:rPr>
          <w:spacing w:val="-3"/>
          <w:w w:val="100"/>
        </w:rPr>
        <w:t>被</w:t>
      </w:r>
      <w:r>
        <w:rPr>
          <w:w w:val="100"/>
        </w:rPr>
        <w:t>投</w:t>
      </w:r>
      <w:r>
        <w:rPr>
          <w:spacing w:val="-3"/>
          <w:w w:val="100"/>
        </w:rPr>
        <w:t>资</w:t>
      </w:r>
      <w:r>
        <w:rPr>
          <w:w w:val="100"/>
        </w:rPr>
        <w:t>单</w:t>
      </w:r>
      <w:r>
        <w:rPr>
          <w:spacing w:val="-3"/>
          <w:w w:val="100"/>
        </w:rPr>
        <w:t>位</w:t>
      </w:r>
      <w:r>
        <w:rPr>
          <w:w w:val="100"/>
        </w:rPr>
        <w:t>派</w:t>
      </w:r>
      <w:r>
        <w:rPr>
          <w:spacing w:val="-3"/>
          <w:w w:val="100"/>
        </w:rPr>
        <w:t>出管</w:t>
      </w:r>
      <w:r>
        <w:rPr>
          <w:w w:val="100"/>
        </w:rPr>
        <w:t>理人</w:t>
      </w:r>
      <w:r>
        <w:rPr>
          <w:spacing w:val="-3"/>
          <w:w w:val="100"/>
        </w:rPr>
        <w:t>员</w:t>
      </w:r>
      <w:r>
        <w:rPr>
          <w:spacing w:val="-106"/>
          <w:w w:val="100"/>
        </w:rPr>
        <w:t>；</w:t>
      </w:r>
      <w:r>
        <w:rPr>
          <w:w w:val="100"/>
        </w:rPr>
        <w:t>（</w:t>
      </w:r>
      <w:r>
        <w:rPr>
          <w:rFonts w:ascii="宋体" w:hAnsi="宋体" w:cs="宋体" w:eastAsia="宋体" w:hint="default"/>
          <w:spacing w:val="-3"/>
          <w:w w:val="100"/>
        </w:rPr>
        <w:t>5</w:t>
      </w:r>
      <w:r>
        <w:rPr>
          <w:w w:val="100"/>
        </w:rPr>
        <w:t>）</w:t>
      </w:r>
      <w:r>
        <w:rPr>
          <w:spacing w:val="-3"/>
          <w:w w:val="100"/>
        </w:rPr>
        <w:t>向</w:t>
      </w:r>
      <w:r>
        <w:rPr>
          <w:w w:val="100"/>
        </w:rPr>
        <w:t>被</w:t>
      </w:r>
      <w:r>
        <w:rPr>
          <w:spacing w:val="-3"/>
          <w:w w:val="100"/>
        </w:rPr>
        <w:t>投</w:t>
      </w:r>
      <w:r>
        <w:rPr>
          <w:w w:val="100"/>
        </w:rPr>
        <w:t>资</w:t>
      </w:r>
      <w:r>
        <w:rPr>
          <w:spacing w:val="-3"/>
          <w:w w:val="100"/>
        </w:rPr>
        <w:t>单</w:t>
      </w:r>
      <w:r>
        <w:rPr>
          <w:w w:val="100"/>
        </w:rPr>
        <w:t>位提</w:t>
      </w:r>
      <w:r>
        <w:rPr>
          <w:spacing w:val="-3"/>
          <w:w w:val="100"/>
        </w:rPr>
        <w:t>供</w:t>
      </w:r>
      <w:r>
        <w:rPr>
          <w:w w:val="100"/>
        </w:rPr>
        <w:t>关</w:t>
      </w:r>
      <w:r>
        <w:rPr>
          <w:spacing w:val="-3"/>
          <w:w w:val="100"/>
        </w:rPr>
        <w:t>键</w:t>
      </w:r>
      <w:r>
        <w:rPr>
          <w:w w:val="100"/>
        </w:rPr>
        <w:t>技</w:t>
      </w:r>
      <w:r>
        <w:rPr>
          <w:spacing w:val="-3"/>
          <w:w w:val="100"/>
        </w:rPr>
        <w:t>术</w:t>
      </w:r>
      <w:r>
        <w:rPr>
          <w:w w:val="100"/>
        </w:rPr>
        <w:t>资</w:t>
      </w:r>
      <w:r>
        <w:rPr>
          <w:spacing w:val="-3"/>
          <w:w w:val="100"/>
        </w:rPr>
        <w:t>料。</w:t>
      </w:r>
      <w:r>
        <w:rPr>
          <w:rFonts w:ascii="宋体" w:hAnsi="宋体" w:cs="宋体" w:eastAsia="宋体" w:hint="default"/>
          <w:w w:val="100"/>
        </w:rPr>
        <w:t> </w:t>
      </w:r>
    </w:p>
    <w:p>
      <w:pPr>
        <w:pStyle w:val="Heading3"/>
        <w:spacing w:line="240" w:lineRule="auto" w:before="2"/>
        <w:ind w:left="216" w:right="0"/>
        <w:jc w:val="both"/>
      </w:pPr>
      <w:r>
        <w:rPr/>
        <w:t> </w:t>
      </w:r>
    </w:p>
    <w:p>
      <w:pPr>
        <w:spacing w:line="336" w:lineRule="auto" w:before="64"/>
        <w:ind w:left="699" w:right="0" w:hanging="48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 </w:t>
      </w:r>
      <w:r>
        <w:rPr>
          <w:rFonts w:ascii="宋体" w:hAnsi="宋体" w:cs="宋体" w:eastAsia="宋体" w:hint="default"/>
          <w:b/>
          <w:bCs/>
          <w:sz w:val="21"/>
          <w:szCs w:val="21"/>
        </w:rPr>
        <w:t>投资性房地产</w:t>
      </w:r>
      <w:r>
        <w:rPr>
          <w:rFonts w:ascii="宋体" w:hAnsi="宋体" w:cs="宋体" w:eastAsia="宋体" w:hint="default"/>
          <w:b/>
          <w:bCs/>
          <w:spacing w:val="-100"/>
          <w:sz w:val="21"/>
          <w:szCs w:val="21"/>
        </w:rPr>
        <w:t> </w:t>
      </w:r>
      <w:r>
        <w:rPr>
          <w:rFonts w:ascii="宋体" w:hAnsi="宋体" w:cs="宋体" w:eastAsia="宋体" w:hint="default"/>
          <w:spacing w:val="-3"/>
          <w:sz w:val="21"/>
          <w:szCs w:val="21"/>
        </w:rPr>
        <w:t>投资性房地产是指为赚取租金或资本增值，或两者兼有而持有的房地产，包括已出租的土地</w:t>
      </w:r>
    </w:p>
    <w:p>
      <w:pPr>
        <w:pStyle w:val="BodyText"/>
        <w:spacing w:line="314" w:lineRule="auto" w:before="1"/>
        <w:ind w:left="216" w:right="229"/>
        <w:jc w:val="both"/>
      </w:pPr>
      <w:r>
        <w:rPr>
          <w:spacing w:val="-1"/>
        </w:rPr>
        <w:t>使用权、持有并准备增值后转让的土地使用权、已出租的建筑物。此外，对于本公司持有以备经</w:t>
      </w:r>
      <w:r>
        <w:rPr>
          <w:spacing w:val="-55"/>
        </w:rPr>
        <w:t> </w:t>
      </w:r>
      <w:r>
        <w:rPr>
          <w:spacing w:val="-55"/>
        </w:rPr>
      </w:r>
      <w:r>
        <w:rPr>
          <w:spacing w:val="-1"/>
        </w:rPr>
        <w:t>营出租的空置建筑物，若董事会作出书面决议，明确表示将其用于经营出租且持有意图短期内不</w:t>
      </w:r>
      <w:r>
        <w:rPr>
          <w:spacing w:val="-55"/>
        </w:rPr>
        <w:t> </w:t>
      </w:r>
      <w:r>
        <w:rPr>
          <w:spacing w:val="-55"/>
        </w:rPr>
      </w:r>
      <w:r>
        <w:rPr/>
        <w:t>再发生变化的，也作为投资性房地产列报。</w:t>
      </w:r>
    </w:p>
    <w:p>
      <w:pPr>
        <w:pStyle w:val="BodyText"/>
        <w:spacing w:line="314" w:lineRule="auto" w:before="20"/>
        <w:ind w:left="216" w:right="229" w:firstLine="420"/>
        <w:jc w:val="both"/>
      </w:pPr>
      <w:r>
        <w:rPr>
          <w:spacing w:val="-2"/>
        </w:rPr>
        <w:t>本公司的投资性房地产按其成本作为入账价值，外购投资性房地产的成本包括购买价款、相</w:t>
      </w:r>
      <w:r>
        <w:rPr>
          <w:w w:val="100"/>
        </w:rPr>
        <w:t> </w:t>
      </w:r>
      <w:r>
        <w:rPr>
          <w:spacing w:val="-1"/>
        </w:rPr>
        <w:t>关税费和可直接归属于该资产的其他支出；自行建造投资性房地产的成本，由建造该项资产达到</w:t>
      </w:r>
      <w:r>
        <w:rPr>
          <w:spacing w:val="-55"/>
        </w:rPr>
        <w:t> </w:t>
      </w:r>
      <w:r>
        <w:rPr>
          <w:spacing w:val="-55"/>
        </w:rPr>
      </w:r>
      <w:r>
        <w:rPr/>
        <w:t>预定可使用状态前所发生的必要支出构成。</w:t>
      </w:r>
    </w:p>
    <w:p>
      <w:pPr>
        <w:pStyle w:val="BodyText"/>
        <w:spacing w:line="314" w:lineRule="auto" w:before="20"/>
        <w:ind w:left="216" w:right="229" w:firstLine="420"/>
        <w:jc w:val="both"/>
        <w:rPr>
          <w:rFonts w:ascii="宋体" w:hAnsi="宋体" w:cs="宋体" w:eastAsia="宋体" w:hint="default"/>
        </w:rPr>
      </w:pPr>
      <w:r>
        <w:rPr/>
        <w:pict>
          <v:shape style="position:absolute;margin-left:58.200001pt;margin-top:52.863701pt;width:453.25pt;height:56.1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2446"/>
                    <w:gridCol w:w="2324"/>
                    <w:gridCol w:w="2811"/>
                  </w:tblGrid>
                  <w:tr>
                    <w:trPr>
                      <w:trHeight w:val="37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71" w:right="0"/>
                          <w:jc w:val="left"/>
                          <w:rPr>
                            <w:rFonts w:ascii="宋体" w:hAnsi="宋体" w:cs="宋体" w:eastAsia="宋体" w:hint="default"/>
                            <w:sz w:val="21"/>
                            <w:szCs w:val="21"/>
                          </w:rPr>
                        </w:pPr>
                        <w:r>
                          <w:rPr>
                            <w:rFonts w:ascii="宋体" w:hAnsi="宋体" w:cs="宋体" w:eastAsia="宋体" w:hint="default"/>
                            <w:sz w:val="21"/>
                            <w:szCs w:val="21"/>
                          </w:rPr>
                          <w:t>预计使用寿命（年）</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56"/>
                          <w:jc w:val="right"/>
                          <w:rPr>
                            <w:rFonts w:ascii="宋体" w:hAnsi="宋体" w:cs="宋体" w:eastAsia="宋体" w:hint="default"/>
                            <w:sz w:val="21"/>
                            <w:szCs w:val="21"/>
                          </w:rPr>
                        </w:pPr>
                        <w:r>
                          <w:rPr>
                            <w:rFonts w:ascii="宋体" w:hAnsi="宋体" w:cs="宋体" w:eastAsia="宋体" w:hint="default"/>
                            <w:spacing w:val="-2"/>
                            <w:sz w:val="21"/>
                            <w:szCs w:val="21"/>
                          </w:rPr>
                          <w:t>预计净残值率（</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97" w:right="0"/>
                          <w:jc w:val="left"/>
                          <w:rPr>
                            <w:rFonts w:ascii="宋体" w:hAnsi="宋体" w:cs="宋体" w:eastAsia="宋体" w:hint="default"/>
                            <w:sz w:val="21"/>
                            <w:szCs w:val="21"/>
                          </w:rPr>
                        </w:pPr>
                        <w:r>
                          <w:rPr>
                            <w:rFonts w:ascii="宋体" w:hAnsi="宋体" w:cs="宋体" w:eastAsia="宋体" w:hint="default"/>
                            <w:sz w:val="21"/>
                            <w:szCs w:val="21"/>
                          </w:rPr>
                          <w:t>年折旧（摊销）率（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7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6" w:right="0"/>
                          <w:jc w:val="center"/>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40</w:t>
                        </w:r>
                      </w:p>
                    </w:tc>
                    <w:tc>
                      <w:tcPr>
                        <w:tcW w:w="2324" w:type="dxa"/>
                        <w:tcBorders>
                          <w:top w:val="single" w:sz="4" w:space="0" w:color="000000"/>
                          <w:left w:val="single" w:sz="4" w:space="0" w:color="000000"/>
                          <w:bottom w:val="single" w:sz="4" w:space="0" w:color="000000"/>
                          <w:right w:val="single" w:sz="4" w:space="0" w:color="000000"/>
                        </w:tcBorders>
                      </w:tcPr>
                      <w:p>
                        <w:pP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2.5</w:t>
                        </w:r>
                      </w:p>
                    </w:tc>
                  </w:tr>
                  <w:tr>
                    <w:trPr>
                      <w:trHeight w:val="37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6" w:right="0"/>
                          <w:jc w:val="center"/>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z w:val="21"/>
                          </w:rPr>
                          <w:t>40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w w:val="100"/>
                            <w:sz w:val="21"/>
                          </w:rPr>
                          <w:t>5</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2.375</w:t>
                        </w:r>
                      </w:p>
                    </w:tc>
                  </w:tr>
                </w:tbl>
                <w:p>
                  <w:pPr/>
                </w:p>
              </w:txbxContent>
            </v:textbox>
            <w10:wrap type="none"/>
          </v:shape>
        </w:pict>
      </w:r>
      <w:r>
        <w:rPr>
          <w:spacing w:val="-2"/>
        </w:rPr>
        <w:t>本公司对投资性房地产采用成本模式进行后续计量，按其预计使用寿命及净残值率对建筑物</w:t>
      </w:r>
      <w:r>
        <w:rPr>
          <w:w w:val="100"/>
        </w:rPr>
        <w:t> </w:t>
      </w:r>
      <w:r>
        <w:rPr>
          <w:spacing w:val="-1"/>
        </w:rPr>
        <w:t>和土地使用权计提折旧或摊销。投资性房地产的预计使用寿命、净残值率及年折旧（摊销）率列</w:t>
      </w:r>
      <w:r>
        <w:rPr>
          <w:spacing w:val="-55"/>
        </w:rPr>
        <w:t> </w:t>
      </w:r>
      <w:r>
        <w:rPr>
          <w:spacing w:val="-55"/>
        </w:rPr>
      </w:r>
      <w:r>
        <w:rPr/>
        <w:t>示如下：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314" w:lineRule="auto"/>
        <w:ind w:left="216" w:right="229" w:firstLine="420"/>
        <w:jc w:val="both"/>
      </w:pPr>
      <w:r>
        <w:rPr>
          <w:spacing w:val="-2"/>
        </w:rPr>
        <w:t>投资性房地产的用途改变为自用时，自改变之日起，本公司将该投资性房地产转换为固定资</w:t>
      </w:r>
      <w:r>
        <w:rPr>
          <w:w w:val="100"/>
        </w:rPr>
        <w:t> </w:t>
      </w:r>
      <w:r>
        <w:rPr>
          <w:spacing w:val="-1"/>
        </w:rPr>
        <w:t>产或无形资产。自用房地产的用途改变为赚取租金或资本增值时，自改变之日起，本公司将固定</w:t>
      </w:r>
      <w:r>
        <w:rPr>
          <w:spacing w:val="-55"/>
        </w:rPr>
        <w:t> </w:t>
      </w:r>
      <w:r>
        <w:rPr>
          <w:spacing w:val="-55"/>
        </w:rPr>
      </w:r>
      <w:r>
        <w:rPr>
          <w:spacing w:val="-6"/>
          <w:w w:val="100"/>
        </w:rPr>
        <w:t>资产或无形资产转换为投资性房地产。发生转换时，以转换前的账面价值作为转换后的入账价值。</w:t>
      </w:r>
    </w:p>
    <w:p>
      <w:pPr>
        <w:spacing w:after="0" w:line="314" w:lineRule="auto"/>
        <w:jc w:val="both"/>
        <w:sectPr>
          <w:pgSz w:w="11910" w:h="16840"/>
          <w:pgMar w:header="857" w:footer="979" w:top="1120" w:bottom="1160" w:left="1060" w:right="1560"/>
        </w:sectPr>
      </w:pPr>
    </w:p>
    <w:p>
      <w:pPr>
        <w:spacing w:line="240" w:lineRule="auto" w:before="4"/>
        <w:rPr>
          <w:rFonts w:ascii="宋体" w:hAnsi="宋体" w:cs="宋体" w:eastAsia="宋体" w:hint="default"/>
          <w:sz w:val="24"/>
          <w:szCs w:val="24"/>
        </w:rPr>
      </w:pPr>
    </w:p>
    <w:p>
      <w:pPr>
        <w:pStyle w:val="BodyText"/>
        <w:spacing w:line="314" w:lineRule="auto" w:before="36"/>
        <w:ind w:left="136" w:right="129" w:firstLine="420"/>
        <w:jc w:val="both"/>
        <w:rPr>
          <w:rFonts w:ascii="宋体" w:hAnsi="宋体" w:cs="宋体" w:eastAsia="宋体" w:hint="default"/>
          <w:sz w:val="24"/>
          <w:szCs w:val="24"/>
        </w:rPr>
      </w:pPr>
      <w:r>
        <w:rPr>
          <w:spacing w:val="-2"/>
        </w:rPr>
        <w:t>当投资性房地产被处置，或者永久退出使用且预计不能从其处置中取得经济利益时，终止确</w:t>
      </w:r>
      <w:r>
        <w:rPr>
          <w:w w:val="100"/>
        </w:rPr>
        <w:t> </w:t>
      </w:r>
      <w:r>
        <w:rPr>
          <w:spacing w:val="-1"/>
        </w:rPr>
        <w:t>认该项投资性房地产。投资性房地产出售、转让、报废或毁损的处置收入扣除其账面价值和相关</w:t>
      </w:r>
      <w:r>
        <w:rPr>
          <w:spacing w:val="-55"/>
        </w:rPr>
        <w:t> </w:t>
      </w:r>
      <w:r>
        <w:rPr>
          <w:spacing w:val="-55"/>
        </w:rPr>
      </w:r>
      <w:r>
        <w:rPr/>
        <w:t>税费后的金额计入当期损益。</w:t>
      </w:r>
      <w:r>
        <w:rPr>
          <w:rFonts w:ascii="宋体" w:hAnsi="宋体" w:cs="宋体" w:eastAsia="宋体" w:hint="default"/>
          <w:sz w:val="24"/>
          <w:szCs w:val="24"/>
        </w:rPr>
        <w:t> </w:t>
      </w:r>
    </w:p>
    <w:p>
      <w:pPr>
        <w:pStyle w:val="Heading3"/>
        <w:spacing w:line="251" w:lineRule="exact"/>
        <w:ind w:left="136" w:right="0"/>
        <w:jc w:val="left"/>
      </w:pPr>
      <w:r>
        <w:rPr/>
        <w:t> </w:t>
      </w:r>
    </w:p>
    <w:p>
      <w:pPr>
        <w:pStyle w:val="Heading4"/>
        <w:spacing w:line="273" w:lineRule="auto"/>
        <w:ind w:left="136" w:right="7154"/>
        <w:jc w:val="left"/>
        <w:rPr>
          <w:rFonts w:ascii="宋体" w:hAnsi="宋体" w:cs="宋体" w:eastAsia="宋体" w:hint="default"/>
          <w:b w:val="0"/>
          <w:bCs w:val="0"/>
        </w:rPr>
      </w:pP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9"/>
        <w:ind w:left="1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97" w:lineRule="auto" w:before="73"/>
        <w:ind w:left="557" w:right="0" w:hanging="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spacing w:val="-102"/>
          <w:sz w:val="21"/>
          <w:szCs w:val="21"/>
        </w:rPr>
        <w:t> </w:t>
      </w:r>
      <w:r>
        <w:rPr>
          <w:rFonts w:ascii="宋体" w:hAnsi="宋体" w:cs="宋体" w:eastAsia="宋体" w:hint="default"/>
          <w:spacing w:val="-2"/>
          <w:sz w:val="21"/>
          <w:szCs w:val="21"/>
        </w:rPr>
        <w:t>固定资产指为生产商品、提供劳务、出租或经营管理而持有，并且使用寿命超过一个会计年</w:t>
      </w:r>
    </w:p>
    <w:p>
      <w:pPr>
        <w:pStyle w:val="BodyText"/>
        <w:spacing w:line="240" w:lineRule="auto" w:before="34"/>
        <w:ind w:left="136" w:right="0"/>
        <w:jc w:val="left"/>
      </w:pPr>
      <w:r>
        <w:rPr/>
        <w:t>度的有形资产。固定资产在同时满足下列条件时予以确认：</w:t>
      </w:r>
    </w:p>
    <w:p>
      <w:pPr>
        <w:pStyle w:val="BodyText"/>
        <w:spacing w:line="240" w:lineRule="auto" w:before="85"/>
        <w:ind w:left="557" w:right="0"/>
        <w:jc w:val="left"/>
      </w:pPr>
      <w:r>
        <w:rPr/>
        <w:t>（</w:t>
      </w:r>
      <w:r>
        <w:rPr>
          <w:rFonts w:ascii="Times New Roman" w:hAnsi="Times New Roman" w:cs="Times New Roman" w:eastAsia="Times New Roman" w:hint="default"/>
        </w:rPr>
        <w:t>1</w:t>
      </w:r>
      <w:r>
        <w:rPr/>
        <w:t>）与该固定资产有关的经济利益很可能流入企业；</w:t>
      </w:r>
    </w:p>
    <w:p>
      <w:pPr>
        <w:spacing w:line="297" w:lineRule="auto" w:before="70"/>
        <w:ind w:left="557" w:right="3425"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）该固定资产的成本能够可靠地计量。</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．固定资产初始计量</w:t>
      </w:r>
      <w:r>
        <w:rPr>
          <w:rFonts w:ascii="宋体" w:hAnsi="宋体" w:cs="宋体" w:eastAsia="宋体" w:hint="default"/>
          <w:b/>
          <w:bCs/>
          <w:w w:val="100"/>
          <w:sz w:val="21"/>
          <w:szCs w:val="21"/>
        </w:rPr>
        <w:t> </w:t>
      </w:r>
      <w:r>
        <w:rPr>
          <w:rFonts w:ascii="宋体" w:hAnsi="宋体" w:cs="宋体" w:eastAsia="宋体" w:hint="default"/>
          <w:sz w:val="21"/>
          <w:szCs w:val="21"/>
        </w:rPr>
        <w:t>本公司固定资产按成本进行初始计量。</w:t>
      </w:r>
    </w:p>
    <w:p>
      <w:pPr>
        <w:pStyle w:val="BodyText"/>
        <w:spacing w:line="297" w:lineRule="auto" w:before="34"/>
        <w:ind w:left="136" w:right="129" w:firstLine="420"/>
        <w:jc w:val="both"/>
      </w:pPr>
      <w:r>
        <w:rPr>
          <w:spacing w:val="-4"/>
        </w:rPr>
        <w:t>（</w:t>
      </w:r>
      <w:r>
        <w:rPr>
          <w:rFonts w:ascii="Times New Roman" w:hAnsi="Times New Roman" w:cs="Times New Roman" w:eastAsia="Times New Roman" w:hint="default"/>
          <w:spacing w:val="-4"/>
        </w:rPr>
        <w:t>1</w:t>
      </w:r>
      <w:r>
        <w:rPr>
          <w:spacing w:val="-4"/>
        </w:rPr>
        <w:t>）外购的固定资产的成本包括买价、进口关税等相关税费，以及为使固定资产达到预定可</w:t>
      </w:r>
      <w:r>
        <w:rPr>
          <w:w w:val="100"/>
        </w:rPr>
        <w:t> </w:t>
      </w:r>
      <w:r>
        <w:rPr/>
        <w:t>使用状态前所发生的可直接归属于该资产的其他支出。</w:t>
      </w:r>
    </w:p>
    <w:p>
      <w:pPr>
        <w:pStyle w:val="BodyText"/>
        <w:spacing w:line="297" w:lineRule="auto" w:before="34"/>
        <w:ind w:left="136" w:right="129" w:firstLine="420"/>
        <w:jc w:val="both"/>
      </w:pPr>
      <w:r>
        <w:rPr>
          <w:spacing w:val="-4"/>
          <w:w w:val="100"/>
        </w:rPr>
        <w:t>（</w:t>
      </w:r>
      <w:r>
        <w:rPr>
          <w:rFonts w:ascii="Times New Roman" w:hAnsi="Times New Roman" w:cs="Times New Roman" w:eastAsia="Times New Roman" w:hint="default"/>
          <w:spacing w:val="-4"/>
          <w:w w:val="100"/>
        </w:rPr>
        <w:t>2</w:t>
      </w:r>
      <w:r>
        <w:rPr>
          <w:spacing w:val="-4"/>
          <w:w w:val="100"/>
        </w:rPr>
        <w:t>）自行建造固定资产的成本，由建造该项资产达到预定可使用状态前所发生的必要支出构</w:t>
      </w:r>
      <w:r>
        <w:rPr>
          <w:w w:val="100"/>
        </w:rPr>
        <w:t> </w:t>
      </w:r>
      <w:r>
        <w:rPr/>
        <w:t>成。</w:t>
      </w:r>
    </w:p>
    <w:p>
      <w:pPr>
        <w:pStyle w:val="BodyText"/>
        <w:spacing w:line="297" w:lineRule="auto" w:before="34"/>
        <w:ind w:left="136" w:right="129" w:firstLine="420"/>
        <w:jc w:val="both"/>
      </w:pPr>
      <w:r>
        <w:rPr>
          <w:spacing w:val="-4"/>
        </w:rPr>
        <w:t>（</w:t>
      </w:r>
      <w:r>
        <w:rPr>
          <w:rFonts w:ascii="Times New Roman" w:hAnsi="Times New Roman" w:cs="Times New Roman" w:eastAsia="Times New Roman" w:hint="default"/>
          <w:spacing w:val="-4"/>
        </w:rPr>
        <w:t>3</w:t>
      </w:r>
      <w:r>
        <w:rPr>
          <w:spacing w:val="-4"/>
        </w:rPr>
        <w:t>）投资者投入的固定资产，按投资合同或协议约定的价值作为入账价值，但合同或协议约</w:t>
      </w:r>
      <w:r>
        <w:rPr>
          <w:w w:val="100"/>
        </w:rPr>
        <w:t> </w:t>
      </w:r>
      <w:r>
        <w:rPr/>
        <w:t>定价值不公允的按公允价值入账。</w:t>
      </w:r>
    </w:p>
    <w:p>
      <w:pPr>
        <w:pStyle w:val="BodyText"/>
        <w:spacing w:line="304" w:lineRule="auto" w:before="35"/>
        <w:ind w:left="136" w:right="129" w:firstLine="420"/>
        <w:jc w:val="both"/>
      </w:pPr>
      <w:r>
        <w:rPr>
          <w:spacing w:val="-4"/>
        </w:rPr>
        <w:t>（</w:t>
      </w:r>
      <w:r>
        <w:rPr>
          <w:rFonts w:ascii="Times New Roman" w:hAnsi="Times New Roman" w:cs="Times New Roman" w:eastAsia="Times New Roman" w:hint="default"/>
          <w:spacing w:val="-4"/>
        </w:rPr>
        <w:t>4</w:t>
      </w:r>
      <w:r>
        <w:rPr>
          <w:spacing w:val="-4"/>
        </w:rPr>
        <w:t>）购买固定资产的价款超过正常信用条件延期支付，实质上具有融资性质的，固定资产的</w:t>
      </w:r>
      <w:r>
        <w:rPr>
          <w:w w:val="100"/>
        </w:rPr>
        <w:t> </w:t>
      </w:r>
      <w:r>
        <w:rPr>
          <w:spacing w:val="-1"/>
        </w:rPr>
        <w:t>成本以购买价款的现值为基础确定。实际支付的价款与购买价款的现值之间的差额，除应予资本</w:t>
      </w:r>
      <w:r>
        <w:rPr>
          <w:spacing w:val="-55"/>
        </w:rPr>
        <w:t> </w:t>
      </w:r>
      <w:r>
        <w:rPr>
          <w:spacing w:val="-55"/>
        </w:rPr>
      </w:r>
      <w:r>
        <w:rPr/>
        <w:t>化的以外，在信用期间内计入当期损益。</w:t>
      </w:r>
    </w:p>
    <w:p>
      <w:pPr>
        <w:pStyle w:val="Heading4"/>
        <w:spacing w:line="240" w:lineRule="auto" w:before="28"/>
        <w:ind w:left="559" w:right="0"/>
        <w:jc w:val="left"/>
        <w:rPr>
          <w:b w:val="0"/>
          <w:bCs w:val="0"/>
        </w:rPr>
      </w:pPr>
      <w:r>
        <w:rPr>
          <w:rFonts w:ascii="Times New Roman" w:hAnsi="Times New Roman" w:cs="Times New Roman" w:eastAsia="Times New Roman" w:hint="default"/>
        </w:rPr>
        <w:t>3</w:t>
      </w:r>
      <w:r>
        <w:rPr/>
        <w:t>．固定资产后续计量及处置</w:t>
      </w:r>
      <w:r>
        <w:rPr>
          <w:b w:val="0"/>
          <w:bCs w:val="0"/>
        </w:rPr>
      </w:r>
    </w:p>
    <w:p>
      <w:pPr>
        <w:pStyle w:val="BodyText"/>
        <w:spacing w:line="297" w:lineRule="auto" w:before="69"/>
        <w:ind w:left="557" w:right="0"/>
        <w:jc w:val="left"/>
      </w:pPr>
      <w:r>
        <w:rPr/>
        <w:t>（</w:t>
      </w:r>
      <w:r>
        <w:rPr>
          <w:rFonts w:ascii="Times New Roman" w:hAnsi="Times New Roman" w:cs="Times New Roman" w:eastAsia="Times New Roman" w:hint="default"/>
        </w:rPr>
        <w:t>1</w:t>
      </w:r>
      <w:r>
        <w:rPr/>
        <w:t>）固定资产折旧</w:t>
      </w:r>
      <w:r>
        <w:rPr>
          <w:w w:val="100"/>
        </w:rPr>
        <w:t> </w:t>
      </w:r>
      <w:r>
        <w:rPr>
          <w:spacing w:val="-2"/>
        </w:rPr>
        <w:t>固定资产折旧按其入账价值减去预计净残值后在预计使用寿命内计提。对计提了减值准备的</w:t>
      </w:r>
    </w:p>
    <w:p>
      <w:pPr>
        <w:pStyle w:val="BodyText"/>
        <w:spacing w:line="314" w:lineRule="auto" w:before="34"/>
        <w:ind w:left="136" w:right="0"/>
        <w:jc w:val="left"/>
      </w:pPr>
      <w:r>
        <w:rPr>
          <w:spacing w:val="-1"/>
        </w:rPr>
        <w:t>固定资产，则在未来期间按扣除减值准备后的账面价值及依据尚可使用年限确定折旧额；已提足</w:t>
      </w:r>
      <w:r>
        <w:rPr>
          <w:spacing w:val="-54"/>
        </w:rPr>
        <w:t> </w:t>
      </w:r>
      <w:r>
        <w:rPr>
          <w:spacing w:val="-54"/>
        </w:rPr>
      </w:r>
      <w:r>
        <w:rPr/>
        <w:t>折旧仍继续使用的固定资产不计提折旧。</w:t>
      </w:r>
    </w:p>
    <w:p>
      <w:pPr>
        <w:pStyle w:val="BodyText"/>
        <w:spacing w:line="314" w:lineRule="auto" w:before="20"/>
        <w:ind w:left="136" w:right="129" w:firstLine="420"/>
        <w:jc w:val="both"/>
      </w:pPr>
      <w:r>
        <w:rPr>
          <w:spacing w:val="-2"/>
        </w:rPr>
        <w:t>本公司根据固定资产的性质和使用情况，确定固定资产的使用寿命和预计净残值。并在年度</w:t>
      </w:r>
      <w:r>
        <w:rPr>
          <w:w w:val="100"/>
        </w:rPr>
        <w:t> </w:t>
      </w:r>
      <w:r>
        <w:rPr>
          <w:spacing w:val="-1"/>
        </w:rPr>
        <w:t>终了，对固定资产的使用寿命、预计净残值和折旧方法进行复核，如与原先估计数存在差异的，</w:t>
      </w:r>
      <w:r>
        <w:rPr>
          <w:spacing w:val="-55"/>
        </w:rPr>
        <w:t> </w:t>
      </w:r>
      <w:r>
        <w:rPr>
          <w:spacing w:val="-55"/>
        </w:rPr>
      </w:r>
      <w:r>
        <w:rPr/>
        <w:t>进行相应的调整。</w:t>
      </w:r>
    </w:p>
    <w:p>
      <w:pPr>
        <w:pStyle w:val="BodyText"/>
        <w:spacing w:line="297" w:lineRule="auto" w:before="20"/>
        <w:ind w:left="557" w:right="0"/>
        <w:jc w:val="left"/>
      </w:pPr>
      <w:r>
        <w:rPr/>
        <w:t>（</w:t>
      </w:r>
      <w:r>
        <w:rPr>
          <w:rFonts w:ascii="Times New Roman" w:hAnsi="Times New Roman" w:cs="Times New Roman" w:eastAsia="Times New Roman" w:hint="default"/>
        </w:rPr>
        <w:t>2</w:t>
      </w:r>
      <w:r>
        <w:rPr/>
        <w:t>）固定资产的后续支出</w:t>
      </w:r>
      <w:r>
        <w:rPr>
          <w:w w:val="100"/>
        </w:rPr>
        <w:t> </w:t>
      </w:r>
      <w:r>
        <w:rPr>
          <w:spacing w:val="-2"/>
        </w:rPr>
        <w:t>与固定资产有关的后续支出，符合固定资产确认条件的，计入固定资产成本；不符合固定资</w:t>
      </w:r>
    </w:p>
    <w:p>
      <w:pPr>
        <w:pStyle w:val="BodyText"/>
        <w:spacing w:line="240" w:lineRule="auto" w:before="34"/>
        <w:ind w:left="136" w:right="0"/>
        <w:jc w:val="left"/>
      </w:pPr>
      <w:r>
        <w:rPr/>
        <w:t>产确认条件的，在发生时计入当期损益。</w:t>
      </w:r>
    </w:p>
    <w:p>
      <w:pPr>
        <w:pStyle w:val="BodyText"/>
        <w:spacing w:line="297" w:lineRule="auto" w:before="85"/>
        <w:ind w:left="557" w:right="0"/>
        <w:jc w:val="left"/>
      </w:pPr>
      <w:r>
        <w:rPr/>
        <w:t>（</w:t>
      </w:r>
      <w:r>
        <w:rPr>
          <w:rFonts w:ascii="Times New Roman" w:hAnsi="Times New Roman" w:cs="Times New Roman" w:eastAsia="Times New Roman" w:hint="default"/>
        </w:rPr>
        <w:t>3</w:t>
      </w:r>
      <w:r>
        <w:rPr/>
        <w:t>）固定资产处置</w:t>
      </w:r>
      <w:r>
        <w:rPr>
          <w:w w:val="100"/>
        </w:rPr>
        <w:t> </w:t>
      </w:r>
      <w:r>
        <w:rPr>
          <w:spacing w:val="-2"/>
        </w:rPr>
        <w:t>当固定资产被处置、或者预期通过使用或处置不能产生经济利益时，终止确认该固定资产。</w:t>
      </w:r>
    </w:p>
    <w:p>
      <w:pPr>
        <w:pStyle w:val="BodyText"/>
        <w:spacing w:line="240" w:lineRule="auto" w:before="34"/>
        <w:ind w:left="136" w:right="0"/>
        <w:jc w:val="left"/>
      </w:pPr>
      <w:r>
        <w:rPr/>
        <w:t>固定资产出售、转让、报废或毁损的处置收入扣除其账面价值和相关税费后的金额计入当期损益</w:t>
      </w:r>
    </w:p>
    <w:p>
      <w:pPr>
        <w:pStyle w:val="Heading3"/>
        <w:spacing w:line="240" w:lineRule="auto" w:before="2"/>
        <w:ind w:left="136" w:right="0"/>
        <w:jc w:val="left"/>
      </w:pPr>
      <w:r>
        <w:rPr/>
        <w:t> </w:t>
      </w:r>
    </w:p>
    <w:p>
      <w:pPr>
        <w:spacing w:after="0" w:line="240" w:lineRule="auto"/>
        <w:jc w:val="left"/>
        <w:sectPr>
          <w:pgSz w:w="11910" w:h="16840"/>
          <w:pgMar w:header="857" w:footer="979" w:top="1120" w:bottom="1160" w:left="1140" w:right="1660"/>
        </w:sect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20" w:bottom="1160" w:left="1060" w:right="1560"/>
        </w:sect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2215" w:space="5885"/>
            <w:col w:w="1190"/>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80"/>
        <w:gridCol w:w="1371"/>
        <w:gridCol w:w="1834"/>
        <w:gridCol w:w="1834"/>
        <w:gridCol w:w="1832"/>
      </w:tblGrid>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9"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
              <w:jc w:val="right"/>
              <w:rPr>
                <w:rFonts w:ascii="宋体" w:hAnsi="宋体" w:cs="宋体" w:eastAsia="宋体" w:hint="default"/>
                <w:sz w:val="21"/>
                <w:szCs w:val="21"/>
              </w:rPr>
            </w:pPr>
            <w:r>
              <w:rPr>
                <w:rFonts w:ascii="宋体" w:hAnsi="宋体" w:cs="宋体" w:eastAsia="宋体" w:hint="default"/>
                <w:spacing w:val="-2"/>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2.375</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固定资产改良</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19.00</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19.00-19.40</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软件开发设备</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19.00-19.40</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19.00-19.40</w:t>
            </w:r>
          </w:p>
        </w:tc>
      </w:tr>
    </w:tbl>
    <w:p>
      <w:pPr>
        <w:pStyle w:val="Heading3"/>
        <w:spacing w:line="274" w:lineRule="exact"/>
        <w:ind w:left="216" w:right="0"/>
        <w:jc w:val="both"/>
      </w:pPr>
      <w:r>
        <w:rPr/>
        <w:t> </w:t>
      </w:r>
    </w:p>
    <w:p>
      <w:pPr>
        <w:pStyle w:val="Heading4"/>
        <w:spacing w:line="240" w:lineRule="auto"/>
        <w:ind w:left="216" w:right="0"/>
        <w:jc w:val="both"/>
        <w:rPr>
          <w:rFonts w:ascii="宋体" w:hAnsi="宋体" w:cs="宋体" w:eastAsia="宋体" w:hint="default"/>
          <w:b w:val="0"/>
          <w:bCs w:val="0"/>
        </w:rPr>
      </w:pPr>
      <w:r>
        <w:rPr>
          <w:rFonts w:ascii="宋体" w:hAnsi="宋体" w:cs="宋体" w:eastAsia="宋体" w:hint="default"/>
        </w:rPr>
        <w:t>(3).</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58"/>
        <w:ind w:left="697" w:right="0" w:hanging="481"/>
        <w:jc w:val="left"/>
        <w:rPr>
          <w:rFonts w:ascii="宋体" w:hAnsi="宋体" w:cs="宋体" w:eastAsia="宋体" w:hint="default"/>
        </w:rPr>
      </w:pPr>
      <w:r>
        <w:rPr/>
        <w:t>√适用 </w:t>
      </w:r>
      <w:r>
        <w:rPr>
          <w:rFonts w:ascii="宋体" w:hAnsi="宋体" w:cs="宋体" w:eastAsia="宋体" w:hint="default"/>
        </w:rPr>
      </w:r>
      <w:r>
        <w:rPr/>
        <w:t>□不适用</w:t>
      </w:r>
      <w:r>
        <w:rPr>
          <w:spacing w:val="-104"/>
        </w:rPr>
        <w:t> </w:t>
      </w:r>
      <w:r>
        <w:rPr>
          <w:rFonts w:ascii="宋体" w:hAnsi="宋体" w:cs="宋体" w:eastAsia="宋体" w:hint="default"/>
          <w:spacing w:val="-104"/>
        </w:rPr>
      </w:r>
      <w:r>
        <w:rPr>
          <w:rFonts w:ascii="宋体" w:hAnsi="宋体" w:cs="宋体" w:eastAsia="宋体" w:hint="default"/>
          <w:spacing w:val="-104"/>
          <w:sz w:val="24"/>
          <w:szCs w:val="24"/>
        </w:rPr>
      </w:r>
      <w:r>
        <w:rPr/>
        <w:t>当本公司租入的固定资产符合下列一项或数项标准时，确认为融资租入固定资产：</w:t>
      </w:r>
      <w:r>
        <w:rPr>
          <w:rFonts w:ascii="宋体" w:hAnsi="宋体" w:cs="宋体" w:eastAsia="宋体" w:hint="default"/>
        </w:rPr>
        <w:t> </w:t>
      </w:r>
    </w:p>
    <w:p>
      <w:pPr>
        <w:pStyle w:val="BodyText"/>
        <w:spacing w:line="240" w:lineRule="auto" w:before="28"/>
        <w:ind w:left="416" w:right="0"/>
        <w:jc w:val="left"/>
      </w:pPr>
      <w:r>
        <w:rPr/>
        <w:t>（</w:t>
      </w:r>
      <w:r>
        <w:rPr>
          <w:rFonts w:ascii="Times New Roman" w:hAnsi="Times New Roman" w:cs="Times New Roman" w:eastAsia="Times New Roman" w:hint="default"/>
        </w:rPr>
        <w:t>1</w:t>
      </w:r>
      <w:r>
        <w:rPr/>
        <w:t>）在租赁期届满时，租赁资产的所有权转移给本公司；</w:t>
      </w:r>
    </w:p>
    <w:p>
      <w:pPr>
        <w:pStyle w:val="BodyText"/>
        <w:spacing w:line="297" w:lineRule="auto" w:before="69"/>
        <w:ind w:left="216" w:right="0" w:firstLine="199"/>
        <w:jc w:val="left"/>
      </w:pPr>
      <w:r>
        <w:rPr>
          <w:spacing w:val="-4"/>
        </w:rPr>
        <w:t>（</w:t>
      </w:r>
      <w:r>
        <w:rPr>
          <w:rFonts w:ascii="Times New Roman" w:hAnsi="Times New Roman" w:cs="Times New Roman" w:eastAsia="Times New Roman" w:hint="default"/>
          <w:spacing w:val="-4"/>
        </w:rPr>
        <w:t>2</w:t>
      </w:r>
      <w:r>
        <w:rPr>
          <w:spacing w:val="-4"/>
        </w:rPr>
        <w:t>）本公司有购买租赁资产的选择权，所订立的购买价款预计将远低于行使选择权时租赁资产</w:t>
      </w:r>
      <w:r>
        <w:rPr>
          <w:w w:val="100"/>
        </w:rPr>
        <w:t> </w:t>
      </w:r>
      <w:r>
        <w:rPr/>
        <w:t>的公允价值，因而在租赁开始日就可以合理确定本公司将会行使这种选择权；</w:t>
      </w:r>
    </w:p>
    <w:p>
      <w:pPr>
        <w:pStyle w:val="BodyText"/>
        <w:spacing w:line="240" w:lineRule="auto" w:before="34"/>
        <w:ind w:left="416" w:right="0"/>
        <w:jc w:val="left"/>
      </w:pPr>
      <w:r>
        <w:rPr/>
        <w:t>（</w:t>
      </w:r>
      <w:r>
        <w:rPr>
          <w:rFonts w:ascii="Times New Roman" w:hAnsi="Times New Roman" w:cs="Times New Roman" w:eastAsia="Times New Roman" w:hint="default"/>
        </w:rPr>
        <w:t>3</w:t>
      </w:r>
      <w:r>
        <w:rPr/>
        <w:t>）即使资产的所有权不转移，但租赁期占租赁资产使用寿命的大部分；</w:t>
      </w:r>
    </w:p>
    <w:p>
      <w:pPr>
        <w:pStyle w:val="BodyText"/>
        <w:spacing w:line="240" w:lineRule="auto" w:before="69"/>
        <w:ind w:left="416" w:right="0"/>
        <w:jc w:val="left"/>
      </w:pPr>
      <w:r>
        <w:rPr/>
        <w:t>（</w:t>
      </w:r>
      <w:r>
        <w:rPr>
          <w:rFonts w:ascii="Times New Roman" w:hAnsi="Times New Roman" w:cs="Times New Roman" w:eastAsia="Times New Roman" w:hint="default"/>
        </w:rPr>
        <w:t>4</w:t>
      </w:r>
      <w:r>
        <w:rPr/>
        <w:t>）本公司在租赁开始日的最低租赁付款额现值，几乎相当于租赁开始日租赁资产公允价值；</w:t>
      </w:r>
    </w:p>
    <w:p>
      <w:pPr>
        <w:pStyle w:val="BodyText"/>
        <w:spacing w:line="297" w:lineRule="auto" w:before="69"/>
        <w:ind w:left="416" w:right="0"/>
        <w:jc w:val="left"/>
      </w:pPr>
      <w:r>
        <w:rPr/>
        <w:t>（</w:t>
      </w:r>
      <w:r>
        <w:rPr>
          <w:rFonts w:ascii="Times New Roman" w:hAnsi="Times New Roman" w:cs="Times New Roman" w:eastAsia="Times New Roman" w:hint="default"/>
        </w:rPr>
        <w:t>5</w:t>
      </w:r>
      <w:r>
        <w:rPr/>
        <w:t>）租赁资产性质特殊，如果不作较大改造，只有本公司才能使用。</w:t>
      </w:r>
      <w:r>
        <w:rPr>
          <w:rFonts w:ascii="宋体" w:hAnsi="宋体" w:cs="宋体" w:eastAsia="宋体" w:hint="default"/>
          <w:w w:val="100"/>
        </w:rPr>
        <w:t> </w:t>
      </w:r>
      <w:r>
        <w:rPr>
          <w:spacing w:val="-1"/>
        </w:rPr>
        <w:t>融资租赁租入的固定资产，按租赁开始日租赁资产公允价值与最低租赁付款额的现值两者中较</w:t>
      </w:r>
    </w:p>
    <w:p>
      <w:pPr>
        <w:pStyle w:val="BodyText"/>
        <w:spacing w:line="314" w:lineRule="auto" w:before="34"/>
        <w:ind w:left="216" w:right="229"/>
        <w:jc w:val="both"/>
        <w:rPr>
          <w:rFonts w:ascii="宋体" w:hAnsi="宋体" w:cs="宋体" w:eastAsia="宋体" w:hint="default"/>
        </w:rPr>
      </w:pPr>
      <w:r>
        <w:rPr>
          <w:spacing w:val="-6"/>
        </w:rPr>
        <w:t>低者，作为入账价值。最低租赁付款额作为长期应付款的入账价值，其差额作为未确认融资费用。</w:t>
      </w:r>
      <w:r>
        <w:rPr>
          <w:spacing w:val="-54"/>
        </w:rPr>
        <w:t> </w:t>
      </w:r>
      <w:r>
        <w:rPr>
          <w:spacing w:val="-54"/>
        </w:rPr>
      </w:r>
      <w:r>
        <w:rPr>
          <w:spacing w:val="-1"/>
        </w:rPr>
        <w:t>在租赁谈判和签订租赁合同过程中发生的，可归属于租赁项目的手续费、律师费、差旅费、印花</w:t>
      </w:r>
      <w:r>
        <w:rPr>
          <w:spacing w:val="-55"/>
        </w:rPr>
        <w:t> </w:t>
      </w:r>
      <w:r>
        <w:rPr>
          <w:spacing w:val="-55"/>
        </w:rPr>
      </w:r>
      <w:r>
        <w:rPr>
          <w:spacing w:val="-1"/>
        </w:rPr>
        <w:t>税等初始直接费用，计入租入资产价值。未确认融资费用在租赁期内各个期间采用实际利率法进</w:t>
      </w:r>
      <w:r>
        <w:rPr>
          <w:spacing w:val="-55"/>
        </w:rPr>
        <w:t> </w:t>
      </w:r>
      <w:r>
        <w:rPr>
          <w:spacing w:val="-55"/>
        </w:rPr>
      </w:r>
      <w:r>
        <w:rPr/>
        <w:t>行分摊。</w:t>
      </w:r>
      <w:r>
        <w:rPr>
          <w:rFonts w:ascii="宋体" w:hAnsi="宋体" w:cs="宋体" w:eastAsia="宋体" w:hint="default"/>
        </w:rPr>
        <w:t> </w:t>
      </w:r>
    </w:p>
    <w:p>
      <w:pPr>
        <w:pStyle w:val="BodyText"/>
        <w:spacing w:line="314" w:lineRule="auto" w:before="20"/>
        <w:ind w:left="216" w:right="238" w:firstLine="420"/>
        <w:jc w:val="both"/>
      </w:pPr>
      <w:r>
        <w:rPr>
          <w:spacing w:val="-2"/>
        </w:rPr>
        <w:t>本公司采用与自有固定资产相一致的折旧政策计提融资租入固定资产折旧。能够合理确定租</w:t>
      </w:r>
      <w:r>
        <w:rPr>
          <w:w w:val="100"/>
        </w:rPr>
        <w:t> </w:t>
      </w:r>
      <w:r>
        <w:rPr>
          <w:spacing w:val="-2"/>
        </w:rPr>
        <w:t>赁期届满时取得租赁资产所有权的，在租赁资产使用寿命内计提折旧。无法合理确定租赁期届满</w:t>
      </w:r>
      <w:r>
        <w:rPr>
          <w:spacing w:val="-25"/>
        </w:rPr>
        <w:t> </w:t>
      </w:r>
      <w:r>
        <w:rPr>
          <w:spacing w:val="-25"/>
        </w:rPr>
      </w:r>
      <w:r>
        <w:rPr/>
        <w:t>时能够取得租赁资产所有权的，在租赁期与租赁资产使用寿命两者中较短的期间内计提折旧。</w:t>
      </w:r>
    </w:p>
    <w:p>
      <w:pPr>
        <w:pStyle w:val="Heading3"/>
        <w:spacing w:line="299" w:lineRule="exact"/>
        <w:ind w:left="416" w:right="0"/>
        <w:jc w:val="left"/>
      </w:pPr>
      <w:r>
        <w:rPr/>
        <w:t> </w:t>
      </w:r>
    </w:p>
    <w:p>
      <w:pPr>
        <w:pStyle w:val="Heading3"/>
        <w:spacing w:line="312" w:lineRule="exact"/>
        <w:ind w:left="216" w:right="0"/>
        <w:jc w:val="left"/>
      </w:pPr>
      <w:r>
        <w:rPr/>
        <w:t> </w:t>
      </w:r>
    </w:p>
    <w:p>
      <w:pPr>
        <w:pStyle w:val="Heading4"/>
        <w:spacing w:line="240" w:lineRule="auto"/>
        <w:ind w:left="216" w:right="0"/>
        <w:jc w:val="left"/>
        <w:rPr>
          <w:b w:val="0"/>
          <w:bCs w:val="0"/>
        </w:rPr>
      </w:pPr>
      <w:r>
        <w:rPr>
          <w:rFonts w:ascii="Times New Roman" w:hAnsi="Times New Roman" w:cs="Times New Roman" w:eastAsia="Times New Roman" w:hint="default"/>
        </w:rPr>
        <w:t>23.  </w:t>
      </w:r>
      <w:r>
        <w:rPr>
          <w:rFonts w:ascii="Times New Roman" w:hAnsi="Times New Roman" w:cs="Times New Roman" w:eastAsia="Times New Roman" w:hint="default"/>
          <w:spacing w:val="6"/>
        </w:rPr>
        <w:t> </w:t>
      </w:r>
      <w:r>
        <w:rPr/>
        <w:t>在建工程</w:t>
      </w:r>
      <w:r>
        <w:rPr>
          <w:b w:val="0"/>
          <w:bCs w:val="0"/>
        </w:rPr>
      </w:r>
    </w:p>
    <w:p>
      <w:pPr>
        <w:pStyle w:val="BodyText"/>
        <w:spacing w:line="240" w:lineRule="auto" w:before="40"/>
        <w:ind w:left="216" w:right="0"/>
        <w:jc w:val="left"/>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97" w:lineRule="auto" w:before="75"/>
        <w:ind w:left="63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在建工程初始计量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本公司自行建造的在建工程按实际成本计价，实际成本由建造该项资产达到预定可使用状态</w:t>
      </w:r>
    </w:p>
    <w:p>
      <w:pPr>
        <w:pStyle w:val="BodyText"/>
        <w:spacing w:line="314" w:lineRule="auto" w:before="34"/>
        <w:ind w:left="216" w:right="0"/>
        <w:jc w:val="left"/>
      </w:pPr>
      <w:r>
        <w:rPr>
          <w:spacing w:val="-1"/>
        </w:rPr>
        <w:t>前所发生的必要支出构成，包括工程用物资成本、人工成本、交纳的相关税费、应予资本化的借</w:t>
      </w:r>
      <w:r>
        <w:rPr>
          <w:spacing w:val="-55"/>
        </w:rPr>
        <w:t> </w:t>
      </w:r>
      <w:r>
        <w:rPr>
          <w:spacing w:val="-55"/>
        </w:rPr>
      </w:r>
      <w:r>
        <w:rPr/>
        <w:t>款费用以及应分摊的间接费用等。</w:t>
      </w:r>
    </w:p>
    <w:p>
      <w:pPr>
        <w:spacing w:line="297" w:lineRule="auto" w:before="20"/>
        <w:ind w:left="63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在建工程项目按建造该项资产达到预定可使用状态前所发生的全部支出，作为固定资产的入</w:t>
      </w:r>
    </w:p>
    <w:p>
      <w:pPr>
        <w:pStyle w:val="BodyText"/>
        <w:spacing w:line="314" w:lineRule="auto" w:before="34"/>
        <w:ind w:left="216" w:right="0"/>
        <w:jc w:val="left"/>
      </w:pPr>
      <w:r>
        <w:rPr>
          <w:spacing w:val="-1"/>
        </w:rPr>
        <w:t>账价值。所建造的在建工程已达到预定可使用状态，但尚未办理竣工决算的，自达到预定可使用</w:t>
      </w:r>
      <w:r>
        <w:rPr>
          <w:spacing w:val="-55"/>
        </w:rPr>
        <w:t> </w:t>
      </w:r>
      <w:r>
        <w:rPr>
          <w:spacing w:val="-55"/>
        </w:rPr>
      </w:r>
      <w:r>
        <w:rPr>
          <w:spacing w:val="-1"/>
        </w:rPr>
        <w:t>状态之日起，根据工程预算、造价或者工程实际成本等，按估计的价值转入固定资产，并按本公</w:t>
      </w:r>
    </w:p>
    <w:p>
      <w:pPr>
        <w:spacing w:after="0" w:line="314" w:lineRule="auto"/>
        <w:jc w:val="left"/>
        <w:sectPr>
          <w:type w:val="continuous"/>
          <w:pgSz w:w="11910" w:h="16840"/>
          <w:pgMar w:top="1500" w:bottom="280" w:left="1060" w:right="1560"/>
        </w:sectPr>
      </w:pPr>
    </w:p>
    <w:p>
      <w:pPr>
        <w:spacing w:line="240" w:lineRule="auto" w:before="4"/>
        <w:rPr>
          <w:rFonts w:ascii="宋体" w:hAnsi="宋体" w:cs="宋体" w:eastAsia="宋体" w:hint="default"/>
          <w:sz w:val="24"/>
          <w:szCs w:val="24"/>
        </w:rPr>
      </w:pPr>
    </w:p>
    <w:p>
      <w:pPr>
        <w:pStyle w:val="BodyText"/>
        <w:spacing w:line="314" w:lineRule="auto" w:before="36"/>
        <w:ind w:left="136" w:right="0"/>
        <w:jc w:val="left"/>
      </w:pPr>
      <w:r>
        <w:rPr>
          <w:spacing w:val="-1"/>
        </w:rPr>
        <w:t>司固定资产折旧政策计提固定资产的折旧，待办理竣工决算后，再按实际成本调整原来的暂估价</w:t>
      </w:r>
      <w:r>
        <w:rPr>
          <w:spacing w:val="-55"/>
        </w:rPr>
        <w:t> </w:t>
      </w:r>
      <w:r>
        <w:rPr>
          <w:spacing w:val="-55"/>
        </w:rPr>
      </w:r>
      <w:r>
        <w:rPr/>
        <w:t>值，但不调整原已计提的折旧额。</w:t>
      </w:r>
    </w:p>
    <w:p>
      <w:pPr>
        <w:pStyle w:val="Heading3"/>
        <w:spacing w:line="251" w:lineRule="exact"/>
        <w:ind w:left="617" w:right="0"/>
        <w:jc w:val="left"/>
      </w:pPr>
      <w:r>
        <w:rPr/>
        <w:t> </w:t>
      </w:r>
    </w:p>
    <w:p>
      <w:pPr>
        <w:pStyle w:val="Heading3"/>
        <w:spacing w:line="312" w:lineRule="exact"/>
        <w:ind w:left="136" w:right="0"/>
        <w:jc w:val="left"/>
      </w:pPr>
      <w:r>
        <w:rPr/>
        <w:t> </w:t>
      </w:r>
    </w:p>
    <w:p>
      <w:pPr>
        <w:pStyle w:val="Heading4"/>
        <w:spacing w:line="240" w:lineRule="auto" w:before="61"/>
        <w:ind w:left="136" w:right="2819"/>
        <w:jc w:val="left"/>
        <w:rPr>
          <w:b w:val="0"/>
          <w:bCs w:val="0"/>
        </w:rPr>
      </w:pPr>
      <w:r>
        <w:rPr>
          <w:rFonts w:ascii="Times New Roman" w:hAnsi="Times New Roman" w:cs="Times New Roman" w:eastAsia="Times New Roman" w:hint="default"/>
        </w:rPr>
        <w:t>24.  </w:t>
      </w:r>
      <w:r>
        <w:rPr>
          <w:rFonts w:ascii="Times New Roman" w:hAnsi="Times New Roman" w:cs="Times New Roman" w:eastAsia="Times New Roman" w:hint="default"/>
          <w:spacing w:val="6"/>
        </w:rPr>
        <w:t> </w:t>
      </w:r>
      <w:r>
        <w:rPr/>
        <w:t>借款费用</w:t>
      </w:r>
      <w:r>
        <w:rPr>
          <w:b w:val="0"/>
          <w:bCs w:val="0"/>
        </w:rPr>
      </w:r>
    </w:p>
    <w:p>
      <w:pPr>
        <w:pStyle w:val="BodyText"/>
        <w:spacing w:line="240" w:lineRule="auto" w:before="43"/>
        <w:ind w:left="136" w:right="2819"/>
        <w:jc w:val="left"/>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97" w:lineRule="auto" w:before="73"/>
        <w:ind w:left="55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本公司发生的借款费用，可直接归属于符合资本化条件的资产的购建或者生产的，予以资本</w:t>
      </w:r>
    </w:p>
    <w:p>
      <w:pPr>
        <w:pStyle w:val="BodyText"/>
        <w:spacing w:line="314" w:lineRule="auto" w:before="34"/>
        <w:ind w:left="557" w:right="0" w:hanging="421"/>
        <w:jc w:val="left"/>
      </w:pPr>
      <w:r>
        <w:rPr/>
        <w:t>化，计入相关资产成本；其他借款费用，在发生时根据其发生额确认为费用，计入当期损益。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w:t>
      </w:r>
    </w:p>
    <w:p>
      <w:pPr>
        <w:pStyle w:val="BodyText"/>
        <w:spacing w:line="314" w:lineRule="auto" w:before="20"/>
        <w:ind w:left="557" w:right="2819" w:hanging="421"/>
        <w:jc w:val="left"/>
      </w:pPr>
      <w:r>
        <w:rPr>
          <w:spacing w:val="-2"/>
        </w:rPr>
        <w:t>或者可销售状态的固定资产、投资性房地产和存货等资产。</w:t>
      </w:r>
      <w:r>
        <w:rPr>
          <w:spacing w:val="-54"/>
        </w:rPr>
        <w:t> </w:t>
      </w:r>
      <w:r>
        <w:rPr>
          <w:spacing w:val="-54"/>
        </w:rPr>
      </w:r>
      <w:r>
        <w:rPr/>
        <w:t>借款费用同时满足下列条件开始资本化：</w:t>
      </w:r>
    </w:p>
    <w:p>
      <w:pPr>
        <w:pStyle w:val="BodyText"/>
        <w:spacing w:line="297" w:lineRule="auto" w:before="20"/>
        <w:ind w:left="136" w:right="0" w:firstLine="420"/>
        <w:jc w:val="left"/>
      </w:pPr>
      <w:r>
        <w:rPr>
          <w:spacing w:val="-7"/>
          <w:w w:val="100"/>
        </w:rPr>
        <w:t>（</w:t>
      </w:r>
      <w:r>
        <w:rPr>
          <w:rFonts w:ascii="Times New Roman" w:hAnsi="Times New Roman" w:cs="Times New Roman" w:eastAsia="Times New Roman" w:hint="default"/>
          <w:spacing w:val="-7"/>
          <w:w w:val="100"/>
        </w:rPr>
        <w:t>1</w:t>
      </w:r>
      <w:r>
        <w:rPr>
          <w:spacing w:val="-7"/>
          <w:w w:val="100"/>
        </w:rPr>
        <w:t>）资产支出已经发生，资产支出包括为购建或者生产符合资本化条件的资产而以支付现金、</w:t>
      </w:r>
      <w:r>
        <w:rPr>
          <w:w w:val="100"/>
        </w:rPr>
        <w:t> </w:t>
      </w:r>
      <w:r>
        <w:rPr/>
        <w:t>转移非现金资产或者承担带息债务形式发生的支出；</w:t>
      </w:r>
    </w:p>
    <w:p>
      <w:pPr>
        <w:pStyle w:val="BodyText"/>
        <w:spacing w:line="240" w:lineRule="auto" w:before="34"/>
        <w:ind w:left="557" w:right="2819"/>
        <w:jc w:val="left"/>
      </w:pPr>
      <w:r>
        <w:rPr/>
        <w:t>（</w:t>
      </w:r>
      <w:r>
        <w:rPr>
          <w:rFonts w:ascii="Times New Roman" w:hAnsi="Times New Roman" w:cs="Times New Roman" w:eastAsia="Times New Roman" w:hint="default"/>
        </w:rPr>
        <w:t>2</w:t>
      </w:r>
      <w:r>
        <w:rPr/>
        <w:t>）借款费用已发生；</w:t>
      </w:r>
    </w:p>
    <w:p>
      <w:pPr>
        <w:pStyle w:val="BodyText"/>
        <w:spacing w:line="297" w:lineRule="auto" w:before="69"/>
        <w:ind w:left="557"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r>
        <w:rPr>
          <w:w w:val="100"/>
        </w:rPr>
        <w:t> </w:t>
      </w:r>
      <w:r>
        <w:rPr>
          <w:rFonts w:ascii="Times New Roman" w:hAnsi="Times New Roman" w:cs="Times New Roman" w:eastAsia="Times New Roman" w:hint="default"/>
          <w:b/>
          <w:bCs/>
        </w:rPr>
        <w:t>2</w:t>
      </w:r>
      <w:r>
        <w:rPr>
          <w:rFonts w:ascii="宋体" w:hAnsi="宋体" w:cs="宋体" w:eastAsia="宋体" w:hint="default"/>
          <w:b/>
          <w:bCs/>
        </w:rPr>
        <w:t>．借款费用资本化的期间</w:t>
      </w:r>
      <w:r>
        <w:rPr>
          <w:rFonts w:ascii="宋体" w:hAnsi="宋体" w:cs="宋体" w:eastAsia="宋体" w:hint="default"/>
          <w:b/>
          <w:bCs/>
          <w:w w:val="100"/>
        </w:rPr>
        <w:t> </w:t>
      </w:r>
      <w:r>
        <w:rPr>
          <w:spacing w:val="-2"/>
        </w:rPr>
        <w:t>资本化期间，指从借款费用开始资本化时点到停止资本化时点的期间，借款费用暂停资本化</w:t>
      </w:r>
    </w:p>
    <w:p>
      <w:pPr>
        <w:pStyle w:val="BodyText"/>
        <w:spacing w:line="314" w:lineRule="auto" w:before="34"/>
        <w:ind w:left="557" w:right="0" w:hanging="421"/>
        <w:jc w:val="left"/>
      </w:pPr>
      <w:r>
        <w:rPr/>
        <w:t>的期间不包括在内。</w:t>
      </w:r>
      <w:r>
        <w:rPr>
          <w:w w:val="100"/>
        </w:rPr>
        <w:t> </w:t>
      </w:r>
      <w:r>
        <w:rPr>
          <w:spacing w:val="-2"/>
        </w:rPr>
        <w:t>当购建或者生产符合资本化条件的资产达到预定可使用或者可销售状态时，借款费用停止资</w:t>
      </w:r>
    </w:p>
    <w:p>
      <w:pPr>
        <w:pStyle w:val="BodyText"/>
        <w:spacing w:line="240" w:lineRule="auto" w:before="20"/>
        <w:ind w:left="136" w:right="2819"/>
        <w:jc w:val="left"/>
      </w:pPr>
      <w:r>
        <w:rPr/>
        <w:t>本化。</w:t>
      </w:r>
    </w:p>
    <w:p>
      <w:pPr>
        <w:pStyle w:val="BodyText"/>
        <w:spacing w:line="314" w:lineRule="auto" w:before="85"/>
        <w:ind w:left="136" w:right="211" w:firstLine="420"/>
        <w:jc w:val="both"/>
      </w:pPr>
      <w:r>
        <w:rPr>
          <w:spacing w:val="-2"/>
        </w:rPr>
        <w:t>当购建或者生产符合资本化条件的资产中部分项目分别完工且可单独使用时，该部分资产借</w:t>
      </w:r>
      <w:r>
        <w:rPr>
          <w:w w:val="100"/>
        </w:rPr>
        <w:t> </w:t>
      </w:r>
      <w:r>
        <w:rPr/>
        <w:t>款费用停止资本化。</w:t>
      </w:r>
    </w:p>
    <w:p>
      <w:pPr>
        <w:pStyle w:val="BodyText"/>
        <w:spacing w:line="314" w:lineRule="auto" w:before="20"/>
        <w:ind w:left="136" w:right="211" w:firstLine="420"/>
        <w:jc w:val="both"/>
      </w:pPr>
      <w:r>
        <w:rPr>
          <w:spacing w:val="-2"/>
        </w:rPr>
        <w:t>购建或者生产的资产的各部分分别完工，但必须等到整体完工后才可使用或可对外销售的，</w:t>
      </w:r>
      <w:r>
        <w:rPr>
          <w:w w:val="100"/>
        </w:rPr>
        <w:t> </w:t>
      </w:r>
      <w:r>
        <w:rPr/>
        <w:t>在该资产整体完工时停止借款费用资本化。</w:t>
      </w:r>
    </w:p>
    <w:p>
      <w:pPr>
        <w:pStyle w:val="BodyText"/>
        <w:spacing w:line="297" w:lineRule="auto" w:before="20"/>
        <w:ind w:left="761" w:right="202"/>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100"/>
        </w:rPr>
        <w:t> </w:t>
      </w:r>
      <w:r>
        <w:rPr/>
        <w:t>符合资本化条件的资产在购建或生产过程中发生的非正常中断、且中断时间连续超过</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个</w:t>
      </w:r>
    </w:p>
    <w:p>
      <w:pPr>
        <w:pStyle w:val="BodyText"/>
        <w:spacing w:line="309" w:lineRule="auto" w:before="13"/>
        <w:ind w:left="557" w:right="0" w:firstLine="4"/>
        <w:jc w:val="left"/>
      </w:pPr>
      <w:r>
        <w:rPr>
          <w:spacing w:val="-2"/>
        </w:rPr>
        <w:t>月的，则借款费用暂停资本化；该项中断如是所购建或生产的符合资本化条件的资产达到预</w:t>
      </w:r>
      <w:r>
        <w:rPr>
          <w:spacing w:val="-26"/>
        </w:rPr>
        <w:t> </w:t>
      </w:r>
      <w:r>
        <w:rPr>
          <w:spacing w:val="-26"/>
        </w:rPr>
      </w:r>
      <w:r>
        <w:rPr>
          <w:spacing w:val="-2"/>
        </w:rPr>
        <w:t>定可使用状态或者可销售状态必要的程序，则借款费用继续资本化。在中断期间发生的借款</w:t>
      </w:r>
      <w:r>
        <w:rPr>
          <w:spacing w:val="-22"/>
        </w:rPr>
        <w:t> </w:t>
      </w:r>
      <w:r>
        <w:rPr>
          <w:spacing w:val="-22"/>
        </w:rPr>
      </w:r>
      <w:r>
        <w:rPr/>
        <w:t>费用确认为当期损益，直至资产的购建或者生产活动重新开始后借款费用继续资本化。</w:t>
      </w:r>
      <w:r>
        <w:rPr>
          <w:w w:val="100"/>
        </w:rPr>
        <w:t> </w:t>
      </w:r>
      <w:r>
        <w:rPr>
          <w:rFonts w:ascii="Times New Roman" w:hAnsi="Times New Roman" w:cs="Times New Roman" w:eastAsia="Times New Roman" w:hint="default"/>
          <w:b/>
          <w:bCs/>
        </w:rPr>
        <w:t>4</w:t>
      </w:r>
      <w:r>
        <w:rPr>
          <w:rFonts w:ascii="宋体" w:hAnsi="宋体" w:cs="宋体" w:eastAsia="宋体" w:hint="default"/>
          <w:b/>
          <w:bCs/>
        </w:rPr>
        <w:t>．借款费用资本化金额的计算方法</w:t>
      </w:r>
      <w:r>
        <w:rPr>
          <w:rFonts w:ascii="宋体" w:hAnsi="宋体" w:cs="宋体" w:eastAsia="宋体" w:hint="default"/>
          <w:b/>
          <w:bCs/>
          <w:w w:val="100"/>
        </w:rPr>
        <w:t> </w:t>
      </w:r>
      <w:r>
        <w:rPr>
          <w:spacing w:val="-2"/>
        </w:rPr>
        <w:t>专门借款的利息费用（扣除尚未动用的借款资金存入银行取得的利息收入或者进行暂时性投</w:t>
      </w:r>
    </w:p>
    <w:p>
      <w:pPr>
        <w:pStyle w:val="BodyText"/>
        <w:spacing w:line="314" w:lineRule="auto" w:before="24"/>
        <w:ind w:left="136" w:right="0"/>
        <w:jc w:val="left"/>
      </w:pPr>
      <w:r>
        <w:rPr>
          <w:spacing w:val="-1"/>
        </w:rPr>
        <w:t>资取得的投资收益）及其辅助费用在所购建或者生产的符合资本化条件的资产达到预定可使用或</w:t>
      </w:r>
      <w:r>
        <w:rPr>
          <w:spacing w:val="-55"/>
        </w:rPr>
        <w:t> </w:t>
      </w:r>
      <w:r>
        <w:rPr>
          <w:spacing w:val="-55"/>
        </w:rPr>
      </w:r>
      <w:r>
        <w:rPr/>
        <w:t>者可销售状态前，予以资本化。</w:t>
      </w:r>
    </w:p>
    <w:p>
      <w:pPr>
        <w:pStyle w:val="BodyText"/>
        <w:spacing w:line="314" w:lineRule="auto" w:before="20"/>
        <w:ind w:left="136" w:right="208" w:firstLine="420"/>
        <w:jc w:val="both"/>
      </w:pPr>
      <w:r>
        <w:rPr>
          <w:spacing w:val="-2"/>
        </w:rPr>
        <w:t>对于为购建符合资本化条件的资产而占用的一般借款，按照累计资产支出超过专门借款部分</w:t>
      </w:r>
      <w:r>
        <w:rPr>
          <w:w w:val="100"/>
        </w:rPr>
        <w:t> </w:t>
      </w:r>
      <w:r>
        <w:rPr/>
        <w:t>的资</w:t>
      </w:r>
      <w:r>
        <w:rPr>
          <w:spacing w:val="93"/>
        </w:rPr>
        <w:t> </w:t>
      </w:r>
      <w:r>
        <w:rPr/>
        <w:t>本支出加权平均数乘以所占用一般借款的加权平均实际利率计算确定一般借款借款费用的</w:t>
      </w:r>
      <w:r>
        <w:rPr>
          <w:spacing w:val="-89"/>
        </w:rPr>
        <w:t> </w:t>
      </w:r>
      <w:r>
        <w:rPr>
          <w:spacing w:val="-89"/>
        </w:rPr>
      </w:r>
      <w:r>
        <w:rPr>
          <w:w w:val="100"/>
        </w:rPr>
        <w:t>资本化</w:t>
      </w:r>
      <w:r>
        <w:rPr>
          <w:spacing w:val="3"/>
          <w:w w:val="100"/>
        </w:rPr>
        <w:t> </w:t>
      </w:r>
      <w:r>
        <w:rPr>
          <w:spacing w:val="-4"/>
          <w:w w:val="100"/>
        </w:rPr>
        <w:t>金额。实际利率为将借款在预期存续期间或适用的更短期间内的未来现金流量折现为该借</w:t>
      </w:r>
      <w:r>
        <w:rPr>
          <w:w w:val="100"/>
        </w:rPr>
        <w:t> </w:t>
      </w:r>
      <w:r>
        <w:rPr/>
        <w:t>款初始</w:t>
      </w:r>
      <w:r>
        <w:rPr>
          <w:spacing w:val="-1"/>
        </w:rPr>
        <w:t> </w:t>
      </w:r>
      <w:r>
        <w:rPr/>
        <w:t>确认金额所使用的利率。</w:t>
      </w:r>
    </w:p>
    <w:p>
      <w:pPr>
        <w:spacing w:after="0" w:line="314" w:lineRule="auto"/>
        <w:jc w:val="both"/>
        <w:sectPr>
          <w:pgSz w:w="11910" w:h="16840"/>
          <w:pgMar w:header="857" w:footer="979" w:top="1120" w:bottom="1160" w:left="1140" w:right="1580"/>
        </w:sectPr>
      </w:pPr>
    </w:p>
    <w:p>
      <w:pPr>
        <w:spacing w:line="240" w:lineRule="auto" w:before="4"/>
        <w:rPr>
          <w:rFonts w:ascii="宋体" w:hAnsi="宋体" w:cs="宋体" w:eastAsia="宋体" w:hint="default"/>
          <w:sz w:val="24"/>
          <w:szCs w:val="24"/>
        </w:rPr>
      </w:pPr>
    </w:p>
    <w:p>
      <w:pPr>
        <w:pStyle w:val="BodyText"/>
        <w:spacing w:line="314" w:lineRule="auto" w:before="36"/>
        <w:ind w:left="136" w:right="311" w:firstLine="420"/>
        <w:jc w:val="both"/>
        <w:rPr>
          <w:rFonts w:ascii="宋体" w:hAnsi="宋体" w:cs="宋体" w:eastAsia="宋体" w:hint="default"/>
        </w:rPr>
      </w:pPr>
      <w:r>
        <w:rPr>
          <w:spacing w:val="-2"/>
        </w:rPr>
        <w:t>借款存在折价或者溢价的，按照实际利率法确定每一会计期间应摊销的折价或者溢价金额，</w:t>
      </w:r>
      <w:r>
        <w:rPr>
          <w:w w:val="100"/>
        </w:rPr>
        <w:t> </w:t>
      </w:r>
      <w:r>
        <w:rPr/>
        <w:t>调整每期利息金额。</w:t>
      </w:r>
      <w:r>
        <w:rPr>
          <w:rFonts w:ascii="宋体" w:hAnsi="宋体" w:cs="宋体" w:eastAsia="宋体" w:hint="default"/>
        </w:rPr>
        <w:t> </w:t>
      </w:r>
    </w:p>
    <w:p>
      <w:pPr>
        <w:pStyle w:val="Heading3"/>
        <w:spacing w:line="251" w:lineRule="exact"/>
        <w:ind w:left="136" w:right="0"/>
        <w:jc w:val="left"/>
      </w:pPr>
      <w:r>
        <w:rPr/>
        <w:t> </w:t>
      </w:r>
    </w:p>
    <w:p>
      <w:pPr>
        <w:pStyle w:val="Heading4"/>
        <w:spacing w:line="240" w:lineRule="auto"/>
        <w:ind w:left="136" w:right="0"/>
        <w:jc w:val="left"/>
        <w:rPr>
          <w:b w:val="0"/>
          <w:bCs w:val="0"/>
        </w:rPr>
      </w:pPr>
      <w:r>
        <w:rPr>
          <w:rFonts w:ascii="Times New Roman" w:hAnsi="Times New Roman" w:cs="Times New Roman" w:eastAsia="Times New Roman" w:hint="default"/>
        </w:rPr>
        <w:t>25.  </w:t>
      </w:r>
      <w:r>
        <w:rPr>
          <w:rFonts w:ascii="Times New Roman" w:hAnsi="Times New Roman" w:cs="Times New Roman" w:eastAsia="Times New Roman" w:hint="default"/>
          <w:spacing w:val="6"/>
        </w:rPr>
        <w:t> </w:t>
      </w:r>
      <w:r>
        <w:rPr/>
        <w:t>生物资产</w:t>
      </w:r>
      <w:r>
        <w:rPr>
          <w:b w:val="0"/>
          <w:bCs w:val="0"/>
        </w:rPr>
      </w:r>
    </w:p>
    <w:p>
      <w:pPr>
        <w:pStyle w:val="BodyText"/>
        <w:spacing w:line="271" w:lineRule="exact" w:before="40"/>
        <w:ind w:left="136" w:right="0"/>
        <w:jc w:val="left"/>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136" w:right="0"/>
        <w:jc w:val="left"/>
      </w:pPr>
      <w:r>
        <w:rPr/>
        <w:t> </w:t>
      </w:r>
    </w:p>
    <w:p>
      <w:pPr>
        <w:pStyle w:val="Heading4"/>
        <w:spacing w:line="240" w:lineRule="auto" w:before="61"/>
        <w:ind w:left="136" w:right="0"/>
        <w:jc w:val="left"/>
        <w:rPr>
          <w:b w:val="0"/>
          <w:bCs w:val="0"/>
        </w:rPr>
      </w:pPr>
      <w:r>
        <w:rPr>
          <w:rFonts w:ascii="Times New Roman" w:hAnsi="Times New Roman" w:cs="Times New Roman" w:eastAsia="Times New Roman" w:hint="default"/>
        </w:rPr>
        <w:t>26.  </w:t>
      </w:r>
      <w:r>
        <w:rPr>
          <w:rFonts w:ascii="Times New Roman" w:hAnsi="Times New Roman" w:cs="Times New Roman" w:eastAsia="Times New Roman" w:hint="default"/>
          <w:spacing w:val="6"/>
        </w:rPr>
        <w:t> </w:t>
      </w:r>
      <w:r>
        <w:rPr/>
        <w:t>油气资产</w:t>
      </w:r>
      <w:r>
        <w:rPr>
          <w:b w:val="0"/>
          <w:bCs w:val="0"/>
        </w:rPr>
      </w:r>
    </w:p>
    <w:p>
      <w:pPr>
        <w:pStyle w:val="BodyText"/>
        <w:spacing w:line="270" w:lineRule="exact" w:before="43"/>
        <w:ind w:left="136" w:right="0"/>
        <w:jc w:val="left"/>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136" w:right="0"/>
        <w:jc w:val="left"/>
      </w:pPr>
      <w:r>
        <w:rPr/>
        <w:t> </w:t>
      </w:r>
    </w:p>
    <w:p>
      <w:pPr>
        <w:pStyle w:val="Heading4"/>
        <w:spacing w:line="240" w:lineRule="auto"/>
        <w:ind w:left="136" w:right="0"/>
        <w:jc w:val="left"/>
        <w:rPr>
          <w:b w:val="0"/>
          <w:bCs w:val="0"/>
        </w:rPr>
      </w:pPr>
      <w:r>
        <w:rPr>
          <w:rFonts w:ascii="Times New Roman" w:hAnsi="Times New Roman" w:cs="Times New Roman" w:eastAsia="Times New Roman" w:hint="default"/>
        </w:rPr>
        <w:t>27.  </w:t>
      </w:r>
      <w:r>
        <w:rPr>
          <w:rFonts w:ascii="Times New Roman" w:hAnsi="Times New Roman" w:cs="Times New Roman" w:eastAsia="Times New Roman" w:hint="default"/>
          <w:spacing w:val="6"/>
        </w:rPr>
        <w:t> </w:t>
      </w:r>
      <w:r>
        <w:rPr/>
        <w:t>使用权资产</w:t>
      </w:r>
      <w:r>
        <w:rPr>
          <w:b w:val="0"/>
          <w:bCs w:val="0"/>
        </w:rPr>
      </w:r>
    </w:p>
    <w:p>
      <w:pPr>
        <w:pStyle w:val="BodyText"/>
        <w:spacing w:line="271" w:lineRule="exact" w:before="40"/>
        <w:ind w:left="1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1" w:lineRule="exact"/>
        <w:ind w:left="136" w:right="0"/>
        <w:jc w:val="left"/>
      </w:pPr>
      <w:r>
        <w:rPr/>
        <w:t> </w:t>
      </w:r>
    </w:p>
    <w:p>
      <w:pPr>
        <w:pStyle w:val="Heading4"/>
        <w:spacing w:line="273" w:lineRule="auto"/>
        <w:ind w:left="136" w:right="5570"/>
        <w:jc w:val="left"/>
        <w:rPr>
          <w:rFonts w:ascii="宋体" w:hAnsi="宋体" w:cs="宋体" w:eastAsia="宋体" w:hint="default"/>
          <w:b w:val="0"/>
          <w:bCs w:val="0"/>
        </w:rPr>
      </w:pPr>
      <w:r>
        <w:rPr>
          <w:rFonts w:ascii="Times New Roman" w:hAnsi="Times New Roman" w:cs="Times New Roman" w:eastAsia="Times New Roman" w:hint="default"/>
        </w:rPr>
        <w:t>28. </w:t>
      </w:r>
      <w:r>
        <w:rPr/>
        <w:t>无形资产</w:t>
      </w:r>
      <w:r>
        <w:rPr>
          <w:spacing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29"/>
        <w:ind w:left="617" w:right="0" w:hanging="48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无形资产是指本公司拥有或者控制的没有实物形态的可辨认非货币性资产，包括土地使用权、</w:t>
      </w:r>
    </w:p>
    <w:p>
      <w:pPr>
        <w:pStyle w:val="BodyText"/>
        <w:spacing w:line="240" w:lineRule="auto" w:before="28"/>
        <w:ind w:left="136" w:right="0"/>
        <w:jc w:val="left"/>
        <w:rPr>
          <w:rFonts w:ascii="宋体" w:hAnsi="宋体" w:cs="宋体" w:eastAsia="宋体" w:hint="default"/>
        </w:rPr>
      </w:pPr>
      <w:r>
        <w:rPr/>
        <w:t>著作权、软件等。</w:t>
      </w:r>
      <w:r>
        <w:rPr>
          <w:rFonts w:ascii="宋体" w:hAnsi="宋体" w:cs="宋体" w:eastAsia="宋体" w:hint="default"/>
        </w:rPr>
        <w:t> </w:t>
      </w:r>
    </w:p>
    <w:p>
      <w:pPr>
        <w:spacing w:line="297" w:lineRule="auto" w:before="85"/>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．无形资产的初始计量</w:t>
      </w:r>
      <w:r>
        <w:rPr>
          <w:rFonts w:ascii="宋体" w:hAnsi="宋体" w:cs="宋体" w:eastAsia="宋体" w:hint="default"/>
          <w:b/>
          <w:bCs/>
          <w:w w:val="100"/>
          <w:sz w:val="21"/>
          <w:szCs w:val="21"/>
        </w:rPr>
        <w:t> </w:t>
      </w:r>
      <w:r>
        <w:rPr>
          <w:rFonts w:ascii="宋体" w:hAnsi="宋体" w:cs="宋体" w:eastAsia="宋体" w:hint="default"/>
          <w:spacing w:val="-2"/>
          <w:sz w:val="21"/>
          <w:szCs w:val="21"/>
        </w:rPr>
        <w:t>外购无形资产的成本，包括购买价款、相关税费以及直接归属于使该项资产达到预定用途所</w:t>
      </w:r>
    </w:p>
    <w:p>
      <w:pPr>
        <w:pStyle w:val="BodyText"/>
        <w:spacing w:line="314" w:lineRule="auto" w:before="34"/>
        <w:ind w:left="136" w:right="0"/>
        <w:jc w:val="left"/>
        <w:rPr>
          <w:rFonts w:ascii="宋体" w:hAnsi="宋体" w:cs="宋体" w:eastAsia="宋体" w:hint="default"/>
        </w:rPr>
      </w:pPr>
      <w:r>
        <w:rPr>
          <w:spacing w:val="-1"/>
        </w:rPr>
        <w:t>发生的其他支出。购买无形资产的价款超过正常信用条件延期支付，实质上具有融资性质的，无</w:t>
      </w:r>
      <w:r>
        <w:rPr>
          <w:spacing w:val="-55"/>
        </w:rPr>
        <w:t> </w:t>
      </w:r>
      <w:r>
        <w:rPr>
          <w:spacing w:val="-55"/>
        </w:rPr>
      </w:r>
      <w:r>
        <w:rPr/>
        <w:t>形资产的成本以购买价款的现值为基础确定。</w:t>
      </w:r>
      <w:r>
        <w:rPr>
          <w:rFonts w:ascii="宋体" w:hAnsi="宋体" w:cs="宋体" w:eastAsia="宋体" w:hint="default"/>
        </w:rPr>
        <w:t> </w:t>
      </w:r>
    </w:p>
    <w:p>
      <w:pPr>
        <w:pStyle w:val="BodyText"/>
        <w:spacing w:line="314" w:lineRule="auto" w:before="20"/>
        <w:ind w:left="136" w:right="309" w:firstLine="420"/>
        <w:jc w:val="both"/>
        <w:rPr>
          <w:rFonts w:ascii="宋体" w:hAnsi="宋体" w:cs="宋体" w:eastAsia="宋体" w:hint="default"/>
        </w:rPr>
      </w:pPr>
      <w:r>
        <w:rPr>
          <w:spacing w:val="-2"/>
        </w:rPr>
        <w:t>债务重组取得债务人用以抵债的无形资产，以放弃债权的公允价值和可直接归属于使该资产</w:t>
      </w:r>
      <w:r>
        <w:rPr>
          <w:w w:val="100"/>
        </w:rPr>
        <w:t> </w:t>
      </w:r>
      <w:r>
        <w:rPr>
          <w:spacing w:val="-1"/>
        </w:rPr>
        <w:t>达到预定用途所发生的税金等其他成本确定其入账价值，并将重组债务的账面价值与该用以抵债</w:t>
      </w:r>
      <w:r>
        <w:rPr>
          <w:spacing w:val="-55"/>
        </w:rPr>
        <w:t> </w:t>
      </w:r>
      <w:r>
        <w:rPr>
          <w:spacing w:val="-55"/>
        </w:rPr>
      </w:r>
      <w:r>
        <w:rPr/>
        <w:t>的无形资产公允价值之间的差额，计入当期损益。</w:t>
      </w:r>
      <w:r>
        <w:rPr>
          <w:rFonts w:ascii="宋体" w:hAnsi="宋体" w:cs="宋体" w:eastAsia="宋体" w:hint="default"/>
        </w:rPr>
        <w:t> </w:t>
      </w:r>
    </w:p>
    <w:p>
      <w:pPr>
        <w:pStyle w:val="BodyText"/>
        <w:spacing w:line="314" w:lineRule="auto" w:before="20"/>
        <w:ind w:left="136" w:right="0" w:firstLine="420"/>
        <w:jc w:val="left"/>
        <w:rPr>
          <w:rFonts w:ascii="宋体" w:hAnsi="宋体" w:cs="宋体" w:eastAsia="宋体" w:hint="default"/>
        </w:rPr>
      </w:pPr>
      <w:r>
        <w:rPr>
          <w:spacing w:val="-1"/>
        </w:rPr>
        <w:t>在非货币性资产交换具备商业实质且换入资产或换出资产的公允价值能够可靠计量的前提下，</w:t>
      </w:r>
      <w:r>
        <w:rPr>
          <w:w w:val="100"/>
        </w:rPr>
        <w:t> </w:t>
      </w:r>
      <w:r>
        <w:rPr/>
        <w:t>非货币性资产交换换入的无形资产以换出资产的公允价值为基础确定其入账价值，除非有确凿证</w:t>
      </w:r>
      <w:r>
        <w:rPr>
          <w:spacing w:val="-97"/>
        </w:rPr>
        <w:t> </w:t>
      </w:r>
      <w:r>
        <w:rPr>
          <w:spacing w:val="-97"/>
        </w:rPr>
      </w:r>
      <w:r>
        <w:rPr/>
        <w:t>据表明换入资产的公允价值更加可靠；不满足上述前提的非货币性资产交换，以换出资产的账面</w:t>
      </w:r>
      <w:r>
        <w:rPr>
          <w:spacing w:val="-97"/>
        </w:rPr>
        <w:t> </w:t>
      </w:r>
      <w:r>
        <w:rPr>
          <w:spacing w:val="-97"/>
        </w:rPr>
      </w:r>
      <w:r>
        <w:rPr/>
        <w:t>价值和应支付的相关税费作为换入无形资产的成本，不确认损益。</w:t>
      </w:r>
      <w:r>
        <w:rPr>
          <w:rFonts w:ascii="宋体" w:hAnsi="宋体" w:cs="宋体" w:eastAsia="宋体" w:hint="default"/>
        </w:rPr>
        <w:t> </w:t>
      </w:r>
    </w:p>
    <w:p>
      <w:pPr>
        <w:pStyle w:val="BodyText"/>
        <w:spacing w:line="314" w:lineRule="auto" w:before="20"/>
        <w:ind w:left="136" w:right="311" w:firstLine="420"/>
        <w:jc w:val="both"/>
        <w:rPr>
          <w:rFonts w:ascii="宋体" w:hAnsi="宋体" w:cs="宋体" w:eastAsia="宋体" w:hint="default"/>
        </w:rPr>
      </w:pPr>
      <w:r>
        <w:rPr>
          <w:spacing w:val="-2"/>
        </w:rPr>
        <w:t>以同一控制下的企业吸收合并方式取得的无形资产按被合并方的账面价值确定其入账价值；</w:t>
      </w:r>
      <w:r>
        <w:rPr>
          <w:w w:val="100"/>
        </w:rPr>
        <w:t> </w:t>
      </w:r>
      <w:r>
        <w:rPr/>
        <w:t>以非同一控制下的企业吸收合并方式取得的无形资产按公允价值确定其入账价值。</w:t>
      </w:r>
      <w:r>
        <w:rPr>
          <w:rFonts w:ascii="宋体" w:hAnsi="宋体" w:cs="宋体" w:eastAsia="宋体" w:hint="default"/>
        </w:rPr>
        <w:t> </w:t>
      </w:r>
    </w:p>
    <w:p>
      <w:pPr>
        <w:pStyle w:val="BodyText"/>
        <w:spacing w:line="314" w:lineRule="auto" w:before="20"/>
        <w:ind w:left="136" w:right="309" w:firstLine="420"/>
        <w:jc w:val="both"/>
        <w:rPr>
          <w:rFonts w:ascii="宋体" w:hAnsi="宋体" w:cs="宋体" w:eastAsia="宋体" w:hint="default"/>
        </w:rPr>
      </w:pPr>
      <w:r>
        <w:rPr>
          <w:spacing w:val="-7"/>
        </w:rPr>
        <w:t>内部自行开发的无形资产，其成本包括：开发该无形资产时耗用的材料、劳务成本、注册费、</w:t>
      </w:r>
      <w:r>
        <w:rPr>
          <w:w w:val="100"/>
        </w:rPr>
        <w:t> </w:t>
      </w:r>
      <w:r>
        <w:rPr>
          <w:spacing w:val="-1"/>
        </w:rPr>
        <w:t>在开发过程中使用的其他专利权和特许权的摊销以及满足资本化条件的利息费用，以及为使该无</w:t>
      </w:r>
      <w:r>
        <w:rPr>
          <w:spacing w:val="-54"/>
        </w:rPr>
        <w:t> </w:t>
      </w:r>
      <w:r>
        <w:rPr>
          <w:spacing w:val="-54"/>
        </w:rPr>
      </w:r>
      <w:r>
        <w:rPr/>
        <w:t>形资产达到预定用途前所发生的其他直接费用。</w:t>
      </w:r>
      <w:r>
        <w:rPr>
          <w:rFonts w:ascii="宋体" w:hAnsi="宋体" w:cs="宋体" w:eastAsia="宋体" w:hint="default"/>
        </w:rPr>
        <w:t> </w:t>
      </w:r>
    </w:p>
    <w:p>
      <w:pPr>
        <w:spacing w:line="297" w:lineRule="auto" w:before="20"/>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．无形资产的后续计量</w:t>
      </w:r>
      <w:r>
        <w:rPr>
          <w:rFonts w:ascii="宋体" w:hAnsi="宋体" w:cs="宋体" w:eastAsia="宋体" w:hint="default"/>
          <w:b/>
          <w:bCs/>
          <w:w w:val="99"/>
          <w:sz w:val="21"/>
          <w:szCs w:val="21"/>
        </w:rPr>
        <w:t> </w:t>
      </w:r>
      <w:r>
        <w:rPr>
          <w:rFonts w:ascii="宋体" w:hAnsi="宋体" w:cs="宋体" w:eastAsia="宋体" w:hint="default"/>
          <w:spacing w:val="-2"/>
          <w:sz w:val="21"/>
          <w:szCs w:val="21"/>
        </w:rPr>
        <w:t>本公司在取得无形资产时分析判断其使用寿命，划分为使用寿命有限和使用寿命不确定的无</w:t>
      </w:r>
    </w:p>
    <w:p>
      <w:pPr>
        <w:pStyle w:val="BodyText"/>
        <w:spacing w:line="240" w:lineRule="auto" w:before="34"/>
        <w:ind w:left="136" w:right="0"/>
        <w:jc w:val="left"/>
        <w:rPr>
          <w:rFonts w:ascii="宋体" w:hAnsi="宋体" w:cs="宋体" w:eastAsia="宋体" w:hint="default"/>
        </w:rPr>
      </w:pPr>
      <w:r>
        <w:rPr/>
        <w:t>形资产。</w:t>
      </w:r>
      <w:r>
        <w:rPr>
          <w:rFonts w:ascii="宋体" w:hAnsi="宋体" w:cs="宋体" w:eastAsia="宋体" w:hint="default"/>
        </w:rPr>
        <w:t> </w:t>
      </w:r>
    </w:p>
    <w:p>
      <w:pPr>
        <w:pStyle w:val="BodyText"/>
        <w:spacing w:line="297" w:lineRule="auto" w:before="85"/>
        <w:ind w:left="557" w:right="0"/>
        <w:jc w:val="left"/>
      </w:pPr>
      <w:r>
        <w:rPr/>
        <w:t>（</w:t>
      </w:r>
      <w:r>
        <w:rPr>
          <w:rFonts w:ascii="Times New Roman" w:hAnsi="Times New Roman" w:cs="Times New Roman" w:eastAsia="Times New Roman" w:hint="default"/>
        </w:rPr>
        <w:t>1</w:t>
      </w:r>
      <w:r>
        <w:rPr/>
        <w:t>）使用寿命有限的无形资产</w:t>
      </w:r>
      <w:r>
        <w:rPr>
          <w:rFonts w:ascii="宋体" w:hAnsi="宋体" w:cs="宋体" w:eastAsia="宋体" w:hint="default"/>
          <w:w w:val="100"/>
        </w:rPr>
        <w:t> </w:t>
      </w:r>
      <w:r>
        <w:rPr>
          <w:spacing w:val="-2"/>
        </w:rPr>
        <w:t>对于使用寿命有限的无形资产，在为企业带来经济利益的期限内按直线法摊销。使用寿命有</w:t>
      </w:r>
    </w:p>
    <w:p>
      <w:pPr>
        <w:pStyle w:val="BodyText"/>
        <w:spacing w:line="240" w:lineRule="auto" w:before="34"/>
        <w:ind w:left="136" w:right="0"/>
        <w:jc w:val="left"/>
        <w:rPr>
          <w:rFonts w:ascii="宋体" w:hAnsi="宋体" w:cs="宋体" w:eastAsia="宋体" w:hint="default"/>
        </w:rPr>
      </w:pPr>
      <w:r>
        <w:rPr/>
        <w:t>限的无形资产预计寿命及依据如下：</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7" w:footer="979" w:top="1120" w:bottom="1160" w:left="1140" w:right="1480"/>
        </w:sectPr>
      </w:pPr>
    </w:p>
    <w:p>
      <w:pPr>
        <w:spacing w:line="240" w:lineRule="auto" w:before="11"/>
        <w:rPr>
          <w:rFonts w:ascii="宋体" w:hAnsi="宋体" w:cs="宋体" w:eastAsia="宋体" w:hint="default"/>
          <w:sz w:val="23"/>
          <w:szCs w:val="23"/>
        </w:rPr>
      </w:pPr>
    </w:p>
    <w:tbl>
      <w:tblPr>
        <w:tblW w:w="0" w:type="auto"/>
        <w:jc w:val="left"/>
        <w:tblInd w:w="127" w:type="dxa"/>
        <w:tblLayout w:type="fixed"/>
        <w:tblCellMar>
          <w:top w:w="0" w:type="dxa"/>
          <w:left w:w="0" w:type="dxa"/>
          <w:bottom w:w="0" w:type="dxa"/>
          <w:right w:w="0" w:type="dxa"/>
        </w:tblCellMar>
        <w:tblLook w:val="01E0"/>
      </w:tblPr>
      <w:tblGrid>
        <w:gridCol w:w="3114"/>
        <w:gridCol w:w="2132"/>
        <w:gridCol w:w="3682"/>
      </w:tblGrid>
      <w:tr>
        <w:trPr>
          <w:trHeight w:val="353"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预计使用寿命（年）</w:t>
            </w:r>
            <w:r>
              <w:rPr>
                <w:rFonts w:ascii="宋体" w:hAnsi="宋体" w:cs="宋体" w:eastAsia="宋体" w:hint="default"/>
                <w:sz w:val="21"/>
                <w:szCs w:val="21"/>
              </w:rPr>
              <w:t> </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 w:right="0"/>
              <w:jc w:val="center"/>
              <w:rPr>
                <w:rFonts w:ascii="宋体" w:hAnsi="宋体" w:cs="宋体" w:eastAsia="宋体" w:hint="default"/>
                <w:sz w:val="21"/>
                <w:szCs w:val="21"/>
              </w:rPr>
            </w:pPr>
            <w:r>
              <w:rPr>
                <w:rFonts w:ascii="宋体" w:hAnsi="宋体" w:cs="宋体" w:eastAsia="宋体" w:hint="default"/>
                <w:sz w:val="21"/>
                <w:szCs w:val="21"/>
              </w:rPr>
              <w:t>依据</w:t>
            </w:r>
            <w:r>
              <w:rPr>
                <w:rFonts w:ascii="宋体" w:hAnsi="宋体" w:cs="宋体" w:eastAsia="宋体" w:hint="default"/>
                <w:sz w:val="21"/>
                <w:szCs w:val="21"/>
              </w:rPr>
              <w:t> </w:t>
            </w:r>
          </w:p>
        </w:tc>
      </w:tr>
      <w:tr>
        <w:trPr>
          <w:trHeight w:val="355"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center"/>
              <w:rPr>
                <w:rFonts w:ascii="Times New Roman" w:hAnsi="Times New Roman" w:cs="Times New Roman" w:eastAsia="Times New Roman" w:hint="default"/>
                <w:sz w:val="21"/>
                <w:szCs w:val="21"/>
              </w:rPr>
            </w:pPr>
            <w:r>
              <w:rPr>
                <w:rFonts w:ascii="Times New Roman"/>
                <w:sz w:val="21"/>
              </w:rPr>
              <w:t>40</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left"/>
              <w:rPr>
                <w:rFonts w:ascii="宋体" w:hAnsi="宋体" w:cs="宋体" w:eastAsia="宋体" w:hint="default"/>
                <w:sz w:val="21"/>
                <w:szCs w:val="21"/>
              </w:rPr>
            </w:pPr>
            <w:r>
              <w:rPr>
                <w:rFonts w:ascii="宋体" w:hAnsi="宋体" w:cs="宋体" w:eastAsia="宋体" w:hint="default"/>
                <w:sz w:val="21"/>
                <w:szCs w:val="21"/>
              </w:rPr>
              <w:t>土地使用权证载使用年限</w:t>
            </w:r>
            <w:r>
              <w:rPr>
                <w:rFonts w:ascii="宋体" w:hAnsi="宋体" w:cs="宋体" w:eastAsia="宋体" w:hint="default"/>
                <w:sz w:val="21"/>
                <w:szCs w:val="21"/>
              </w:rPr>
              <w:t> </w:t>
            </w:r>
          </w:p>
        </w:tc>
      </w:tr>
      <w:tr>
        <w:trPr>
          <w:trHeight w:val="353"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r>
              <w:rPr>
                <w:rFonts w:ascii="宋体" w:hAnsi="宋体" w:cs="宋体" w:eastAsia="宋体" w:hint="default"/>
                <w:sz w:val="21"/>
                <w:szCs w:val="21"/>
              </w:rPr>
              <w:t>软件著作权</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center"/>
              <w:rPr>
                <w:rFonts w:ascii="Times New Roman" w:hAnsi="Times New Roman" w:cs="Times New Roman" w:eastAsia="Times New Roman" w:hint="default"/>
                <w:sz w:val="21"/>
                <w:szCs w:val="21"/>
              </w:rPr>
            </w:pPr>
            <w:r>
              <w:rPr>
                <w:rFonts w:ascii="Times New Roman"/>
                <w:w w:val="100"/>
                <w:sz w:val="21"/>
              </w:rPr>
              <w:t>5</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left"/>
              <w:rPr>
                <w:rFonts w:ascii="宋体" w:hAnsi="宋体" w:cs="宋体" w:eastAsia="宋体" w:hint="default"/>
                <w:sz w:val="21"/>
                <w:szCs w:val="21"/>
              </w:rPr>
            </w:pPr>
            <w:r>
              <w:rPr>
                <w:rFonts w:ascii="宋体" w:hAnsi="宋体" w:cs="宋体" w:eastAsia="宋体" w:hint="default"/>
                <w:sz w:val="21"/>
                <w:szCs w:val="21"/>
              </w:rPr>
              <w:t>预计使用寿命</w:t>
            </w:r>
            <w:r>
              <w:rPr>
                <w:rFonts w:ascii="宋体" w:hAnsi="宋体" w:cs="宋体" w:eastAsia="宋体" w:hint="default"/>
                <w:sz w:val="21"/>
                <w:szCs w:val="21"/>
              </w:rPr>
              <w:t> </w:t>
            </w:r>
          </w:p>
        </w:tc>
      </w:tr>
      <w:tr>
        <w:trPr>
          <w:trHeight w:val="355" w:hRule="exact"/>
        </w:trPr>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center"/>
              <w:rPr>
                <w:rFonts w:ascii="Times New Roman" w:hAnsi="Times New Roman" w:cs="Times New Roman" w:eastAsia="Times New Roman" w:hint="default"/>
                <w:sz w:val="21"/>
                <w:szCs w:val="21"/>
              </w:rPr>
            </w:pPr>
            <w:r>
              <w:rPr>
                <w:rFonts w:ascii="Times New Roman"/>
                <w:w w:val="100"/>
                <w:sz w:val="21"/>
              </w:rPr>
              <w:t>5</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left"/>
              <w:rPr>
                <w:rFonts w:ascii="宋体" w:hAnsi="宋体" w:cs="宋体" w:eastAsia="宋体" w:hint="default"/>
                <w:sz w:val="21"/>
                <w:szCs w:val="21"/>
              </w:rPr>
            </w:pPr>
            <w:r>
              <w:rPr>
                <w:rFonts w:ascii="宋体" w:hAnsi="宋体" w:cs="宋体" w:eastAsia="宋体" w:hint="default"/>
                <w:sz w:val="21"/>
                <w:szCs w:val="21"/>
              </w:rPr>
              <w:t>预计使用寿命</w:t>
            </w:r>
            <w:r>
              <w:rPr>
                <w:rFonts w:ascii="宋体" w:hAnsi="宋体" w:cs="宋体" w:eastAsia="宋体" w:hint="default"/>
                <w:sz w:val="21"/>
                <w:szCs w:val="21"/>
              </w:rPr>
              <w:t> </w:t>
            </w:r>
          </w:p>
        </w:tc>
      </w:tr>
    </w:tbl>
    <w:p>
      <w:pPr>
        <w:pStyle w:val="BodyText"/>
        <w:spacing w:line="314" w:lineRule="auto" w:before="42"/>
        <w:ind w:left="557" w:right="97"/>
        <w:jc w:val="left"/>
      </w:pPr>
      <w:r>
        <w:rPr>
          <w:rFonts w:ascii="宋体" w:hAnsi="宋体" w:cs="宋体" w:eastAsia="宋体" w:hint="default"/>
          <w:w w:val="100"/>
        </w:rPr>
        <w:t> </w:t>
      </w:r>
      <w:r>
        <w:rPr>
          <w:w w:val="100"/>
        </w:rPr>
        <w:t>每期末</w:t>
      </w:r>
      <w:r>
        <w:rPr>
          <w:spacing w:val="-3"/>
          <w:w w:val="100"/>
        </w:rPr>
        <w:t>，</w:t>
      </w:r>
      <w:r>
        <w:rPr>
          <w:w w:val="100"/>
        </w:rPr>
        <w:t>对使</w:t>
      </w:r>
      <w:r>
        <w:rPr>
          <w:spacing w:val="-3"/>
          <w:w w:val="100"/>
        </w:rPr>
        <w:t>用</w:t>
      </w:r>
      <w:r>
        <w:rPr>
          <w:w w:val="100"/>
        </w:rPr>
        <w:t>寿</w:t>
      </w:r>
      <w:r>
        <w:rPr>
          <w:spacing w:val="-3"/>
          <w:w w:val="100"/>
        </w:rPr>
        <w:t>命</w:t>
      </w:r>
      <w:r>
        <w:rPr>
          <w:w w:val="100"/>
        </w:rPr>
        <w:t>有</w:t>
      </w:r>
      <w:r>
        <w:rPr>
          <w:spacing w:val="-3"/>
          <w:w w:val="100"/>
        </w:rPr>
        <w:t>限</w:t>
      </w:r>
      <w:r>
        <w:rPr>
          <w:w w:val="100"/>
        </w:rPr>
        <w:t>的无形</w:t>
      </w:r>
      <w:r>
        <w:rPr>
          <w:spacing w:val="-3"/>
          <w:w w:val="100"/>
        </w:rPr>
        <w:t>资</w:t>
      </w:r>
      <w:r>
        <w:rPr>
          <w:w w:val="100"/>
        </w:rPr>
        <w:t>产的</w:t>
      </w:r>
      <w:r>
        <w:rPr>
          <w:spacing w:val="-3"/>
          <w:w w:val="100"/>
        </w:rPr>
        <w:t>使</w:t>
      </w:r>
      <w:r>
        <w:rPr>
          <w:w w:val="100"/>
        </w:rPr>
        <w:t>用</w:t>
      </w:r>
      <w:r>
        <w:rPr>
          <w:spacing w:val="-3"/>
          <w:w w:val="100"/>
        </w:rPr>
        <w:t>寿</w:t>
      </w:r>
      <w:r>
        <w:rPr>
          <w:w w:val="100"/>
        </w:rPr>
        <w:t>命</w:t>
      </w:r>
      <w:r>
        <w:rPr>
          <w:spacing w:val="-3"/>
          <w:w w:val="100"/>
        </w:rPr>
        <w:t>及</w:t>
      </w:r>
      <w:r>
        <w:rPr>
          <w:w w:val="100"/>
        </w:rPr>
        <w:t>摊销方</w:t>
      </w:r>
      <w:r>
        <w:rPr>
          <w:spacing w:val="-3"/>
          <w:w w:val="100"/>
        </w:rPr>
        <w:t>法</w:t>
      </w:r>
      <w:r>
        <w:rPr>
          <w:w w:val="100"/>
        </w:rPr>
        <w:t>进行</w:t>
      </w:r>
      <w:r>
        <w:rPr>
          <w:spacing w:val="-3"/>
          <w:w w:val="100"/>
        </w:rPr>
        <w:t>复</w:t>
      </w:r>
      <w:r>
        <w:rPr>
          <w:w w:val="100"/>
        </w:rPr>
        <w:t>核</w:t>
      </w:r>
      <w:r>
        <w:rPr>
          <w:spacing w:val="-3"/>
          <w:w w:val="100"/>
        </w:rPr>
        <w:t>，</w:t>
      </w:r>
      <w:r>
        <w:rPr>
          <w:w w:val="100"/>
        </w:rPr>
        <w:t>如</w:t>
      </w:r>
      <w:r>
        <w:rPr>
          <w:spacing w:val="-3"/>
          <w:w w:val="100"/>
        </w:rPr>
        <w:t>与</w:t>
      </w:r>
      <w:r>
        <w:rPr>
          <w:w w:val="100"/>
        </w:rPr>
        <w:t>原先估</w:t>
      </w:r>
      <w:r>
        <w:rPr>
          <w:spacing w:val="-3"/>
          <w:w w:val="100"/>
        </w:rPr>
        <w:t>计</w:t>
      </w:r>
      <w:r>
        <w:rPr>
          <w:w w:val="100"/>
        </w:rPr>
        <w:t>数</w:t>
      </w:r>
      <w:r>
        <w:rPr>
          <w:spacing w:val="-3"/>
          <w:w w:val="100"/>
        </w:rPr>
        <w:t>存</w:t>
      </w:r>
      <w:r>
        <w:rPr>
          <w:w w:val="100"/>
        </w:rPr>
        <w:t>在</w:t>
      </w:r>
    </w:p>
    <w:p>
      <w:pPr>
        <w:pStyle w:val="BodyText"/>
        <w:spacing w:line="314" w:lineRule="auto" w:before="20"/>
        <w:ind w:left="557" w:right="0" w:hanging="421"/>
        <w:jc w:val="left"/>
        <w:rPr>
          <w:rFonts w:ascii="宋体" w:hAnsi="宋体" w:cs="宋体" w:eastAsia="宋体" w:hint="default"/>
        </w:rPr>
      </w:pPr>
      <w:r>
        <w:rPr/>
        <w:t>差异的，进行相应的调整。</w:t>
      </w:r>
      <w:r>
        <w:rPr>
          <w:rFonts w:ascii="宋体" w:hAnsi="宋体" w:cs="宋体" w:eastAsia="宋体" w:hint="default"/>
          <w:w w:val="100"/>
        </w:rPr>
        <w:t> </w:t>
      </w:r>
      <w:r>
        <w:rPr/>
        <w:t>经复核，本期期末无形资产的使用寿命及摊销方法与以前估计未有不同。</w:t>
      </w:r>
      <w:r>
        <w:rPr>
          <w:rFonts w:ascii="宋体" w:hAnsi="宋体" w:cs="宋体" w:eastAsia="宋体" w:hint="default"/>
        </w:rPr>
        <w:t> </w:t>
      </w:r>
    </w:p>
    <w:p>
      <w:pPr>
        <w:pStyle w:val="BodyText"/>
        <w:spacing w:line="297" w:lineRule="auto" w:before="20"/>
        <w:ind w:left="557" w:right="0"/>
        <w:jc w:val="left"/>
      </w:pPr>
      <w:r>
        <w:rPr/>
        <w:t>（</w:t>
      </w:r>
      <w:r>
        <w:rPr>
          <w:rFonts w:ascii="Times New Roman" w:hAnsi="Times New Roman" w:cs="Times New Roman" w:eastAsia="Times New Roman" w:hint="default"/>
        </w:rPr>
        <w:t>2</w:t>
      </w:r>
      <w:r>
        <w:rPr/>
        <w:t>）使用寿命不确定的无形资产</w:t>
      </w:r>
      <w:r>
        <w:rPr>
          <w:rFonts w:ascii="宋体" w:hAnsi="宋体" w:cs="宋体" w:eastAsia="宋体" w:hint="default"/>
          <w:w w:val="100"/>
        </w:rPr>
        <w:t> </w:t>
      </w:r>
      <w:r>
        <w:rPr>
          <w:spacing w:val="-2"/>
        </w:rPr>
        <w:t>无法预见无形资产为企业带来经济利益期限的，视为使用寿命不确定的无形资产。公司无使</w:t>
      </w:r>
    </w:p>
    <w:p>
      <w:pPr>
        <w:pStyle w:val="BodyText"/>
        <w:spacing w:line="314" w:lineRule="auto" w:before="35"/>
        <w:ind w:left="557" w:right="0" w:hanging="421"/>
        <w:jc w:val="left"/>
      </w:pPr>
      <w:r>
        <w:rPr/>
        <w:t>用寿命不确定的无形资产。</w:t>
      </w:r>
      <w:r>
        <w:rPr>
          <w:rFonts w:ascii="宋体" w:hAnsi="宋体" w:cs="宋体" w:eastAsia="宋体" w:hint="default"/>
          <w:w w:val="100"/>
        </w:rPr>
        <w:t> </w:t>
      </w:r>
      <w:r>
        <w:rPr>
          <w:spacing w:val="-7"/>
          <w:w w:val="100"/>
        </w:rPr>
        <w:t>对于使用寿命不确定的无形资产，在持有期间内不摊销，每期末对无形资产的寿命进行复核。</w:t>
      </w:r>
    </w:p>
    <w:p>
      <w:pPr>
        <w:pStyle w:val="BodyText"/>
        <w:spacing w:line="240" w:lineRule="auto" w:before="20"/>
        <w:ind w:left="136" w:right="0"/>
        <w:jc w:val="left"/>
        <w:rPr>
          <w:rFonts w:ascii="宋体" w:hAnsi="宋体" w:cs="宋体" w:eastAsia="宋体" w:hint="default"/>
        </w:rPr>
      </w:pPr>
      <w:r>
        <w:rPr/>
        <w:t>如果期末重新复核后仍为不确定的，在每个会计期间继续进行减值测试。</w:t>
      </w:r>
      <w:r>
        <w:rPr>
          <w:rFonts w:ascii="宋体" w:hAnsi="宋体" w:cs="宋体" w:eastAsia="宋体" w:hint="default"/>
        </w:rPr>
        <w:t> </w:t>
      </w:r>
    </w:p>
    <w:p>
      <w:pPr>
        <w:pStyle w:val="Heading4"/>
        <w:spacing w:line="300" w:lineRule="auto" w:before="85"/>
        <w:ind w:left="136" w:right="2819" w:firstLine="42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内部研究开发支出</w:t>
      </w:r>
      <w:r>
        <w:rPr>
          <w:spacing w:val="-3"/>
          <w:w w:val="100"/>
        </w:rPr>
        <w:t>会</w:t>
      </w:r>
      <w:r>
        <w:rPr>
          <w:w w:val="100"/>
        </w:rPr>
        <w:t>计</w:t>
      </w:r>
      <w:r>
        <w:rPr>
          <w:spacing w:val="-3"/>
          <w:w w:val="100"/>
        </w:rPr>
        <w:t>政</w:t>
      </w:r>
      <w:r>
        <w:rPr>
          <w:w w:val="100"/>
        </w:rPr>
        <w:t>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
        <w:ind w:left="136" w:right="281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97" w:lineRule="auto" w:before="73"/>
        <w:ind w:left="55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研究阶段：为获取并理解新的科学或技术知识等而进行的独创性的有计划调查、研究活动的</w:t>
      </w:r>
    </w:p>
    <w:p>
      <w:pPr>
        <w:pStyle w:val="BodyText"/>
        <w:spacing w:line="240" w:lineRule="auto" w:before="34"/>
        <w:ind w:left="136" w:right="2819"/>
        <w:jc w:val="left"/>
      </w:pPr>
      <w:r>
        <w:rPr/>
        <w:t>阶段。</w:t>
      </w:r>
    </w:p>
    <w:p>
      <w:pPr>
        <w:pStyle w:val="BodyText"/>
        <w:spacing w:line="314" w:lineRule="auto" w:before="85"/>
        <w:ind w:left="136" w:right="0" w:firstLine="420"/>
        <w:jc w:val="left"/>
      </w:pPr>
      <w:r>
        <w:rPr>
          <w:spacing w:val="-2"/>
        </w:rPr>
        <w:t>开发阶段：在进行商业性生产或使用前，将研究成果或其他知识应用于某项计划或设计，以</w:t>
      </w:r>
      <w:r>
        <w:rPr>
          <w:w w:val="100"/>
        </w:rPr>
        <w:t> </w:t>
      </w:r>
      <w:r>
        <w:rPr/>
        <w:t>生产出新的或具有实质性改进的材料、装置、产品等活动的阶段。</w:t>
      </w:r>
    </w:p>
    <w:p>
      <w:pPr>
        <w:spacing w:line="304" w:lineRule="auto" w:before="20"/>
        <w:ind w:left="557" w:right="0" w:firstLine="0"/>
        <w:jc w:val="left"/>
        <w:rPr>
          <w:rFonts w:ascii="宋体" w:hAnsi="宋体" w:cs="宋体" w:eastAsia="宋体" w:hint="default"/>
          <w:sz w:val="21"/>
          <w:szCs w:val="21"/>
        </w:rPr>
      </w:pPr>
      <w:r>
        <w:rPr>
          <w:rFonts w:ascii="宋体" w:hAnsi="宋体" w:cs="宋体" w:eastAsia="宋体" w:hint="default"/>
          <w:sz w:val="21"/>
          <w:szCs w:val="21"/>
        </w:rPr>
        <w:t>内部研究开发项目研究阶段的支出，在发生时计入当期损益。</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．开发阶段支出符合资本化的具体标准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before="28"/>
        <w:ind w:left="557"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9"/>
        <w:ind w:left="557" w:right="2819"/>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97" w:lineRule="auto" w:before="69"/>
        <w:ind w:left="136" w:right="0" w:firstLine="420"/>
        <w:jc w:val="left"/>
      </w:pPr>
      <w:r>
        <w:rPr>
          <w:spacing w:val="-4"/>
        </w:rPr>
        <w:t>（</w:t>
      </w:r>
      <w:r>
        <w:rPr>
          <w:rFonts w:ascii="Times New Roman" w:hAnsi="Times New Roman" w:cs="Times New Roman" w:eastAsia="Times New Roman" w:hint="default"/>
          <w:spacing w:val="-4"/>
        </w:rPr>
        <w:t>3</w:t>
      </w:r>
      <w:r>
        <w:rPr>
          <w:spacing w:val="-4"/>
        </w:rPr>
        <w:t>）无形资产产生经济利益的方式，包括能够证明运用该无形资产生产的产品存在市场或无</w:t>
      </w:r>
      <w:r>
        <w:rPr>
          <w:w w:val="100"/>
        </w:rPr>
        <w:t> </w:t>
      </w:r>
      <w:r>
        <w:rPr/>
        <w:t>形资产自身存在市场，无形资产将在内部使用的，能够证明其有用性；</w:t>
      </w:r>
    </w:p>
    <w:p>
      <w:pPr>
        <w:pStyle w:val="BodyText"/>
        <w:spacing w:line="297" w:lineRule="auto" w:before="34"/>
        <w:ind w:left="136" w:right="0" w:firstLine="420"/>
        <w:jc w:val="left"/>
      </w:pPr>
      <w:r>
        <w:rPr>
          <w:spacing w:val="-4"/>
        </w:rPr>
        <w:t>（</w:t>
      </w:r>
      <w:r>
        <w:rPr>
          <w:rFonts w:ascii="Times New Roman" w:hAnsi="Times New Roman" w:cs="Times New Roman" w:eastAsia="Times New Roman" w:hint="default"/>
          <w:spacing w:val="-4"/>
        </w:rPr>
        <w:t>4</w:t>
      </w:r>
      <w:r>
        <w:rPr>
          <w:spacing w:val="-4"/>
        </w:rPr>
        <w:t>）有足够的技术、财务资源和其他资源支持，以完成该无形资产的开发，并有能力使用或</w:t>
      </w:r>
      <w:r>
        <w:rPr>
          <w:w w:val="100"/>
        </w:rPr>
        <w:t> </w:t>
      </w:r>
      <w:r>
        <w:rPr/>
        <w:t>出售该无形资产；</w:t>
      </w:r>
    </w:p>
    <w:p>
      <w:pPr>
        <w:pStyle w:val="BodyText"/>
        <w:spacing w:line="297" w:lineRule="auto" w:before="35"/>
        <w:ind w:left="557" w:right="0"/>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公司的研发项目均需经过立项，研发项目的立项基础是根据市场的需求与技术研发的需求，</w:t>
      </w:r>
    </w:p>
    <w:p>
      <w:pPr>
        <w:pStyle w:val="BodyText"/>
        <w:spacing w:line="314" w:lineRule="auto" w:before="34"/>
        <w:ind w:left="136" w:right="218"/>
        <w:jc w:val="both"/>
        <w:rPr>
          <w:rFonts w:ascii="宋体" w:hAnsi="宋体" w:cs="宋体" w:eastAsia="宋体" w:hint="default"/>
        </w:rPr>
      </w:pPr>
      <w:r>
        <w:rPr>
          <w:spacing w:val="-2"/>
        </w:rPr>
        <w:t>完成技术调研、论证项目技术的可行性与先进性、与公司主营产品的相关性（可形成公司的技术</w:t>
      </w:r>
      <w:r>
        <w:rPr>
          <w:spacing w:val="-25"/>
        </w:rPr>
        <w:t> </w:t>
      </w:r>
      <w:r>
        <w:rPr>
          <w:spacing w:val="-25"/>
        </w:rPr>
      </w:r>
      <w:r>
        <w:rPr>
          <w:spacing w:val="-2"/>
        </w:rPr>
        <w:t>开发平台或形成产品），并形成项目申请书，申请书应对研发产品的市场需求分析、国内外同类</w:t>
      </w:r>
      <w:r>
        <w:rPr>
          <w:spacing w:val="-25"/>
        </w:rPr>
        <w:t> </w:t>
      </w:r>
      <w:r>
        <w:rPr>
          <w:spacing w:val="-25"/>
        </w:rPr>
      </w:r>
      <w:r>
        <w:rPr>
          <w:spacing w:val="-2"/>
        </w:rPr>
        <w:t>研究情况、技术可行性、研究开发方案和技术路线、研究开发内容及主要创新点、能达到的技术</w:t>
      </w:r>
      <w:r>
        <w:rPr>
          <w:spacing w:val="-25"/>
        </w:rPr>
        <w:t> </w:t>
      </w:r>
      <w:r>
        <w:rPr>
          <w:spacing w:val="-25"/>
        </w:rPr>
      </w:r>
      <w:r>
        <w:rPr>
          <w:spacing w:val="-2"/>
        </w:rPr>
        <w:t>和效益指标、研发团队及投入计划、研发设备需求、经费预算、产业化前景、经济社会效益分析</w:t>
      </w:r>
      <w:r>
        <w:rPr>
          <w:spacing w:val="-25"/>
        </w:rPr>
        <w:t> </w:t>
      </w:r>
      <w:r>
        <w:rPr>
          <w:spacing w:val="-25"/>
        </w:rPr>
      </w:r>
      <w:r>
        <w:rPr/>
        <w:t>等做出说明。</w:t>
      </w:r>
      <w:r>
        <w:rPr>
          <w:rFonts w:ascii="宋体" w:hAnsi="宋体" w:cs="宋体" w:eastAsia="宋体" w:hint="default"/>
        </w:rPr>
        <w:t> </w:t>
      </w:r>
    </w:p>
    <w:p>
      <w:pPr>
        <w:spacing w:after="0" w:line="314" w:lineRule="auto"/>
        <w:jc w:val="both"/>
        <w:rPr>
          <w:rFonts w:ascii="宋体" w:hAnsi="宋体" w:cs="宋体" w:eastAsia="宋体" w:hint="default"/>
        </w:rPr>
        <w:sectPr>
          <w:pgSz w:w="11910" w:h="16840"/>
          <w:pgMar w:header="857" w:footer="979" w:top="1120" w:bottom="1160" w:left="1140" w:right="1580"/>
        </w:sectPr>
      </w:pPr>
    </w:p>
    <w:p>
      <w:pPr>
        <w:spacing w:line="240" w:lineRule="auto" w:before="4"/>
        <w:rPr>
          <w:rFonts w:ascii="宋体" w:hAnsi="宋体" w:cs="宋体" w:eastAsia="宋体" w:hint="default"/>
          <w:sz w:val="24"/>
          <w:szCs w:val="24"/>
        </w:rPr>
      </w:pPr>
    </w:p>
    <w:p>
      <w:pPr>
        <w:pStyle w:val="BodyText"/>
        <w:spacing w:line="314" w:lineRule="auto" w:before="36"/>
        <w:ind w:left="136" w:right="138" w:firstLine="420"/>
        <w:jc w:val="both"/>
        <w:rPr>
          <w:rFonts w:ascii="宋体" w:hAnsi="宋体" w:cs="宋体" w:eastAsia="宋体" w:hint="default"/>
        </w:rPr>
      </w:pPr>
      <w:r>
        <w:rPr>
          <w:spacing w:val="-2"/>
        </w:rPr>
        <w:t>公司通过召开立项评审会议来判断该研发项目是否符合立项条件，评审主要是对设立项目的</w:t>
      </w:r>
      <w:r>
        <w:rPr>
          <w:w w:val="100"/>
        </w:rPr>
        <w:t> </w:t>
      </w:r>
      <w:r>
        <w:rPr>
          <w:spacing w:val="-2"/>
        </w:rPr>
        <w:t>必要性、可行性及其定位、目标、任务、投入、组织管理、预算等进行评价，来判断该研发项目</w:t>
      </w:r>
      <w:r>
        <w:rPr>
          <w:spacing w:val="-25"/>
        </w:rPr>
        <w:t> </w:t>
      </w:r>
      <w:r>
        <w:rPr>
          <w:spacing w:val="-25"/>
        </w:rPr>
      </w:r>
      <w:r>
        <w:rPr>
          <w:spacing w:val="-2"/>
        </w:rPr>
        <w:t>是否可以通过立项评审，并形成《立项评审报告》、《立项评审会会议纪要》，评审通过后报技</w:t>
      </w:r>
      <w:r>
        <w:rPr>
          <w:spacing w:val="-25"/>
        </w:rPr>
        <w:t> </w:t>
      </w:r>
      <w:r>
        <w:rPr>
          <w:spacing w:val="-25"/>
        </w:rPr>
      </w:r>
      <w:r>
        <w:rPr/>
        <w:t>术中心负责人批准项目立项后形成《立项决议》。公司研发项目经立项后进入开发阶段。</w:t>
      </w:r>
      <w:r>
        <w:rPr>
          <w:rFonts w:ascii="宋体" w:hAnsi="宋体" w:cs="宋体" w:eastAsia="宋体" w:hint="default"/>
        </w:rPr>
        <w:t> </w:t>
      </w:r>
    </w:p>
    <w:p>
      <w:pPr>
        <w:pStyle w:val="BodyText"/>
        <w:spacing w:line="314" w:lineRule="auto" w:before="20"/>
        <w:ind w:left="557" w:right="0"/>
        <w:jc w:val="left"/>
      </w:pPr>
      <w:r>
        <w:rPr/>
        <w:t>内部研究开发支出的资本化时点：研发项目经立项后</w:t>
      </w:r>
      <w:r>
        <w:rPr>
          <w:rFonts w:ascii="宋体" w:hAnsi="宋体" w:cs="宋体" w:eastAsia="宋体" w:hint="default"/>
          <w:w w:val="100"/>
        </w:rPr>
        <w:t> </w:t>
      </w:r>
      <w:r>
        <w:rPr>
          <w:spacing w:val="-2"/>
        </w:rPr>
        <w:t>不满足上述条件的开发阶段的支出，于发生时计入当期损益。以前期间已计入损益的开发支</w:t>
      </w:r>
    </w:p>
    <w:p>
      <w:pPr>
        <w:pStyle w:val="BodyText"/>
        <w:spacing w:line="314" w:lineRule="auto" w:before="20"/>
        <w:ind w:left="136" w:right="0"/>
        <w:jc w:val="left"/>
        <w:rPr>
          <w:rFonts w:ascii="宋体" w:hAnsi="宋体" w:cs="宋体" w:eastAsia="宋体" w:hint="default"/>
        </w:rPr>
      </w:pPr>
      <w:r>
        <w:rPr>
          <w:spacing w:val="-2"/>
        </w:rPr>
        <w:t>出不在以后期间重新确认为资产。已资本化的开发阶段的支出在资产负债表上列示为开发支出，</w:t>
      </w:r>
      <w:r>
        <w:rPr>
          <w:spacing w:val="-25"/>
        </w:rPr>
        <w:t> </w:t>
      </w:r>
      <w:r>
        <w:rPr>
          <w:spacing w:val="-25"/>
        </w:rPr>
      </w:r>
      <w:r>
        <w:rPr/>
        <w:t>自该项目达到预定用途之日起转为无形资产。</w:t>
      </w:r>
      <w:r>
        <w:rPr>
          <w:rFonts w:ascii="宋体" w:hAnsi="宋体" w:cs="宋体" w:eastAsia="宋体" w:hint="default"/>
        </w:rPr>
        <w:t> </w:t>
      </w:r>
    </w:p>
    <w:p>
      <w:pPr>
        <w:pStyle w:val="BodyText"/>
        <w:spacing w:line="218" w:lineRule="exact"/>
        <w:ind w:left="136" w:right="0"/>
        <w:jc w:val="left"/>
        <w:rPr>
          <w:rFonts w:ascii="宋体" w:hAnsi="宋体" w:cs="宋体" w:eastAsia="宋体" w:hint="default"/>
        </w:rPr>
      </w:pPr>
      <w:r>
        <w:rPr>
          <w:rFonts w:ascii="宋体"/>
          <w:w w:val="100"/>
        </w:rPr>
        <w:t> </w:t>
      </w:r>
    </w:p>
    <w:p>
      <w:pPr>
        <w:pStyle w:val="Heading4"/>
        <w:spacing w:line="240" w:lineRule="auto" w:before="56"/>
        <w:ind w:left="136" w:right="0"/>
        <w:jc w:val="left"/>
        <w:rPr>
          <w:b w:val="0"/>
          <w:bCs w:val="0"/>
        </w:rPr>
      </w:pPr>
      <w:r>
        <w:rPr>
          <w:rFonts w:ascii="Times New Roman" w:hAnsi="Times New Roman" w:cs="Times New Roman" w:eastAsia="Times New Roman" w:hint="default"/>
        </w:rPr>
        <w:t>29.  </w:t>
      </w:r>
      <w:r>
        <w:rPr>
          <w:rFonts w:ascii="Times New Roman" w:hAnsi="Times New Roman" w:cs="Times New Roman" w:eastAsia="Times New Roman" w:hint="default"/>
          <w:spacing w:val="6"/>
        </w:rPr>
        <w:t> </w:t>
      </w:r>
      <w:r>
        <w:rPr/>
        <w:t>长期资产减值</w:t>
      </w:r>
      <w:r>
        <w:rPr>
          <w:b w:val="0"/>
          <w:bCs w:val="0"/>
        </w:rPr>
      </w:r>
    </w:p>
    <w:p>
      <w:pPr>
        <w:pStyle w:val="BodyText"/>
        <w:spacing w:line="314" w:lineRule="auto" w:before="43"/>
        <w:ind w:left="557" w:right="0" w:hanging="421"/>
        <w:jc w:val="left"/>
      </w:pPr>
      <w:r>
        <w:rPr/>
        <w:t>√适用 </w:t>
      </w:r>
      <w:r>
        <w:rPr>
          <w:rFonts w:ascii="宋体" w:hAnsi="宋体" w:cs="宋体" w:eastAsia="宋体" w:hint="default"/>
        </w:rPr>
      </w:r>
      <w:r>
        <w:rPr/>
        <w:t>□不适用</w:t>
      </w:r>
      <w:r>
        <w:rPr>
          <w:spacing w:val="-104"/>
        </w:rPr>
        <w:t> </w:t>
      </w:r>
      <w:r>
        <w:rPr>
          <w:rFonts w:ascii="宋体" w:hAnsi="宋体" w:cs="宋体" w:eastAsia="宋体" w:hint="default"/>
          <w:spacing w:val="-104"/>
        </w:rPr>
      </w:r>
      <w:r>
        <w:rPr>
          <w:rFonts w:ascii="宋体" w:hAnsi="宋体" w:cs="宋体" w:eastAsia="宋体" w:hint="default"/>
          <w:spacing w:val="-104"/>
          <w:sz w:val="24"/>
          <w:szCs w:val="24"/>
        </w:rPr>
      </w:r>
      <w:r>
        <w:rPr>
          <w:spacing w:val="-2"/>
        </w:rPr>
        <w:t>本公司在资产负债表日判断长期资产是否存在可能发生减值的迹象。如果长期资产存在减值</w:t>
      </w:r>
    </w:p>
    <w:p>
      <w:pPr>
        <w:pStyle w:val="BodyText"/>
        <w:spacing w:line="314" w:lineRule="auto" w:before="20"/>
        <w:ind w:left="136" w:right="0"/>
        <w:jc w:val="left"/>
      </w:pPr>
      <w:r>
        <w:rPr>
          <w:spacing w:val="-1"/>
        </w:rPr>
        <w:t>迹象的，以单项资产为基础估计其可收回金额；难以对单项资产的可收回金额进行估计的，以该</w:t>
      </w:r>
      <w:r>
        <w:rPr>
          <w:spacing w:val="-55"/>
        </w:rPr>
        <w:t> </w:t>
      </w:r>
      <w:r>
        <w:rPr>
          <w:spacing w:val="-55"/>
        </w:rPr>
      </w:r>
      <w:r>
        <w:rPr/>
        <w:t>资产所属的资产组为基础确定资产组的可收回金额。</w:t>
      </w:r>
    </w:p>
    <w:p>
      <w:pPr>
        <w:pStyle w:val="BodyText"/>
        <w:spacing w:line="314" w:lineRule="auto" w:before="20"/>
        <w:ind w:left="136" w:right="131" w:firstLine="420"/>
        <w:jc w:val="both"/>
      </w:pPr>
      <w:r>
        <w:rPr>
          <w:spacing w:val="-2"/>
        </w:rPr>
        <w:t>资产可收回金额的估计，根据其公允价值减去处置费用后的净额与资产预计未来现金流量的</w:t>
      </w:r>
      <w:r>
        <w:rPr>
          <w:w w:val="100"/>
        </w:rPr>
        <w:t> </w:t>
      </w:r>
      <w:r>
        <w:rPr/>
        <w:t>现值两者之间较高者确定。</w:t>
      </w:r>
    </w:p>
    <w:p>
      <w:pPr>
        <w:pStyle w:val="BodyText"/>
        <w:spacing w:line="314" w:lineRule="auto" w:before="20"/>
        <w:ind w:left="136" w:right="129" w:firstLine="420"/>
        <w:jc w:val="both"/>
        <w:rPr>
          <w:rFonts w:ascii="宋体" w:hAnsi="宋体" w:cs="宋体" w:eastAsia="宋体" w:hint="default"/>
        </w:rPr>
      </w:pPr>
      <w:r>
        <w:rPr>
          <w:spacing w:val="-2"/>
        </w:rPr>
        <w:t>可收回金额的计量结果表明，长期资产的可收回金额低于其账面价值的，将长期资产的账面</w:t>
      </w:r>
      <w:r>
        <w:rPr>
          <w:w w:val="100"/>
        </w:rPr>
        <w:t> </w:t>
      </w:r>
      <w:r>
        <w:rPr>
          <w:spacing w:val="-1"/>
        </w:rPr>
        <w:t>价值减记至可收回金额，减记的金额确认为资产减值损失，计入当期损益，同时计提相应的资产</w:t>
      </w:r>
      <w:r>
        <w:rPr>
          <w:spacing w:val="-55"/>
        </w:rPr>
        <w:t> </w:t>
      </w:r>
      <w:r>
        <w:rPr>
          <w:spacing w:val="-55"/>
        </w:rPr>
      </w:r>
      <w:r>
        <w:rPr/>
        <w:t>减值准备。资产减值损失一经确认，在以后会计期间不得转回。</w:t>
      </w:r>
      <w:r>
        <w:rPr>
          <w:rFonts w:ascii="宋体" w:hAnsi="宋体" w:cs="宋体" w:eastAsia="宋体" w:hint="default"/>
        </w:rPr>
        <w:t> </w:t>
      </w:r>
    </w:p>
    <w:p>
      <w:pPr>
        <w:pStyle w:val="BodyText"/>
        <w:spacing w:line="314" w:lineRule="auto" w:before="20"/>
        <w:ind w:left="136" w:right="131" w:firstLine="420"/>
        <w:jc w:val="both"/>
      </w:pPr>
      <w:r>
        <w:rPr>
          <w:spacing w:val="-2"/>
        </w:rPr>
        <w:t>资产减值损失确认后，减值资产的折旧或者摊销费用在未来期间作相应调整，以使该资产在</w:t>
      </w:r>
      <w:r>
        <w:rPr>
          <w:w w:val="100"/>
        </w:rPr>
        <w:t> </w:t>
      </w:r>
      <w:r>
        <w:rPr>
          <w:spacing w:val="-5"/>
          <w:w w:val="100"/>
        </w:rPr>
        <w:t>剩余使用寿命内，系统地分摊调整后的资产账面价值（扣除预计净残值）。</w:t>
      </w:r>
    </w:p>
    <w:p>
      <w:pPr>
        <w:pStyle w:val="BodyText"/>
        <w:spacing w:line="314" w:lineRule="auto" w:before="20"/>
        <w:ind w:left="136" w:right="131" w:firstLine="420"/>
        <w:jc w:val="both"/>
      </w:pPr>
      <w:r>
        <w:rPr>
          <w:spacing w:val="-2"/>
        </w:rPr>
        <w:t>因企业合并所形成的商誉和使用寿命不确定的无形资产，无论是否存在减值迹象，每年都进</w:t>
      </w:r>
      <w:r>
        <w:rPr>
          <w:w w:val="100"/>
        </w:rPr>
        <w:t> </w:t>
      </w:r>
      <w:r>
        <w:rPr/>
        <w:t>行减值测试。</w:t>
      </w:r>
    </w:p>
    <w:p>
      <w:pPr>
        <w:pStyle w:val="BodyText"/>
        <w:spacing w:line="314" w:lineRule="auto" w:before="20"/>
        <w:ind w:left="136" w:right="129" w:firstLine="420"/>
        <w:jc w:val="both"/>
        <w:rPr>
          <w:rFonts w:ascii="宋体" w:hAnsi="宋体" w:cs="宋体" w:eastAsia="宋体" w:hint="default"/>
        </w:rPr>
      </w:pPr>
      <w:r>
        <w:rPr>
          <w:spacing w:val="-2"/>
        </w:rPr>
        <w:t>在对商誉进行减值测试时，将商誉的账面价值分摊至预期从企业合并的协同效应中受益的资</w:t>
      </w:r>
      <w:r>
        <w:rPr>
          <w:w w:val="100"/>
        </w:rPr>
        <w:t> </w:t>
      </w:r>
      <w:r>
        <w:rPr>
          <w:spacing w:val="-1"/>
        </w:rPr>
        <w:t>产组或资产组组合。在对包含商誉的相关资产组或者资产组组合进行减值测试时，如与商誉相关</w:t>
      </w:r>
      <w:r>
        <w:rPr>
          <w:spacing w:val="-55"/>
        </w:rPr>
        <w:t> </w:t>
      </w:r>
      <w:r>
        <w:rPr>
          <w:spacing w:val="-55"/>
        </w:rPr>
      </w:r>
      <w:r>
        <w:rPr>
          <w:spacing w:val="-1"/>
        </w:rPr>
        <w:t>的资产组或者资产组组合存在减值迹象的，先对不包含商誉的资产组或者资产组组合进行减值测</w:t>
      </w:r>
      <w:r>
        <w:rPr>
          <w:spacing w:val="-55"/>
        </w:rPr>
        <w:t> </w:t>
      </w:r>
      <w:r>
        <w:rPr>
          <w:spacing w:val="-55"/>
        </w:rPr>
      </w:r>
      <w:r>
        <w:rPr>
          <w:spacing w:val="-1"/>
        </w:rPr>
        <w:t>试，计算可收回金额，并与相关账面价值相比较，确认相应的减值损失。再对包含商誉的资产组</w:t>
      </w:r>
      <w:r>
        <w:rPr>
          <w:spacing w:val="-55"/>
        </w:rPr>
        <w:t> </w:t>
      </w:r>
      <w:r>
        <w:rPr>
          <w:spacing w:val="-55"/>
        </w:rPr>
      </w:r>
      <w:r>
        <w:rPr>
          <w:spacing w:val="-1"/>
        </w:rPr>
        <w:t>或者资产组组合进行减值测试，比较这些相关资产组或者资产组组合的账面价值（包括所分摊的</w:t>
      </w:r>
      <w:r>
        <w:rPr>
          <w:spacing w:val="-55"/>
        </w:rPr>
        <w:t> </w:t>
      </w:r>
      <w:r>
        <w:rPr>
          <w:spacing w:val="-55"/>
        </w:rPr>
      </w:r>
      <w:r>
        <w:rPr>
          <w:spacing w:val="-1"/>
        </w:rPr>
        <w:t>商誉的账面价值部分）与其可收回金额，如相关资产组或者资产组组合的可收回金额低于其账面</w:t>
      </w:r>
      <w:r>
        <w:rPr>
          <w:spacing w:val="-55"/>
        </w:rPr>
        <w:t> </w:t>
      </w:r>
      <w:r>
        <w:rPr>
          <w:spacing w:val="-55"/>
        </w:rPr>
      </w:r>
      <w:r>
        <w:rPr/>
        <w:t>价值的，确认商誉的减值损失。</w:t>
      </w:r>
      <w:r>
        <w:rPr>
          <w:rFonts w:ascii="宋体" w:hAnsi="宋体" w:cs="宋体" w:eastAsia="宋体" w:hint="default"/>
        </w:rPr>
        <w:t> </w:t>
      </w:r>
    </w:p>
    <w:p>
      <w:pPr>
        <w:pStyle w:val="Heading3"/>
        <w:spacing w:line="240" w:lineRule="exact"/>
        <w:ind w:left="136" w:right="0"/>
        <w:jc w:val="left"/>
      </w:pPr>
      <w:r>
        <w:rPr/>
        <w:t> </w:t>
      </w:r>
    </w:p>
    <w:p>
      <w:pPr>
        <w:pStyle w:val="Heading4"/>
        <w:spacing w:line="240" w:lineRule="auto"/>
        <w:ind w:left="136" w:right="0"/>
        <w:jc w:val="left"/>
        <w:rPr>
          <w:b w:val="0"/>
          <w:bCs w:val="0"/>
        </w:rPr>
      </w:pPr>
      <w:r>
        <w:rPr>
          <w:rFonts w:ascii="Times New Roman" w:hAnsi="Times New Roman" w:cs="Times New Roman" w:eastAsia="Times New Roman" w:hint="default"/>
        </w:rPr>
        <w:t>30.  </w:t>
      </w:r>
      <w:r>
        <w:rPr>
          <w:rFonts w:ascii="Times New Roman" w:hAnsi="Times New Roman" w:cs="Times New Roman" w:eastAsia="Times New Roman" w:hint="default"/>
          <w:spacing w:val="6"/>
        </w:rPr>
        <w:t> </w:t>
      </w:r>
      <w:r>
        <w:rPr/>
        <w:t>长期待摊费用</w:t>
      </w:r>
      <w:r>
        <w:rPr>
          <w:b w:val="0"/>
          <w:bCs w:val="0"/>
        </w:rPr>
      </w:r>
    </w:p>
    <w:p>
      <w:pPr>
        <w:pStyle w:val="BodyText"/>
        <w:spacing w:line="304" w:lineRule="auto" w:before="43"/>
        <w:ind w:left="557" w:right="126" w:hanging="421"/>
        <w:jc w:val="left"/>
      </w:pPr>
      <w:r>
        <w:rPr/>
        <w:t>√适用   </w:t>
      </w:r>
      <w:r>
        <w:rPr>
          <w:rFonts w:ascii="宋体" w:hAnsi="宋体" w:cs="宋体" w:eastAsia="宋体" w:hint="default"/>
        </w:rPr>
      </w:r>
      <w:r>
        <w:rPr/>
        <w:t>□不适用</w:t>
      </w:r>
      <w:r>
        <w:rPr>
          <w:spacing w:val="-104"/>
        </w:rPr>
        <w:t> </w:t>
      </w:r>
      <w:r>
        <w:rPr>
          <w:rFonts w:ascii="宋体" w:hAnsi="宋体" w:cs="宋体" w:eastAsia="宋体" w:hint="default"/>
          <w:spacing w:val="-104"/>
        </w:rPr>
      </w:r>
      <w:r>
        <w:rPr>
          <w:rFonts w:ascii="宋体" w:hAnsi="宋体" w:cs="宋体" w:eastAsia="宋体" w:hint="default"/>
          <w:spacing w:val="-104"/>
          <w:sz w:val="24"/>
          <w:szCs w:val="24"/>
        </w:rPr>
      </w:r>
      <w:r>
        <w:rPr/>
        <w:t>长期待摊费用，是指本公司已经发生但应由本期和以后各期负担的分摊期限在</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年以上的各</w:t>
      </w:r>
    </w:p>
    <w:p>
      <w:pPr>
        <w:pStyle w:val="BodyText"/>
        <w:spacing w:line="240" w:lineRule="auto" w:before="6"/>
        <w:ind w:left="136" w:right="0"/>
        <w:jc w:val="left"/>
        <w:rPr>
          <w:rFonts w:ascii="宋体" w:hAnsi="宋体" w:cs="宋体" w:eastAsia="宋体" w:hint="default"/>
        </w:rPr>
      </w:pPr>
      <w:r>
        <w:rPr/>
        <w:t>项费用。长期待摊费用在受益期内按直线法分期摊销。</w:t>
      </w:r>
      <w:r>
        <w:rPr>
          <w:rFonts w:ascii="宋体" w:hAnsi="宋体" w:cs="宋体" w:eastAsia="宋体" w:hint="default"/>
        </w:rPr>
        <w:t> </w:t>
      </w:r>
    </w:p>
    <w:p>
      <w:pPr>
        <w:pStyle w:val="Heading3"/>
        <w:spacing w:line="240" w:lineRule="auto" w:before="2"/>
        <w:ind w:left="136" w:right="0"/>
        <w:jc w:val="left"/>
      </w:pPr>
      <w:r>
        <w:rPr/>
        <w:t> </w:t>
      </w:r>
    </w:p>
    <w:p>
      <w:pPr>
        <w:pStyle w:val="Heading4"/>
        <w:spacing w:line="240" w:lineRule="auto"/>
        <w:ind w:left="136" w:right="0"/>
        <w:jc w:val="left"/>
        <w:rPr>
          <w:b w:val="0"/>
          <w:bCs w:val="0"/>
        </w:rPr>
      </w:pPr>
      <w:r>
        <w:rPr>
          <w:rFonts w:ascii="Times New Roman" w:hAnsi="Times New Roman" w:cs="Times New Roman" w:eastAsia="Times New Roman" w:hint="default"/>
        </w:rPr>
        <w:t>31.  </w:t>
      </w:r>
      <w:r>
        <w:rPr>
          <w:rFonts w:ascii="Times New Roman" w:hAnsi="Times New Roman" w:cs="Times New Roman" w:eastAsia="Times New Roman" w:hint="default"/>
          <w:spacing w:val="6"/>
        </w:rPr>
        <w:t> </w:t>
      </w:r>
      <w:r>
        <w:rPr/>
        <w:t>职工薪酬</w:t>
      </w:r>
      <w:r>
        <w:rPr>
          <w:b w:val="0"/>
          <w:bCs w:val="0"/>
        </w:rPr>
      </w:r>
    </w:p>
    <w:p>
      <w:pPr>
        <w:pStyle w:val="BodyText"/>
        <w:spacing w:line="314" w:lineRule="auto" w:before="117"/>
        <w:ind w:left="136" w:right="138" w:firstLine="420"/>
        <w:jc w:val="both"/>
        <w:rPr>
          <w:rFonts w:ascii="宋体" w:hAnsi="宋体" w:cs="宋体" w:eastAsia="宋体" w:hint="default"/>
        </w:rPr>
      </w:pPr>
      <w:r>
        <w:rPr>
          <w:spacing w:val="-2"/>
        </w:rPr>
        <w:t>职工薪酬，是指本公司为获得职工提供的服务或解除劳动关系而给予的各种形式的报酬或补</w:t>
      </w:r>
      <w:r>
        <w:rPr>
          <w:w w:val="100"/>
        </w:rPr>
        <w:t> </w:t>
      </w:r>
      <w:r>
        <w:rPr/>
        <w:t>偿。职工薪酬包括短期薪酬、离职后福利、辞退福利和其他长期职工福利。</w:t>
      </w:r>
      <w:r>
        <w:rPr>
          <w:rFonts w:ascii="宋体" w:hAnsi="宋体" w:cs="宋体" w:eastAsia="宋体" w:hint="default"/>
        </w:rPr>
        <w:t> </w:t>
      </w:r>
    </w:p>
    <w:p>
      <w:pPr>
        <w:spacing w:after="0" w:line="314" w:lineRule="auto"/>
        <w:jc w:val="both"/>
        <w:rPr>
          <w:rFonts w:ascii="宋体" w:hAnsi="宋体" w:cs="宋体" w:eastAsia="宋体" w:hint="default"/>
        </w:rPr>
        <w:sectPr>
          <w:pgSz w:w="11910" w:h="16840"/>
          <w:pgMar w:header="857" w:footer="979" w:top="1120" w:bottom="1160" w:left="1140" w:right="1660"/>
        </w:sectPr>
      </w:pPr>
    </w:p>
    <w:p>
      <w:pPr>
        <w:spacing w:line="240" w:lineRule="auto" w:before="6"/>
        <w:rPr>
          <w:rFonts w:ascii="宋体" w:hAnsi="宋体" w:cs="宋体" w:eastAsia="宋体" w:hint="default"/>
          <w:sz w:val="18"/>
          <w:szCs w:val="18"/>
        </w:rPr>
      </w:pPr>
    </w:p>
    <w:p>
      <w:pPr>
        <w:pStyle w:val="Heading4"/>
        <w:spacing w:line="240" w:lineRule="auto" w:before="36"/>
        <w:ind w:left="136" w:right="2819"/>
        <w:jc w:val="left"/>
        <w:rPr>
          <w:rFonts w:ascii="宋体" w:hAnsi="宋体" w:cs="宋体" w:eastAsia="宋体" w:hint="default"/>
          <w:b w:val="0"/>
          <w:bCs w:val="0"/>
        </w:rPr>
      </w:pP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07" w:lineRule="auto" w:before="56"/>
        <w:ind w:left="617" w:right="0" w:hanging="481"/>
        <w:jc w:val="left"/>
      </w:pPr>
      <w:r>
        <w:rPr/>
        <w:t>√适用 </w:t>
      </w:r>
      <w:r>
        <w:rPr>
          <w:rFonts w:ascii="宋体" w:hAnsi="宋体" w:cs="宋体" w:eastAsia="宋体" w:hint="default"/>
        </w:rPr>
      </w:r>
      <w:r>
        <w:rPr/>
        <w:t>□不适用</w:t>
      </w:r>
      <w:r>
        <w:rPr>
          <w:spacing w:val="-104"/>
        </w:rPr>
        <w:t> </w:t>
      </w:r>
      <w:r>
        <w:rPr>
          <w:rFonts w:ascii="宋体" w:hAnsi="宋体" w:cs="宋体" w:eastAsia="宋体" w:hint="default"/>
          <w:spacing w:val="-104"/>
        </w:rPr>
      </w:r>
      <w:r>
        <w:rPr>
          <w:rFonts w:ascii="宋体" w:hAnsi="宋体" w:cs="宋体" w:eastAsia="宋体" w:hint="default"/>
          <w:spacing w:val="-104"/>
          <w:sz w:val="24"/>
          <w:szCs w:val="24"/>
        </w:rPr>
      </w:r>
      <w:r>
        <w:rPr>
          <w:spacing w:val="-2"/>
        </w:rPr>
        <w:t>短期薪酬是指本公司在职工提供相关服务的年度报告期间结束后十二个月内需要全部予以</w:t>
      </w:r>
    </w:p>
    <w:p>
      <w:pPr>
        <w:pStyle w:val="BodyText"/>
        <w:spacing w:line="314" w:lineRule="auto" w:before="26"/>
        <w:ind w:left="136" w:right="0"/>
        <w:jc w:val="left"/>
        <w:rPr>
          <w:rFonts w:ascii="宋体" w:hAnsi="宋体" w:cs="宋体" w:eastAsia="宋体" w:hint="default"/>
          <w:sz w:val="24"/>
          <w:szCs w:val="24"/>
        </w:rPr>
      </w:pPr>
      <w:r>
        <w:rPr>
          <w:spacing w:val="-2"/>
        </w:rPr>
        <w:t>支付的职工薪酬，离职后福利和辞退福利除外。本公司在职工提供服务的会计期间，将应付的短</w:t>
      </w:r>
      <w:r>
        <w:rPr>
          <w:spacing w:val="-25"/>
        </w:rPr>
        <w:t> </w:t>
      </w:r>
      <w:r>
        <w:rPr>
          <w:spacing w:val="-25"/>
        </w:rPr>
      </w:r>
      <w:r>
        <w:rPr/>
        <w:t>期薪酬确认为负债，并根据职工提供服务的受益对象计入相关资产成本和费用。</w:t>
      </w:r>
      <w:r>
        <w:rPr>
          <w:rFonts w:ascii="宋体" w:hAnsi="宋体" w:cs="宋体" w:eastAsia="宋体" w:hint="default"/>
          <w:sz w:val="24"/>
          <w:szCs w:val="24"/>
        </w:rPr>
        <w:t> </w:t>
      </w:r>
    </w:p>
    <w:p>
      <w:pPr>
        <w:pStyle w:val="Heading3"/>
        <w:spacing w:line="251" w:lineRule="exact"/>
        <w:ind w:left="136" w:right="0"/>
        <w:jc w:val="left"/>
      </w:pPr>
      <w:r>
        <w:rPr/>
        <w:t> </w:t>
      </w:r>
    </w:p>
    <w:p>
      <w:pPr>
        <w:pStyle w:val="Heading4"/>
        <w:spacing w:line="240" w:lineRule="auto"/>
        <w:ind w:left="136" w:right="2819"/>
        <w:jc w:val="left"/>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07" w:lineRule="auto" w:before="56"/>
        <w:ind w:left="617" w:right="0" w:hanging="481"/>
        <w:jc w:val="left"/>
      </w:pPr>
      <w:r>
        <w:rPr/>
        <w:t>√适用 </w:t>
      </w:r>
      <w:r>
        <w:rPr>
          <w:rFonts w:ascii="宋体" w:hAnsi="宋体" w:cs="宋体" w:eastAsia="宋体" w:hint="default"/>
        </w:rPr>
      </w:r>
      <w:r>
        <w:rPr/>
        <w:t>□不适用</w:t>
      </w:r>
      <w:r>
        <w:rPr>
          <w:spacing w:val="-104"/>
        </w:rPr>
        <w:t> </w:t>
      </w:r>
      <w:r>
        <w:rPr>
          <w:rFonts w:ascii="宋体" w:hAnsi="宋体" w:cs="宋体" w:eastAsia="宋体" w:hint="default"/>
          <w:spacing w:val="-104"/>
        </w:rPr>
      </w:r>
      <w:r>
        <w:rPr>
          <w:rFonts w:ascii="宋体" w:hAnsi="宋体" w:cs="宋体" w:eastAsia="宋体" w:hint="default"/>
          <w:spacing w:val="-104"/>
          <w:sz w:val="24"/>
          <w:szCs w:val="24"/>
        </w:rPr>
      </w:r>
      <w:r>
        <w:rPr>
          <w:spacing w:val="-3"/>
        </w:rPr>
        <w:t>离职后福利是指本公司为获得职工提供的服务而在职工退休或与企业解除劳动关系后，提供</w:t>
      </w:r>
    </w:p>
    <w:p>
      <w:pPr>
        <w:pStyle w:val="BodyText"/>
        <w:spacing w:line="314" w:lineRule="auto" w:before="26"/>
        <w:ind w:left="557" w:right="0" w:hanging="421"/>
        <w:jc w:val="left"/>
      </w:pPr>
      <w:r>
        <w:rPr/>
        <w:t>的各种形式的报酬和福利，短期薪酬和辞退福利除外。</w:t>
      </w:r>
      <w:r>
        <w:rPr>
          <w:w w:val="100"/>
        </w:rPr>
        <w:t> </w:t>
      </w:r>
      <w:r>
        <w:rPr/>
        <w:t>本公司的离职后福利计划分类为设定提存计划和设定受益计划。</w:t>
      </w:r>
      <w:r>
        <w:rPr>
          <w:w w:val="100"/>
        </w:rPr>
        <w:t> </w:t>
      </w:r>
      <w:r>
        <w:rPr>
          <w:spacing w:val="-2"/>
        </w:rPr>
        <w:t>离职后福利设定提存计划主要为参加由各地劳动及社会保障机构组织实施的社会基本养老保</w:t>
      </w:r>
    </w:p>
    <w:p>
      <w:pPr>
        <w:pStyle w:val="BodyText"/>
        <w:spacing w:line="314" w:lineRule="auto" w:before="20"/>
        <w:ind w:left="136" w:right="0"/>
        <w:jc w:val="left"/>
      </w:pPr>
      <w:r>
        <w:rPr>
          <w:spacing w:val="-1"/>
        </w:rPr>
        <w:t>险、失业保险等；在职工为本公司提供服务的会计期间，将根据设定提存计划计算的应缴存金额</w:t>
      </w:r>
      <w:r>
        <w:rPr>
          <w:spacing w:val="-55"/>
        </w:rPr>
        <w:t> </w:t>
      </w:r>
      <w:r>
        <w:rPr>
          <w:spacing w:val="-55"/>
        </w:rPr>
      </w:r>
      <w:r>
        <w:rPr/>
        <w:t>确认为负债，并计入当期损益或相关资产成本。</w:t>
      </w:r>
    </w:p>
    <w:p>
      <w:pPr>
        <w:pStyle w:val="BodyText"/>
        <w:spacing w:line="314" w:lineRule="auto" w:before="20"/>
        <w:ind w:left="557" w:right="0"/>
        <w:jc w:val="left"/>
      </w:pPr>
      <w:r>
        <w:rPr/>
        <w:t>本公司按照国家规定的标准和年金计划定期缴付上述款项后，不再有其他的支付义务。</w:t>
      </w:r>
      <w:r>
        <w:rPr>
          <w:w w:val="100"/>
        </w:rPr>
        <w:t> </w:t>
      </w:r>
      <w:r>
        <w:rPr>
          <w:spacing w:val="-2"/>
        </w:rPr>
        <w:t>离职后福利设定受益计划主要为离退休人员支付的明确标准的统筹外福利。对于设定受益计</w:t>
      </w:r>
    </w:p>
    <w:p>
      <w:pPr>
        <w:pStyle w:val="BodyText"/>
        <w:spacing w:line="312" w:lineRule="auto" w:before="20"/>
        <w:ind w:left="136" w:right="0"/>
        <w:jc w:val="left"/>
        <w:rPr>
          <w:rFonts w:ascii="宋体" w:hAnsi="宋体" w:cs="宋体" w:eastAsia="宋体" w:hint="default"/>
        </w:rPr>
      </w:pPr>
      <w:r>
        <w:rPr>
          <w:spacing w:val="-1"/>
        </w:rPr>
        <w:t>划中承担的义务，在资产负债表日由独立精算师使用预期累计福利单位法进行精算，将设定受益</w:t>
      </w:r>
      <w:r>
        <w:rPr>
          <w:spacing w:val="-55"/>
        </w:rPr>
        <w:t> </w:t>
      </w:r>
      <w:r>
        <w:rPr>
          <w:spacing w:val="-55"/>
        </w:rPr>
      </w:r>
      <w:r>
        <w:rPr>
          <w:spacing w:val="-1"/>
        </w:rPr>
        <w:t>计划产生的福利义务归属于职工提供服务的期间，并计入当期损益或相关资产成本，其中：除非</w:t>
      </w:r>
      <w:r>
        <w:rPr>
          <w:spacing w:val="-55"/>
        </w:rPr>
        <w:t> </w:t>
      </w:r>
      <w:r>
        <w:rPr>
          <w:spacing w:val="-55"/>
        </w:rPr>
      </w:r>
      <w:r>
        <w:rPr>
          <w:spacing w:val="-1"/>
        </w:rPr>
        <w:t>其他会计准则要求或允许职工福利成本计入资产成本，设定受益计划服务成本和设定受益计划净</w:t>
      </w:r>
      <w:r>
        <w:rPr>
          <w:spacing w:val="-55"/>
        </w:rPr>
        <w:t> </w:t>
      </w:r>
      <w:r>
        <w:rPr>
          <w:spacing w:val="-55"/>
        </w:rPr>
      </w:r>
      <w:r>
        <w:rPr>
          <w:spacing w:val="-1"/>
        </w:rPr>
        <w:t>负债或净资产的利息净额在发生当期计入当期损益；重新计量设定受益计划净负债或净资产所产</w:t>
      </w:r>
      <w:r>
        <w:rPr>
          <w:spacing w:val="-54"/>
        </w:rPr>
        <w:t> </w:t>
      </w:r>
      <w:r>
        <w:rPr>
          <w:spacing w:val="-54"/>
        </w:rPr>
      </w:r>
      <w:r>
        <w:rPr/>
        <w:t>生的变动在发生当期计入其他综合收益，且在后续会计期间不允许转回至损益</w:t>
      </w:r>
      <w:r>
        <w:rPr>
          <w:rFonts w:ascii="宋体" w:hAnsi="宋体" w:cs="宋体" w:eastAsia="宋体" w:hint="default"/>
          <w:w w:val="100"/>
        </w:rPr>
        <w:t> </w:t>
      </w:r>
      <w:r>
        <w:rPr>
          <w:rFonts w:ascii="宋体" w:hAnsi="宋体" w:cs="宋体" w:eastAsia="宋体" w:hint="default"/>
          <w:b/>
          <w:bCs/>
        </w:rPr>
        <w:t>(3).</w:t>
      </w:r>
      <w:r>
        <w:rPr>
          <w:rFonts w:ascii="宋体" w:hAnsi="宋体" w:cs="宋体" w:eastAsia="宋体" w:hint="default"/>
          <w:b/>
          <w:bCs/>
        </w:rPr>
        <w:t>辞退福利的会计处理方法</w:t>
      </w:r>
      <w:r>
        <w:rPr>
          <w:rFonts w:ascii="宋体" w:hAnsi="宋体" w:cs="宋体" w:eastAsia="宋体" w:hint="default"/>
          <w:b/>
          <w:bCs/>
          <w:w w:val="99"/>
        </w:rPr>
        <w:t> </w:t>
      </w:r>
      <w:r>
        <w:rPr>
          <w:rFonts w:ascii="宋体" w:hAnsi="宋体" w:cs="宋体" w:eastAsia="宋体" w:hint="default"/>
        </w:rPr>
      </w:r>
    </w:p>
    <w:p>
      <w:pPr>
        <w:pStyle w:val="BodyText"/>
        <w:spacing w:line="307" w:lineRule="auto"/>
        <w:ind w:left="617" w:right="0" w:hanging="481"/>
        <w:jc w:val="left"/>
      </w:pPr>
      <w:r>
        <w:rPr/>
        <w:t>√适用 </w:t>
      </w:r>
      <w:r>
        <w:rPr>
          <w:rFonts w:ascii="宋体" w:hAnsi="宋体" w:cs="宋体" w:eastAsia="宋体" w:hint="default"/>
        </w:rPr>
      </w:r>
      <w:r>
        <w:rPr/>
        <w:t>□不适用</w:t>
      </w:r>
      <w:r>
        <w:rPr>
          <w:spacing w:val="-104"/>
        </w:rPr>
        <w:t> </w:t>
      </w:r>
      <w:r>
        <w:rPr>
          <w:rFonts w:ascii="宋体" w:hAnsi="宋体" w:cs="宋体" w:eastAsia="宋体" w:hint="default"/>
          <w:spacing w:val="-104"/>
        </w:rPr>
      </w:r>
      <w:r>
        <w:rPr>
          <w:rFonts w:ascii="宋体" w:hAnsi="宋体" w:cs="宋体" w:eastAsia="宋体" w:hint="default"/>
          <w:spacing w:val="-104"/>
          <w:sz w:val="24"/>
          <w:szCs w:val="24"/>
        </w:rPr>
      </w:r>
      <w:r>
        <w:rPr>
          <w:spacing w:val="-3"/>
        </w:rPr>
        <w:t>辞退福利是指本公司在职工劳动合同到期之前解除与职工的劳动关系，或者为鼓励职工自愿</w:t>
      </w:r>
    </w:p>
    <w:p>
      <w:pPr>
        <w:pStyle w:val="BodyText"/>
        <w:spacing w:line="314" w:lineRule="auto" w:before="26"/>
        <w:ind w:left="136" w:right="209"/>
        <w:jc w:val="both"/>
      </w:pPr>
      <w:r>
        <w:rPr>
          <w:spacing w:val="-1"/>
        </w:rPr>
        <w:t>接受裁减而给予职工的补偿，在本公司不能单方面撤回解除劳动关系计划或裁减建议时和确认与</w:t>
      </w:r>
      <w:r>
        <w:rPr>
          <w:spacing w:val="-55"/>
        </w:rPr>
        <w:t> </w:t>
      </w:r>
      <w:r>
        <w:rPr>
          <w:spacing w:val="-55"/>
        </w:rPr>
      </w:r>
      <w:r>
        <w:rPr>
          <w:spacing w:val="-1"/>
        </w:rPr>
        <w:t>涉及支付辞退福利的重组相关的成本费用时两者孰早日，确认因解除与职工的劳动关系给予补偿</w:t>
      </w:r>
      <w:r>
        <w:rPr>
          <w:spacing w:val="-54"/>
        </w:rPr>
        <w:t> </w:t>
      </w:r>
      <w:r>
        <w:rPr>
          <w:spacing w:val="-54"/>
        </w:rPr>
      </w:r>
      <w:r>
        <w:rPr/>
        <w:t>而产生的负债，同时计入当期损益。</w:t>
      </w:r>
    </w:p>
    <w:p>
      <w:pPr>
        <w:pStyle w:val="BodyText"/>
        <w:spacing w:line="312" w:lineRule="auto" w:before="20"/>
        <w:ind w:left="136" w:right="0" w:firstLine="420"/>
        <w:jc w:val="left"/>
        <w:rPr>
          <w:rFonts w:ascii="宋体" w:hAnsi="宋体" w:cs="宋体" w:eastAsia="宋体" w:hint="default"/>
        </w:rPr>
      </w:pPr>
      <w:r>
        <w:rPr/>
        <w:t>本公司向接受内部退休安排的职工提供内退福利。内退福利是指，向未达到国家规定的退休</w:t>
      </w:r>
      <w:r>
        <w:rPr>
          <w:w w:val="100"/>
        </w:rPr>
        <w:t> </w:t>
      </w:r>
      <w:r>
        <w:rPr/>
        <w:t>年龄、经本公司管理层批准自愿退出工作岗位的职工支付的工资及为其缴纳的社会保险费等。本</w:t>
      </w:r>
      <w:r>
        <w:rPr>
          <w:spacing w:val="-97"/>
        </w:rPr>
        <w:t> </w:t>
      </w:r>
      <w:r>
        <w:rPr>
          <w:spacing w:val="-97"/>
        </w:rPr>
      </w:r>
      <w:r>
        <w:rPr/>
        <w:t>公司自内部退休安排开始之日起至职工达到正常退休年龄止，向内退职工支付内部退养福利。对</w:t>
      </w:r>
      <w:r>
        <w:rPr>
          <w:spacing w:val="-97"/>
        </w:rPr>
        <w:t> </w:t>
      </w:r>
      <w:r>
        <w:rPr>
          <w:spacing w:val="-97"/>
        </w:rPr>
      </w:r>
      <w:r>
        <w:rPr/>
        <w:t>于内退福利，本公司比照辞退福利进行会计处理，在符合辞退福利相关确认条件时，将自职工停</w:t>
      </w:r>
      <w:r>
        <w:rPr>
          <w:spacing w:val="-97"/>
        </w:rPr>
        <w:t> </w:t>
      </w:r>
      <w:r>
        <w:rPr>
          <w:spacing w:val="-97"/>
        </w:rPr>
      </w:r>
      <w:r>
        <w:rPr/>
        <w:t>止提供服务日至正常退休日期间拟支付的内退职工工资和缴纳的社会保险费等，确认为负债，一</w:t>
      </w:r>
      <w:r>
        <w:rPr>
          <w:spacing w:val="-97"/>
        </w:rPr>
        <w:t> </w:t>
      </w:r>
      <w:r>
        <w:rPr>
          <w:spacing w:val="-97"/>
        </w:rPr>
      </w:r>
      <w:r>
        <w:rPr>
          <w:spacing w:val="-7"/>
          <w:w w:val="100"/>
        </w:rPr>
        <w:t>次性计入当期损益。内退福利的精算假设变化及福利标准调整引起的差异于发生时计入当期损益。</w:t>
      </w:r>
      <w:r>
        <w:rPr>
          <w:spacing w:val="-67"/>
          <w:w w:val="100"/>
        </w:rPr>
        <w:t> </w:t>
      </w:r>
      <w:r>
        <w:rPr>
          <w:rFonts w:ascii="宋体" w:hAnsi="宋体" w:cs="宋体" w:eastAsia="宋体" w:hint="default"/>
          <w:spacing w:val="-67"/>
          <w:w w:val="100"/>
        </w:rPr>
      </w:r>
      <w:r>
        <w:rPr>
          <w:rFonts w:ascii="宋体" w:hAnsi="宋体" w:cs="宋体" w:eastAsia="宋体" w:hint="default"/>
          <w:b/>
          <w:bCs/>
        </w:rPr>
        <w:t>(4).</w:t>
      </w:r>
      <w:r>
        <w:rPr>
          <w:rFonts w:ascii="宋体" w:hAnsi="宋体" w:cs="宋体" w:eastAsia="宋体" w:hint="default"/>
          <w:b/>
          <w:bCs/>
        </w:rPr>
        <w:t>其他长期职工福利的会计处理方法</w:t>
      </w:r>
      <w:r>
        <w:rPr>
          <w:rFonts w:ascii="宋体" w:hAnsi="宋体" w:cs="宋体" w:eastAsia="宋体" w:hint="default"/>
          <w:b/>
          <w:bCs/>
          <w:w w:val="99"/>
        </w:rPr>
        <w:t> </w:t>
      </w:r>
      <w:r>
        <w:rPr>
          <w:rFonts w:ascii="宋体" w:hAnsi="宋体" w:cs="宋体" w:eastAsia="宋体" w:hint="default"/>
        </w:rPr>
      </w:r>
    </w:p>
    <w:p>
      <w:pPr>
        <w:pStyle w:val="BodyText"/>
        <w:spacing w:line="309" w:lineRule="auto"/>
        <w:ind w:left="557" w:right="0" w:hanging="421"/>
        <w:jc w:val="left"/>
      </w:pPr>
      <w:r>
        <w:rPr/>
        <w:t>√适用 </w:t>
      </w:r>
      <w:r>
        <w:rPr>
          <w:rFonts w:ascii="宋体" w:hAnsi="宋体" w:cs="宋体" w:eastAsia="宋体" w:hint="default"/>
        </w:rPr>
      </w:r>
      <w:r>
        <w:rPr/>
        <w:t>□不适用</w:t>
      </w:r>
      <w:r>
        <w:rPr>
          <w:spacing w:val="-104"/>
        </w:rPr>
        <w:t> </w:t>
      </w:r>
      <w:r>
        <w:rPr>
          <w:rFonts w:ascii="宋体" w:hAnsi="宋体" w:cs="宋体" w:eastAsia="宋体" w:hint="default"/>
          <w:spacing w:val="-104"/>
        </w:rPr>
      </w:r>
      <w:r>
        <w:rPr>
          <w:rFonts w:ascii="宋体" w:hAnsi="宋体" w:cs="宋体" w:eastAsia="宋体" w:hint="default"/>
          <w:spacing w:val="-104"/>
          <w:sz w:val="24"/>
          <w:szCs w:val="24"/>
        </w:rPr>
      </w:r>
      <w:r>
        <w:rPr/>
        <w:t>其他长期职工福利是指除短期薪酬、离职后福利、辞退福利之外的其他所有职工福利。</w:t>
      </w:r>
      <w:r>
        <w:rPr>
          <w:rFonts w:ascii="宋体" w:hAnsi="宋体" w:cs="宋体" w:eastAsia="宋体" w:hint="default"/>
          <w:w w:val="100"/>
        </w:rPr>
        <w:t> </w:t>
      </w:r>
      <w:r>
        <w:rPr>
          <w:spacing w:val="-2"/>
        </w:rPr>
        <w:t>对符合设定提存计划条件的其他长期职工福利，在职工为本公司提供服务的会计期间，将应</w:t>
      </w:r>
    </w:p>
    <w:p>
      <w:pPr>
        <w:pStyle w:val="BodyText"/>
        <w:spacing w:line="240" w:lineRule="auto" w:before="24"/>
        <w:ind w:left="136" w:right="0"/>
        <w:jc w:val="left"/>
      </w:pPr>
      <w:r>
        <w:rPr/>
        <w:t>缴存金额确认为负债，并计入当期损益或相关资产成本；除上述情形外的其他长期职工福利，在</w:t>
      </w:r>
    </w:p>
    <w:p>
      <w:pPr>
        <w:spacing w:after="0" w:line="240" w:lineRule="auto"/>
        <w:jc w:val="left"/>
        <w:sectPr>
          <w:pgSz w:w="11910" w:h="16840"/>
          <w:pgMar w:header="857" w:footer="979" w:top="1120" w:bottom="1160" w:left="1140" w:right="1580"/>
        </w:sectPr>
      </w:pPr>
    </w:p>
    <w:p>
      <w:pPr>
        <w:spacing w:line="240" w:lineRule="auto" w:before="4"/>
        <w:rPr>
          <w:rFonts w:ascii="宋体" w:hAnsi="宋体" w:cs="宋体" w:eastAsia="宋体" w:hint="default"/>
          <w:sz w:val="24"/>
          <w:szCs w:val="24"/>
        </w:rPr>
      </w:pPr>
    </w:p>
    <w:p>
      <w:pPr>
        <w:pStyle w:val="BodyText"/>
        <w:spacing w:line="314" w:lineRule="auto" w:before="36"/>
        <w:ind w:left="136" w:right="0"/>
        <w:jc w:val="left"/>
        <w:rPr>
          <w:rFonts w:ascii="宋体" w:hAnsi="宋体" w:cs="宋体" w:eastAsia="宋体" w:hint="default"/>
          <w:sz w:val="24"/>
          <w:szCs w:val="24"/>
        </w:rPr>
      </w:pPr>
      <w:r>
        <w:rPr>
          <w:spacing w:val="-1"/>
        </w:rPr>
        <w:t>资产负债表日由独立精算师使用预期累计福利单位法进行精算，将设定受益计划产生的福利义务</w:t>
      </w:r>
      <w:r>
        <w:rPr>
          <w:spacing w:val="-55"/>
        </w:rPr>
        <w:t> </w:t>
      </w:r>
      <w:r>
        <w:rPr>
          <w:spacing w:val="-55"/>
        </w:rPr>
      </w:r>
      <w:r>
        <w:rPr/>
        <w:t>归属于职工提供服务的期间，并计入当期损益或相关资产成本。</w:t>
      </w:r>
      <w:r>
        <w:rPr>
          <w:rFonts w:ascii="宋体" w:hAnsi="宋体" w:cs="宋体" w:eastAsia="宋体" w:hint="default"/>
          <w:sz w:val="24"/>
          <w:szCs w:val="24"/>
        </w:rPr>
        <w:t> </w:t>
      </w:r>
    </w:p>
    <w:p>
      <w:pPr>
        <w:pStyle w:val="Heading3"/>
        <w:spacing w:line="251" w:lineRule="exact"/>
        <w:ind w:left="136" w:right="0"/>
        <w:jc w:val="left"/>
      </w:pPr>
      <w:r>
        <w:rPr/>
        <w:t> </w:t>
      </w:r>
    </w:p>
    <w:p>
      <w:pPr>
        <w:pStyle w:val="Heading4"/>
        <w:spacing w:line="240" w:lineRule="auto"/>
        <w:ind w:left="136" w:right="2819"/>
        <w:jc w:val="left"/>
        <w:rPr>
          <w:b w:val="0"/>
          <w:bCs w:val="0"/>
        </w:rPr>
      </w:pPr>
      <w:r>
        <w:rPr>
          <w:rFonts w:ascii="Times New Roman" w:hAnsi="Times New Roman" w:cs="Times New Roman" w:eastAsia="Times New Roman" w:hint="default"/>
        </w:rPr>
        <w:t>32.  </w:t>
      </w:r>
      <w:r>
        <w:rPr>
          <w:rFonts w:ascii="Times New Roman" w:hAnsi="Times New Roman" w:cs="Times New Roman" w:eastAsia="Times New Roman" w:hint="default"/>
          <w:spacing w:val="6"/>
        </w:rPr>
        <w:t> </w:t>
      </w:r>
      <w:r>
        <w:rPr/>
        <w:t>租赁负债</w:t>
      </w:r>
      <w:r>
        <w:rPr>
          <w:b w:val="0"/>
          <w:bCs w:val="0"/>
        </w:rPr>
      </w:r>
    </w:p>
    <w:p>
      <w:pPr>
        <w:pStyle w:val="BodyText"/>
        <w:spacing w:line="274" w:lineRule="exact" w:before="40"/>
        <w:ind w:left="136" w:right="2819"/>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40" w:lineRule="auto" w:before="56"/>
        <w:ind w:left="136" w:right="2819"/>
        <w:jc w:val="left"/>
        <w:rPr>
          <w:b w:val="0"/>
          <w:bCs w:val="0"/>
        </w:rPr>
      </w:pPr>
      <w:r>
        <w:rPr>
          <w:rFonts w:ascii="Times New Roman" w:hAnsi="Times New Roman" w:cs="Times New Roman" w:eastAsia="Times New Roman" w:hint="default"/>
        </w:rPr>
        <w:t>33.  </w:t>
      </w:r>
      <w:r>
        <w:rPr>
          <w:rFonts w:ascii="Times New Roman" w:hAnsi="Times New Roman" w:cs="Times New Roman" w:eastAsia="Times New Roman" w:hint="default"/>
          <w:spacing w:val="6"/>
        </w:rPr>
        <w:t> </w:t>
      </w:r>
      <w:r>
        <w:rPr/>
        <w:t>预计负债</w:t>
      </w:r>
      <w:r>
        <w:rPr>
          <w:b w:val="0"/>
          <w:bCs w:val="0"/>
        </w:rPr>
      </w:r>
    </w:p>
    <w:p>
      <w:pPr>
        <w:pStyle w:val="BodyText"/>
        <w:spacing w:line="240" w:lineRule="auto" w:before="43"/>
        <w:ind w:left="136" w:right="2819"/>
        <w:jc w:val="left"/>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304" w:lineRule="auto" w:before="73"/>
        <w:ind w:left="557" w:right="0" w:firstLine="60"/>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100"/>
        </w:rPr>
        <w:t> </w:t>
      </w:r>
      <w:r>
        <w:rPr/>
        <w:t>与或有事项相关的义务同时满足下列条件时，本公司确认为预计负债：</w:t>
      </w:r>
      <w:r>
        <w:rPr>
          <w:w w:val="100"/>
        </w:rPr>
        <w:t> </w:t>
      </w:r>
      <w:r>
        <w:rPr>
          <w:spacing w:val="-2"/>
        </w:rPr>
        <w:t>该义务是本公司承担的现时义务；履行该义务很可能导致经济利益流出本公司；该义务的金</w:t>
      </w:r>
    </w:p>
    <w:p>
      <w:pPr>
        <w:pStyle w:val="BodyText"/>
        <w:spacing w:line="240" w:lineRule="auto" w:before="29"/>
        <w:ind w:left="136" w:right="2819"/>
        <w:jc w:val="left"/>
      </w:pPr>
      <w:r>
        <w:rPr/>
        <w:t>额能够可靠地计量</w:t>
      </w:r>
    </w:p>
    <w:p>
      <w:pPr>
        <w:pStyle w:val="BodyText"/>
        <w:spacing w:line="304" w:lineRule="auto" w:before="85"/>
        <w:ind w:left="557" w:right="0" w:firstLine="2"/>
        <w:jc w:val="left"/>
      </w:pPr>
      <w:r>
        <w:rPr>
          <w:rFonts w:ascii="Times New Roman" w:hAnsi="Times New Roman" w:cs="Times New Roman" w:eastAsia="Times New Roman" w:hint="default"/>
          <w:b/>
          <w:bCs/>
        </w:rPr>
        <w:t>2</w:t>
      </w:r>
      <w:r>
        <w:rPr>
          <w:rFonts w:ascii="宋体" w:hAnsi="宋体" w:cs="宋体" w:eastAsia="宋体" w:hint="default"/>
          <w:b/>
          <w:bCs/>
        </w:rPr>
        <w:t>．预计负债的计量方法</w:t>
      </w:r>
      <w:r>
        <w:rPr>
          <w:rFonts w:ascii="宋体" w:hAnsi="宋体" w:cs="宋体" w:eastAsia="宋体" w:hint="default"/>
          <w:b/>
          <w:bCs/>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w:t>
      </w:r>
    </w:p>
    <w:p>
      <w:pPr>
        <w:pStyle w:val="BodyText"/>
        <w:spacing w:line="314" w:lineRule="auto" w:before="28"/>
        <w:ind w:left="557" w:right="0" w:hanging="421"/>
        <w:jc w:val="left"/>
      </w:pPr>
      <w:r>
        <w:rPr/>
        <w:t>因素。对于货币时间价值影响重大的，通过对相关未来现金流出进行折现后确定最佳估计数。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w:t>
      </w:r>
    </w:p>
    <w:p>
      <w:pPr>
        <w:pStyle w:val="BodyText"/>
        <w:spacing w:line="314" w:lineRule="auto" w:before="20"/>
        <w:ind w:left="557" w:right="0" w:hanging="421"/>
        <w:jc w:val="left"/>
      </w:pPr>
      <w:r>
        <w:rPr/>
        <w:t>估计数按照该范围的中间值即上下限金额的平均数确定。</w:t>
      </w:r>
      <w:r>
        <w:rPr>
          <w:w w:val="100"/>
        </w:rPr>
        <w:t> </w:t>
      </w:r>
      <w:r>
        <w:rPr>
          <w:spacing w:val="-2"/>
        </w:rPr>
        <w:t>所需支出不存在一个连续范围（或区间），或虽然存在一个连续范围但该范围内各种结果发</w:t>
      </w:r>
    </w:p>
    <w:p>
      <w:pPr>
        <w:pStyle w:val="BodyText"/>
        <w:spacing w:line="314" w:lineRule="auto" w:before="20"/>
        <w:ind w:left="136" w:right="0"/>
        <w:jc w:val="left"/>
      </w:pPr>
      <w:r>
        <w:rPr>
          <w:spacing w:val="-1"/>
        </w:rPr>
        <w:t>生的可能性不相同的，如或有事项涉及单个项目的，则最佳估计数按照最可能发生金额确定；如</w:t>
      </w:r>
      <w:r>
        <w:rPr>
          <w:spacing w:val="-55"/>
        </w:rPr>
        <w:t> </w:t>
      </w:r>
      <w:r>
        <w:rPr>
          <w:spacing w:val="-55"/>
        </w:rPr>
      </w:r>
      <w:r>
        <w:rPr/>
        <w:t>或有事项涉及多个项目的，则最佳估计数按各种可能结果及相关概率计算确定。</w:t>
      </w:r>
    </w:p>
    <w:p>
      <w:pPr>
        <w:pStyle w:val="BodyText"/>
        <w:spacing w:line="314" w:lineRule="auto" w:before="20"/>
        <w:ind w:left="136" w:right="211" w:firstLine="420"/>
        <w:jc w:val="both"/>
      </w:pPr>
      <w:r>
        <w:rPr>
          <w:spacing w:val="-2"/>
        </w:rPr>
        <w:t>本公司清偿预计负债所需支出全部或部分预期由第三方补偿的，补偿金额在基本确定能够收</w:t>
      </w:r>
      <w:r>
        <w:rPr>
          <w:w w:val="100"/>
        </w:rPr>
        <w:t> </w:t>
      </w:r>
      <w:r>
        <w:rPr/>
        <w:t>到时，作为资产单独确认，确认的补偿金额不超过预计负债的账面价值。</w:t>
      </w:r>
    </w:p>
    <w:p>
      <w:pPr>
        <w:pStyle w:val="Heading3"/>
        <w:spacing w:line="251" w:lineRule="exact"/>
        <w:ind w:left="136" w:right="0"/>
        <w:jc w:val="left"/>
      </w:pPr>
      <w:r>
        <w:rPr/>
        <w:t> </w:t>
      </w:r>
    </w:p>
    <w:p>
      <w:pPr>
        <w:pStyle w:val="Heading4"/>
        <w:spacing w:line="240" w:lineRule="auto"/>
        <w:ind w:left="136" w:right="2819"/>
        <w:jc w:val="left"/>
        <w:rPr>
          <w:b w:val="0"/>
          <w:bCs w:val="0"/>
        </w:rPr>
      </w:pPr>
      <w:r>
        <w:rPr>
          <w:rFonts w:ascii="Times New Roman" w:hAnsi="Times New Roman" w:cs="Times New Roman" w:eastAsia="Times New Roman" w:hint="default"/>
        </w:rPr>
        <w:t>34.  </w:t>
      </w:r>
      <w:r>
        <w:rPr>
          <w:rFonts w:ascii="Times New Roman" w:hAnsi="Times New Roman" w:cs="Times New Roman" w:eastAsia="Times New Roman" w:hint="default"/>
          <w:spacing w:val="6"/>
        </w:rPr>
        <w:t> </w:t>
      </w:r>
      <w:r>
        <w:rPr/>
        <w:t>股份支付</w:t>
      </w:r>
      <w:r>
        <w:rPr>
          <w:b w:val="0"/>
          <w:bCs w:val="0"/>
        </w:rPr>
      </w:r>
    </w:p>
    <w:p>
      <w:pPr>
        <w:pStyle w:val="BodyText"/>
        <w:spacing w:line="240" w:lineRule="auto" w:before="40"/>
        <w:ind w:left="136" w:right="2819"/>
        <w:jc w:val="left"/>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302" w:lineRule="auto" w:before="75"/>
        <w:ind w:left="557" w:right="2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本公司的股份支付分为以权益结算的股份支付和以现金结算的股份支付。</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对于授予的存在活跃市场的期权等权益工具，按照活跃市场中的报价确定其公允价值。对于</w:t>
      </w:r>
    </w:p>
    <w:p>
      <w:pPr>
        <w:pStyle w:val="BodyText"/>
        <w:spacing w:line="304" w:lineRule="auto" w:before="31"/>
        <w:ind w:left="136" w:right="208"/>
        <w:jc w:val="both"/>
      </w:pPr>
      <w:r>
        <w:rPr>
          <w:spacing w:val="-1"/>
        </w:rPr>
        <w:t>授予的不存在活跃市场的期权等权益工具，采用期权定价模型等确定其公允价值，选用的期权定</w:t>
      </w:r>
      <w:r>
        <w:rPr>
          <w:spacing w:val="-55"/>
        </w:rPr>
        <w:t> </w:t>
      </w:r>
      <w:r>
        <w:rPr>
          <w:spacing w:val="-55"/>
        </w:rPr>
      </w:r>
      <w:r>
        <w:rPr>
          <w:spacing w:val="-15"/>
          <w:w w:val="100"/>
        </w:rPr>
        <w:t>价模型考虑以下因素：（</w:t>
      </w:r>
      <w:r>
        <w:rPr>
          <w:rFonts w:ascii="Times New Roman" w:hAnsi="Times New Roman" w:cs="Times New Roman" w:eastAsia="Times New Roman" w:hint="default"/>
          <w:spacing w:val="-15"/>
          <w:w w:val="100"/>
        </w:rPr>
        <w:t>1</w:t>
      </w:r>
      <w:r>
        <w:rPr>
          <w:spacing w:val="-15"/>
          <w:w w:val="100"/>
        </w:rPr>
        <w:t>）期权的行权价格；（</w:t>
      </w:r>
      <w:r>
        <w:rPr>
          <w:rFonts w:ascii="Times New Roman" w:hAnsi="Times New Roman" w:cs="Times New Roman" w:eastAsia="Times New Roman" w:hint="default"/>
          <w:spacing w:val="-15"/>
          <w:w w:val="100"/>
        </w:rPr>
        <w:t>2</w:t>
      </w:r>
      <w:r>
        <w:rPr>
          <w:spacing w:val="-15"/>
          <w:w w:val="100"/>
        </w:rPr>
        <w:t>）期权的有效期；（</w:t>
      </w:r>
      <w:r>
        <w:rPr>
          <w:rFonts w:ascii="Times New Roman" w:hAnsi="Times New Roman" w:cs="Times New Roman" w:eastAsia="Times New Roman" w:hint="default"/>
          <w:spacing w:val="-15"/>
          <w:w w:val="100"/>
        </w:rPr>
        <w:t>3</w:t>
      </w:r>
      <w:r>
        <w:rPr>
          <w:spacing w:val="-15"/>
          <w:w w:val="100"/>
        </w:rPr>
        <w:t>）标的股份的现行价格；（</w:t>
      </w:r>
      <w:r>
        <w:rPr>
          <w:rFonts w:ascii="Times New Roman" w:hAnsi="Times New Roman" w:cs="Times New Roman" w:eastAsia="Times New Roman" w:hint="default"/>
          <w:spacing w:val="-15"/>
          <w:w w:val="100"/>
        </w:rPr>
        <w:t>4</w:t>
      </w:r>
      <w:r>
        <w:rPr>
          <w:spacing w:val="-15"/>
          <w:w w:val="100"/>
        </w:rPr>
        <w:t>）</w:t>
      </w:r>
      <w:r>
        <w:rPr>
          <w:spacing w:val="-82"/>
          <w:w w:val="100"/>
        </w:rPr>
        <w:t> </w:t>
      </w:r>
      <w:r>
        <w:rPr>
          <w:spacing w:val="-8"/>
          <w:w w:val="100"/>
        </w:rPr>
        <w:t>股价预计波动率；（</w:t>
      </w:r>
      <w:r>
        <w:rPr>
          <w:rFonts w:ascii="Times New Roman" w:hAnsi="Times New Roman" w:cs="Times New Roman" w:eastAsia="Times New Roman" w:hint="default"/>
          <w:spacing w:val="-8"/>
          <w:w w:val="100"/>
        </w:rPr>
        <w:t>5</w:t>
      </w:r>
      <w:r>
        <w:rPr>
          <w:spacing w:val="-8"/>
          <w:w w:val="100"/>
        </w:rPr>
        <w:t>）股份的预计股利；（</w:t>
      </w:r>
      <w:r>
        <w:rPr>
          <w:rFonts w:ascii="Times New Roman" w:hAnsi="Times New Roman" w:cs="Times New Roman" w:eastAsia="Times New Roman" w:hint="default"/>
          <w:spacing w:val="-8"/>
          <w:w w:val="100"/>
        </w:rPr>
        <w:t>6</w:t>
      </w:r>
      <w:r>
        <w:rPr>
          <w:spacing w:val="-8"/>
          <w:w w:val="100"/>
        </w:rPr>
        <w:t>）期权有效期内的无风险利率。</w:t>
      </w:r>
    </w:p>
    <w:p>
      <w:pPr>
        <w:pStyle w:val="BodyText"/>
        <w:spacing w:line="314" w:lineRule="auto" w:before="6"/>
        <w:ind w:left="136" w:right="209" w:firstLine="420"/>
        <w:jc w:val="both"/>
      </w:pPr>
      <w:r>
        <w:rPr>
          <w:spacing w:val="-2"/>
        </w:rPr>
        <w:t>在确定权益工具授予日的公允价值时，考虑股份支付协议规定的可行权条件中的市场条件和</w:t>
      </w:r>
      <w:r>
        <w:rPr>
          <w:w w:val="100"/>
        </w:rPr>
        <w:t> </w:t>
      </w:r>
      <w:r>
        <w:rPr>
          <w:spacing w:val="-1"/>
        </w:rPr>
        <w:t>非可行权条件的影响。股份支付存在非可行权条件的，只要职工或其他方满足了所有可行权条件</w:t>
      </w:r>
      <w:r>
        <w:rPr>
          <w:spacing w:val="-55"/>
        </w:rPr>
        <w:t> </w:t>
      </w:r>
      <w:r>
        <w:rPr>
          <w:spacing w:val="-55"/>
        </w:rPr>
      </w:r>
      <w:r>
        <w:rPr>
          <w:spacing w:val="-5"/>
          <w:w w:val="100"/>
        </w:rPr>
        <w:t>中的非市场条件（如服务期限等），即确认已得到服务相对应的成本费用。</w:t>
      </w:r>
    </w:p>
    <w:p>
      <w:pPr>
        <w:spacing w:line="297" w:lineRule="auto" w:before="20"/>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．确定可行权权益工具最佳估计的依据</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等待期内每个资产负债表日，根据最新取得的可行权职工人数变动等后续信息作出最佳估计，</w:t>
      </w:r>
    </w:p>
    <w:p>
      <w:pPr>
        <w:spacing w:after="0" w:line="297" w:lineRule="auto"/>
        <w:jc w:val="left"/>
        <w:rPr>
          <w:rFonts w:ascii="宋体" w:hAnsi="宋体" w:cs="宋体" w:eastAsia="宋体" w:hint="default"/>
          <w:sz w:val="21"/>
          <w:szCs w:val="21"/>
        </w:rPr>
        <w:sectPr>
          <w:pgSz w:w="11910" w:h="16840"/>
          <w:pgMar w:header="857" w:footer="979" w:top="1120" w:bottom="1160" w:left="1140" w:right="1580"/>
        </w:sectPr>
      </w:pPr>
    </w:p>
    <w:p>
      <w:pPr>
        <w:spacing w:line="240" w:lineRule="auto" w:before="4"/>
        <w:rPr>
          <w:rFonts w:ascii="宋体" w:hAnsi="宋体" w:cs="宋体" w:eastAsia="宋体" w:hint="default"/>
          <w:sz w:val="24"/>
          <w:szCs w:val="24"/>
        </w:rPr>
      </w:pPr>
    </w:p>
    <w:p>
      <w:pPr>
        <w:pStyle w:val="BodyText"/>
        <w:spacing w:line="314" w:lineRule="auto" w:before="36"/>
        <w:ind w:left="136" w:right="209"/>
        <w:jc w:val="both"/>
        <w:rPr>
          <w:rFonts w:ascii="宋体" w:hAnsi="宋体" w:cs="宋体" w:eastAsia="宋体" w:hint="default"/>
        </w:rPr>
      </w:pPr>
      <w:r>
        <w:rPr>
          <w:spacing w:val="-1"/>
        </w:rPr>
        <w:t>修正预计可行权的权益工具数量。在可行权日，最终预计可行权权益工具的数量与实际可行权数</w:t>
      </w:r>
      <w:r>
        <w:rPr>
          <w:spacing w:val="-55"/>
        </w:rPr>
        <w:t> </w:t>
      </w:r>
      <w:r>
        <w:rPr>
          <w:spacing w:val="-55"/>
        </w:rPr>
      </w:r>
      <w:r>
        <w:rPr/>
        <w:t>量一致。</w:t>
      </w:r>
      <w:r>
        <w:rPr>
          <w:rFonts w:ascii="宋体" w:hAnsi="宋体" w:cs="宋体" w:eastAsia="宋体" w:hint="default"/>
        </w:rPr>
        <w:t> </w:t>
      </w:r>
    </w:p>
    <w:p>
      <w:pPr>
        <w:pStyle w:val="BodyText"/>
        <w:spacing w:line="297" w:lineRule="auto" w:before="20"/>
        <w:ind w:left="557" w:right="0" w:firstLine="2"/>
        <w:jc w:val="left"/>
      </w:pPr>
      <w:r>
        <w:rPr>
          <w:rFonts w:ascii="Times New Roman" w:hAnsi="Times New Roman" w:cs="Times New Roman" w:eastAsia="Times New Roman" w:hint="default"/>
          <w:b/>
          <w:bCs/>
        </w:rPr>
        <w:t>4</w:t>
      </w:r>
      <w:r>
        <w:rPr>
          <w:rFonts w:ascii="宋体" w:hAnsi="宋体" w:cs="宋体" w:eastAsia="宋体" w:hint="default"/>
          <w:b/>
          <w:bCs/>
        </w:rPr>
        <w:t>．会计处理方法</w:t>
      </w:r>
      <w:r>
        <w:rPr>
          <w:rFonts w:ascii="宋体" w:hAnsi="宋体" w:cs="宋体" w:eastAsia="宋体" w:hint="default"/>
          <w:b/>
          <w:bCs/>
          <w:w w:val="100"/>
        </w:rPr>
        <w:t> </w:t>
      </w:r>
      <w:r>
        <w:rPr>
          <w:spacing w:val="-2"/>
        </w:rPr>
        <w:t>以权益结算的股份支付，按授予职工权益工具的公允价值计量。授予后立即可行权的，在授</w:t>
      </w:r>
    </w:p>
    <w:p>
      <w:pPr>
        <w:pStyle w:val="BodyText"/>
        <w:spacing w:line="314" w:lineRule="auto" w:before="34"/>
        <w:ind w:left="136" w:right="209"/>
        <w:jc w:val="both"/>
        <w:rPr>
          <w:rFonts w:ascii="宋体" w:hAnsi="宋体" w:cs="宋体" w:eastAsia="宋体" w:hint="default"/>
        </w:rPr>
      </w:pPr>
      <w:r>
        <w:rPr>
          <w:spacing w:val="-1"/>
        </w:rPr>
        <w:t>予日按照权益工具的公允价值计入相关成本或费用，相应增加资本公积。在完成等待期内的服务</w:t>
      </w:r>
      <w:r>
        <w:rPr>
          <w:spacing w:val="-55"/>
        </w:rPr>
        <w:t> </w:t>
      </w:r>
      <w:r>
        <w:rPr>
          <w:spacing w:val="-55"/>
        </w:rPr>
      </w:r>
      <w:r>
        <w:rPr>
          <w:spacing w:val="-1"/>
        </w:rPr>
        <w:t>或达到规定业绩条件才可行权的，在等待期内的每个资产负债表日，以对可行权权益工具数量的</w:t>
      </w:r>
      <w:r>
        <w:rPr>
          <w:spacing w:val="-55"/>
        </w:rPr>
        <w:t> </w:t>
      </w:r>
      <w:r>
        <w:rPr>
          <w:spacing w:val="-55"/>
        </w:rPr>
      </w:r>
      <w:r>
        <w:rPr>
          <w:spacing w:val="-1"/>
        </w:rPr>
        <w:t>最佳估计为基础，按照权益工具授予日的公允价值，将当期取得的服务计入相关成本或费用和资</w:t>
      </w:r>
      <w:r>
        <w:rPr>
          <w:spacing w:val="-55"/>
        </w:rPr>
        <w:t> </w:t>
      </w:r>
      <w:r>
        <w:rPr>
          <w:spacing w:val="-55"/>
        </w:rPr>
      </w:r>
      <w:r>
        <w:rPr/>
        <w:t>本公积。在可行权日之后不再对已确认的相关成本或费用和所有者权益总额进行调整。</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以现金结算的股份支付，按照本公司承担的以股份或其他权益工具为基础计算确定的负债的</w:t>
      </w:r>
      <w:r>
        <w:rPr>
          <w:w w:val="100"/>
        </w:rPr>
        <w:t> </w:t>
      </w:r>
      <w:r>
        <w:rPr>
          <w:spacing w:val="-1"/>
        </w:rPr>
        <w:t>公允价值计量。授予后立即可行权的，在授予日以本公司承担负债的公允价值计入相关成本或费</w:t>
      </w:r>
      <w:r>
        <w:rPr>
          <w:spacing w:val="-55"/>
        </w:rPr>
        <w:t> </w:t>
      </w:r>
      <w:r>
        <w:rPr>
          <w:spacing w:val="-55"/>
        </w:rPr>
      </w:r>
      <w:r>
        <w:rPr>
          <w:spacing w:val="-1"/>
        </w:rPr>
        <w:t>用，相应增加负债。在完成等待期内的服务或达到规定业绩条件以后才可行权的以现金结算的股</w:t>
      </w:r>
      <w:r>
        <w:rPr>
          <w:spacing w:val="-55"/>
        </w:rPr>
        <w:t> </w:t>
      </w:r>
      <w:r>
        <w:rPr>
          <w:spacing w:val="-55"/>
        </w:rPr>
      </w:r>
      <w:r>
        <w:rPr>
          <w:spacing w:val="-1"/>
        </w:rPr>
        <w:t>份支付，在等待期内的每个资产负债表日，以对可行权情况的最佳估计为基础，按照本公司承担</w:t>
      </w:r>
      <w:r>
        <w:rPr>
          <w:spacing w:val="-55"/>
        </w:rPr>
        <w:t> </w:t>
      </w:r>
      <w:r>
        <w:rPr>
          <w:spacing w:val="-55"/>
        </w:rPr>
      </w:r>
      <w:r>
        <w:rPr>
          <w:spacing w:val="-1"/>
        </w:rPr>
        <w:t>负债的公允价值金额，将当期取得的服务计入成本或费用和相应的负债。在相关负债结算前的每</w:t>
      </w:r>
      <w:r>
        <w:rPr>
          <w:spacing w:val="-55"/>
        </w:rPr>
        <w:t> </w:t>
      </w:r>
      <w:r>
        <w:rPr>
          <w:spacing w:val="-55"/>
        </w:rPr>
      </w:r>
      <w:r>
        <w:rPr/>
        <w:t>个资产负债表日以及结算日，对负债的公允价值重新计量，其变动计入当期损益。</w:t>
      </w:r>
      <w:r>
        <w:rPr>
          <w:rFonts w:ascii="宋体" w:hAnsi="宋体" w:cs="宋体" w:eastAsia="宋体" w:hint="default"/>
        </w:rPr>
        <w:t> </w:t>
      </w:r>
    </w:p>
    <w:p>
      <w:pPr>
        <w:pStyle w:val="BodyText"/>
        <w:spacing w:line="314" w:lineRule="auto" w:before="20"/>
        <w:ind w:left="136" w:right="0" w:firstLine="420"/>
        <w:jc w:val="left"/>
        <w:rPr>
          <w:rFonts w:ascii="宋体" w:hAnsi="宋体" w:cs="宋体" w:eastAsia="宋体" w:hint="default"/>
        </w:rPr>
      </w:pPr>
      <w:r>
        <w:rPr>
          <w:spacing w:val="-4"/>
          <w:w w:val="100"/>
        </w:rPr>
        <w:t>若在等待期内取消了授予的权益工具，本公司对取消所授予的权益性工具作为加速行权处理，</w:t>
      </w:r>
      <w:r>
        <w:rPr>
          <w:w w:val="100"/>
        </w:rPr>
        <w:t> </w:t>
      </w:r>
      <w:r>
        <w:rPr/>
        <w:t>将剩余等待期内应确认的金额立即计入当期损益，同时确认资本公积。职工或其他方能够选择满</w:t>
      </w:r>
      <w:r>
        <w:rPr>
          <w:spacing w:val="-97"/>
        </w:rPr>
        <w:t> </w:t>
      </w:r>
      <w:r>
        <w:rPr>
          <w:spacing w:val="-97"/>
        </w:rPr>
      </w:r>
      <w:r>
        <w:rPr/>
        <w:t>足非可行权条件但在等待期内未满足的，本公司将其作为授予权益工具的取消处理。</w:t>
      </w:r>
      <w:r>
        <w:rPr>
          <w:rFonts w:ascii="宋体" w:hAnsi="宋体" w:cs="宋体" w:eastAsia="宋体" w:hint="default"/>
        </w:rPr>
        <w:t> </w:t>
      </w:r>
    </w:p>
    <w:p>
      <w:pPr>
        <w:pStyle w:val="Heading3"/>
        <w:spacing w:line="251" w:lineRule="exact"/>
        <w:ind w:left="136" w:right="0"/>
        <w:jc w:val="both"/>
      </w:pPr>
      <w:r>
        <w:rPr/>
        <w:t> </w:t>
      </w:r>
    </w:p>
    <w:p>
      <w:pPr>
        <w:pStyle w:val="Heading4"/>
        <w:spacing w:line="240" w:lineRule="auto"/>
        <w:ind w:left="136" w:right="0"/>
        <w:jc w:val="both"/>
        <w:rPr>
          <w:b w:val="0"/>
          <w:bCs w:val="0"/>
        </w:rPr>
      </w:pPr>
      <w:r>
        <w:rPr>
          <w:rFonts w:ascii="Times New Roman" w:hAnsi="Times New Roman" w:cs="Times New Roman" w:eastAsia="Times New Roman" w:hint="default"/>
        </w:rPr>
        <w:t>35.  </w:t>
      </w:r>
      <w:r>
        <w:rPr>
          <w:rFonts w:ascii="Times New Roman" w:hAnsi="Times New Roman" w:cs="Times New Roman" w:eastAsia="Times New Roman" w:hint="default"/>
          <w:spacing w:val="3"/>
        </w:rPr>
        <w:t> </w:t>
      </w:r>
      <w:r>
        <w:rPr/>
        <w:t>优先股、永续债等其他金融工具</w:t>
      </w:r>
      <w:r>
        <w:rPr>
          <w:b w:val="0"/>
          <w:bCs w:val="0"/>
        </w:rPr>
      </w:r>
    </w:p>
    <w:p>
      <w:pPr>
        <w:pStyle w:val="BodyText"/>
        <w:spacing w:line="307" w:lineRule="auto" w:before="40"/>
        <w:ind w:left="557" w:right="0" w:hanging="421"/>
        <w:jc w:val="left"/>
      </w:pPr>
      <w:r>
        <w:rPr/>
        <w:t>√适用 </w:t>
      </w:r>
      <w:r>
        <w:rPr>
          <w:rFonts w:ascii="宋体" w:hAnsi="宋体" w:cs="宋体" w:eastAsia="宋体" w:hint="default"/>
        </w:rPr>
      </w:r>
      <w:r>
        <w:rPr/>
        <w:t>□不适用</w:t>
      </w:r>
      <w:r>
        <w:rPr>
          <w:spacing w:val="-104"/>
        </w:rPr>
        <w:t> </w:t>
      </w:r>
      <w:r>
        <w:rPr>
          <w:rFonts w:ascii="宋体" w:hAnsi="宋体" w:cs="宋体" w:eastAsia="宋体" w:hint="default"/>
          <w:spacing w:val="-104"/>
        </w:rPr>
      </w:r>
      <w:r>
        <w:rPr>
          <w:rFonts w:ascii="宋体" w:hAnsi="宋体" w:cs="宋体" w:eastAsia="宋体" w:hint="default"/>
          <w:spacing w:val="-104"/>
          <w:sz w:val="24"/>
          <w:szCs w:val="24"/>
        </w:rPr>
      </w:r>
      <w:r>
        <w:rPr>
          <w:spacing w:val="-2"/>
        </w:rPr>
        <w:t>本公司按照金融工具准则的规定，根据所发行优先股、永续债等金融工具的合同条款及其所</w:t>
      </w:r>
    </w:p>
    <w:p>
      <w:pPr>
        <w:pStyle w:val="BodyText"/>
        <w:spacing w:line="314" w:lineRule="auto" w:before="26"/>
        <w:ind w:left="136" w:right="209"/>
        <w:jc w:val="both"/>
        <w:rPr>
          <w:rFonts w:ascii="宋体" w:hAnsi="宋体" w:cs="宋体" w:eastAsia="宋体" w:hint="default"/>
        </w:rPr>
      </w:pPr>
      <w:r>
        <w:rPr>
          <w:spacing w:val="-1"/>
        </w:rPr>
        <w:t>反映的经济实质而非仅以法律形式，结合金融负债和权益工具的定义，在初始确认时将该金融工</w:t>
      </w:r>
      <w:r>
        <w:rPr>
          <w:spacing w:val="-55"/>
        </w:rPr>
        <w:t> </w:t>
      </w:r>
      <w:r>
        <w:rPr>
          <w:spacing w:val="-55"/>
        </w:rPr>
      </w:r>
      <w:r>
        <w:rPr/>
        <w:t>具或其组成部分分类为金融负债或权益工具：</w:t>
      </w:r>
      <w:r>
        <w:rPr>
          <w:rFonts w:ascii="宋体" w:hAnsi="宋体" w:cs="宋体" w:eastAsia="宋体" w:hint="default"/>
        </w:rPr>
        <w:t> </w:t>
      </w:r>
    </w:p>
    <w:p>
      <w:pPr>
        <w:pStyle w:val="Heading4"/>
        <w:spacing w:line="240" w:lineRule="auto" w:before="20"/>
        <w:ind w:left="559" w:right="2819"/>
        <w:jc w:val="left"/>
        <w:rPr>
          <w:rFonts w:ascii="宋体" w:hAnsi="宋体" w:cs="宋体" w:eastAsia="宋体" w:hint="default"/>
          <w:b w:val="0"/>
          <w:bCs w:val="0"/>
        </w:rPr>
      </w:pPr>
      <w:r>
        <w:rPr>
          <w:rFonts w:ascii="Times New Roman" w:hAnsi="Times New Roman" w:cs="Times New Roman" w:eastAsia="Times New Roman" w:hint="default"/>
        </w:rPr>
        <w:t>1</w:t>
      </w:r>
      <w:r>
        <w:rPr/>
        <w:t>．符合下列条件之一，将发行的金融工具分类为金融负债：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9"/>
        <w:ind w:left="557" w:right="2819"/>
        <w:jc w:val="left"/>
        <w:rPr>
          <w:rFonts w:ascii="宋体" w:hAnsi="宋体" w:cs="宋体" w:eastAsia="宋体" w:hint="default"/>
        </w:rPr>
      </w:pPr>
      <w:r>
        <w:rPr/>
        <w:t>（</w:t>
      </w:r>
      <w:r>
        <w:rPr>
          <w:rFonts w:ascii="宋体" w:hAnsi="宋体" w:cs="宋体" w:eastAsia="宋体" w:hint="default"/>
        </w:rPr>
        <w:t>1</w:t>
      </w:r>
      <w:r>
        <w:rPr/>
        <w:t>）向其他方交付现金或其他金融资产的合同义务；</w:t>
      </w:r>
      <w:r>
        <w:rPr>
          <w:rFonts w:ascii="宋体" w:hAnsi="宋体" w:cs="宋体" w:eastAsia="宋体" w:hint="default"/>
        </w:rPr>
        <w:t> </w:t>
      </w:r>
    </w:p>
    <w:p>
      <w:pPr>
        <w:pStyle w:val="BodyText"/>
        <w:spacing w:line="240" w:lineRule="auto" w:before="85"/>
        <w:ind w:left="557" w:right="0"/>
        <w:jc w:val="left"/>
        <w:rPr>
          <w:rFonts w:ascii="宋体" w:hAnsi="宋体" w:cs="宋体" w:eastAsia="宋体" w:hint="default"/>
        </w:rPr>
      </w:pPr>
      <w:r>
        <w:rPr/>
        <w:t>（</w:t>
      </w:r>
      <w:r>
        <w:rPr>
          <w:rFonts w:ascii="宋体" w:hAnsi="宋体" w:cs="宋体" w:eastAsia="宋体" w:hint="default"/>
        </w:rPr>
        <w:t>2</w:t>
      </w:r>
      <w:r>
        <w:rPr/>
        <w:t>）在潜在不利条件下，与其他方交换金融资产或金融负债的合同义务；</w:t>
      </w:r>
      <w:r>
        <w:rPr>
          <w:rFonts w:ascii="宋体" w:hAnsi="宋体" w:cs="宋体" w:eastAsia="宋体" w:hint="default"/>
        </w:rPr>
        <w:t> </w:t>
      </w:r>
    </w:p>
    <w:p>
      <w:pPr>
        <w:pStyle w:val="BodyText"/>
        <w:spacing w:line="314" w:lineRule="auto" w:before="85"/>
        <w:ind w:left="136" w:right="0" w:firstLine="420"/>
        <w:jc w:val="left"/>
        <w:rPr>
          <w:rFonts w:ascii="宋体" w:hAnsi="宋体" w:cs="宋体" w:eastAsia="宋体" w:hint="default"/>
        </w:rPr>
      </w:pPr>
      <w:r>
        <w:rPr>
          <w:spacing w:val="-4"/>
        </w:rPr>
        <w:t>（</w:t>
      </w:r>
      <w:r>
        <w:rPr>
          <w:rFonts w:ascii="宋体" w:hAnsi="宋体" w:cs="宋体" w:eastAsia="宋体" w:hint="default"/>
          <w:spacing w:val="-4"/>
        </w:rPr>
        <w:t>3</w:t>
      </w:r>
      <w:r>
        <w:rPr>
          <w:spacing w:val="-4"/>
        </w:rPr>
        <w:t>）将来须用或可用企业自身权益工具进行结算的非衍生工具合同，且企业根据该合同将交</w:t>
      </w:r>
      <w:r>
        <w:rPr>
          <w:w w:val="100"/>
        </w:rPr>
        <w:t> </w:t>
      </w:r>
      <w:r>
        <w:rPr/>
        <w:t>付可变数量的自身权益工具；</w:t>
      </w:r>
      <w:r>
        <w:rPr>
          <w:rFonts w:ascii="宋体" w:hAnsi="宋体" w:cs="宋体" w:eastAsia="宋体" w:hint="default"/>
        </w:rPr>
        <w:t> </w:t>
      </w:r>
    </w:p>
    <w:p>
      <w:pPr>
        <w:pStyle w:val="BodyText"/>
        <w:spacing w:line="314" w:lineRule="auto" w:before="20"/>
        <w:ind w:left="136" w:right="0" w:firstLine="420"/>
        <w:jc w:val="left"/>
        <w:rPr>
          <w:rFonts w:ascii="宋体" w:hAnsi="宋体" w:cs="宋体" w:eastAsia="宋体" w:hint="default"/>
        </w:rPr>
      </w:pPr>
      <w:r>
        <w:rPr>
          <w:spacing w:val="-4"/>
        </w:rPr>
        <w:t>（</w:t>
      </w:r>
      <w:r>
        <w:rPr>
          <w:rFonts w:ascii="宋体" w:hAnsi="宋体" w:cs="宋体" w:eastAsia="宋体" w:hint="default"/>
          <w:spacing w:val="-4"/>
        </w:rPr>
        <w:t>4</w:t>
      </w:r>
      <w:r>
        <w:rPr>
          <w:spacing w:val="-4"/>
        </w:rPr>
        <w:t>）将来须用或可用企业自身权益工具进行结算的衍生工具合同，但以固定数量的自身权益</w:t>
      </w:r>
      <w:r>
        <w:rPr>
          <w:w w:val="100"/>
        </w:rPr>
        <w:t> </w:t>
      </w:r>
      <w:r>
        <w:rPr/>
        <w:t>工具交换固定金额的现金或其他金融资产的衍生工具合同除外。</w:t>
      </w:r>
      <w:r>
        <w:rPr>
          <w:rFonts w:ascii="宋体" w:hAnsi="宋体" w:cs="宋体" w:eastAsia="宋体" w:hint="default"/>
        </w:rPr>
        <w:t> </w:t>
      </w:r>
    </w:p>
    <w:p>
      <w:pPr>
        <w:pStyle w:val="Heading4"/>
        <w:spacing w:line="240" w:lineRule="auto" w:before="20"/>
        <w:ind w:left="559" w:right="0"/>
        <w:jc w:val="left"/>
        <w:rPr>
          <w:rFonts w:ascii="宋体" w:hAnsi="宋体" w:cs="宋体" w:eastAsia="宋体" w:hint="default"/>
          <w:b w:val="0"/>
          <w:bCs w:val="0"/>
        </w:rPr>
      </w:pPr>
      <w:r>
        <w:rPr>
          <w:rFonts w:ascii="Times New Roman" w:hAnsi="Times New Roman" w:cs="Times New Roman" w:eastAsia="Times New Roman" w:hint="default"/>
        </w:rPr>
        <w:t>2</w:t>
      </w:r>
      <w:r>
        <w:rPr/>
        <w:t>．同时满足下列条件的，将发行的金融工具分类为权益工具：</w:t>
      </w:r>
      <w:r>
        <w:rPr>
          <w:rFonts w:ascii="宋体" w:hAnsi="宋体" w:cs="宋体" w:eastAsia="宋体" w:hint="default"/>
          <w:w w:val="99"/>
        </w:rPr>
        <w:t> </w:t>
      </w:r>
      <w:r>
        <w:rPr>
          <w:rFonts w:ascii="宋体" w:hAnsi="宋体" w:cs="宋体" w:eastAsia="宋体" w:hint="default"/>
          <w:b w:val="0"/>
          <w:bCs w:val="0"/>
        </w:rPr>
      </w:r>
    </w:p>
    <w:p>
      <w:pPr>
        <w:pStyle w:val="BodyText"/>
        <w:spacing w:line="314" w:lineRule="auto" w:before="69"/>
        <w:ind w:left="136" w:right="0" w:firstLine="420"/>
        <w:jc w:val="left"/>
        <w:rPr>
          <w:rFonts w:ascii="宋体" w:hAnsi="宋体" w:cs="宋体" w:eastAsia="宋体" w:hint="default"/>
        </w:rPr>
      </w:pPr>
      <w:r>
        <w:rPr>
          <w:spacing w:val="-4"/>
        </w:rPr>
        <w:t>（</w:t>
      </w:r>
      <w:r>
        <w:rPr>
          <w:rFonts w:ascii="宋体" w:hAnsi="宋体" w:cs="宋体" w:eastAsia="宋体" w:hint="default"/>
          <w:spacing w:val="-4"/>
        </w:rPr>
        <w:t>1</w:t>
      </w:r>
      <w:r>
        <w:rPr>
          <w:spacing w:val="-4"/>
        </w:rPr>
        <w:t>）该金融工具不包括交付现金或其他金融资产给其他方，或在潜在不利条件下与其他方交</w:t>
      </w:r>
      <w:r>
        <w:rPr>
          <w:w w:val="100"/>
        </w:rPr>
        <w:t> </w:t>
      </w:r>
      <w:r>
        <w:rPr/>
        <w:t>换金融资产或金融负债的合同义务；</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4"/>
        </w:rPr>
        <w:t>（</w:t>
      </w:r>
      <w:r>
        <w:rPr>
          <w:rFonts w:ascii="宋体" w:hAnsi="宋体" w:cs="宋体" w:eastAsia="宋体" w:hint="default"/>
          <w:spacing w:val="-4"/>
        </w:rPr>
        <w:t>2</w:t>
      </w:r>
      <w:r>
        <w:rPr>
          <w:spacing w:val="-4"/>
        </w:rPr>
        <w:t>）将来须用或可用企业自身权益工具结算该金融工具的，如该金融工具为非衍生工具，不</w:t>
      </w:r>
      <w:r>
        <w:rPr>
          <w:w w:val="100"/>
        </w:rPr>
        <w:t> </w:t>
      </w:r>
      <w:r>
        <w:rPr>
          <w:spacing w:val="-1"/>
        </w:rPr>
        <w:t>包括交付可变数量的自身权益工具进行结算的合同义务；如为衍生工具，企业只能通过以固定数</w:t>
      </w:r>
      <w:r>
        <w:rPr>
          <w:spacing w:val="-55"/>
        </w:rPr>
        <w:t> </w:t>
      </w:r>
      <w:r>
        <w:rPr>
          <w:spacing w:val="-55"/>
        </w:rPr>
      </w:r>
      <w:r>
        <w:rPr/>
        <w:t>量的自身权益工具交换固定金额的现金或其他金融资产结算该金融工具。</w:t>
      </w:r>
      <w:r>
        <w:rPr>
          <w:rFonts w:ascii="宋体" w:hAnsi="宋体" w:cs="宋体" w:eastAsia="宋体" w:hint="default"/>
        </w:rPr>
        <w:t> </w:t>
      </w:r>
    </w:p>
    <w:p>
      <w:pPr>
        <w:pStyle w:val="BodyText"/>
        <w:spacing w:line="297" w:lineRule="auto" w:before="20"/>
        <w:ind w:left="557" w:right="0" w:firstLine="2"/>
        <w:jc w:val="left"/>
      </w:pPr>
      <w:r>
        <w:rPr>
          <w:rFonts w:ascii="Times New Roman" w:hAnsi="Times New Roman" w:cs="Times New Roman" w:eastAsia="Times New Roman" w:hint="default"/>
          <w:b/>
          <w:bCs/>
        </w:rPr>
        <w:t>3</w:t>
      </w:r>
      <w:r>
        <w:rPr>
          <w:rFonts w:ascii="宋体" w:hAnsi="宋体" w:cs="宋体" w:eastAsia="宋体" w:hint="default"/>
          <w:b/>
          <w:bCs/>
        </w:rPr>
        <w:t>．会计处理方法</w:t>
      </w:r>
      <w:r>
        <w:rPr>
          <w:rFonts w:ascii="宋体" w:hAnsi="宋体" w:cs="宋体" w:eastAsia="宋体" w:hint="default"/>
          <w:b/>
          <w:bCs/>
          <w:w w:val="99"/>
        </w:rPr>
        <w:t> </w:t>
      </w:r>
      <w:r>
        <w:rPr>
          <w:spacing w:val="-2"/>
        </w:rPr>
        <w:t>对于归类为权益工具的金融工具，其利息支出或股利分配都应当作为发行企业的利润分配，</w:t>
      </w:r>
    </w:p>
    <w:p>
      <w:pPr>
        <w:spacing w:after="0" w:line="297" w:lineRule="auto"/>
        <w:jc w:val="left"/>
        <w:sectPr>
          <w:pgSz w:w="11910" w:h="16840"/>
          <w:pgMar w:header="857" w:footer="979" w:top="1120" w:bottom="1160" w:left="1140" w:right="1580"/>
        </w:sectPr>
      </w:pPr>
    </w:p>
    <w:p>
      <w:pPr>
        <w:spacing w:line="240" w:lineRule="auto" w:before="4"/>
        <w:rPr>
          <w:rFonts w:ascii="宋体" w:hAnsi="宋体" w:cs="宋体" w:eastAsia="宋体" w:hint="default"/>
          <w:sz w:val="24"/>
          <w:szCs w:val="24"/>
        </w:rPr>
      </w:pPr>
    </w:p>
    <w:p>
      <w:pPr>
        <w:pStyle w:val="BodyText"/>
        <w:spacing w:line="314" w:lineRule="auto" w:before="36"/>
        <w:ind w:left="557" w:right="0" w:hanging="421"/>
        <w:jc w:val="left"/>
      </w:pPr>
      <w:r>
        <w:rPr/>
        <w:t>其回购、注销等作为权益的变动处理，手续费、佣金等交易费用从权益中扣除；</w:t>
      </w:r>
      <w:r>
        <w:rPr>
          <w:rFonts w:ascii="宋体" w:hAnsi="宋体" w:cs="宋体" w:eastAsia="宋体" w:hint="default"/>
          <w:w w:val="100"/>
        </w:rPr>
        <w:t> </w:t>
      </w:r>
      <w:r>
        <w:rPr>
          <w:spacing w:val="-2"/>
        </w:rPr>
        <w:t>对于归类为金融负债的金融工具，其利息支出或股利分配原则上按照借款费用进行处理，其</w:t>
      </w:r>
    </w:p>
    <w:p>
      <w:pPr>
        <w:pStyle w:val="BodyText"/>
        <w:spacing w:line="314" w:lineRule="auto" w:before="20"/>
        <w:ind w:left="136" w:right="209"/>
        <w:jc w:val="both"/>
        <w:rPr>
          <w:rFonts w:ascii="宋体" w:hAnsi="宋体" w:cs="宋体" w:eastAsia="宋体" w:hint="default"/>
        </w:rPr>
      </w:pPr>
      <w:r>
        <w:rPr>
          <w:spacing w:val="-1"/>
        </w:rPr>
        <w:t>回购或赎回产生的利得或损失等计入当期损益，手续费、佣金等交易费用计入所发行工具的初始</w:t>
      </w:r>
      <w:r>
        <w:rPr>
          <w:spacing w:val="-55"/>
        </w:rPr>
        <w:t> </w:t>
      </w:r>
      <w:r>
        <w:rPr>
          <w:spacing w:val="-55"/>
        </w:rPr>
      </w:r>
      <w:r>
        <w:rPr/>
        <w:t>计量金额。</w:t>
      </w:r>
      <w:r>
        <w:rPr>
          <w:rFonts w:ascii="宋体" w:hAnsi="宋体" w:cs="宋体" w:eastAsia="宋体" w:hint="default"/>
        </w:rPr>
        <w:t> </w:t>
      </w:r>
    </w:p>
    <w:p>
      <w:pPr>
        <w:pStyle w:val="Heading3"/>
        <w:spacing w:line="251" w:lineRule="exact"/>
        <w:ind w:left="136" w:right="0"/>
        <w:jc w:val="both"/>
      </w:pPr>
      <w:r>
        <w:rPr/>
        <w:t> </w:t>
      </w:r>
    </w:p>
    <w:p>
      <w:pPr>
        <w:pStyle w:val="Heading4"/>
        <w:spacing w:line="240" w:lineRule="auto"/>
        <w:ind w:left="136" w:right="0"/>
        <w:jc w:val="both"/>
        <w:rPr>
          <w:b w:val="0"/>
          <w:bCs w:val="0"/>
        </w:rPr>
      </w:pPr>
      <w:r>
        <w:rPr>
          <w:rFonts w:ascii="Times New Roman" w:hAnsi="Times New Roman" w:cs="Times New Roman" w:eastAsia="Times New Roman" w:hint="default"/>
        </w:rPr>
        <w:t>36.  </w:t>
      </w:r>
      <w:r>
        <w:rPr>
          <w:rFonts w:ascii="Times New Roman" w:hAnsi="Times New Roman" w:cs="Times New Roman" w:eastAsia="Times New Roman" w:hint="default"/>
          <w:spacing w:val="5"/>
        </w:rPr>
        <w:t> </w:t>
      </w:r>
      <w:r>
        <w:rPr/>
        <w:t>收入</w:t>
      </w:r>
      <w:r>
        <w:rPr>
          <w:b w:val="0"/>
          <w:bCs w:val="0"/>
        </w:rPr>
      </w:r>
    </w:p>
    <w:p>
      <w:pPr>
        <w:pStyle w:val="BodyText"/>
        <w:spacing w:line="240" w:lineRule="auto" w:before="40"/>
        <w:ind w:left="136" w:right="0"/>
        <w:jc w:val="both"/>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97" w:lineRule="auto" w:before="75"/>
        <w:ind w:left="557" w:right="0" w:firstLine="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99"/>
          <w:sz w:val="21"/>
          <w:szCs w:val="21"/>
        </w:rPr>
        <w:t> </w:t>
      </w:r>
      <w:r>
        <w:rPr>
          <w:rFonts w:ascii="宋体" w:hAnsi="宋体" w:cs="宋体" w:eastAsia="宋体" w:hint="default"/>
          <w:spacing w:val="-2"/>
          <w:sz w:val="21"/>
          <w:szCs w:val="21"/>
        </w:rPr>
        <w:t>公司已将商品所有权上的主要风险和报酬转移给购买方；公司既没有保留与所有权相联系的</w:t>
      </w:r>
    </w:p>
    <w:p>
      <w:pPr>
        <w:pStyle w:val="BodyText"/>
        <w:spacing w:line="314" w:lineRule="auto" w:before="34"/>
        <w:ind w:left="136" w:right="115"/>
        <w:jc w:val="both"/>
        <w:rPr>
          <w:rFonts w:ascii="宋体" w:hAnsi="宋体" w:cs="宋体" w:eastAsia="宋体" w:hint="default"/>
        </w:rPr>
      </w:pPr>
      <w:r>
        <w:rPr/>
        <w:t>继续管理权，也没有对已售出的商品实施有效控制；收入的金额能够可靠地计量；相关的经济利</w:t>
      </w:r>
      <w:r>
        <w:rPr>
          <w:spacing w:val="-97"/>
        </w:rPr>
        <w:t> </w:t>
      </w:r>
      <w:r>
        <w:rPr>
          <w:spacing w:val="-97"/>
        </w:rPr>
      </w:r>
      <w:r>
        <w:rPr/>
        <w:t>益很可能流入企业；相关的已发生或将发生的成本能够可靠地计量时，确认商品销售收入实现。</w:t>
      </w:r>
      <w:r>
        <w:rPr>
          <w:rFonts w:ascii="宋体" w:hAnsi="宋体" w:cs="宋体" w:eastAsia="宋体" w:hint="default"/>
        </w:rPr>
        <w:t> </w:t>
      </w:r>
    </w:p>
    <w:p>
      <w:pPr>
        <w:pStyle w:val="BodyText"/>
        <w:spacing w:line="314" w:lineRule="auto" w:before="20"/>
        <w:ind w:left="136" w:right="211" w:firstLine="420"/>
        <w:jc w:val="both"/>
        <w:rPr>
          <w:rFonts w:ascii="宋体" w:hAnsi="宋体" w:cs="宋体" w:eastAsia="宋体" w:hint="default"/>
        </w:rPr>
      </w:pPr>
      <w:r>
        <w:rPr>
          <w:spacing w:val="-2"/>
        </w:rPr>
        <w:t>合同或协议价款的收取采用递延方式，实质上具有融资性质的，按照应收的合同或协议价款</w:t>
      </w:r>
      <w:r>
        <w:rPr>
          <w:w w:val="100"/>
        </w:rPr>
        <w:t> </w:t>
      </w:r>
      <w:r>
        <w:rPr/>
        <w:t>的公允价值确定收入金额。</w:t>
      </w:r>
      <w:r>
        <w:rPr>
          <w:rFonts w:ascii="宋体" w:hAnsi="宋体" w:cs="宋体" w:eastAsia="宋体" w:hint="default"/>
        </w:rPr>
        <w:t> </w:t>
      </w:r>
    </w:p>
    <w:p>
      <w:pPr>
        <w:pStyle w:val="BodyText"/>
        <w:spacing w:line="314" w:lineRule="auto" w:before="20"/>
        <w:ind w:left="136" w:right="211" w:firstLine="420"/>
        <w:jc w:val="both"/>
        <w:rPr>
          <w:rFonts w:ascii="宋体" w:hAnsi="宋体" w:cs="宋体" w:eastAsia="宋体" w:hint="default"/>
        </w:rPr>
      </w:pPr>
      <w:r>
        <w:rPr>
          <w:spacing w:val="-2"/>
        </w:rPr>
        <w:t>公司的经营业务主要从事电子政务信息及其他行业通用软件研发和系统集成服务，主要面向</w:t>
      </w:r>
      <w:r>
        <w:rPr>
          <w:w w:val="100"/>
        </w:rPr>
        <w:t> </w:t>
      </w:r>
      <w:r>
        <w:rPr>
          <w:spacing w:val="-5"/>
        </w:rPr>
        <w:t>党政机关、军队、广电等领域的客户提供软件开发、系统集成服务和技术支持与服务、</w:t>
      </w:r>
      <w:r>
        <w:rPr>
          <w:rFonts w:ascii="宋体" w:hAnsi="宋体" w:cs="宋体" w:eastAsia="宋体" w:hint="default"/>
          <w:spacing w:val="-5"/>
        </w:rPr>
        <w:t>BOT </w:t>
      </w:r>
      <w:r>
        <w:rPr>
          <w:spacing w:val="-3"/>
        </w:rPr>
        <w:t>项目、</w:t>
      </w:r>
      <w:r>
        <w:rPr>
          <w:spacing w:val="-95"/>
        </w:rPr>
        <w:t> </w:t>
      </w:r>
      <w:r>
        <w:rPr>
          <w:rFonts w:ascii="宋体" w:hAnsi="宋体" w:cs="宋体" w:eastAsia="宋体" w:hint="default"/>
        </w:rPr>
        <w:t>PPP</w:t>
      </w:r>
      <w:r>
        <w:rPr>
          <w:rFonts w:ascii="宋体" w:hAnsi="宋体" w:cs="宋体" w:eastAsia="宋体" w:hint="default"/>
          <w:spacing w:val="-53"/>
        </w:rPr>
        <w:t> </w:t>
      </w:r>
      <w:r>
        <w:rPr/>
        <w:t>项目。</w:t>
      </w:r>
      <w:r>
        <w:rPr>
          <w:rFonts w:ascii="宋体" w:hAnsi="宋体" w:cs="宋体" w:eastAsia="宋体" w:hint="default"/>
        </w:rPr>
        <w:t> </w:t>
      </w:r>
    </w:p>
    <w:p>
      <w:pPr>
        <w:pStyle w:val="BodyText"/>
        <w:spacing w:line="297" w:lineRule="auto" w:before="20"/>
        <w:ind w:left="557" w:right="0"/>
        <w:jc w:val="left"/>
      </w:pPr>
      <w:r>
        <w:rPr/>
        <w:t>（</w:t>
      </w:r>
      <w:r>
        <w:rPr>
          <w:rFonts w:ascii="Times New Roman" w:hAnsi="Times New Roman" w:cs="Times New Roman" w:eastAsia="Times New Roman" w:hint="default"/>
        </w:rPr>
        <w:t>1</w:t>
      </w:r>
      <w:r>
        <w:rPr/>
        <w:t>）软件开发</w:t>
      </w:r>
      <w:r>
        <w:rPr>
          <w:w w:val="100"/>
        </w:rPr>
        <w:t> </w:t>
      </w:r>
      <w:r>
        <w:rPr>
          <w:spacing w:val="-2"/>
        </w:rPr>
        <w:t>软件开发指公司针对客户在电子政务中的业务应用需求而提供的软件产品及应用软件定制开</w:t>
      </w:r>
    </w:p>
    <w:p>
      <w:pPr>
        <w:pStyle w:val="BodyText"/>
        <w:spacing w:line="314" w:lineRule="auto" w:before="34"/>
        <w:ind w:left="136" w:right="209"/>
        <w:jc w:val="both"/>
      </w:pPr>
      <w:r>
        <w:rPr>
          <w:spacing w:val="-1"/>
        </w:rPr>
        <w:t>发。该类收入一般在项目完工且取得客户的最终验收报告时按照销售商品收入标准确认相关收入</w:t>
      </w:r>
      <w:r>
        <w:rPr>
          <w:spacing w:val="-55"/>
        </w:rPr>
        <w:t> </w:t>
      </w:r>
      <w:r>
        <w:rPr>
          <w:spacing w:val="-55"/>
        </w:rPr>
      </w:r>
      <w:r>
        <w:rPr>
          <w:spacing w:val="-1"/>
        </w:rPr>
        <w:t>及成本。另公司在与客户签订的合同中有涉及质保金条款的，相关质保金在收到时确认收入，在</w:t>
      </w:r>
      <w:r>
        <w:rPr>
          <w:spacing w:val="-55"/>
        </w:rPr>
        <w:t> </w:t>
      </w:r>
      <w:r>
        <w:rPr>
          <w:spacing w:val="-55"/>
        </w:rPr>
      </w:r>
      <w:r>
        <w:rPr/>
        <w:t>项目完工或产品销售完成时不确认收入。</w:t>
      </w:r>
    </w:p>
    <w:p>
      <w:pPr>
        <w:pStyle w:val="BodyText"/>
        <w:spacing w:line="297" w:lineRule="auto" w:before="20"/>
        <w:ind w:left="557" w:right="0"/>
        <w:jc w:val="left"/>
      </w:pPr>
      <w:r>
        <w:rPr/>
        <w:t>（</w:t>
      </w:r>
      <w:r>
        <w:rPr>
          <w:rFonts w:ascii="Times New Roman" w:hAnsi="Times New Roman" w:cs="Times New Roman" w:eastAsia="Times New Roman" w:hint="default"/>
        </w:rPr>
        <w:t>2</w:t>
      </w:r>
      <w:r>
        <w:rPr/>
        <w:t>）系统集成</w:t>
      </w:r>
      <w:r>
        <w:rPr>
          <w:w w:val="100"/>
        </w:rPr>
        <w:t> </w:t>
      </w:r>
      <w:r>
        <w:rPr>
          <w:spacing w:val="-2"/>
        </w:rPr>
        <w:t>系统集成指公司通过应用各种相关计算机软件技术以及各种硬件设备，经过集成设计，安装</w:t>
      </w:r>
    </w:p>
    <w:p>
      <w:pPr>
        <w:pStyle w:val="BodyText"/>
        <w:spacing w:line="314" w:lineRule="auto" w:before="34"/>
        <w:ind w:left="136" w:right="209"/>
        <w:jc w:val="both"/>
      </w:pPr>
      <w:r>
        <w:rPr>
          <w:spacing w:val="-1"/>
        </w:rPr>
        <w:t>调试等大量技术性工作，提供客户所需的应用系统。该类收入一般根据合同的约定，在项目完工</w:t>
      </w:r>
      <w:r>
        <w:rPr>
          <w:spacing w:val="-55"/>
        </w:rPr>
        <w:t> </w:t>
      </w:r>
      <w:r>
        <w:rPr>
          <w:spacing w:val="-55"/>
        </w:rPr>
      </w:r>
      <w:r>
        <w:rPr>
          <w:spacing w:val="-1"/>
        </w:rPr>
        <w:t>且取得客户的最终验收报告时按照销售商品收入标准确认相关收入及成本。另公司在与客户签订</w:t>
      </w:r>
      <w:r>
        <w:rPr>
          <w:spacing w:val="-55"/>
        </w:rPr>
        <w:t> </w:t>
      </w:r>
      <w:r>
        <w:rPr>
          <w:spacing w:val="-55"/>
        </w:rPr>
      </w:r>
      <w:r>
        <w:rPr>
          <w:spacing w:val="-1"/>
        </w:rPr>
        <w:t>的合同中有涉及质保金条款的，相关质保金在收到时确认收入，在项目完工或产品销售完成时不</w:t>
      </w:r>
      <w:r>
        <w:rPr>
          <w:spacing w:val="-55"/>
        </w:rPr>
        <w:t> </w:t>
      </w:r>
      <w:r>
        <w:rPr>
          <w:spacing w:val="-55"/>
        </w:rPr>
      </w:r>
      <w:r>
        <w:rPr/>
        <w:t>确认收入。</w:t>
      </w:r>
    </w:p>
    <w:p>
      <w:pPr>
        <w:pStyle w:val="BodyText"/>
        <w:spacing w:line="297" w:lineRule="auto" w:before="20"/>
        <w:ind w:left="557" w:right="0"/>
        <w:jc w:val="left"/>
      </w:pPr>
      <w:r>
        <w:rPr/>
        <w:t>（</w:t>
      </w:r>
      <w:r>
        <w:rPr>
          <w:rFonts w:ascii="Times New Roman" w:hAnsi="Times New Roman" w:cs="Times New Roman" w:eastAsia="Times New Roman" w:hint="default"/>
        </w:rPr>
        <w:t>3</w:t>
      </w:r>
      <w:r>
        <w:rPr/>
        <w:t>）技术支持与服务</w:t>
      </w:r>
      <w:r>
        <w:rPr>
          <w:w w:val="100"/>
        </w:rPr>
        <w:t> </w:t>
      </w:r>
      <w:r>
        <w:rPr>
          <w:spacing w:val="-2"/>
        </w:rPr>
        <w:t>技术支持与服务指根据合同约定向客户提供的相关后续服务，包括系统维护、技术与应用咨</w:t>
      </w:r>
    </w:p>
    <w:p>
      <w:pPr>
        <w:pStyle w:val="BodyText"/>
        <w:spacing w:line="314" w:lineRule="auto" w:before="34"/>
        <w:ind w:left="136" w:right="208"/>
        <w:jc w:val="both"/>
      </w:pPr>
      <w:r>
        <w:rPr>
          <w:spacing w:val="-1"/>
        </w:rPr>
        <w:t>询、产品升级等。公司根据合同约定的维护期间及总金额在维护服务已经提供，收到价款或取得</w:t>
      </w:r>
      <w:r>
        <w:rPr>
          <w:spacing w:val="-54"/>
        </w:rPr>
        <w:t> </w:t>
      </w:r>
      <w:r>
        <w:rPr>
          <w:spacing w:val="-54"/>
        </w:rPr>
      </w:r>
      <w:r>
        <w:rPr/>
        <w:t>收款的依据后确认收入。</w:t>
      </w:r>
    </w:p>
    <w:p>
      <w:pPr>
        <w:pStyle w:val="BodyText"/>
        <w:spacing w:line="297" w:lineRule="auto" w:before="20"/>
        <w:ind w:left="557" w:right="0"/>
        <w:jc w:val="left"/>
      </w:pPr>
      <w:r>
        <w:rPr/>
        <w:t>（</w:t>
      </w:r>
      <w:r>
        <w:rPr>
          <w:rFonts w:ascii="Times New Roman" w:hAnsi="Times New Roman" w:cs="Times New Roman" w:eastAsia="Times New Roman" w:hint="default"/>
        </w:rPr>
        <w:t>4</w:t>
      </w:r>
      <w:r>
        <w:rPr/>
        <w:t>）对于建造</w:t>
      </w:r>
      <w:r>
        <w:rPr>
          <w:rFonts w:ascii="Times New Roman" w:hAnsi="Times New Roman" w:cs="Times New Roman" w:eastAsia="Times New Roman" w:hint="default"/>
        </w:rPr>
        <w:t>-</w:t>
      </w:r>
      <w:r>
        <w:rPr/>
        <w:t>经营</w:t>
      </w:r>
      <w:r>
        <w:rPr>
          <w:rFonts w:ascii="Times New Roman" w:hAnsi="Times New Roman" w:cs="Times New Roman" w:eastAsia="Times New Roman" w:hint="default"/>
        </w:rPr>
        <w:t>-</w:t>
      </w:r>
      <w:r>
        <w:rPr/>
        <w:t>移交（</w:t>
      </w:r>
      <w:r>
        <w:rPr>
          <w:rFonts w:ascii="Times New Roman" w:hAnsi="Times New Roman" w:cs="Times New Roman" w:eastAsia="Times New Roman" w:hint="default"/>
        </w:rPr>
        <w:t>“BOT”</w:t>
      </w:r>
      <w:r>
        <w:rPr/>
        <w:t>）业务相关收入的确认</w:t>
      </w:r>
      <w:r>
        <w:rPr>
          <w:w w:val="100"/>
        </w:rPr>
        <w:t> </w:t>
      </w:r>
      <w:r>
        <w:rPr>
          <w:spacing w:val="-4"/>
          <w:w w:val="100"/>
        </w:rPr>
        <w:t>公司采用建造</w:t>
      </w:r>
      <w:r>
        <w:rPr>
          <w:rFonts w:ascii="Times New Roman" w:hAnsi="Times New Roman" w:cs="Times New Roman" w:eastAsia="Times New Roman" w:hint="default"/>
          <w:spacing w:val="-4"/>
          <w:w w:val="100"/>
        </w:rPr>
        <w:t>—</w:t>
      </w:r>
      <w:r>
        <w:rPr>
          <w:spacing w:val="-4"/>
          <w:w w:val="100"/>
        </w:rPr>
        <w:t>经营</w:t>
      </w:r>
      <w:r>
        <w:rPr>
          <w:rFonts w:ascii="Times New Roman" w:hAnsi="Times New Roman" w:cs="Times New Roman" w:eastAsia="Times New Roman" w:hint="default"/>
          <w:spacing w:val="-4"/>
          <w:w w:val="100"/>
        </w:rPr>
        <w:t>—</w:t>
      </w:r>
      <w:r>
        <w:rPr>
          <w:spacing w:val="-4"/>
          <w:w w:val="100"/>
        </w:rPr>
        <w:t>移交（</w:t>
      </w:r>
      <w:r>
        <w:rPr>
          <w:rFonts w:ascii="Times New Roman" w:hAnsi="Times New Roman" w:cs="Times New Roman" w:eastAsia="Times New Roman" w:hint="default"/>
          <w:spacing w:val="-4"/>
          <w:w w:val="100"/>
        </w:rPr>
        <w:t>Build</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spacing w:val="-4"/>
          <w:w w:val="100"/>
        </w:rPr>
        <w:t>Operate</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spacing w:val="-4"/>
          <w:w w:val="100"/>
        </w:rPr>
        <w:t>Transfer</w:t>
      </w:r>
      <w:r>
        <w:rPr>
          <w:spacing w:val="-4"/>
          <w:w w:val="100"/>
        </w:rPr>
        <w:t>）经营方式（以下简称</w:t>
      </w:r>
      <w:r>
        <w:rPr>
          <w:rFonts w:ascii="Times New Roman" w:hAnsi="Times New Roman" w:cs="Times New Roman" w:eastAsia="Times New Roman" w:hint="default"/>
          <w:spacing w:val="-4"/>
          <w:w w:val="100"/>
        </w:rPr>
        <w:t>“BOT”</w:t>
      </w:r>
      <w:r>
        <w:rPr>
          <w:spacing w:val="-4"/>
          <w:w w:val="100"/>
        </w:rPr>
        <w:t>），是指</w:t>
      </w:r>
    </w:p>
    <w:p>
      <w:pPr>
        <w:pStyle w:val="BodyText"/>
        <w:spacing w:line="314" w:lineRule="auto" w:before="13"/>
        <w:ind w:left="0" w:right="209"/>
        <w:jc w:val="right"/>
      </w:pPr>
      <w:r>
        <w:rPr>
          <w:spacing w:val="-6"/>
        </w:rPr>
        <w:t>政府将基础设施项目的特许权授予承包商，承包商在特许期内负责项目设计、融资、建设和运营，</w:t>
      </w:r>
      <w:r>
        <w:rPr>
          <w:spacing w:val="-75"/>
        </w:rPr>
        <w:t> </w:t>
      </w:r>
      <w:r>
        <w:rPr>
          <w:spacing w:val="-75"/>
        </w:rPr>
      </w:r>
      <w:r>
        <w:rPr>
          <w:spacing w:val="-2"/>
        </w:rPr>
        <w:t>并回收成本、偿还债务、赚取利润，特许期结束后将项目所有权移交政府。其会计核算方法为：</w:t>
      </w:r>
      <w:r>
        <w:rPr>
          <w:spacing w:val="-53"/>
        </w:rPr>
        <w:t> </w:t>
      </w:r>
      <w:r>
        <w:rPr>
          <w:spacing w:val="-53"/>
        </w:rPr>
      </w:r>
      <w:r>
        <w:rPr>
          <w:rFonts w:ascii="Times New Roman" w:hAnsi="Times New Roman" w:cs="Times New Roman" w:eastAsia="Times New Roman" w:hint="default"/>
        </w:rPr>
        <w:t>A</w:t>
      </w:r>
      <w:r>
        <w:rPr/>
        <w:t>．建造期间，公司对于所提供的建造服务按照正式上线运行前的验收报告确认相关的收入</w:t>
      </w:r>
    </w:p>
    <w:p>
      <w:pPr>
        <w:pStyle w:val="BodyText"/>
        <w:spacing w:line="272" w:lineRule="exact"/>
        <w:ind w:left="136" w:right="0"/>
        <w:jc w:val="both"/>
      </w:pPr>
      <w:r>
        <w:rPr/>
        <w:t>和费用。</w:t>
      </w:r>
    </w:p>
    <w:p>
      <w:pPr>
        <w:pStyle w:val="BodyText"/>
        <w:spacing w:line="240" w:lineRule="auto" w:before="85"/>
        <w:ind w:left="557" w:right="0"/>
        <w:jc w:val="left"/>
      </w:pPr>
      <w:r>
        <w:rPr>
          <w:rFonts w:ascii="Times New Roman" w:hAnsi="Times New Roman" w:cs="Times New Roman" w:eastAsia="Times New Roman" w:hint="default"/>
          <w:spacing w:val="-3"/>
        </w:rPr>
        <w:t>B</w:t>
      </w:r>
      <w:r>
        <w:rPr>
          <w:spacing w:val="-3"/>
        </w:rPr>
        <w:t>．建造完成后，公司按照《企业会计准则第 </w:t>
      </w:r>
      <w:r>
        <w:rPr>
          <w:rFonts w:ascii="Times New Roman" w:hAnsi="Times New Roman" w:cs="Times New Roman" w:eastAsia="Times New Roman" w:hint="default"/>
        </w:rPr>
        <w:t>14</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收入》确认与后续经营服务相关的收</w:t>
      </w:r>
    </w:p>
    <w:p>
      <w:pPr>
        <w:spacing w:after="0" w:line="240" w:lineRule="auto"/>
        <w:jc w:val="left"/>
        <w:sectPr>
          <w:pgSz w:w="11910" w:h="16840"/>
          <w:pgMar w:header="857" w:footer="979" w:top="1120" w:bottom="1160" w:left="1140" w:right="1580"/>
        </w:sectPr>
      </w:pPr>
    </w:p>
    <w:p>
      <w:pPr>
        <w:spacing w:line="240" w:lineRule="auto" w:before="4"/>
        <w:rPr>
          <w:rFonts w:ascii="宋体" w:hAnsi="宋体" w:cs="宋体" w:eastAsia="宋体" w:hint="default"/>
          <w:sz w:val="24"/>
          <w:szCs w:val="24"/>
        </w:rPr>
      </w:pPr>
    </w:p>
    <w:p>
      <w:pPr>
        <w:pStyle w:val="BodyText"/>
        <w:spacing w:line="314" w:lineRule="auto" w:before="36"/>
        <w:ind w:left="136" w:right="0"/>
        <w:jc w:val="left"/>
      </w:pPr>
      <w:r>
        <w:rPr>
          <w:spacing w:val="-1"/>
        </w:rPr>
        <w:t>入。建造合同收入按照收取或应收对价的公允价值计量，并分别以下情况在确认收入的同时，确</w:t>
      </w:r>
      <w:r>
        <w:rPr>
          <w:spacing w:val="-55"/>
        </w:rPr>
        <w:t> </w:t>
      </w:r>
      <w:r>
        <w:rPr>
          <w:spacing w:val="-55"/>
        </w:rPr>
      </w:r>
      <w:r>
        <w:rPr/>
        <w:t>认金融资产或无形资产：</w:t>
      </w:r>
    </w:p>
    <w:p>
      <w:pPr>
        <w:pStyle w:val="BodyText"/>
        <w:spacing w:line="309" w:lineRule="auto" w:before="20"/>
        <w:ind w:left="136" w:right="209" w:firstLine="420"/>
        <w:jc w:val="both"/>
      </w:pPr>
      <w:r>
        <w:rPr>
          <w:spacing w:val="-4"/>
        </w:rPr>
        <w:t>（</w:t>
      </w:r>
      <w:r>
        <w:rPr>
          <w:rFonts w:ascii="Times New Roman" w:hAnsi="Times New Roman" w:cs="Times New Roman" w:eastAsia="Times New Roman" w:hint="default"/>
          <w:spacing w:val="-4"/>
        </w:rPr>
        <w:t>a</w:t>
      </w:r>
      <w:r>
        <w:rPr>
          <w:spacing w:val="-4"/>
        </w:rPr>
        <w:t>）合同规定基础设施建成后的一定期间内，公司可以无条件地自合同授予方收取确定金额</w:t>
      </w:r>
      <w:r>
        <w:rPr>
          <w:w w:val="100"/>
        </w:rPr>
        <w:t> </w:t>
      </w:r>
      <w:r>
        <w:rPr>
          <w:spacing w:val="-1"/>
        </w:rPr>
        <w:t>的货币资金或其他金融资产的；或在公司提供经营服务的收费低于某一限定金额的情况下，合同</w:t>
      </w:r>
      <w:r>
        <w:rPr>
          <w:spacing w:val="-55"/>
        </w:rPr>
        <w:t> </w:t>
      </w:r>
      <w:r>
        <w:rPr>
          <w:spacing w:val="-55"/>
        </w:rPr>
      </w:r>
      <w:r>
        <w:rPr>
          <w:spacing w:val="-6"/>
        </w:rPr>
        <w:t>授予方按照合同规定负责将有关差价补偿给公司的，在确认收入的同时确认金融资产，并按照《企</w:t>
      </w:r>
      <w:r>
        <w:rPr>
          <w:spacing w:val="-54"/>
        </w:rPr>
        <w:t> </w:t>
      </w:r>
      <w:r>
        <w:rPr>
          <w:spacing w:val="-54"/>
        </w:rPr>
      </w:r>
      <w:r>
        <w:rPr/>
        <w:t>业会计准则第</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金融工具确认和计量》的规定处理。</w:t>
      </w:r>
    </w:p>
    <w:p>
      <w:pPr>
        <w:pStyle w:val="BodyText"/>
        <w:spacing w:line="302" w:lineRule="auto" w:before="2"/>
        <w:ind w:left="136" w:right="209" w:firstLine="420"/>
        <w:jc w:val="both"/>
      </w:pPr>
      <w:r>
        <w:rPr>
          <w:spacing w:val="-4"/>
        </w:rPr>
        <w:t>（</w:t>
      </w:r>
      <w:r>
        <w:rPr>
          <w:rFonts w:ascii="Times New Roman" w:hAnsi="Times New Roman" w:cs="Times New Roman" w:eastAsia="Times New Roman" w:hint="default"/>
          <w:spacing w:val="-4"/>
        </w:rPr>
        <w:t>b</w:t>
      </w:r>
      <w:r>
        <w:rPr>
          <w:spacing w:val="-4"/>
        </w:rPr>
        <w:t>）合同规定公司在有关基础设施建成后，从事经营的一定期间内有权利向获取服务的对象</w:t>
      </w:r>
      <w:r>
        <w:rPr>
          <w:w w:val="100"/>
        </w:rPr>
        <w:t> </w:t>
      </w:r>
      <w:r>
        <w:rPr>
          <w:spacing w:val="-1"/>
        </w:rPr>
        <w:t>收取费用，但收费金额不确定的，该权利不构成一项无条件收取现金的权利，公司在确认收入的</w:t>
      </w:r>
      <w:r>
        <w:rPr>
          <w:spacing w:val="-55"/>
        </w:rPr>
        <w:t> </w:t>
      </w:r>
      <w:r>
        <w:rPr>
          <w:spacing w:val="-55"/>
        </w:rPr>
      </w:r>
      <w:r>
        <w:rPr>
          <w:spacing w:val="-4"/>
        </w:rPr>
        <w:t>同时确认无形资产。建造过程如发生借款利息，按照《企业会计准则第 </w:t>
      </w:r>
      <w:r>
        <w:rPr>
          <w:rFonts w:ascii="Times New Roman" w:hAnsi="Times New Roman" w:cs="Times New Roman" w:eastAsia="Times New Roman" w:hint="default"/>
        </w:rPr>
        <w:t>17 </w:t>
      </w:r>
      <w:r>
        <w:rPr>
          <w:spacing w:val="-4"/>
        </w:rPr>
        <w:t>号</w:t>
      </w:r>
      <w:r>
        <w:rPr>
          <w:rFonts w:ascii="Times New Roman" w:hAnsi="Times New Roman" w:cs="Times New Roman" w:eastAsia="Times New Roman" w:hint="default"/>
          <w:spacing w:val="-4"/>
        </w:rPr>
        <w:t>——</w:t>
      </w:r>
      <w:r>
        <w:rPr>
          <w:spacing w:val="-4"/>
        </w:rPr>
        <w:t>借款费用》的规</w:t>
      </w:r>
      <w:r>
        <w:rPr>
          <w:spacing w:val="-91"/>
        </w:rPr>
        <w:t> </w:t>
      </w:r>
      <w:r>
        <w:rPr>
          <w:spacing w:val="-91"/>
        </w:rPr>
      </w:r>
      <w:r>
        <w:rPr/>
        <w:t>定处理。</w:t>
      </w:r>
    </w:p>
    <w:p>
      <w:pPr>
        <w:pStyle w:val="BodyText"/>
        <w:spacing w:line="297" w:lineRule="auto" w:before="31"/>
        <w:ind w:left="136" w:right="209" w:firstLine="526"/>
        <w:jc w:val="both"/>
      </w:pPr>
      <w:r>
        <w:rPr>
          <w:rFonts w:ascii="Times New Roman" w:hAnsi="Times New Roman" w:cs="Times New Roman" w:eastAsia="Times New Roman" w:hint="default"/>
          <w:spacing w:val="-2"/>
        </w:rPr>
        <w:t>C</w:t>
      </w:r>
      <w:r>
        <w:rPr>
          <w:spacing w:val="-2"/>
        </w:rPr>
        <w:t>．公司未提供实际建造服务，将基础设施建造发包给其他方的，不确认建造服务收入，按</w:t>
      </w:r>
      <w:r>
        <w:rPr>
          <w:w w:val="100"/>
        </w:rPr>
        <w:t> </w:t>
      </w:r>
      <w:r>
        <w:rPr/>
        <w:t>照建造过程中支付的工程价款等考虑合同规定，分别确认为金融资产或无形资产。</w:t>
      </w:r>
    </w:p>
    <w:p>
      <w:pPr>
        <w:pStyle w:val="BodyText"/>
        <w:spacing w:line="297" w:lineRule="auto" w:before="34"/>
        <w:ind w:left="136" w:right="209" w:firstLine="526"/>
        <w:jc w:val="both"/>
      </w:pPr>
      <w:r>
        <w:rPr>
          <w:rFonts w:ascii="Times New Roman" w:hAnsi="Times New Roman" w:cs="Times New Roman" w:eastAsia="Times New Roman" w:hint="default"/>
          <w:spacing w:val="-3"/>
        </w:rPr>
        <w:t>D</w:t>
      </w:r>
      <w:r>
        <w:rPr>
          <w:spacing w:val="-3"/>
        </w:rPr>
        <w:t>．按照合同规定，公司为使有关基础设施保持一定的服务能力或在移交给合同授予方之前</w:t>
      </w:r>
      <w:r>
        <w:rPr>
          <w:w w:val="100"/>
        </w:rPr>
        <w:t> </w:t>
      </w:r>
      <w:r>
        <w:rPr>
          <w:spacing w:val="-4"/>
        </w:rPr>
        <w:t>保持一定的使用状态，预计将发生的支出，按照《企业会计准则第 </w:t>
      </w:r>
      <w:r>
        <w:rPr>
          <w:rFonts w:ascii="Times New Roman" w:hAnsi="Times New Roman" w:cs="Times New Roman" w:eastAsia="Times New Roman" w:hint="default"/>
        </w:rPr>
        <w:t>13 </w:t>
      </w:r>
      <w:r>
        <w:rPr>
          <w:spacing w:val="-4"/>
        </w:rPr>
        <w:t>号</w:t>
      </w:r>
      <w:r>
        <w:rPr>
          <w:rFonts w:ascii="Times New Roman" w:hAnsi="Times New Roman" w:cs="Times New Roman" w:eastAsia="Times New Roman" w:hint="default"/>
          <w:spacing w:val="-4"/>
        </w:rPr>
        <w:t>——</w:t>
      </w:r>
      <w:r>
        <w:rPr>
          <w:spacing w:val="-4"/>
        </w:rPr>
        <w:t>或有事项》的规定处</w:t>
      </w:r>
      <w:r>
        <w:rPr>
          <w:spacing w:val="-94"/>
        </w:rPr>
        <w:t> </w:t>
      </w:r>
      <w:r>
        <w:rPr>
          <w:spacing w:val="-94"/>
        </w:rPr>
      </w:r>
      <w:r>
        <w:rPr/>
        <w:t>理。</w:t>
      </w:r>
    </w:p>
    <w:p>
      <w:pPr>
        <w:pStyle w:val="BodyText"/>
        <w:spacing w:line="304" w:lineRule="auto" w:before="34"/>
        <w:ind w:left="136" w:right="209" w:firstLine="526"/>
        <w:jc w:val="both"/>
        <w:rPr>
          <w:rFonts w:ascii="宋体" w:hAnsi="宋体" w:cs="宋体" w:eastAsia="宋体" w:hint="default"/>
        </w:rPr>
      </w:pPr>
      <w:r>
        <w:rPr>
          <w:rFonts w:ascii="Times New Roman" w:hAnsi="Times New Roman" w:cs="Times New Roman" w:eastAsia="Times New Roman" w:hint="default"/>
          <w:spacing w:val="-2"/>
        </w:rPr>
        <w:t>E</w:t>
      </w:r>
      <w:r>
        <w:rPr>
          <w:spacing w:val="-2"/>
        </w:rPr>
        <w:t>．按照特许经营权合同规定，公司应提供不止一项服务（如既提供基础设施建造服务又提</w:t>
      </w:r>
      <w:r>
        <w:rPr>
          <w:w w:val="100"/>
        </w:rPr>
        <w:t> </w:t>
      </w:r>
      <w:r>
        <w:rPr>
          <w:spacing w:val="-1"/>
        </w:rPr>
        <w:t>供建成后经营服务）的，各项服务能够单独区分时，其收取或应收的对价按照各项服务的相对公</w:t>
      </w:r>
      <w:r>
        <w:rPr>
          <w:spacing w:val="-55"/>
        </w:rPr>
        <w:t> </w:t>
      </w:r>
      <w:r>
        <w:rPr>
          <w:spacing w:val="-55"/>
        </w:rPr>
      </w:r>
      <w:r>
        <w:rPr/>
        <w:t>允价值比例分配给所提供的各项服务。</w:t>
      </w:r>
      <w:r>
        <w:rPr>
          <w:rFonts w:ascii="宋体" w:hAnsi="宋体" w:cs="宋体" w:eastAsia="宋体" w:hint="default"/>
        </w:rPr>
        <w:t> </w:t>
      </w:r>
    </w:p>
    <w:p>
      <w:pPr>
        <w:pStyle w:val="BodyText"/>
        <w:spacing w:line="240" w:lineRule="auto" w:before="28"/>
        <w:ind w:left="557" w:right="2819"/>
        <w:jc w:val="left"/>
      </w:pPr>
      <w:r>
        <w:rPr>
          <w:rFonts w:ascii="Times New Roman" w:hAnsi="Times New Roman" w:cs="Times New Roman" w:eastAsia="Times New Roman" w:hint="default"/>
        </w:rPr>
        <w:t>F</w:t>
      </w:r>
      <w:r>
        <w:rPr/>
        <w:t>．</w:t>
      </w:r>
      <w:r>
        <w:rPr>
          <w:rFonts w:ascii="Times New Roman" w:hAnsi="Times New Roman" w:cs="Times New Roman" w:eastAsia="Times New Roman" w:hint="default"/>
        </w:rPr>
        <w:t>BOT</w:t>
      </w:r>
      <w:r>
        <w:rPr>
          <w:rFonts w:ascii="Times New Roman" w:hAnsi="Times New Roman" w:cs="Times New Roman" w:eastAsia="Times New Roman" w:hint="default"/>
          <w:spacing w:val="-4"/>
        </w:rPr>
        <w:t> </w:t>
      </w:r>
      <w:r>
        <w:rPr/>
        <w:t>业务所建造基础设施不作为公司的固定资产。</w:t>
      </w:r>
    </w:p>
    <w:p>
      <w:pPr>
        <w:pStyle w:val="BodyText"/>
        <w:spacing w:line="304" w:lineRule="auto" w:before="69"/>
        <w:ind w:left="136" w:right="209" w:firstLine="420"/>
        <w:jc w:val="both"/>
      </w:pPr>
      <w:r>
        <w:rPr>
          <w:rFonts w:ascii="Times New Roman" w:hAnsi="Times New Roman" w:cs="Times New Roman" w:eastAsia="Times New Roman" w:hint="default"/>
          <w:spacing w:val="-5"/>
        </w:rPr>
        <w:t>G</w:t>
      </w:r>
      <w:r>
        <w:rPr>
          <w:spacing w:val="-5"/>
        </w:rPr>
        <w:t>．在 </w:t>
      </w:r>
      <w:r>
        <w:rPr>
          <w:rFonts w:ascii="Times New Roman" w:hAnsi="Times New Roman" w:cs="Times New Roman" w:eastAsia="Times New Roman" w:hint="default"/>
        </w:rPr>
        <w:t>BOT</w:t>
      </w:r>
      <w:r>
        <w:rPr>
          <w:rFonts w:ascii="Times New Roman" w:hAnsi="Times New Roman" w:cs="Times New Roman" w:eastAsia="Times New Roman" w:hint="default"/>
          <w:spacing w:val="15"/>
        </w:rPr>
        <w:t> </w:t>
      </w:r>
      <w:r>
        <w:rPr>
          <w:spacing w:val="-3"/>
        </w:rPr>
        <w:t>业务中，授予方可能向公司提供除基础设施以外其他的资产，如果该资产构成授</w:t>
      </w:r>
      <w:r>
        <w:rPr>
          <w:w w:val="100"/>
        </w:rPr>
        <w:t> </w:t>
      </w:r>
      <w:r>
        <w:rPr>
          <w:spacing w:val="-1"/>
        </w:rPr>
        <w:t>予方应付合同价款的一部分，不作为政府补助处理。公司自授予方取得资产时，以其公允价值确</w:t>
      </w:r>
      <w:r>
        <w:rPr>
          <w:spacing w:val="-55"/>
        </w:rPr>
        <w:t> </w:t>
      </w:r>
      <w:r>
        <w:rPr>
          <w:spacing w:val="-55"/>
        </w:rPr>
      </w:r>
      <w:r>
        <w:rPr/>
        <w:t>认，在未提供与获取该资产相关的服务前确认为一项负债。</w:t>
      </w:r>
    </w:p>
    <w:p>
      <w:pPr>
        <w:pStyle w:val="BodyText"/>
        <w:spacing w:line="240" w:lineRule="auto" w:before="28"/>
        <w:ind w:left="557" w:right="2819"/>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PPP</w:t>
      </w:r>
      <w:r>
        <w:rPr>
          <w:rFonts w:ascii="Times New Roman" w:hAnsi="Times New Roman" w:cs="Times New Roman" w:eastAsia="Times New Roman" w:hint="default"/>
          <w:spacing w:val="-1"/>
        </w:rPr>
        <w:t> </w:t>
      </w:r>
      <w:r>
        <w:rPr/>
        <w:t>业务会计政策</w:t>
      </w:r>
    </w:p>
    <w:p>
      <w:pPr>
        <w:pStyle w:val="BodyText"/>
        <w:spacing w:line="297" w:lineRule="auto" w:before="69"/>
        <w:ind w:left="136" w:right="208" w:firstLine="420"/>
        <w:jc w:val="left"/>
      </w:pPr>
      <w:r>
        <w:rPr/>
        <w:t>公司承接的</w:t>
      </w:r>
      <w:r>
        <w:rPr>
          <w:spacing w:val="-36"/>
        </w:rPr>
        <w:t> </w:t>
      </w:r>
      <w:r>
        <w:rPr>
          <w:rFonts w:ascii="Times New Roman" w:hAnsi="Times New Roman" w:cs="Times New Roman" w:eastAsia="Times New Roman" w:hint="default"/>
        </w:rPr>
        <w:t>PPP</w:t>
      </w:r>
      <w:r>
        <w:rPr>
          <w:rFonts w:ascii="Times New Roman" w:hAnsi="Times New Roman" w:cs="Times New Roman" w:eastAsia="Times New Roman" w:hint="default"/>
          <w:spacing w:val="19"/>
        </w:rPr>
        <w:t> </w:t>
      </w:r>
      <w:r>
        <w:rPr/>
        <w:t>项目采用政府和社会资本合作的建设模式，运营模式与</w:t>
      </w:r>
      <w:r>
        <w:rPr>
          <w:spacing w:val="-36"/>
        </w:rPr>
        <w:t> </w:t>
      </w:r>
      <w:r>
        <w:rPr>
          <w:rFonts w:ascii="Times New Roman" w:hAnsi="Times New Roman" w:cs="Times New Roman" w:eastAsia="Times New Roman" w:hint="default"/>
        </w:rPr>
        <w:t>BOT</w:t>
      </w:r>
      <w:r>
        <w:rPr>
          <w:rFonts w:ascii="Times New Roman" w:hAnsi="Times New Roman" w:cs="Times New Roman" w:eastAsia="Times New Roman" w:hint="default"/>
          <w:spacing w:val="20"/>
        </w:rPr>
        <w:t> </w:t>
      </w:r>
      <w:r>
        <w:rPr/>
        <w:t>业务相似，收</w:t>
      </w:r>
      <w:r>
        <w:rPr>
          <w:w w:val="100"/>
        </w:rPr>
        <w:t> </w:t>
      </w:r>
      <w:r>
        <w:rPr/>
        <w:t>入的确认参照</w:t>
      </w:r>
      <w:r>
        <w:rPr>
          <w:spacing w:val="-55"/>
        </w:rPr>
        <w:t> </w:t>
      </w:r>
      <w:r>
        <w:rPr>
          <w:rFonts w:ascii="Times New Roman" w:hAnsi="Times New Roman" w:cs="Times New Roman" w:eastAsia="Times New Roman" w:hint="default"/>
        </w:rPr>
        <w:t>BOT</w:t>
      </w:r>
      <w:r>
        <w:rPr>
          <w:rFonts w:ascii="Times New Roman" w:hAnsi="Times New Roman" w:cs="Times New Roman" w:eastAsia="Times New Roman" w:hint="default"/>
          <w:spacing w:val="-2"/>
        </w:rPr>
        <w:t> </w:t>
      </w:r>
      <w:r>
        <w:rPr/>
        <w:t>业务执行。</w:t>
      </w:r>
    </w:p>
    <w:p>
      <w:pPr>
        <w:spacing w:line="297" w:lineRule="auto" w:before="13"/>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w:t>
      </w:r>
    </w:p>
    <w:p>
      <w:pPr>
        <w:pStyle w:val="BodyText"/>
        <w:spacing w:line="240" w:lineRule="auto" w:before="34"/>
        <w:ind w:left="136" w:right="2819"/>
        <w:jc w:val="left"/>
      </w:pPr>
      <w:r>
        <w:rPr/>
        <w:t>让渡资产使用权收入金额：</w:t>
      </w:r>
    </w:p>
    <w:p>
      <w:pPr>
        <w:pStyle w:val="BodyText"/>
        <w:spacing w:line="240" w:lineRule="auto" w:before="85"/>
        <w:ind w:left="557"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97" w:lineRule="auto" w:before="69"/>
        <w:ind w:left="557"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r>
        <w:rPr>
          <w:w w:val="100"/>
        </w:rPr>
        <w:t> </w:t>
      </w:r>
      <w:r>
        <w:rPr>
          <w:rFonts w:ascii="Times New Roman" w:hAnsi="Times New Roman" w:cs="Times New Roman" w:eastAsia="Times New Roman" w:hint="default"/>
          <w:b/>
          <w:bCs/>
        </w:rPr>
        <w:t>3</w:t>
      </w:r>
      <w:r>
        <w:rPr>
          <w:rFonts w:ascii="宋体" w:hAnsi="宋体" w:cs="宋体" w:eastAsia="宋体" w:hint="default"/>
          <w:b/>
          <w:bCs/>
        </w:rPr>
        <w:t>．提供劳务收入的确认依据和方法</w:t>
      </w:r>
      <w:r>
        <w:rPr>
          <w:rFonts w:ascii="宋体" w:hAnsi="宋体" w:cs="宋体" w:eastAsia="宋体" w:hint="default"/>
          <w:b/>
          <w:bCs/>
          <w:w w:val="100"/>
        </w:rPr>
        <w:t> </w:t>
      </w:r>
      <w:r>
        <w:rPr>
          <w:spacing w:val="-4"/>
          <w:w w:val="100"/>
        </w:rPr>
        <w:t>在资产负债表日提供劳务交易的结果能够可靠估计的，采用完工百分比法确认提供劳务收入。</w:t>
      </w:r>
    </w:p>
    <w:p>
      <w:pPr>
        <w:pStyle w:val="BodyText"/>
        <w:spacing w:line="314" w:lineRule="auto" w:before="34"/>
        <w:ind w:left="557" w:right="0" w:hanging="421"/>
        <w:jc w:val="left"/>
        <w:rPr>
          <w:rFonts w:ascii="宋体" w:hAnsi="宋体" w:cs="宋体" w:eastAsia="宋体" w:hint="default"/>
        </w:rPr>
      </w:pPr>
      <w:r>
        <w:rPr/>
        <w:t>提供劳务交易的完工进度，依据已经提供的劳务占应提供劳务总量的比例确定。</w:t>
      </w:r>
      <w:r>
        <w:rPr>
          <w:rFonts w:ascii="宋体" w:hAnsi="宋体" w:cs="宋体" w:eastAsia="宋体" w:hint="default"/>
          <w:w w:val="100"/>
        </w:rPr>
        <w:t> </w:t>
      </w:r>
      <w:r>
        <w:rPr/>
        <w:t>提供劳务交易的结果能够可靠估计，是指同时满足下列条件：</w:t>
      </w:r>
      <w:r>
        <w:rPr>
          <w:rFonts w:ascii="宋体" w:hAnsi="宋体" w:cs="宋体" w:eastAsia="宋体" w:hint="default"/>
        </w:rPr>
        <w:t> </w:t>
      </w:r>
    </w:p>
    <w:p>
      <w:pPr>
        <w:pStyle w:val="BodyText"/>
        <w:spacing w:line="240" w:lineRule="auto" w:before="20"/>
        <w:ind w:left="557" w:right="2819"/>
        <w:jc w:val="left"/>
        <w:rPr>
          <w:rFonts w:ascii="宋体" w:hAnsi="宋体" w:cs="宋体" w:eastAsia="宋体" w:hint="default"/>
        </w:rPr>
      </w:pPr>
      <w:r>
        <w:rPr/>
        <w:t>（</w:t>
      </w:r>
      <w:r>
        <w:rPr>
          <w:rFonts w:ascii="宋体" w:hAnsi="宋体" w:cs="宋体" w:eastAsia="宋体" w:hint="default"/>
        </w:rPr>
        <w:t>1</w:t>
      </w:r>
      <w:r>
        <w:rPr/>
        <w:t>）收入的金额能够可靠地计量；</w:t>
      </w:r>
      <w:r>
        <w:rPr>
          <w:rFonts w:ascii="宋体" w:hAnsi="宋体" w:cs="宋体" w:eastAsia="宋体" w:hint="default"/>
        </w:rPr>
        <w:t> </w:t>
      </w:r>
    </w:p>
    <w:p>
      <w:pPr>
        <w:pStyle w:val="BodyText"/>
        <w:spacing w:line="240" w:lineRule="auto" w:before="85"/>
        <w:ind w:left="557" w:right="2819"/>
        <w:jc w:val="left"/>
        <w:rPr>
          <w:rFonts w:ascii="宋体" w:hAnsi="宋体" w:cs="宋体" w:eastAsia="宋体" w:hint="default"/>
        </w:rPr>
      </w:pPr>
      <w:r>
        <w:rPr/>
        <w:t>（</w:t>
      </w:r>
      <w:r>
        <w:rPr>
          <w:rFonts w:ascii="宋体" w:hAnsi="宋体" w:cs="宋体" w:eastAsia="宋体" w:hint="default"/>
        </w:rPr>
        <w:t>2</w:t>
      </w:r>
      <w:r>
        <w:rPr/>
        <w:t>）相关的经济利益很可能流入企业；</w:t>
      </w:r>
      <w:r>
        <w:rPr>
          <w:rFonts w:ascii="宋体" w:hAnsi="宋体" w:cs="宋体" w:eastAsia="宋体" w:hint="default"/>
        </w:rPr>
        <w:t> </w:t>
      </w:r>
    </w:p>
    <w:p>
      <w:pPr>
        <w:pStyle w:val="BodyText"/>
        <w:spacing w:line="240" w:lineRule="auto" w:before="85"/>
        <w:ind w:left="557" w:right="2819"/>
        <w:jc w:val="left"/>
        <w:rPr>
          <w:rFonts w:ascii="宋体" w:hAnsi="宋体" w:cs="宋体" w:eastAsia="宋体" w:hint="default"/>
        </w:rPr>
      </w:pPr>
      <w:r>
        <w:rPr/>
        <w:t>（</w:t>
      </w:r>
      <w:r>
        <w:rPr>
          <w:rFonts w:ascii="宋体" w:hAnsi="宋体" w:cs="宋体" w:eastAsia="宋体" w:hint="default"/>
        </w:rPr>
        <w:t>3</w:t>
      </w:r>
      <w:r>
        <w:rPr/>
        <w:t>）交易的完工进度能够可靠地确定；</w:t>
      </w:r>
      <w:r>
        <w:rPr>
          <w:rFonts w:ascii="宋体" w:hAnsi="宋体" w:cs="宋体" w:eastAsia="宋体" w:hint="default"/>
        </w:rPr>
        <w:t> </w:t>
      </w:r>
    </w:p>
    <w:p>
      <w:pPr>
        <w:pStyle w:val="BodyText"/>
        <w:spacing w:line="240" w:lineRule="auto" w:before="85"/>
        <w:ind w:left="557" w:right="2819"/>
        <w:jc w:val="left"/>
        <w:rPr>
          <w:rFonts w:ascii="宋体" w:hAnsi="宋体" w:cs="宋体" w:eastAsia="宋体" w:hint="default"/>
        </w:rPr>
      </w:pPr>
      <w:r>
        <w:rPr/>
        <w:t>（</w:t>
      </w:r>
      <w:r>
        <w:rPr>
          <w:rFonts w:ascii="宋体" w:hAnsi="宋体" w:cs="宋体" w:eastAsia="宋体" w:hint="default"/>
        </w:rPr>
        <w:t>4</w:t>
      </w:r>
      <w:r>
        <w:rPr/>
        <w:t>）交易中已发生和将发生的成本能够可靠地计量。</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7" w:footer="979" w:top="1120" w:bottom="1160" w:left="1140" w:right="1580"/>
        </w:sectPr>
      </w:pPr>
    </w:p>
    <w:p>
      <w:pPr>
        <w:spacing w:line="240" w:lineRule="auto" w:before="4"/>
        <w:rPr>
          <w:rFonts w:ascii="宋体" w:hAnsi="宋体" w:cs="宋体" w:eastAsia="宋体" w:hint="default"/>
          <w:sz w:val="24"/>
          <w:szCs w:val="24"/>
        </w:rPr>
      </w:pPr>
    </w:p>
    <w:p>
      <w:pPr>
        <w:pStyle w:val="BodyText"/>
        <w:spacing w:line="314" w:lineRule="auto" w:before="36"/>
        <w:ind w:left="136" w:right="209" w:firstLine="420"/>
        <w:jc w:val="both"/>
        <w:rPr>
          <w:rFonts w:ascii="宋体" w:hAnsi="宋体" w:cs="宋体" w:eastAsia="宋体" w:hint="default"/>
        </w:rPr>
      </w:pPr>
      <w:r>
        <w:rPr>
          <w:spacing w:val="-2"/>
        </w:rPr>
        <w:t>按照已收或应收的合同或协议价款确定提供劳务收入总额，但已收或应收的合同或协议价款</w:t>
      </w:r>
      <w:r>
        <w:rPr>
          <w:w w:val="100"/>
        </w:rPr>
        <w:t> </w:t>
      </w:r>
      <w:r>
        <w:rPr>
          <w:spacing w:val="-1"/>
        </w:rPr>
        <w:t>不公允的除外。资产负债表日按照提供劳务收入总额乘以完工进度扣除以前会计期间累计已确认</w:t>
      </w:r>
      <w:r>
        <w:rPr>
          <w:spacing w:val="-54"/>
        </w:rPr>
        <w:t> </w:t>
      </w:r>
      <w:r>
        <w:rPr>
          <w:spacing w:val="-54"/>
        </w:rPr>
      </w:r>
      <w:r>
        <w:rPr>
          <w:spacing w:val="-1"/>
        </w:rPr>
        <w:t>提供劳务收入后的金额，确认当期提供劳务收入；同时，按照提供劳务估计总成本乘以完工进度</w:t>
      </w:r>
      <w:r>
        <w:rPr>
          <w:spacing w:val="-55"/>
        </w:rPr>
        <w:t> </w:t>
      </w:r>
      <w:r>
        <w:rPr>
          <w:spacing w:val="-55"/>
        </w:rPr>
      </w:r>
      <w:r>
        <w:rPr/>
        <w:t>扣除以前会计期间累计已确认劳务成本后的金额，结转当期劳务成本。</w:t>
      </w:r>
      <w:r>
        <w:rPr>
          <w:rFonts w:ascii="宋体" w:hAnsi="宋体" w:cs="宋体" w:eastAsia="宋体" w:hint="default"/>
        </w:rPr>
        <w:t> </w:t>
      </w:r>
    </w:p>
    <w:p>
      <w:pPr>
        <w:pStyle w:val="BodyText"/>
        <w:spacing w:line="240" w:lineRule="auto" w:before="20"/>
        <w:ind w:left="557" w:right="0"/>
        <w:jc w:val="left"/>
        <w:rPr>
          <w:rFonts w:ascii="宋体" w:hAnsi="宋体" w:cs="宋体" w:eastAsia="宋体" w:hint="default"/>
        </w:rPr>
      </w:pPr>
      <w:r>
        <w:rPr/>
        <w:t>在资产负债表日提供劳务交易结果不能够可靠估计的，分别下列情况处理：</w:t>
      </w:r>
      <w:r>
        <w:rPr>
          <w:rFonts w:ascii="宋体" w:hAnsi="宋体" w:cs="宋体" w:eastAsia="宋体" w:hint="default"/>
        </w:rPr>
        <w:t> </w:t>
      </w:r>
    </w:p>
    <w:p>
      <w:pPr>
        <w:pStyle w:val="BodyText"/>
        <w:spacing w:line="314" w:lineRule="auto" w:before="85"/>
        <w:ind w:left="136" w:right="208" w:firstLine="420"/>
        <w:jc w:val="both"/>
        <w:rPr>
          <w:rFonts w:ascii="宋体" w:hAnsi="宋体" w:cs="宋体" w:eastAsia="宋体" w:hint="default"/>
        </w:rPr>
      </w:pPr>
      <w:r>
        <w:rPr>
          <w:spacing w:val="-4"/>
        </w:rPr>
        <w:t>（</w:t>
      </w:r>
      <w:r>
        <w:rPr>
          <w:rFonts w:ascii="宋体" w:hAnsi="宋体" w:cs="宋体" w:eastAsia="宋体" w:hint="default"/>
          <w:spacing w:val="-4"/>
        </w:rPr>
        <w:t>1</w:t>
      </w:r>
      <w:r>
        <w:rPr>
          <w:spacing w:val="-4"/>
        </w:rPr>
        <w:t>）已经发生的劳务成本预计能够得到补偿的，按照已经发生的劳务成本金额确认提供劳务</w:t>
      </w:r>
      <w:r>
        <w:rPr>
          <w:w w:val="100"/>
        </w:rPr>
        <w:t> </w:t>
      </w:r>
      <w:r>
        <w:rPr/>
        <w:t>收入，并按相同金额结转劳务成本。</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4"/>
        </w:rPr>
        <w:t>（</w:t>
      </w:r>
      <w:r>
        <w:rPr>
          <w:rFonts w:ascii="宋体" w:hAnsi="宋体" w:cs="宋体" w:eastAsia="宋体" w:hint="default"/>
          <w:spacing w:val="-4"/>
        </w:rPr>
        <w:t>2</w:t>
      </w:r>
      <w:r>
        <w:rPr>
          <w:spacing w:val="-4"/>
        </w:rPr>
        <w:t>）已经发生的劳务成本预计不能够得到补偿的，将已经发生的劳务成本计入当期损益，不</w:t>
      </w:r>
      <w:r>
        <w:rPr>
          <w:w w:val="100"/>
        </w:rPr>
        <w:t> </w:t>
      </w:r>
      <w:r>
        <w:rPr/>
        <w:t>确认提供劳务收入。</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本公司与其他企业签订的合同或协议包括销售商品和提供劳务时，销售商品部分和提供劳务</w:t>
      </w:r>
      <w:r>
        <w:rPr>
          <w:w w:val="100"/>
        </w:rPr>
        <w:t> </w:t>
      </w:r>
      <w:r>
        <w:rPr>
          <w:spacing w:val="-1"/>
        </w:rPr>
        <w:t>部分能够区分且能够单独计量的，将销售商品的部分作为销售商品处理，将提供劳务的部分作为</w:t>
      </w:r>
      <w:r>
        <w:rPr>
          <w:spacing w:val="-55"/>
        </w:rPr>
        <w:t> </w:t>
      </w:r>
      <w:r>
        <w:rPr>
          <w:spacing w:val="-55"/>
        </w:rPr>
      </w:r>
      <w:r>
        <w:rPr>
          <w:spacing w:val="-1"/>
        </w:rPr>
        <w:t>提供劳务处理。销售商品部分和提供劳务部分不能够区分，或虽能区分但不能够单独计量的，将</w:t>
      </w:r>
      <w:r>
        <w:rPr>
          <w:spacing w:val="-55"/>
        </w:rPr>
        <w:t> </w:t>
      </w:r>
      <w:r>
        <w:rPr>
          <w:spacing w:val="-55"/>
        </w:rPr>
      </w:r>
      <w:r>
        <w:rPr/>
        <w:t>销售商品部分和提供劳务部分全部作为销售商品处理。</w:t>
      </w:r>
      <w:r>
        <w:rPr>
          <w:rFonts w:ascii="宋体" w:hAnsi="宋体" w:cs="宋体" w:eastAsia="宋体" w:hint="default"/>
        </w:rPr>
        <w:t> </w:t>
      </w:r>
    </w:p>
    <w:p>
      <w:pPr>
        <w:pStyle w:val="Heading4"/>
        <w:spacing w:line="240" w:lineRule="auto" w:before="20"/>
        <w:ind w:left="559" w:right="2819"/>
        <w:jc w:val="left"/>
        <w:rPr>
          <w:rFonts w:ascii="宋体" w:hAnsi="宋体" w:cs="宋体" w:eastAsia="宋体" w:hint="default"/>
          <w:b w:val="0"/>
          <w:bCs w:val="0"/>
        </w:rPr>
      </w:pPr>
      <w:r>
        <w:rPr>
          <w:rFonts w:ascii="Times New Roman" w:hAnsi="Times New Roman" w:cs="Times New Roman" w:eastAsia="Times New Roman" w:hint="default"/>
        </w:rPr>
        <w:t>4</w:t>
      </w:r>
      <w:r>
        <w:rPr/>
        <w:t>．建造合同收入的确认依据和方法</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69"/>
        <w:ind w:left="136" w:right="209" w:firstLine="199"/>
        <w:jc w:val="both"/>
        <w:rPr>
          <w:rFonts w:ascii="宋体" w:hAnsi="宋体" w:cs="宋体" w:eastAsia="宋体" w:hint="default"/>
        </w:rPr>
      </w:pPr>
      <w:r>
        <w:rPr>
          <w:spacing w:val="-4"/>
          <w:w w:val="100"/>
        </w:rPr>
        <w:t>（</w:t>
      </w:r>
      <w:r>
        <w:rPr>
          <w:rFonts w:ascii="Times New Roman" w:hAnsi="Times New Roman" w:cs="Times New Roman" w:eastAsia="Times New Roman" w:hint="default"/>
          <w:spacing w:val="-4"/>
          <w:w w:val="100"/>
        </w:rPr>
        <w:t>1</w:t>
      </w:r>
      <w:r>
        <w:rPr>
          <w:spacing w:val="-4"/>
          <w:w w:val="100"/>
        </w:rPr>
        <w:t>）当建造合同的结果能够可靠地估计时，与其相关的合同收入和合同费用在资产负债表日按</w:t>
      </w:r>
      <w:r>
        <w:rPr>
          <w:w w:val="100"/>
        </w:rPr>
        <w:t> </w:t>
      </w:r>
      <w:r>
        <w:rPr>
          <w:spacing w:val="-6"/>
          <w:w w:val="100"/>
        </w:rPr>
        <w:t>完工百分比法予以确认。完工百分比法，是指根据合同完工进度确认合同收入和合同费用的方法。</w:t>
      </w:r>
      <w:r>
        <w:rPr>
          <w:w w:val="100"/>
        </w:rPr>
        <w:t> </w:t>
      </w:r>
      <w:r>
        <w:rPr/>
        <w:t>合同完工进度按照累计实际发生的合同费用占合同预计总成本的比例确定。</w:t>
      </w:r>
      <w:r>
        <w:rPr>
          <w:rFonts w:ascii="宋体" w:hAnsi="宋体" w:cs="宋体" w:eastAsia="宋体" w:hint="default"/>
        </w:rPr>
        <w:t> </w:t>
      </w:r>
    </w:p>
    <w:p>
      <w:pPr>
        <w:pStyle w:val="BodyText"/>
        <w:spacing w:line="240" w:lineRule="auto" w:before="28"/>
        <w:ind w:left="557" w:right="2819"/>
        <w:jc w:val="left"/>
        <w:rPr>
          <w:rFonts w:ascii="宋体" w:hAnsi="宋体" w:cs="宋体" w:eastAsia="宋体" w:hint="default"/>
        </w:rPr>
      </w:pPr>
      <w:r>
        <w:rPr/>
        <w:t>固定造价合同的结果能够可靠估计，是指同时满足下列条件：</w:t>
      </w:r>
      <w:r>
        <w:rPr>
          <w:rFonts w:ascii="宋体" w:hAnsi="宋体" w:cs="宋体" w:eastAsia="宋体" w:hint="default"/>
        </w:rPr>
        <w:t> </w:t>
      </w:r>
    </w:p>
    <w:p>
      <w:pPr>
        <w:pStyle w:val="BodyText"/>
        <w:spacing w:line="240" w:lineRule="auto" w:before="85"/>
        <w:ind w:left="557" w:right="2819"/>
        <w:jc w:val="left"/>
        <w:rPr>
          <w:rFonts w:ascii="宋体" w:hAnsi="宋体" w:cs="宋体" w:eastAsia="宋体" w:hint="default"/>
        </w:rPr>
      </w:pPr>
      <w:r>
        <w:rPr>
          <w:rFonts w:ascii="Times New Roman" w:hAnsi="Times New Roman" w:cs="Times New Roman" w:eastAsia="Times New Roman" w:hint="default"/>
        </w:rPr>
        <w:t>1</w:t>
      </w:r>
      <w:r>
        <w:rPr/>
        <w:t>）合同总收入能够可靠地计量；</w:t>
      </w:r>
      <w:r>
        <w:rPr>
          <w:rFonts w:ascii="宋体" w:hAnsi="宋体" w:cs="宋体" w:eastAsia="宋体" w:hint="default"/>
        </w:rPr>
        <w:t> </w:t>
      </w:r>
    </w:p>
    <w:p>
      <w:pPr>
        <w:pStyle w:val="BodyText"/>
        <w:spacing w:line="240" w:lineRule="auto" w:before="69"/>
        <w:ind w:left="557" w:right="2819"/>
        <w:jc w:val="left"/>
        <w:rPr>
          <w:rFonts w:ascii="宋体" w:hAnsi="宋体" w:cs="宋体" w:eastAsia="宋体" w:hint="default"/>
        </w:rPr>
      </w:pPr>
      <w:r>
        <w:rPr>
          <w:rFonts w:ascii="Times New Roman" w:hAnsi="Times New Roman" w:cs="Times New Roman" w:eastAsia="Times New Roman" w:hint="default"/>
        </w:rPr>
        <w:t>2</w:t>
      </w:r>
      <w:r>
        <w:rPr/>
        <w:t>）与合同相关的经济利益很可能流入企业；</w:t>
      </w:r>
      <w:r>
        <w:rPr>
          <w:rFonts w:ascii="宋体" w:hAnsi="宋体" w:cs="宋体" w:eastAsia="宋体" w:hint="default"/>
        </w:rPr>
        <w:t> </w:t>
      </w:r>
    </w:p>
    <w:p>
      <w:pPr>
        <w:pStyle w:val="BodyText"/>
        <w:spacing w:line="240" w:lineRule="auto" w:before="69"/>
        <w:ind w:left="557" w:right="2819"/>
        <w:jc w:val="left"/>
        <w:rPr>
          <w:rFonts w:ascii="宋体" w:hAnsi="宋体" w:cs="宋体" w:eastAsia="宋体" w:hint="default"/>
        </w:rPr>
      </w:pPr>
      <w:r>
        <w:rPr>
          <w:rFonts w:ascii="Times New Roman" w:hAnsi="Times New Roman" w:cs="Times New Roman" w:eastAsia="Times New Roman" w:hint="default"/>
        </w:rPr>
        <w:t>3</w:t>
      </w:r>
      <w:r>
        <w:rPr/>
        <w:t>）实际发生的合同成本能够清楚地区分和可靠地计量；</w:t>
      </w:r>
      <w:r>
        <w:rPr>
          <w:rFonts w:ascii="宋体" w:hAnsi="宋体" w:cs="宋体" w:eastAsia="宋体" w:hint="default"/>
        </w:rPr>
        <w:t> </w:t>
      </w:r>
    </w:p>
    <w:p>
      <w:pPr>
        <w:pStyle w:val="BodyText"/>
        <w:spacing w:line="304" w:lineRule="auto" w:before="69"/>
        <w:ind w:left="557" w:right="0"/>
        <w:jc w:val="left"/>
        <w:rPr>
          <w:rFonts w:ascii="宋体" w:hAnsi="宋体" w:cs="宋体" w:eastAsia="宋体" w:hint="default"/>
        </w:rPr>
      </w:pPr>
      <w:r>
        <w:rPr>
          <w:rFonts w:ascii="Times New Roman" w:hAnsi="Times New Roman" w:cs="Times New Roman" w:eastAsia="Times New Roman" w:hint="default"/>
        </w:rPr>
        <w:t>4</w:t>
      </w:r>
      <w:r>
        <w:rPr/>
        <w:t>）合同完工进度和为完成合同尚需发生的成本能够可靠地确定。</w:t>
      </w:r>
      <w:r>
        <w:rPr>
          <w:rFonts w:ascii="宋体" w:hAnsi="宋体" w:cs="宋体" w:eastAsia="宋体" w:hint="default"/>
          <w:w w:val="100"/>
        </w:rPr>
        <w:t> </w:t>
      </w:r>
      <w:r>
        <w:rPr/>
        <w:t>成本加成合同的结果能够可靠估计，是指同时满足下列条件：</w:t>
      </w:r>
      <w:r>
        <w:rPr>
          <w:rFonts w:ascii="宋体" w:hAnsi="宋体" w:cs="宋体" w:eastAsia="宋体" w:hint="default"/>
          <w:w w:val="100"/>
        </w:rPr>
        <w:t> </w:t>
      </w:r>
      <w:r>
        <w:rPr>
          <w:rFonts w:ascii="Times New Roman" w:hAnsi="Times New Roman" w:cs="Times New Roman" w:eastAsia="Times New Roman" w:hint="default"/>
        </w:rPr>
        <w:t>1</w:t>
      </w:r>
      <w:r>
        <w:rPr/>
        <w:t>）与合同相关的经济利益很可能流入企业；</w:t>
      </w:r>
      <w:r>
        <w:rPr>
          <w:rFonts w:ascii="宋体" w:hAnsi="宋体" w:cs="宋体" w:eastAsia="宋体" w:hint="default"/>
        </w:rPr>
        <w:t> </w:t>
      </w:r>
    </w:p>
    <w:p>
      <w:pPr>
        <w:pStyle w:val="BodyText"/>
        <w:spacing w:line="297" w:lineRule="auto" w:before="6"/>
        <w:ind w:left="557" w:right="0"/>
        <w:jc w:val="left"/>
      </w:pPr>
      <w:r>
        <w:rPr>
          <w:rFonts w:ascii="Times New Roman" w:hAnsi="Times New Roman" w:cs="Times New Roman" w:eastAsia="Times New Roman" w:hint="default"/>
        </w:rPr>
        <w:t>2</w:t>
      </w:r>
      <w:r>
        <w:rPr/>
        <w:t>）实际发生的合同成本能够清楚地区分和可靠地计量。</w:t>
      </w:r>
      <w:r>
        <w:rPr>
          <w:rFonts w:ascii="宋体" w:hAnsi="宋体" w:cs="宋体" w:eastAsia="宋体" w:hint="default"/>
          <w:w w:val="100"/>
        </w:rPr>
        <w:t> </w:t>
      </w:r>
      <w:r>
        <w:rPr>
          <w:spacing w:val="-4"/>
          <w:w w:val="100"/>
        </w:rPr>
        <w:t>在资产负债表日，按照合同总收入乘以完工进度扣除以前会计期间累计已确认收入后的金额，</w:t>
      </w:r>
    </w:p>
    <w:p>
      <w:pPr>
        <w:pStyle w:val="BodyText"/>
        <w:spacing w:line="314" w:lineRule="auto" w:before="34"/>
        <w:ind w:left="136" w:right="209"/>
        <w:jc w:val="both"/>
        <w:rPr>
          <w:rFonts w:ascii="宋体" w:hAnsi="宋体" w:cs="宋体" w:eastAsia="宋体" w:hint="default"/>
        </w:rPr>
      </w:pPr>
      <w:r>
        <w:rPr>
          <w:spacing w:val="-1"/>
        </w:rPr>
        <w:t>确认为当期合同收入；同时，按照合同预计总成本乘以完工进度扣除以前会计期间累计已确认费</w:t>
      </w:r>
      <w:r>
        <w:rPr>
          <w:spacing w:val="-55"/>
        </w:rPr>
        <w:t> </w:t>
      </w:r>
      <w:r>
        <w:rPr>
          <w:spacing w:val="-55"/>
        </w:rPr>
      </w:r>
      <w:r>
        <w:rPr>
          <w:spacing w:val="-1"/>
        </w:rPr>
        <w:t>用后的金额，确认为当期合同费用。合同工程的变动、索赔及奖金以可能带来收入并能可靠计算</w:t>
      </w:r>
      <w:r>
        <w:rPr>
          <w:spacing w:val="-55"/>
        </w:rPr>
        <w:t> </w:t>
      </w:r>
      <w:r>
        <w:rPr>
          <w:spacing w:val="-55"/>
        </w:rPr>
      </w:r>
      <w:r>
        <w:rPr/>
        <w:t>的数额为限计入合同总收入。</w:t>
      </w:r>
      <w:r>
        <w:rPr>
          <w:rFonts w:ascii="宋体" w:hAnsi="宋体" w:cs="宋体" w:eastAsia="宋体" w:hint="default"/>
        </w:rPr>
        <w:t> </w:t>
      </w:r>
    </w:p>
    <w:p>
      <w:pPr>
        <w:pStyle w:val="BodyText"/>
        <w:spacing w:line="297" w:lineRule="auto" w:before="20"/>
        <w:ind w:left="557" w:right="0" w:hanging="106"/>
        <w:jc w:val="left"/>
        <w:rPr>
          <w:rFonts w:ascii="宋体" w:hAnsi="宋体" w:cs="宋体" w:eastAsia="宋体" w:hint="default"/>
        </w:rPr>
      </w:pPr>
      <w:r>
        <w:rPr/>
        <w:t>（</w:t>
      </w:r>
      <w:r>
        <w:rPr>
          <w:rFonts w:ascii="Times New Roman" w:hAnsi="Times New Roman" w:cs="Times New Roman" w:eastAsia="Times New Roman" w:hint="default"/>
        </w:rPr>
        <w:t>2</w:t>
      </w:r>
      <w:r>
        <w:rPr/>
        <w:t>）建造合同的结果不能可靠估计的，分别下列情况处理：</w:t>
      </w:r>
      <w:r>
        <w:rPr>
          <w:rFonts w:ascii="宋体" w:hAnsi="宋体" w:cs="宋体" w:eastAsia="宋体" w:hint="default"/>
          <w:w w:val="100"/>
        </w:rPr>
        <w:t> </w:t>
      </w:r>
      <w:r>
        <w:rPr>
          <w:rFonts w:ascii="Times New Roman" w:hAnsi="Times New Roman" w:cs="Times New Roman" w:eastAsia="Times New Roman" w:hint="default"/>
          <w:spacing w:val="-4"/>
        </w:rPr>
        <w:t>1</w:t>
      </w:r>
      <w:r>
        <w:rPr>
          <w:spacing w:val="-4"/>
        </w:rPr>
        <w:t>）合同成本能够收回的，合同收入根据能够收回的实际合同成本予以确认，合同成本在其发</w:t>
      </w:r>
      <w:r>
        <w:rPr>
          <w:w w:val="100"/>
        </w:rPr>
        <w:t> </w:t>
      </w:r>
      <w:r>
        <w:rPr/>
        <w:t>生的当期确认为合同费用。</w:t>
      </w:r>
      <w:r>
        <w:rPr>
          <w:rFonts w:ascii="宋体" w:hAnsi="宋体" w:cs="宋体" w:eastAsia="宋体" w:hint="default"/>
        </w:rPr>
        <w:t> </w:t>
      </w:r>
    </w:p>
    <w:p>
      <w:pPr>
        <w:pStyle w:val="BodyText"/>
        <w:spacing w:line="240" w:lineRule="auto" w:before="34"/>
        <w:ind w:left="557" w:right="0"/>
        <w:jc w:val="left"/>
        <w:rPr>
          <w:rFonts w:ascii="宋体" w:hAnsi="宋体" w:cs="宋体" w:eastAsia="宋体" w:hint="default"/>
        </w:rPr>
      </w:pPr>
      <w:r>
        <w:rPr>
          <w:rFonts w:ascii="Times New Roman" w:hAnsi="Times New Roman" w:cs="Times New Roman" w:eastAsia="Times New Roman" w:hint="default"/>
        </w:rPr>
        <w:t>2</w:t>
      </w:r>
      <w:r>
        <w:rPr/>
        <w:t>）</w:t>
      </w:r>
      <w:r>
        <w:rPr>
          <w:spacing w:val="-5"/>
        </w:rPr>
        <w:t> </w:t>
      </w:r>
      <w:r>
        <w:rPr/>
        <w:t>合同成本不可能收回的，在发生时立即确认为合同费用，不确认合同收入。</w:t>
      </w:r>
      <w:r>
        <w:rPr>
          <w:rFonts w:ascii="宋体" w:hAnsi="宋体" w:cs="宋体" w:eastAsia="宋体" w:hint="default"/>
        </w:rPr>
        <w:t> </w:t>
      </w:r>
    </w:p>
    <w:p>
      <w:pPr>
        <w:pStyle w:val="BodyText"/>
        <w:spacing w:line="297" w:lineRule="auto" w:before="69"/>
        <w:ind w:left="557" w:right="0" w:hanging="106"/>
        <w:jc w:val="left"/>
      </w:pPr>
      <w:r>
        <w:rPr/>
        <w:t>（</w:t>
      </w:r>
      <w:r>
        <w:rPr>
          <w:rFonts w:ascii="Times New Roman" w:hAnsi="Times New Roman" w:cs="Times New Roman" w:eastAsia="Times New Roman" w:hint="default"/>
        </w:rPr>
        <w:t>3</w:t>
      </w:r>
      <w:r>
        <w:rPr/>
        <w:t>）如果合同总成本很可能超过合同总收入，则预期损失立即确认为费用。</w:t>
      </w:r>
      <w:r>
        <w:rPr>
          <w:rFonts w:ascii="宋体" w:hAnsi="宋体" w:cs="宋体" w:eastAsia="宋体" w:hint="default"/>
          <w:w w:val="100"/>
        </w:rPr>
        <w:t> </w:t>
      </w:r>
      <w:r>
        <w:rPr>
          <w:rFonts w:ascii="Times New Roman" w:hAnsi="Times New Roman" w:cs="Times New Roman" w:eastAsia="Times New Roman" w:hint="default"/>
          <w:b/>
          <w:bCs/>
        </w:rPr>
        <w:t>5</w:t>
      </w:r>
      <w:r>
        <w:rPr>
          <w:rFonts w:ascii="宋体" w:hAnsi="宋体" w:cs="宋体" w:eastAsia="宋体" w:hint="default"/>
          <w:b/>
          <w:bCs/>
        </w:rPr>
        <w:t>．附回购条件的资产转让</w:t>
      </w:r>
      <w:r>
        <w:rPr>
          <w:rFonts w:ascii="宋体" w:hAnsi="宋体" w:cs="宋体" w:eastAsia="宋体" w:hint="default"/>
          <w:b/>
          <w:bCs/>
          <w:w w:val="99"/>
        </w:rPr>
        <w:t> </w:t>
      </w:r>
      <w:r>
        <w:rPr>
          <w:spacing w:val="-2"/>
        </w:rPr>
        <w:t>公司销售产品或转让其他资产时，与购买方签订了所销售的产品或转让资产回购协议，根据</w:t>
      </w:r>
    </w:p>
    <w:p>
      <w:pPr>
        <w:pStyle w:val="BodyText"/>
        <w:spacing w:line="314" w:lineRule="auto" w:before="34"/>
        <w:ind w:left="136" w:right="209"/>
        <w:jc w:val="both"/>
      </w:pPr>
      <w:r>
        <w:rPr>
          <w:spacing w:val="-1"/>
        </w:rPr>
        <w:t>协议条款判断销售商品是否满足收入确认条件。如售后回购属于融资交易，则在交付产品或资产</w:t>
      </w:r>
      <w:r>
        <w:rPr>
          <w:spacing w:val="-55"/>
        </w:rPr>
        <w:t> </w:t>
      </w:r>
      <w:r>
        <w:rPr>
          <w:spacing w:val="-55"/>
        </w:rPr>
      </w:r>
      <w:r>
        <w:rPr>
          <w:spacing w:val="-1"/>
        </w:rPr>
        <w:t>时，本公司不确认销售收入。回购价款大于销售价款的差额，在回购期间按期计提利息，计入财</w:t>
      </w:r>
    </w:p>
    <w:p>
      <w:pPr>
        <w:spacing w:after="0" w:line="314" w:lineRule="auto"/>
        <w:jc w:val="both"/>
        <w:sectPr>
          <w:pgSz w:w="11910" w:h="16840"/>
          <w:pgMar w:header="857" w:footer="979" w:top="1120" w:bottom="1160" w:left="1140" w:right="1580"/>
        </w:sectPr>
      </w:pPr>
    </w:p>
    <w:p>
      <w:pPr>
        <w:spacing w:line="240" w:lineRule="auto" w:before="4"/>
        <w:rPr>
          <w:rFonts w:ascii="宋体" w:hAnsi="宋体" w:cs="宋体" w:eastAsia="宋体" w:hint="default"/>
          <w:sz w:val="24"/>
          <w:szCs w:val="24"/>
        </w:rPr>
      </w:pPr>
    </w:p>
    <w:p>
      <w:pPr>
        <w:pStyle w:val="BodyText"/>
        <w:spacing w:line="240" w:lineRule="auto" w:before="36"/>
        <w:ind w:left="136" w:right="2819"/>
        <w:jc w:val="left"/>
        <w:rPr>
          <w:rFonts w:ascii="宋体" w:hAnsi="宋体" w:cs="宋体" w:eastAsia="宋体" w:hint="default"/>
        </w:rPr>
      </w:pPr>
      <w:r>
        <w:rPr/>
        <w:t>务费用。</w:t>
      </w:r>
      <w:r>
        <w:rPr>
          <w:rFonts w:ascii="宋体" w:hAnsi="宋体" w:cs="宋体" w:eastAsia="宋体" w:hint="default"/>
        </w:rPr>
        <w:t> </w:t>
      </w:r>
    </w:p>
    <w:p>
      <w:pPr>
        <w:pStyle w:val="Heading3"/>
        <w:spacing w:line="240" w:lineRule="auto" w:before="2"/>
        <w:ind w:left="136" w:right="0"/>
        <w:jc w:val="left"/>
      </w:pPr>
      <w:r>
        <w:rPr/>
        <w:t> </w:t>
      </w:r>
    </w:p>
    <w:p>
      <w:pPr>
        <w:pStyle w:val="Heading4"/>
        <w:spacing w:line="240" w:lineRule="auto"/>
        <w:ind w:left="136" w:right="2819"/>
        <w:jc w:val="left"/>
        <w:rPr>
          <w:b w:val="0"/>
          <w:bCs w:val="0"/>
        </w:rPr>
      </w:pPr>
      <w:r>
        <w:rPr>
          <w:rFonts w:ascii="Times New Roman" w:hAnsi="Times New Roman" w:cs="Times New Roman" w:eastAsia="Times New Roman" w:hint="default"/>
        </w:rPr>
        <w:t>37.  </w:t>
      </w:r>
      <w:r>
        <w:rPr>
          <w:rFonts w:ascii="Times New Roman" w:hAnsi="Times New Roman" w:cs="Times New Roman" w:eastAsia="Times New Roman" w:hint="default"/>
          <w:spacing w:val="6"/>
        </w:rPr>
        <w:t> </w:t>
      </w:r>
      <w:r>
        <w:rPr/>
        <w:t>政府补助</w:t>
      </w:r>
      <w:r>
        <w:rPr>
          <w:b w:val="0"/>
          <w:bCs w:val="0"/>
        </w:rPr>
      </w:r>
    </w:p>
    <w:p>
      <w:pPr>
        <w:spacing w:line="307" w:lineRule="auto" w:before="40"/>
        <w:ind w:left="557" w:right="6653" w:hanging="421"/>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．类型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4" w:lineRule="auto" w:before="26"/>
        <w:ind w:left="136" w:right="211" w:firstLine="420"/>
        <w:jc w:val="both"/>
        <w:rPr>
          <w:rFonts w:ascii="宋体" w:hAnsi="宋体" w:cs="宋体" w:eastAsia="宋体" w:hint="default"/>
        </w:rPr>
      </w:pPr>
      <w:r>
        <w:rPr>
          <w:spacing w:val="-2"/>
        </w:rPr>
        <w:t>政府补助，是本公司从政府无偿取得的货币性资产与非货币性资产。根据相关政府文件规定</w:t>
      </w:r>
      <w:r>
        <w:rPr>
          <w:w w:val="100"/>
        </w:rPr>
        <w:t> </w:t>
      </w:r>
      <w:r>
        <w:rPr/>
        <w:t>的补助对象，将政府补助划分为与资产相关的政府补助和与收益相关的政府补助。</w:t>
      </w:r>
      <w:r>
        <w:rPr>
          <w:rFonts w:ascii="宋体" w:hAnsi="宋体" w:cs="宋体" w:eastAsia="宋体" w:hint="default"/>
        </w:rPr>
        <w:t> </w:t>
      </w:r>
    </w:p>
    <w:p>
      <w:pPr>
        <w:pStyle w:val="BodyText"/>
        <w:spacing w:line="314" w:lineRule="auto" w:before="20"/>
        <w:ind w:left="136" w:right="208" w:firstLine="420"/>
        <w:jc w:val="both"/>
        <w:rPr>
          <w:rFonts w:ascii="宋体" w:hAnsi="宋体" w:cs="宋体" w:eastAsia="宋体" w:hint="default"/>
        </w:rPr>
      </w:pPr>
      <w:r>
        <w:rPr>
          <w:spacing w:val="-2"/>
        </w:rPr>
        <w:t>对于政府文件未明确补助对象的政府补助，公司根据实际补助对象划分为与资产相关的政府</w:t>
      </w:r>
      <w:r>
        <w:rPr>
          <w:w w:val="100"/>
        </w:rPr>
        <w:t> </w:t>
      </w:r>
      <w:r>
        <w:rPr>
          <w:spacing w:val="-4"/>
          <w:w w:val="100"/>
        </w:rPr>
        <w:t>补助或与收益相关的政府补助，相关判断依据说明详见本合并财务报表七之递延收益</w:t>
      </w:r>
      <w:r>
        <w:rPr>
          <w:rFonts w:ascii="宋体" w:hAnsi="宋体" w:cs="宋体" w:eastAsia="宋体" w:hint="default"/>
          <w:spacing w:val="-4"/>
          <w:w w:val="100"/>
        </w:rPr>
        <w:t>/</w:t>
      </w:r>
      <w:r>
        <w:rPr>
          <w:spacing w:val="-4"/>
          <w:w w:val="100"/>
        </w:rPr>
        <w:t>营业外收入</w:t>
      </w:r>
      <w:r>
        <w:rPr>
          <w:spacing w:val="-87"/>
          <w:w w:val="100"/>
        </w:rPr>
        <w:t> </w:t>
      </w:r>
      <w:r>
        <w:rPr>
          <w:spacing w:val="-87"/>
          <w:w w:val="100"/>
        </w:rPr>
      </w:r>
      <w:r>
        <w:rPr/>
        <w:t>项目注释。</w:t>
      </w:r>
      <w:r>
        <w:rPr>
          <w:rFonts w:ascii="宋体" w:hAnsi="宋体" w:cs="宋体" w:eastAsia="宋体" w:hint="default"/>
        </w:rPr>
        <w:t> </w:t>
      </w:r>
    </w:p>
    <w:p>
      <w:pPr>
        <w:pStyle w:val="BodyText"/>
        <w:spacing w:line="314" w:lineRule="auto" w:before="20"/>
        <w:ind w:left="136" w:right="211" w:firstLine="420"/>
        <w:jc w:val="both"/>
        <w:rPr>
          <w:rFonts w:ascii="宋体" w:hAnsi="宋体" w:cs="宋体" w:eastAsia="宋体" w:hint="default"/>
        </w:rPr>
      </w:pPr>
      <w:r>
        <w:rPr>
          <w:spacing w:val="-2"/>
        </w:rPr>
        <w:t>与资产相关的政府补助，是指本公司取得的、用于购建或以其他方式形成长期资产的政府补</w:t>
      </w:r>
      <w:r>
        <w:rPr>
          <w:w w:val="100"/>
        </w:rPr>
        <w:t> </w:t>
      </w:r>
      <w:r>
        <w:rPr/>
        <w:t>助。与收益相关的政府补助，是指除与资产相关的政府补助之外的政府补助。</w:t>
      </w:r>
      <w:r>
        <w:rPr>
          <w:rFonts w:ascii="宋体" w:hAnsi="宋体" w:cs="宋体" w:eastAsia="宋体" w:hint="default"/>
        </w:rPr>
        <w:t> </w:t>
      </w:r>
    </w:p>
    <w:p>
      <w:pPr>
        <w:pStyle w:val="BodyText"/>
        <w:spacing w:line="314" w:lineRule="auto" w:before="20"/>
        <w:ind w:left="557" w:right="0" w:firstLine="2"/>
        <w:jc w:val="left"/>
      </w:pPr>
      <w:r>
        <w:rPr>
          <w:rFonts w:ascii="宋体" w:hAnsi="宋体" w:cs="宋体" w:eastAsia="宋体" w:hint="default"/>
          <w:b/>
          <w:bCs/>
        </w:rPr>
        <w:t>2</w:t>
      </w:r>
      <w:r>
        <w:rPr>
          <w:rFonts w:ascii="宋体" w:hAnsi="宋体" w:cs="宋体" w:eastAsia="宋体" w:hint="default"/>
          <w:b/>
          <w:bCs/>
        </w:rPr>
        <w:t>．政府补助的确认</w:t>
      </w:r>
      <w:r>
        <w:rPr>
          <w:rFonts w:ascii="宋体" w:hAnsi="宋体" w:cs="宋体" w:eastAsia="宋体" w:hint="default"/>
          <w:b/>
          <w:bCs/>
          <w:w w:val="99"/>
        </w:rPr>
        <w:t> </w:t>
      </w:r>
      <w:r>
        <w:rPr>
          <w:spacing w:val="-2"/>
        </w:rPr>
        <w:t>对期末有证据表明公司能够符合财政扶持政策规定的相关条件且预计能够收到财政扶持资金</w:t>
      </w:r>
    </w:p>
    <w:p>
      <w:pPr>
        <w:pStyle w:val="BodyText"/>
        <w:spacing w:line="314" w:lineRule="auto" w:before="20"/>
        <w:ind w:left="557" w:right="0" w:hanging="421"/>
        <w:jc w:val="left"/>
      </w:pPr>
      <w:r>
        <w:rPr/>
        <w:t>的，按应收金额确认政府补助。除此之外，政府补助均在实际收到时确认。</w:t>
      </w:r>
      <w:r>
        <w:rPr>
          <w:rFonts w:ascii="宋体" w:hAnsi="宋体" w:cs="宋体" w:eastAsia="宋体" w:hint="default"/>
          <w:w w:val="100"/>
        </w:rPr>
        <w:t> </w:t>
      </w:r>
      <w:r>
        <w:rPr>
          <w:spacing w:val="-2"/>
        </w:rPr>
        <w:t>政府补助为货币性资产的，按照收到或应收的金额计量。政府补助为非货币性资产的，按照</w:t>
      </w:r>
    </w:p>
    <w:p>
      <w:pPr>
        <w:pStyle w:val="BodyText"/>
        <w:spacing w:line="314" w:lineRule="auto" w:before="20"/>
        <w:ind w:left="136" w:right="204"/>
        <w:jc w:val="left"/>
        <w:rPr>
          <w:rFonts w:ascii="宋体" w:hAnsi="宋体" w:cs="宋体" w:eastAsia="宋体" w:hint="default"/>
        </w:rPr>
      </w:pPr>
      <w:r>
        <w:rPr/>
        <w:t>公允价值计量；公允价值不能够可靠取得的，按照名义金额（人民币</w:t>
      </w:r>
      <w:r>
        <w:rPr>
          <w:spacing w:val="-49"/>
        </w:rPr>
        <w:t> </w:t>
      </w:r>
      <w:r>
        <w:rPr>
          <w:rFonts w:ascii="宋体" w:hAnsi="宋体" w:cs="宋体" w:eastAsia="宋体" w:hint="default"/>
        </w:rPr>
        <w:t>1</w:t>
      </w:r>
      <w:r>
        <w:rPr>
          <w:rFonts w:ascii="宋体" w:hAnsi="宋体" w:cs="宋体" w:eastAsia="宋体" w:hint="default"/>
          <w:spacing w:val="-50"/>
        </w:rPr>
        <w:t> </w:t>
      </w:r>
      <w:r>
        <w:rPr/>
        <w:t>元）计量。按照名义金额</w:t>
      </w:r>
      <w:r>
        <w:rPr>
          <w:w w:val="100"/>
        </w:rPr>
        <w:t> </w:t>
      </w:r>
      <w:r>
        <w:rPr/>
        <w:t>计量的政府补助，直接计入当期损益。</w:t>
      </w:r>
      <w:r>
        <w:rPr>
          <w:rFonts w:ascii="宋体" w:hAnsi="宋体" w:cs="宋体" w:eastAsia="宋体" w:hint="default"/>
        </w:rPr>
        <w:t> </w:t>
      </w:r>
    </w:p>
    <w:p>
      <w:pPr>
        <w:pStyle w:val="BodyText"/>
        <w:spacing w:line="314" w:lineRule="auto" w:before="20"/>
        <w:ind w:left="557" w:right="0" w:firstLine="2"/>
        <w:jc w:val="left"/>
      </w:pPr>
      <w:r>
        <w:rPr>
          <w:rFonts w:ascii="宋体" w:hAnsi="宋体" w:cs="宋体" w:eastAsia="宋体" w:hint="default"/>
          <w:b/>
          <w:bCs/>
        </w:rPr>
        <w:t>3</w:t>
      </w:r>
      <w:r>
        <w:rPr>
          <w:rFonts w:ascii="宋体" w:hAnsi="宋体" w:cs="宋体" w:eastAsia="宋体" w:hint="default"/>
          <w:b/>
          <w:bCs/>
        </w:rPr>
        <w:t>．会计处理方法</w:t>
      </w:r>
      <w:r>
        <w:rPr>
          <w:rFonts w:ascii="宋体" w:hAnsi="宋体" w:cs="宋体" w:eastAsia="宋体" w:hint="default"/>
          <w:b/>
          <w:bCs/>
          <w:w w:val="99"/>
        </w:rPr>
        <w:t> </w:t>
      </w:r>
      <w:r>
        <w:rPr>
          <w:spacing w:val="-2"/>
        </w:rPr>
        <w:t>本公司根据经济业务的实质，确定某一类政府补助业务应当采用总额法还是净额法进行会计</w:t>
      </w:r>
    </w:p>
    <w:p>
      <w:pPr>
        <w:pStyle w:val="BodyText"/>
        <w:spacing w:line="314" w:lineRule="auto" w:before="20"/>
        <w:ind w:left="136" w:right="0"/>
        <w:jc w:val="left"/>
        <w:rPr>
          <w:rFonts w:ascii="宋体" w:hAnsi="宋体" w:cs="宋体" w:eastAsia="宋体" w:hint="default"/>
        </w:rPr>
      </w:pPr>
      <w:r>
        <w:rPr>
          <w:spacing w:val="-1"/>
        </w:rPr>
        <w:t>处理。通常情况下，本公司对于同类或类似政府补助业务只选用一种方法，且对该业务一贯地运</w:t>
      </w:r>
      <w:r>
        <w:rPr>
          <w:spacing w:val="-55"/>
        </w:rPr>
        <w:t> </w:t>
      </w:r>
      <w:r>
        <w:rPr>
          <w:spacing w:val="-55"/>
        </w:rPr>
      </w:r>
      <w:r>
        <w:rPr/>
        <w:t>用该方法。公司下政府补助采用总额法核算。</w:t>
      </w:r>
      <w:r>
        <w:rPr>
          <w:rFonts w:ascii="宋体" w:hAnsi="宋体" w:cs="宋体" w:eastAsia="宋体" w:hint="default"/>
        </w:rPr>
        <w:t> </w:t>
      </w:r>
    </w:p>
    <w:p>
      <w:pPr>
        <w:pStyle w:val="BodyText"/>
        <w:spacing w:line="314" w:lineRule="auto" w:before="20"/>
        <w:ind w:left="136" w:right="0" w:firstLine="420"/>
        <w:jc w:val="left"/>
        <w:rPr>
          <w:rFonts w:ascii="宋体" w:hAnsi="宋体" w:cs="宋体" w:eastAsia="宋体" w:hint="default"/>
        </w:rPr>
      </w:pPr>
      <w:r>
        <w:rPr/>
        <w:t>与资产相关的政府补助，应当冲减相关资产的账面价值或确认为递延收益。与资产相关的政</w:t>
      </w:r>
      <w:r>
        <w:rPr>
          <w:w w:val="100"/>
        </w:rPr>
        <w:t> </w:t>
      </w:r>
      <w:r>
        <w:rPr>
          <w:spacing w:val="-7"/>
          <w:w w:val="100"/>
        </w:rPr>
        <w:t>府补助确认为递延收益的，在所建造或购买资产使用寿命内按照合理、系统的方法分期计入损益。</w:t>
      </w:r>
      <w:r>
        <w:rPr>
          <w:rFonts w:ascii="宋体" w:hAnsi="宋体" w:cs="宋体" w:eastAsia="宋体" w:hint="default"/>
          <w:w w:val="100"/>
        </w:rPr>
        <w:t> </w:t>
      </w:r>
    </w:p>
    <w:p>
      <w:pPr>
        <w:pStyle w:val="BodyText"/>
        <w:spacing w:line="314" w:lineRule="auto" w:before="20"/>
        <w:ind w:left="136" w:right="208" w:firstLine="420"/>
        <w:jc w:val="both"/>
        <w:rPr>
          <w:rFonts w:ascii="宋体" w:hAnsi="宋体" w:cs="宋体" w:eastAsia="宋体" w:hint="default"/>
        </w:rPr>
      </w:pPr>
      <w:r>
        <w:rPr>
          <w:spacing w:val="-2"/>
        </w:rPr>
        <w:t>与收益相关的政府补助，用于补偿企业以后期间的相关费用或损失的，确认为递延收益，在</w:t>
      </w:r>
      <w:r>
        <w:rPr>
          <w:w w:val="100"/>
        </w:rPr>
        <w:t> </w:t>
      </w:r>
      <w:r>
        <w:rPr>
          <w:spacing w:val="-1"/>
        </w:rPr>
        <w:t>确认相关费用或损失的期间计入当期损益或冲减相关成本；用于补偿企业已发生的相关费用或损</w:t>
      </w:r>
      <w:r>
        <w:rPr>
          <w:spacing w:val="-55"/>
        </w:rPr>
        <w:t> </w:t>
      </w:r>
      <w:r>
        <w:rPr>
          <w:spacing w:val="-55"/>
        </w:rPr>
      </w:r>
      <w:r>
        <w:rPr/>
        <w:t>失的，取得时直接计入当期损益或冲减相关成本。</w:t>
      </w:r>
      <w:r>
        <w:rPr>
          <w:rFonts w:ascii="宋体" w:hAnsi="宋体" w:cs="宋体" w:eastAsia="宋体" w:hint="default"/>
        </w:rPr>
        <w:t> </w:t>
      </w:r>
    </w:p>
    <w:p>
      <w:pPr>
        <w:pStyle w:val="BodyText"/>
        <w:spacing w:line="314" w:lineRule="auto" w:before="20"/>
        <w:ind w:left="136" w:right="211" w:firstLine="420"/>
        <w:jc w:val="both"/>
        <w:rPr>
          <w:rFonts w:ascii="宋体" w:hAnsi="宋体" w:cs="宋体" w:eastAsia="宋体" w:hint="default"/>
        </w:rPr>
      </w:pPr>
      <w:r>
        <w:rPr>
          <w:spacing w:val="-2"/>
        </w:rPr>
        <w:t>与企业日常活动相关的政府补助计入其他收益或冲减相关成本费用；与企业日常活动无关的</w:t>
      </w:r>
      <w:r>
        <w:rPr>
          <w:w w:val="100"/>
        </w:rPr>
        <w:t> </w:t>
      </w:r>
      <w:r>
        <w:rPr/>
        <w:t>政府补助计入营业外收支。</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收到与政策性优惠贷款贴息相关的政府补助冲减相关借款费用；取得贷款银行提供的政策性</w:t>
      </w:r>
      <w:r>
        <w:rPr>
          <w:w w:val="100"/>
        </w:rPr>
        <w:t> </w:t>
      </w:r>
      <w:r>
        <w:rPr>
          <w:spacing w:val="-1"/>
        </w:rPr>
        <w:t>优惠利率贷款的，以实际收到的借款金额作为借款的入账价值，按照借款本金和该政策性优惠利</w:t>
      </w:r>
      <w:r>
        <w:rPr>
          <w:spacing w:val="-55"/>
        </w:rPr>
        <w:t> </w:t>
      </w:r>
      <w:r>
        <w:rPr>
          <w:spacing w:val="-55"/>
        </w:rPr>
      </w:r>
      <w:r>
        <w:rPr/>
        <w:t>率计算相关借款费用。</w:t>
      </w:r>
      <w:r>
        <w:rPr>
          <w:rFonts w:ascii="宋体" w:hAnsi="宋体" w:cs="宋体" w:eastAsia="宋体" w:hint="default"/>
        </w:rPr>
        <w:t> </w:t>
      </w:r>
    </w:p>
    <w:p>
      <w:pPr>
        <w:pStyle w:val="BodyText"/>
        <w:spacing w:line="314" w:lineRule="auto" w:before="20"/>
        <w:ind w:left="136" w:right="209" w:firstLine="420"/>
        <w:jc w:val="both"/>
        <w:rPr>
          <w:rFonts w:ascii="宋体" w:hAnsi="宋体" w:cs="宋体" w:eastAsia="宋体" w:hint="default"/>
        </w:rPr>
      </w:pPr>
      <w:r>
        <w:rPr>
          <w:spacing w:val="-2"/>
        </w:rPr>
        <w:t>已确认的政府补助需要返还时，初始确认时冲减相关资产账面价值的，调整资产账面价值；</w:t>
      </w:r>
      <w:r>
        <w:rPr>
          <w:w w:val="100"/>
        </w:rPr>
        <w:t> </w:t>
      </w:r>
      <w:r>
        <w:rPr>
          <w:spacing w:val="-1"/>
        </w:rPr>
        <w:t>存在相关递延收益余额的，冲减相关递延收益账面余额，超出部分计入当期损益；不存在相关递</w:t>
      </w:r>
      <w:r>
        <w:rPr>
          <w:spacing w:val="-55"/>
        </w:rPr>
        <w:t> </w:t>
      </w:r>
      <w:r>
        <w:rPr>
          <w:spacing w:val="-55"/>
        </w:rPr>
      </w:r>
      <w:r>
        <w:rPr/>
        <w:t>延收益的，直接计入当期损益。</w:t>
      </w:r>
      <w:r>
        <w:rPr>
          <w:rFonts w:ascii="宋体" w:hAnsi="宋体" w:cs="宋体" w:eastAsia="宋体" w:hint="default"/>
        </w:rPr>
        <w:t> </w:t>
      </w:r>
    </w:p>
    <w:p>
      <w:pPr>
        <w:pStyle w:val="BodyText"/>
        <w:spacing w:line="218" w:lineRule="exact"/>
        <w:ind w:left="136" w:right="0"/>
        <w:jc w:val="left"/>
        <w:rPr>
          <w:rFonts w:ascii="宋体" w:hAnsi="宋体" w:cs="宋体" w:eastAsia="宋体" w:hint="default"/>
        </w:rPr>
      </w:pPr>
      <w:r>
        <w:rPr>
          <w:rFonts w:ascii="宋体"/>
          <w:w w:val="100"/>
        </w:rPr>
        <w:t> </w:t>
      </w:r>
    </w:p>
    <w:p>
      <w:pPr>
        <w:pStyle w:val="Heading4"/>
        <w:spacing w:line="240" w:lineRule="auto" w:before="56"/>
        <w:ind w:left="136" w:right="2819"/>
        <w:jc w:val="left"/>
        <w:rPr>
          <w:b w:val="0"/>
          <w:bCs w:val="0"/>
        </w:rPr>
      </w:pPr>
      <w:r>
        <w:rPr>
          <w:rFonts w:ascii="Times New Roman" w:hAnsi="Times New Roman" w:cs="Times New Roman" w:eastAsia="Times New Roman" w:hint="default"/>
        </w:rPr>
        <w:t>38.  </w:t>
      </w:r>
      <w:r>
        <w:rPr>
          <w:rFonts w:ascii="Times New Roman" w:hAnsi="Times New Roman" w:cs="Times New Roman" w:eastAsia="Times New Roman" w:hint="default"/>
          <w:spacing w:val="4"/>
        </w:rPr>
        <w:t> </w:t>
      </w:r>
      <w:r>
        <w:rPr/>
        <w:t>递延所得税资产</w:t>
      </w:r>
      <w:r>
        <w:rPr>
          <w:rFonts w:ascii="Calibri" w:hAnsi="Calibri" w:cs="Calibri" w:eastAsia="Calibri" w:hint="default"/>
        </w:rPr>
        <w:t>/</w:t>
      </w:r>
      <w:r>
        <w:rPr/>
        <w:t>递延所得税负债</w:t>
      </w:r>
      <w:r>
        <w:rPr>
          <w:b w:val="0"/>
          <w:bCs w:val="0"/>
        </w:rPr>
      </w:r>
    </w:p>
    <w:p>
      <w:pPr>
        <w:pStyle w:val="BodyText"/>
        <w:spacing w:line="240" w:lineRule="auto" w:before="32"/>
        <w:ind w:left="136" w:right="2819"/>
        <w:jc w:val="left"/>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pgSz w:w="11910" w:h="16840"/>
          <w:pgMar w:header="857" w:footer="979" w:top="1120" w:bottom="1160" w:left="1140" w:right="1580"/>
        </w:sectPr>
      </w:pPr>
    </w:p>
    <w:p>
      <w:pPr>
        <w:spacing w:line="240" w:lineRule="auto" w:before="4"/>
        <w:rPr>
          <w:rFonts w:ascii="宋体" w:hAnsi="宋体" w:cs="宋体" w:eastAsia="宋体" w:hint="default"/>
          <w:sz w:val="24"/>
          <w:szCs w:val="24"/>
        </w:rPr>
      </w:pPr>
    </w:p>
    <w:p>
      <w:pPr>
        <w:pStyle w:val="BodyText"/>
        <w:spacing w:line="314" w:lineRule="auto" w:before="36"/>
        <w:ind w:left="136" w:right="129" w:firstLine="420"/>
        <w:jc w:val="both"/>
        <w:rPr>
          <w:rFonts w:ascii="宋体" w:hAnsi="宋体" w:cs="宋体" w:eastAsia="宋体" w:hint="default"/>
        </w:rPr>
      </w:pPr>
      <w:r>
        <w:rPr/>
        <w:t>递延所得税资产和递延所得税负债根据资产和负债的计税基础与其账面价值的差额</w:t>
      </w:r>
      <w:r>
        <w:rPr>
          <w:rFonts w:ascii="宋体" w:hAnsi="宋体" w:cs="宋体" w:eastAsia="宋体" w:hint="default"/>
        </w:rPr>
        <w:t>(</w:t>
      </w:r>
      <w:r>
        <w:rPr/>
        <w:t>暂时性</w:t>
      </w:r>
      <w:r>
        <w:rPr>
          <w:w w:val="100"/>
        </w:rPr>
        <w:t> </w:t>
      </w:r>
      <w:r>
        <w:rPr>
          <w:spacing w:val="-4"/>
        </w:rPr>
        <w:t>差异</w:t>
      </w:r>
      <w:r>
        <w:rPr>
          <w:rFonts w:ascii="宋体" w:hAnsi="宋体" w:cs="宋体" w:eastAsia="宋体" w:hint="default"/>
          <w:spacing w:val="-4"/>
        </w:rPr>
        <w:t>)</w:t>
      </w:r>
      <w:r>
        <w:rPr>
          <w:spacing w:val="-4"/>
        </w:rPr>
        <w:t>计算确认。于资产负债表日，递延所得税资产和递延所得税负债，按照预期收回该资产或清</w:t>
      </w:r>
      <w:r>
        <w:rPr>
          <w:spacing w:val="-33"/>
        </w:rPr>
        <w:t> </w:t>
      </w:r>
      <w:r>
        <w:rPr>
          <w:spacing w:val="-33"/>
        </w:rPr>
      </w:r>
      <w:r>
        <w:rPr/>
        <w:t>偿该负债期间的适用税率计量。</w:t>
      </w:r>
      <w:r>
        <w:rPr>
          <w:rFonts w:ascii="宋体" w:hAnsi="宋体" w:cs="宋体" w:eastAsia="宋体" w:hint="default"/>
        </w:rPr>
        <w:t> </w:t>
      </w:r>
    </w:p>
    <w:p>
      <w:pPr>
        <w:spacing w:line="314" w:lineRule="auto" w:before="2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99"/>
          <w:sz w:val="21"/>
          <w:szCs w:val="21"/>
        </w:rPr>
        <w:t> </w:t>
      </w:r>
      <w:r>
        <w:rPr>
          <w:rFonts w:ascii="宋体" w:hAnsi="宋体" w:cs="宋体" w:eastAsia="宋体" w:hint="default"/>
          <w:spacing w:val="-2"/>
          <w:sz w:val="21"/>
          <w:szCs w:val="21"/>
        </w:rPr>
        <w:t>本公司以很可能取得用来抵扣可抵扣暂时性差异、能够结转以后年度的可抵扣亏损和税款抵</w:t>
      </w:r>
    </w:p>
    <w:p>
      <w:pPr>
        <w:pStyle w:val="BodyText"/>
        <w:spacing w:line="314" w:lineRule="auto" w:before="20"/>
        <w:ind w:left="136" w:right="129"/>
        <w:jc w:val="both"/>
        <w:rPr>
          <w:rFonts w:ascii="宋体" w:hAnsi="宋体" w:cs="宋体" w:eastAsia="宋体" w:hint="default"/>
        </w:rPr>
      </w:pPr>
      <w:r>
        <w:rPr>
          <w:spacing w:val="-1"/>
        </w:rPr>
        <w:t>减的应纳税所得额为限，确认由可抵扣暂时性差异产生的递延所得税资产。但是，同时具有下列</w:t>
      </w:r>
      <w:r>
        <w:rPr>
          <w:spacing w:val="-55"/>
        </w:rPr>
        <w:t> </w:t>
      </w:r>
      <w:r>
        <w:rPr>
          <w:spacing w:val="-55"/>
        </w:rPr>
      </w:r>
      <w:r>
        <w:rPr>
          <w:spacing w:val="-4"/>
        </w:rPr>
        <w:t>特征的交易中因资产或负债的初始确认所产生的递延所得税资产不予确认：（</w:t>
      </w:r>
      <w:r>
        <w:rPr>
          <w:rFonts w:ascii="宋体" w:hAnsi="宋体" w:cs="宋体" w:eastAsia="宋体" w:hint="default"/>
          <w:spacing w:val="-4"/>
        </w:rPr>
        <w:t>1</w:t>
      </w:r>
      <w:r>
        <w:rPr>
          <w:spacing w:val="-4"/>
        </w:rPr>
        <w:t>）该交易不是企业</w:t>
      </w:r>
      <w:r>
        <w:rPr>
          <w:spacing w:val="-33"/>
        </w:rPr>
        <w:t> </w:t>
      </w:r>
      <w:r>
        <w:rPr>
          <w:spacing w:val="-33"/>
        </w:rPr>
      </w:r>
      <w:r>
        <w:rPr/>
        <w:t>合并；（</w:t>
      </w:r>
      <w:r>
        <w:rPr>
          <w:rFonts w:ascii="宋体" w:hAnsi="宋体" w:cs="宋体" w:eastAsia="宋体" w:hint="default"/>
        </w:rPr>
        <w:t>2</w:t>
      </w:r>
      <w:r>
        <w:rPr/>
        <w:t>）交易发生时既不影响会计利润也不影响应纳税所得额或可抵扣亏损。</w:t>
      </w:r>
      <w:r>
        <w:rPr>
          <w:rFonts w:ascii="宋体" w:hAnsi="宋体" w:cs="宋体" w:eastAsia="宋体" w:hint="default"/>
        </w:rPr>
        <w:t> </w:t>
      </w:r>
    </w:p>
    <w:p>
      <w:pPr>
        <w:pStyle w:val="BodyText"/>
        <w:spacing w:line="314" w:lineRule="auto" w:before="20"/>
        <w:ind w:left="136" w:right="129" w:firstLine="420"/>
        <w:jc w:val="both"/>
        <w:rPr>
          <w:rFonts w:ascii="宋体" w:hAnsi="宋体" w:cs="宋体" w:eastAsia="宋体" w:hint="default"/>
        </w:rPr>
      </w:pPr>
      <w:r>
        <w:rPr>
          <w:spacing w:val="-2"/>
        </w:rPr>
        <w:t>对于与联营企业投资相关的可抵扣暂时性差异，同时满足下列条件的，确认相应的递延所得</w:t>
      </w:r>
      <w:r>
        <w:rPr>
          <w:w w:val="100"/>
        </w:rPr>
        <w:t> </w:t>
      </w:r>
      <w:r>
        <w:rPr>
          <w:spacing w:val="-1"/>
        </w:rPr>
        <w:t>税资产：暂时性差异在可预见的未来很可能转回，且未来很可能获得用来抵扣可抵扣暂时性差异</w:t>
      </w:r>
      <w:r>
        <w:rPr>
          <w:spacing w:val="-55"/>
        </w:rPr>
        <w:t> </w:t>
      </w:r>
      <w:r>
        <w:rPr>
          <w:spacing w:val="-55"/>
        </w:rPr>
      </w:r>
      <w:r>
        <w:rPr/>
        <w:t>的应纳税所得额。</w:t>
      </w:r>
      <w:r>
        <w:rPr>
          <w:rFonts w:ascii="宋体" w:hAnsi="宋体" w:cs="宋体" w:eastAsia="宋体" w:hint="default"/>
        </w:rPr>
        <w:t> </w:t>
      </w:r>
    </w:p>
    <w:p>
      <w:pPr>
        <w:spacing w:line="314" w:lineRule="auto" w:before="32"/>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99"/>
          <w:sz w:val="21"/>
          <w:szCs w:val="21"/>
        </w:rPr>
        <w:t> </w:t>
      </w:r>
      <w:r>
        <w:rPr>
          <w:rFonts w:ascii="宋体" w:hAnsi="宋体" w:cs="宋体" w:eastAsia="宋体" w:hint="default"/>
          <w:spacing w:val="-2"/>
          <w:sz w:val="21"/>
          <w:szCs w:val="21"/>
        </w:rPr>
        <w:t>公司将当期与以前期间应交未交的应纳税暂时性差异确认为递延所得税负债。但不包括：</w:t>
      </w:r>
    </w:p>
    <w:p>
      <w:pPr>
        <w:pStyle w:val="BodyText"/>
        <w:spacing w:line="240" w:lineRule="auto" w:before="20"/>
        <w:ind w:left="557" w:right="0"/>
        <w:jc w:val="left"/>
      </w:pPr>
      <w:r>
        <w:rPr/>
        <w:t>（</w:t>
      </w:r>
      <w:r>
        <w:rPr>
          <w:rFonts w:ascii="Times New Roman" w:hAnsi="Times New Roman" w:cs="Times New Roman" w:eastAsia="Times New Roman" w:hint="default"/>
        </w:rPr>
        <w:t>1</w:t>
      </w:r>
      <w:r>
        <w:rPr/>
        <w:t>）商誉的初始确认所形成的暂时性差异；</w:t>
      </w:r>
    </w:p>
    <w:p>
      <w:pPr>
        <w:pStyle w:val="BodyText"/>
        <w:spacing w:line="297" w:lineRule="auto" w:before="69"/>
        <w:ind w:left="136" w:right="128" w:firstLine="420"/>
        <w:jc w:val="both"/>
      </w:pPr>
      <w:r>
        <w:rPr>
          <w:spacing w:val="-4"/>
        </w:rPr>
        <w:t>（</w:t>
      </w:r>
      <w:r>
        <w:rPr>
          <w:rFonts w:ascii="Times New Roman" w:hAnsi="Times New Roman" w:cs="Times New Roman" w:eastAsia="Times New Roman" w:hint="default"/>
          <w:spacing w:val="-4"/>
        </w:rPr>
        <w:t>2</w:t>
      </w:r>
      <w:r>
        <w:rPr>
          <w:spacing w:val="-4"/>
        </w:rPr>
        <w:t>）非企业合并形成的交易或事项，且该交易或事项发生时既不影响会计利润，也不影响应</w:t>
      </w:r>
      <w:r>
        <w:rPr>
          <w:w w:val="100"/>
        </w:rPr>
        <w:t> </w:t>
      </w:r>
      <w:r>
        <w:rPr/>
        <w:t>纳税所得额（或可抵扣亏损）所形成的暂时性差异；</w:t>
      </w:r>
    </w:p>
    <w:p>
      <w:pPr>
        <w:pStyle w:val="Heading3"/>
        <w:spacing w:line="276" w:lineRule="auto"/>
        <w:ind w:left="136" w:right="0" w:firstLine="199"/>
        <w:jc w:val="left"/>
        <w:rPr>
          <w:rFonts w:ascii="宋体" w:hAnsi="宋体" w:cs="宋体" w:eastAsia="宋体" w:hint="default"/>
        </w:rPr>
      </w:pPr>
      <w:r>
        <w:rPr>
          <w:rFonts w:ascii="宋体" w:hAnsi="宋体" w:cs="宋体" w:eastAsia="宋体" w:hint="default"/>
          <w:spacing w:val="2"/>
        </w:rPr>
        <w:t>（</w:t>
      </w:r>
      <w:r>
        <w:rPr>
          <w:spacing w:val="2"/>
        </w:rPr>
        <w:t>3</w:t>
      </w:r>
      <w:r>
        <w:rPr>
          <w:rFonts w:ascii="宋体" w:hAnsi="宋体" w:cs="宋体" w:eastAsia="宋体" w:hint="default"/>
          <w:spacing w:val="2"/>
        </w:rPr>
        <w:t>）对于与子公司、联营企业投资相关的应纳税暂时性差异，该暂时性差异转回</w:t>
      </w:r>
      <w:r>
        <w:rPr>
          <w:rFonts w:ascii="宋体" w:hAnsi="宋体" w:cs="宋体" w:eastAsia="宋体" w:hint="default"/>
        </w:rPr>
        <w:t> 的时间能够控制并且该暂时性差异在可预见的未来很可能不会转回。</w:t>
      </w:r>
    </w:p>
    <w:p>
      <w:pPr>
        <w:pStyle w:val="Heading4"/>
        <w:spacing w:line="240" w:lineRule="auto" w:before="54"/>
        <w:ind w:left="557" w:right="0"/>
        <w:jc w:val="left"/>
        <w:rPr>
          <w:b w:val="0"/>
          <w:bCs w:val="0"/>
        </w:rPr>
      </w:pPr>
      <w:r>
        <w:rPr>
          <w:rFonts w:ascii="宋体" w:hAnsi="宋体" w:cs="宋体" w:eastAsia="宋体" w:hint="default"/>
        </w:rPr>
        <w:t>3.</w:t>
      </w:r>
      <w:r>
        <w:rPr/>
        <w:t>同时满足下列条件时，将递延所得税资产及递延所得税负债以抵销后的净额列示</w:t>
      </w:r>
      <w:r>
        <w:rPr>
          <w:b w:val="0"/>
          <w:bCs w:val="0"/>
        </w:rPr>
      </w:r>
    </w:p>
    <w:p>
      <w:pPr>
        <w:pStyle w:val="BodyText"/>
        <w:spacing w:line="240" w:lineRule="auto" w:before="85"/>
        <w:ind w:left="557" w:right="0"/>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09" w:lineRule="auto" w:before="69"/>
        <w:ind w:left="136" w:right="129" w:firstLine="425"/>
        <w:jc w:val="both"/>
        <w:rPr>
          <w:rFonts w:ascii="宋体" w:hAnsi="宋体" w:cs="宋体" w:eastAsia="宋体" w:hint="default"/>
        </w:rPr>
      </w:pPr>
      <w:r>
        <w:rPr>
          <w:spacing w:val="-4"/>
          <w:w w:val="100"/>
        </w:rPr>
        <w:t>（</w:t>
      </w:r>
      <w:r>
        <w:rPr>
          <w:rFonts w:ascii="Times New Roman" w:hAnsi="Times New Roman" w:cs="Times New Roman" w:eastAsia="Times New Roman" w:hint="default"/>
          <w:spacing w:val="-4"/>
          <w:w w:val="100"/>
        </w:rPr>
        <w:t>2</w:t>
      </w:r>
      <w:r>
        <w:rPr>
          <w:spacing w:val="-4"/>
          <w:w w:val="100"/>
        </w:rPr>
        <w:t>）递延所得税资产和递延所得税负债是与同一税收征管部门对同一纳税主体征收的所得税</w:t>
      </w:r>
      <w:r>
        <w:rPr>
          <w:w w:val="100"/>
        </w:rPr>
        <w:t> </w:t>
      </w:r>
      <w:r>
        <w:rPr>
          <w:spacing w:val="-1"/>
        </w:rPr>
        <w:t>相关或者对不同的纳税主体相关，但在未来每一具有重要性的递延所得税资产和递延所得税负债</w:t>
      </w:r>
      <w:r>
        <w:rPr>
          <w:spacing w:val="-55"/>
        </w:rPr>
        <w:t> </w:t>
      </w:r>
      <w:r>
        <w:rPr>
          <w:spacing w:val="-55"/>
        </w:rPr>
      </w:r>
      <w:r>
        <w:rPr>
          <w:spacing w:val="-1"/>
        </w:rPr>
        <w:t>转回的期间内，涉及的纳税主体体意图以净额结算当期所得税资产及当期所得税负债或是同时取</w:t>
      </w:r>
      <w:r>
        <w:rPr>
          <w:spacing w:val="-55"/>
        </w:rPr>
        <w:t> </w:t>
      </w:r>
      <w:r>
        <w:rPr>
          <w:spacing w:val="-55"/>
        </w:rPr>
      </w:r>
      <w:r>
        <w:rPr/>
        <w:t>得资产、清偿债务。</w:t>
      </w:r>
      <w:r>
        <w:rPr>
          <w:rFonts w:ascii="宋体" w:hAnsi="宋体" w:cs="宋体" w:eastAsia="宋体" w:hint="default"/>
        </w:rPr>
        <w:t> </w:t>
      </w:r>
    </w:p>
    <w:p>
      <w:pPr>
        <w:pStyle w:val="Heading3"/>
        <w:spacing w:line="243" w:lineRule="exact"/>
        <w:ind w:left="136" w:right="0"/>
        <w:jc w:val="both"/>
      </w:pPr>
      <w:r>
        <w:rPr/>
        <w:t> </w:t>
      </w:r>
    </w:p>
    <w:p>
      <w:pPr>
        <w:pStyle w:val="Heading4"/>
        <w:spacing w:line="273" w:lineRule="auto"/>
        <w:ind w:left="136" w:right="5681"/>
        <w:jc w:val="left"/>
        <w:rPr>
          <w:rFonts w:ascii="宋体" w:hAnsi="宋体" w:cs="宋体" w:eastAsia="宋体" w:hint="default"/>
          <w:b w:val="0"/>
          <w:bCs w:val="0"/>
        </w:rPr>
      </w:pPr>
      <w:r>
        <w:rPr>
          <w:rFonts w:ascii="Times New Roman" w:hAnsi="Times New Roman" w:cs="Times New Roman" w:eastAsia="Times New Roman" w:hint="default"/>
        </w:rPr>
        <w:t>39. </w:t>
      </w:r>
      <w:r>
        <w:rPr/>
        <w:t>租赁</w:t>
      </w:r>
      <w:r>
        <w:rPr>
          <w:spacing w:val="-101"/>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9"/>
        <w:ind w:left="136" w:right="0"/>
        <w:jc w:val="both"/>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97" w:lineRule="auto" w:before="73"/>
        <w:ind w:left="557" w:right="0"/>
        <w:jc w:val="left"/>
      </w:pPr>
      <w:r>
        <w:rPr/>
        <w:t>（</w:t>
      </w:r>
      <w:r>
        <w:rPr>
          <w:rFonts w:ascii="Times New Roman" w:hAnsi="Times New Roman" w:cs="Times New Roman" w:eastAsia="Times New Roman" w:hint="default"/>
        </w:rPr>
        <w:t>1</w:t>
      </w:r>
      <w:r>
        <w:rPr/>
        <w:t>）经营租入资产</w:t>
      </w:r>
      <w:r>
        <w:rPr>
          <w:w w:val="100"/>
        </w:rPr>
        <w:t> </w:t>
      </w:r>
      <w:r>
        <w:rPr>
          <w:spacing w:val="-2"/>
        </w:rPr>
        <w:t>公司租入资产所支付的租赁费，在不扣除免租期的整个租赁期内，按直线法进行分摊，计入</w:t>
      </w:r>
    </w:p>
    <w:p>
      <w:pPr>
        <w:pStyle w:val="BodyText"/>
        <w:spacing w:line="314" w:lineRule="auto" w:before="35"/>
        <w:ind w:left="557" w:right="0" w:hanging="421"/>
        <w:jc w:val="left"/>
      </w:pPr>
      <w:r>
        <w:rPr/>
        <w:t>当期费用。公司支付的与租赁交易相关的初始直接费用，计入当期费用。</w:t>
      </w:r>
      <w:r>
        <w:rPr>
          <w:w w:val="100"/>
        </w:rPr>
        <w:t> </w:t>
      </w:r>
      <w:r>
        <w:rPr>
          <w:spacing w:val="-2"/>
        </w:rPr>
        <w:t>资产出租方承担了应由公司承担的与租赁相关的费用时，公司将该部分费用从租金总额中扣</w:t>
      </w:r>
    </w:p>
    <w:p>
      <w:pPr>
        <w:pStyle w:val="BodyText"/>
        <w:spacing w:line="240" w:lineRule="auto" w:before="20"/>
        <w:ind w:left="136" w:right="0"/>
        <w:jc w:val="both"/>
      </w:pPr>
      <w:r>
        <w:rPr/>
        <w:t>除，按扣除后的租金费用在租赁期内分摊，计入当期费用。</w:t>
      </w:r>
    </w:p>
    <w:p>
      <w:pPr>
        <w:pStyle w:val="BodyText"/>
        <w:spacing w:line="297" w:lineRule="auto" w:before="85"/>
        <w:ind w:left="557" w:right="0"/>
        <w:jc w:val="left"/>
      </w:pPr>
      <w:r>
        <w:rPr/>
        <w:t>（</w:t>
      </w:r>
      <w:r>
        <w:rPr>
          <w:rFonts w:ascii="Times New Roman" w:hAnsi="Times New Roman" w:cs="Times New Roman" w:eastAsia="Times New Roman" w:hint="default"/>
        </w:rPr>
        <w:t>2</w:t>
      </w:r>
      <w:r>
        <w:rPr/>
        <w:t>）经营租出资产</w:t>
      </w:r>
      <w:r>
        <w:rPr>
          <w:w w:val="100"/>
        </w:rPr>
        <w:t> </w:t>
      </w:r>
      <w:r>
        <w:rPr>
          <w:spacing w:val="-2"/>
        </w:rPr>
        <w:t>公司出租资产所收取的租赁费，在不扣除免租期的整个租赁期内，按直线法进行分摊，确认</w:t>
      </w:r>
    </w:p>
    <w:p>
      <w:pPr>
        <w:pStyle w:val="BodyText"/>
        <w:spacing w:line="314" w:lineRule="auto" w:before="34"/>
        <w:ind w:left="136" w:right="0"/>
        <w:jc w:val="left"/>
      </w:pPr>
      <w:r>
        <w:rPr>
          <w:spacing w:val="-1"/>
        </w:rPr>
        <w:t>为租赁收入。公司支付的与租赁交易相关的初始直接费用，计入当期费用；如金额较大的，则予</w:t>
      </w:r>
      <w:r>
        <w:rPr>
          <w:spacing w:val="-55"/>
        </w:rPr>
        <w:t> </w:t>
      </w:r>
      <w:r>
        <w:rPr>
          <w:spacing w:val="-55"/>
        </w:rPr>
      </w:r>
      <w:r>
        <w:rPr/>
        <w:t>以资本化，在整个租赁期间内按照与租赁收入确认相同的基础分期计入当期收益。</w:t>
      </w:r>
    </w:p>
    <w:p>
      <w:pPr>
        <w:pStyle w:val="BodyText"/>
        <w:spacing w:line="240" w:lineRule="auto" w:before="20"/>
        <w:ind w:left="557" w:right="0"/>
        <w:jc w:val="left"/>
      </w:pPr>
      <w:r>
        <w:rPr/>
        <w:t>公司承担了应由承租方承担的与租赁相关的费用时，公司将该部分费用从租金收入总额中扣</w:t>
      </w:r>
    </w:p>
    <w:p>
      <w:pPr>
        <w:spacing w:after="0" w:line="240" w:lineRule="auto"/>
        <w:jc w:val="left"/>
        <w:sectPr>
          <w:pgSz w:w="11910" w:h="16840"/>
          <w:pgMar w:header="857" w:footer="979" w:top="1120" w:bottom="1160" w:left="1140" w:right="1660"/>
        </w:sectPr>
      </w:pPr>
    </w:p>
    <w:p>
      <w:pPr>
        <w:spacing w:line="240" w:lineRule="auto" w:before="4"/>
        <w:rPr>
          <w:rFonts w:ascii="宋体" w:hAnsi="宋体" w:cs="宋体" w:eastAsia="宋体" w:hint="default"/>
          <w:sz w:val="24"/>
          <w:szCs w:val="24"/>
        </w:rPr>
      </w:pPr>
    </w:p>
    <w:p>
      <w:pPr>
        <w:pStyle w:val="BodyText"/>
        <w:spacing w:line="240" w:lineRule="auto" w:before="36"/>
        <w:ind w:left="216" w:right="0"/>
        <w:jc w:val="both"/>
      </w:pPr>
      <w:r>
        <w:rPr/>
        <w:t>除，按扣除后的租金费用在租赁期内分配。</w:t>
      </w:r>
    </w:p>
    <w:p>
      <w:pPr>
        <w:pStyle w:val="Heading3"/>
        <w:spacing w:line="240" w:lineRule="auto" w:before="2"/>
        <w:ind w:left="216" w:right="0"/>
        <w:jc w:val="both"/>
      </w:pPr>
      <w:r>
        <w:rPr/>
        <w:t> </w:t>
      </w:r>
    </w:p>
    <w:p>
      <w:pPr>
        <w:pStyle w:val="Heading4"/>
        <w:spacing w:line="240" w:lineRule="auto"/>
        <w:ind w:left="216" w:right="0"/>
        <w:jc w:val="both"/>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both"/>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304" w:lineRule="auto" w:before="75"/>
        <w:ind w:left="216" w:right="229" w:firstLine="420"/>
        <w:jc w:val="both"/>
      </w:pPr>
      <w:r>
        <w:rPr>
          <w:spacing w:val="-4"/>
        </w:rPr>
        <w:t>（</w:t>
      </w:r>
      <w:r>
        <w:rPr>
          <w:rFonts w:ascii="Times New Roman" w:hAnsi="Times New Roman" w:cs="Times New Roman" w:eastAsia="Times New Roman" w:hint="default"/>
          <w:spacing w:val="-4"/>
        </w:rPr>
        <w:t>1</w:t>
      </w:r>
      <w:r>
        <w:rPr>
          <w:spacing w:val="-4"/>
        </w:rPr>
        <w:t>）融资租入资产：公司在承租开始日，将租赁资产公允价值与最低租赁付款额现值两者中</w:t>
      </w:r>
      <w:r>
        <w:rPr>
          <w:w w:val="100"/>
        </w:rPr>
        <w:t> </w:t>
      </w:r>
      <w:r>
        <w:rPr>
          <w:spacing w:val="-1"/>
        </w:rPr>
        <w:t>较低者作为租入资产的入账价值，将最低租赁付款额作为长期应付款的入账价值，其差额作为未</w:t>
      </w:r>
      <w:r>
        <w:rPr>
          <w:spacing w:val="-55"/>
        </w:rPr>
        <w:t> </w:t>
      </w:r>
      <w:r>
        <w:rPr>
          <w:spacing w:val="-55"/>
        </w:rPr>
      </w:r>
      <w:r>
        <w:rPr/>
        <w:t>确认的融资费用。融资租入资产的认定依据、计价和折旧方法详见本节五／</w:t>
      </w:r>
      <w:r>
        <w:rPr>
          <w:rFonts w:ascii="Times New Roman" w:hAnsi="Times New Roman" w:cs="Times New Roman" w:eastAsia="Times New Roman" w:hint="default"/>
        </w:rPr>
        <w:t>22.</w:t>
      </w:r>
      <w:r>
        <w:rPr/>
        <w:t>固定资产。</w:t>
      </w:r>
    </w:p>
    <w:p>
      <w:pPr>
        <w:pStyle w:val="BodyText"/>
        <w:spacing w:line="240" w:lineRule="auto" w:before="6"/>
        <w:ind w:left="637" w:right="0"/>
        <w:jc w:val="left"/>
      </w:pPr>
      <w:r>
        <w:rPr/>
        <w:t>公司采用实际利率法对未确认的融资费用，在资产租赁期间内摊销，计入财务费用。</w:t>
      </w:r>
    </w:p>
    <w:p>
      <w:pPr>
        <w:pStyle w:val="BodyText"/>
        <w:spacing w:line="304" w:lineRule="auto" w:before="85"/>
        <w:ind w:left="216" w:right="229" w:firstLine="420"/>
        <w:jc w:val="both"/>
      </w:pPr>
      <w:r>
        <w:rPr>
          <w:spacing w:val="-4"/>
        </w:rPr>
        <w:t>（</w:t>
      </w:r>
      <w:r>
        <w:rPr>
          <w:rFonts w:ascii="Times New Roman" w:hAnsi="Times New Roman" w:cs="Times New Roman" w:eastAsia="Times New Roman" w:hint="default"/>
          <w:spacing w:val="-4"/>
        </w:rPr>
        <w:t>2</w:t>
      </w:r>
      <w:r>
        <w:rPr>
          <w:spacing w:val="-4"/>
        </w:rPr>
        <w:t>）融资租出资产：公司在租赁开始日，将应收融资租赁款，未担保余值之和与其现值的差</w:t>
      </w:r>
      <w:r>
        <w:rPr>
          <w:w w:val="100"/>
        </w:rPr>
        <w:t> </w:t>
      </w:r>
      <w:r>
        <w:rPr>
          <w:spacing w:val="-1"/>
        </w:rPr>
        <w:t>额确认为未实现融资收益，在将来收到租金的各期间内确认为租赁收入，公司发生的与出租交易</w:t>
      </w:r>
      <w:r>
        <w:rPr>
          <w:spacing w:val="-55"/>
        </w:rPr>
        <w:t> </w:t>
      </w:r>
      <w:r>
        <w:rPr>
          <w:spacing w:val="-55"/>
        </w:rPr>
      </w:r>
      <w:r>
        <w:rPr/>
        <w:t>相关的初始直接费用，计入应收融资租赁款的初始计量中，并减少租赁期内确认的收益金额。</w:t>
      </w:r>
    </w:p>
    <w:p>
      <w:pPr>
        <w:pStyle w:val="Heading3"/>
        <w:spacing w:line="260" w:lineRule="exact"/>
        <w:ind w:left="216" w:right="0"/>
        <w:jc w:val="both"/>
      </w:pPr>
      <w:r>
        <w:rPr/>
        <w:t> </w:t>
      </w:r>
    </w:p>
    <w:p>
      <w:pPr>
        <w:pStyle w:val="Heading4"/>
        <w:spacing w:line="240" w:lineRule="auto" w:before="61"/>
        <w:ind w:left="216" w:right="0"/>
        <w:jc w:val="both"/>
        <w:rPr>
          <w:rFonts w:ascii="宋体" w:hAnsi="宋体" w:cs="宋体" w:eastAsia="宋体" w:hint="default"/>
          <w:b w:val="0"/>
          <w:bCs w:val="0"/>
        </w:rPr>
      </w:pPr>
      <w:r>
        <w:rPr>
          <w:rFonts w:ascii="宋体" w:hAnsi="宋体" w:cs="宋体" w:eastAsia="宋体" w:hint="default"/>
        </w:rPr>
        <w:t>(3).</w:t>
      </w:r>
      <w:r>
        <w:rPr/>
        <w:t>新租赁准则下租赁的确定方法及会计处理方法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58"/>
        <w:ind w:left="216" w:right="0"/>
        <w:jc w:val="both"/>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216" w:right="0"/>
        <w:jc w:val="both"/>
      </w:pPr>
      <w:r>
        <w:rPr/>
        <w:t> </w:t>
      </w:r>
    </w:p>
    <w:p>
      <w:pPr>
        <w:pStyle w:val="Heading4"/>
        <w:spacing w:line="240" w:lineRule="auto"/>
        <w:ind w:left="216" w:right="0"/>
        <w:jc w:val="both"/>
        <w:rPr>
          <w:b w:val="0"/>
          <w:bCs w:val="0"/>
        </w:rPr>
      </w:pPr>
      <w:r>
        <w:rPr>
          <w:rFonts w:ascii="Times New Roman" w:hAnsi="Times New Roman" w:cs="Times New Roman" w:eastAsia="Times New Roman" w:hint="default"/>
        </w:rPr>
        <w:t>40.  </w:t>
      </w:r>
      <w:r>
        <w:rPr>
          <w:rFonts w:ascii="Times New Roman" w:hAnsi="Times New Roman" w:cs="Times New Roman" w:eastAsia="Times New Roman" w:hint="default"/>
          <w:spacing w:val="3"/>
        </w:rPr>
        <w:t> </w:t>
      </w:r>
      <w:r>
        <w:rPr/>
        <w:t>其他重要的会计政策和会计估计</w:t>
      </w:r>
      <w:r>
        <w:rPr>
          <w:b w:val="0"/>
          <w:bCs w:val="0"/>
        </w:rPr>
      </w:r>
    </w:p>
    <w:p>
      <w:pPr>
        <w:pStyle w:val="BodyText"/>
        <w:spacing w:line="240" w:lineRule="auto" w:before="40"/>
        <w:ind w:left="216" w:right="0"/>
        <w:jc w:val="both"/>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97" w:lineRule="auto" w:before="75"/>
        <w:ind w:left="637" w:right="0" w:firstLine="60"/>
        <w:jc w:val="left"/>
      </w:pPr>
      <w:r>
        <w:rPr>
          <w:rFonts w:ascii="Times New Roman" w:hAnsi="Times New Roman" w:cs="Times New Roman" w:eastAsia="Times New Roman" w:hint="default"/>
          <w:b/>
          <w:bCs/>
        </w:rPr>
        <w:t>1</w:t>
      </w:r>
      <w:r>
        <w:rPr>
          <w:rFonts w:ascii="宋体" w:hAnsi="宋体" w:cs="宋体" w:eastAsia="宋体" w:hint="default"/>
          <w:b/>
          <w:bCs/>
        </w:rPr>
        <w:t>．终止经营</w:t>
      </w:r>
      <w:r>
        <w:rPr>
          <w:rFonts w:ascii="宋体" w:hAnsi="宋体" w:cs="宋体" w:eastAsia="宋体" w:hint="default"/>
          <w:b/>
          <w:bCs/>
          <w:w w:val="100"/>
        </w:rPr>
        <w:t> </w:t>
      </w:r>
      <w:r>
        <w:rPr>
          <w:spacing w:val="-2"/>
        </w:rPr>
        <w:t>本公司将满足下列条件之一的，且该组成部分已经处置或划归为持有待售类别的、能够单独</w:t>
      </w:r>
    </w:p>
    <w:p>
      <w:pPr>
        <w:pStyle w:val="BodyText"/>
        <w:spacing w:line="240" w:lineRule="auto" w:before="34"/>
        <w:ind w:left="216" w:right="0"/>
        <w:jc w:val="both"/>
      </w:pPr>
      <w:r>
        <w:rPr/>
        <w:t>区分的组成部分确认为终止经营组成部分：</w:t>
      </w:r>
    </w:p>
    <w:p>
      <w:pPr>
        <w:pStyle w:val="BodyText"/>
        <w:spacing w:line="240" w:lineRule="auto" w:before="85"/>
        <w:ind w:left="637" w:right="0"/>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97" w:lineRule="auto" w:before="69"/>
        <w:ind w:left="216" w:right="229" w:firstLine="420"/>
        <w:jc w:val="both"/>
      </w:pPr>
      <w:r>
        <w:rPr>
          <w:spacing w:val="-4"/>
          <w:w w:val="100"/>
        </w:rPr>
        <w:t>（</w:t>
      </w:r>
      <w:r>
        <w:rPr>
          <w:rFonts w:ascii="Times New Roman" w:hAnsi="Times New Roman" w:cs="Times New Roman" w:eastAsia="Times New Roman" w:hint="default"/>
          <w:spacing w:val="-4"/>
          <w:w w:val="100"/>
        </w:rPr>
        <w:t>2</w:t>
      </w:r>
      <w:r>
        <w:rPr>
          <w:spacing w:val="-4"/>
          <w:w w:val="100"/>
        </w:rPr>
        <w:t>）该组成部分是拟对一项独立的主要业务或一个单独的主要经营地区进行处置的一项相关</w:t>
      </w:r>
      <w:r>
        <w:rPr>
          <w:w w:val="100"/>
        </w:rPr>
        <w:t> </w:t>
      </w:r>
      <w:r>
        <w:rPr/>
        <w:t>联计划的一部分。</w:t>
      </w:r>
    </w:p>
    <w:p>
      <w:pPr>
        <w:pStyle w:val="BodyText"/>
        <w:spacing w:line="302" w:lineRule="auto" w:before="34"/>
        <w:ind w:left="637" w:right="0"/>
        <w:jc w:val="left"/>
      </w:pPr>
      <w:r>
        <w:rPr/>
        <w:t>（</w:t>
      </w:r>
      <w:r>
        <w:rPr>
          <w:rFonts w:ascii="Times New Roman" w:hAnsi="Times New Roman" w:cs="Times New Roman" w:eastAsia="Times New Roman" w:hint="default"/>
        </w:rPr>
        <w:t>3</w:t>
      </w:r>
      <w:r>
        <w:rPr/>
        <w:t>）该组成部分是专为转售而取得的子公司。</w:t>
      </w:r>
      <w:r>
        <w:rPr>
          <w:w w:val="100"/>
        </w:rPr>
        <w:t> </w:t>
      </w:r>
      <w:r>
        <w:rPr>
          <w:spacing w:val="-2"/>
        </w:rPr>
        <w:t>终止经营的减值损失和转回金额等经营损益及处置损益作为终止经营损益在利润表中列示。</w:t>
      </w:r>
      <w:r>
        <w:rPr>
          <w:spacing w:val="-28"/>
        </w:rPr>
        <w:t> </w:t>
      </w:r>
      <w:r>
        <w:rPr>
          <w:spacing w:val="-28"/>
        </w:rPr>
      </w:r>
      <w:r>
        <w:rPr>
          <w:rFonts w:ascii="Times New Roman" w:hAnsi="Times New Roman" w:cs="Times New Roman" w:eastAsia="Times New Roman" w:hint="default"/>
          <w:b/>
          <w:bCs/>
        </w:rPr>
        <w:t>2</w:t>
      </w:r>
      <w:r>
        <w:rPr>
          <w:rFonts w:ascii="宋体" w:hAnsi="宋体" w:cs="宋体" w:eastAsia="宋体" w:hint="default"/>
          <w:b/>
          <w:bCs/>
        </w:rPr>
        <w:t>、回购本公司股份</w:t>
      </w:r>
      <w:r>
        <w:rPr>
          <w:rFonts w:ascii="宋体" w:hAnsi="宋体" w:cs="宋体" w:eastAsia="宋体" w:hint="default"/>
          <w:b/>
          <w:bCs/>
          <w:w w:val="100"/>
        </w:rPr>
        <w:t> </w:t>
      </w:r>
      <w:r>
        <w:rPr>
          <w:spacing w:val="-2"/>
        </w:rPr>
        <w:t>公司回购的股份在注销或者转让之前，作为库存股管理，回购股份的全部支出转作库存股成</w:t>
      </w:r>
    </w:p>
    <w:p>
      <w:pPr>
        <w:pStyle w:val="BodyText"/>
        <w:spacing w:line="314" w:lineRule="auto" w:before="30"/>
        <w:ind w:left="216" w:right="229"/>
        <w:jc w:val="both"/>
      </w:pPr>
      <w:r>
        <w:rPr>
          <w:spacing w:val="-1"/>
        </w:rPr>
        <w:t>本。但与持有本公司股份的其他公司合并而导致的股份回购，参与合并各方在合并前及合并后如</w:t>
      </w:r>
      <w:r>
        <w:rPr>
          <w:spacing w:val="-55"/>
        </w:rPr>
        <w:t> </w:t>
      </w:r>
      <w:r>
        <w:rPr>
          <w:spacing w:val="-55"/>
        </w:rPr>
      </w:r>
      <w:r>
        <w:rPr>
          <w:spacing w:val="-1"/>
        </w:rPr>
        <w:t>均属于同一股东最终控制的，库存股成本按参与合并的其他公司持有本公司股份的相关投资账面</w:t>
      </w:r>
      <w:r>
        <w:rPr>
          <w:spacing w:val="-55"/>
        </w:rPr>
        <w:t> </w:t>
      </w:r>
      <w:r>
        <w:rPr>
          <w:spacing w:val="-55"/>
        </w:rPr>
      </w:r>
      <w:r>
        <w:rPr>
          <w:spacing w:val="-1"/>
        </w:rPr>
        <w:t>价值确认；如不属于同一股东最终控制的，库存股成本按参与合并的其他公司持有本公司股份的</w:t>
      </w:r>
      <w:r>
        <w:rPr>
          <w:spacing w:val="-55"/>
        </w:rPr>
        <w:t> </w:t>
      </w:r>
      <w:r>
        <w:rPr>
          <w:spacing w:val="-55"/>
        </w:rPr>
      </w:r>
      <w:r>
        <w:rPr/>
        <w:t>相关投资公允价值确认。</w:t>
      </w:r>
    </w:p>
    <w:p>
      <w:pPr>
        <w:pStyle w:val="BodyText"/>
        <w:spacing w:line="314" w:lineRule="auto" w:before="20"/>
        <w:ind w:left="216" w:right="135" w:firstLine="420"/>
        <w:jc w:val="both"/>
        <w:rPr>
          <w:rFonts w:ascii="宋体" w:hAnsi="宋体" w:cs="宋体" w:eastAsia="宋体" w:hint="default"/>
        </w:rPr>
      </w:pPr>
      <w:r>
        <w:rPr/>
        <w:t>库存股注销时，按照注销的股份数量减少相应股本，库存股成本高于对应股本的部分，依次</w:t>
      </w:r>
      <w:r>
        <w:rPr>
          <w:w w:val="100"/>
        </w:rPr>
        <w:t> </w:t>
      </w:r>
      <w:r>
        <w:rPr/>
        <w:t>冲减资本公积金、盈余公积金、以前年度未分配利润；低于对应股本的部分，增加资本公积金。</w:t>
      </w:r>
      <w:r>
        <w:rPr>
          <w:rFonts w:ascii="宋体" w:hAnsi="宋体" w:cs="宋体" w:eastAsia="宋体" w:hint="default"/>
        </w:rPr>
        <w:t> </w:t>
      </w:r>
    </w:p>
    <w:p>
      <w:pPr>
        <w:pStyle w:val="Heading3"/>
        <w:spacing w:line="251" w:lineRule="exact"/>
        <w:ind w:left="216" w:right="0"/>
        <w:jc w:val="both"/>
      </w:pPr>
      <w:r>
        <w:rPr/>
        <w:t> </w:t>
      </w:r>
    </w:p>
    <w:p>
      <w:pPr>
        <w:pStyle w:val="Heading4"/>
        <w:spacing w:line="273" w:lineRule="auto"/>
        <w:ind w:left="216" w:right="5570"/>
        <w:jc w:val="left"/>
        <w:rPr>
          <w:rFonts w:ascii="宋体" w:hAnsi="宋体" w:cs="宋体" w:eastAsia="宋体" w:hint="default"/>
          <w:b w:val="0"/>
          <w:bCs w:val="0"/>
        </w:rPr>
      </w:pPr>
      <w:r>
        <w:rPr>
          <w:rFonts w:ascii="Times New Roman" w:hAnsi="Times New Roman" w:cs="Times New Roman" w:eastAsia="Times New Roman" w:hint="default"/>
        </w:rPr>
        <w:t>41.</w:t>
      </w:r>
      <w:r>
        <w:rPr>
          <w:rFonts w:ascii="Times New Roman" w:hAnsi="Times New Roman" w:cs="Times New Roman" w:eastAsia="Times New Roman" w:hint="default"/>
          <w:spacing w:val="2"/>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29"/>
        <w:ind w:left="216" w:right="0"/>
        <w:jc w:val="both"/>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216" w:right="0"/>
        <w:jc w:val="both"/>
      </w:pPr>
      <w:r>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55"/>
        <w:gridCol w:w="2856"/>
        <w:gridCol w:w="3238"/>
      </w:tblGrid>
      <w:tr>
        <w:trPr>
          <w:trHeight w:val="554"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3"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受重要影响的报表项目名</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称和金额</w:t>
            </w:r>
            <w:r>
              <w:rPr>
                <w:rFonts w:ascii="宋体" w:hAnsi="宋体" w:cs="宋体" w:eastAsia="宋体" w:hint="default"/>
                <w:sz w:val="21"/>
                <w:szCs w:val="21"/>
              </w:rPr>
              <w:t>) </w:t>
            </w:r>
          </w:p>
        </w:tc>
      </w:tr>
    </w:tbl>
    <w:p>
      <w:pPr>
        <w:spacing w:after="0" w:line="273" w:lineRule="exact"/>
        <w:jc w:val="center"/>
        <w:rPr>
          <w:rFonts w:ascii="宋体" w:hAnsi="宋体" w:cs="宋体" w:eastAsia="宋体" w:hint="default"/>
          <w:sz w:val="21"/>
          <w:szCs w:val="21"/>
        </w:rPr>
        <w:sectPr>
          <w:pgSz w:w="11910" w:h="16840"/>
          <w:pgMar w:header="857" w:footer="979" w:top="1120" w:bottom="1160" w:left="1060" w:right="156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2955"/>
        <w:gridCol w:w="2856"/>
        <w:gridCol w:w="3238"/>
      </w:tblGrid>
      <w:tr>
        <w:trPr>
          <w:trHeight w:val="3279"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中华人民共和国财政部（以下</w:t>
            </w:r>
          </w:p>
          <w:p>
            <w:pPr>
              <w:pStyle w:val="TableParagraph"/>
              <w:spacing w:line="230" w:lineRule="auto" w:before="9"/>
              <w:ind w:left="103" w:right="98"/>
              <w:jc w:val="both"/>
              <w:rPr>
                <w:rFonts w:ascii="宋体" w:hAnsi="宋体" w:cs="宋体" w:eastAsia="宋体" w:hint="default"/>
                <w:sz w:val="21"/>
                <w:szCs w:val="21"/>
              </w:rPr>
            </w:pPr>
            <w:r>
              <w:rPr>
                <w:rFonts w:ascii="宋体" w:hAnsi="宋体" w:cs="宋体" w:eastAsia="宋体" w:hint="default"/>
                <w:sz w:val="21"/>
                <w:szCs w:val="21"/>
              </w:rPr>
              <w:t>简称“财政部”）于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修订发布了《企业会计准则第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Times New Roman" w:hAnsi="Times New Roman" w:cs="Times New Roman" w:eastAsia="Times New Roman" w:hint="default"/>
                <w:sz w:val="21"/>
                <w:szCs w:val="21"/>
              </w:rPr>
              <w:t>22 </w:t>
            </w:r>
            <w:r>
              <w:rPr>
                <w:rFonts w:ascii="Times New Roman" w:hAnsi="Times New Roman" w:cs="Times New Roman" w:eastAsia="Times New Roman" w:hint="default"/>
                <w:spacing w:val="34"/>
                <w:sz w:val="21"/>
                <w:szCs w:val="21"/>
              </w:rPr>
              <w:t> </w:t>
            </w:r>
            <w:r>
              <w:rPr>
                <w:rFonts w:ascii="宋体" w:hAnsi="宋体" w:cs="宋体" w:eastAsia="宋体" w:hint="default"/>
                <w:spacing w:val="7"/>
                <w:sz w:val="21"/>
                <w:szCs w:val="21"/>
              </w:rPr>
              <w:t>号</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金融工具确认和计</w:t>
            </w:r>
          </w:p>
          <w:p>
            <w:pPr>
              <w:pStyle w:val="TableParagraph"/>
              <w:spacing w:line="225" w:lineRule="auto"/>
              <w:ind w:left="103" w:right="99"/>
              <w:jc w:val="both"/>
              <w:rPr>
                <w:rFonts w:ascii="宋体" w:hAnsi="宋体" w:cs="宋体" w:eastAsia="宋体" w:hint="default"/>
                <w:sz w:val="21"/>
                <w:szCs w:val="21"/>
              </w:rPr>
            </w:pPr>
            <w:r>
              <w:rPr>
                <w:rFonts w:ascii="宋体" w:hAnsi="宋体" w:cs="宋体" w:eastAsia="宋体" w:hint="default"/>
                <w:spacing w:val="6"/>
                <w:sz w:val="21"/>
                <w:szCs w:val="21"/>
              </w:rPr>
              <w:t>量》、《企业会计准则第</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金融资产转移》、《企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业会计准则第 </w:t>
            </w:r>
            <w:r>
              <w:rPr>
                <w:rFonts w:ascii="Times New Roman" w:hAnsi="Times New Roman" w:cs="Times New Roman" w:eastAsia="Times New Roman" w:hint="default"/>
                <w:sz w:val="21"/>
                <w:szCs w:val="21"/>
              </w:rPr>
              <w:t>24 </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套期</w:t>
            </w:r>
          </w:p>
          <w:p>
            <w:pPr>
              <w:pStyle w:val="TableParagraph"/>
              <w:spacing w:line="272" w:lineRule="exact" w:before="13"/>
              <w:ind w:left="103" w:right="98"/>
              <w:jc w:val="both"/>
              <w:rPr>
                <w:rFonts w:ascii="Times New Roman" w:hAnsi="Times New Roman" w:cs="Times New Roman" w:eastAsia="Times New Roman" w:hint="default"/>
                <w:sz w:val="21"/>
                <w:szCs w:val="21"/>
              </w:rPr>
            </w:pPr>
            <w:r>
              <w:rPr>
                <w:rFonts w:ascii="宋体" w:hAnsi="宋体" w:cs="宋体" w:eastAsia="宋体" w:hint="default"/>
                <w:spacing w:val="-10"/>
                <w:sz w:val="21"/>
                <w:szCs w:val="21"/>
              </w:rPr>
              <w:t>会计》、《企业会计准则第</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金融工具列报》，并要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求境内上市企业自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1</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日起施行新金融工具相关</w:t>
            </w:r>
            <w:r>
              <w:rPr>
                <w:rFonts w:ascii="宋体" w:hAnsi="宋体" w:cs="宋体" w:eastAsia="宋体" w:hint="default"/>
                <w:w w:val="100"/>
                <w:sz w:val="21"/>
                <w:szCs w:val="21"/>
              </w:rPr>
              <w:t> </w:t>
            </w:r>
            <w:r>
              <w:rPr>
                <w:rFonts w:ascii="宋体" w:hAnsi="宋体" w:cs="宋体" w:eastAsia="宋体" w:hint="default"/>
                <w:sz w:val="21"/>
                <w:szCs w:val="21"/>
              </w:rPr>
              <w:t>会计准则。</w:t>
            </w:r>
            <w:r>
              <w:rPr>
                <w:rFonts w:ascii="宋体" w:hAnsi="宋体" w:cs="宋体" w:eastAsia="宋体" w:hint="default"/>
                <w:sz w:val="21"/>
                <w:szCs w:val="21"/>
              </w:rPr>
              <w:t> </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32" w:lineRule="auto"/>
              <w:ind w:left="103" w:right="89"/>
              <w:jc w:val="both"/>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 </w:t>
            </w:r>
            <w:r>
              <w:rPr>
                <w:rFonts w:ascii="宋体" w:hAnsi="宋体" w:cs="宋体" w:eastAsia="宋体" w:hint="default"/>
                <w:spacing w:val="-8"/>
                <w:sz w:val="21"/>
                <w:szCs w:val="21"/>
              </w:rPr>
              <w:t>日，公司召开</w:t>
            </w:r>
            <w:r>
              <w:rPr>
                <w:rFonts w:ascii="宋体" w:hAnsi="宋体" w:cs="宋体" w:eastAsia="宋体" w:hint="default"/>
                <w:w w:val="100"/>
                <w:sz w:val="21"/>
                <w:szCs w:val="21"/>
              </w:rPr>
              <w:t> </w:t>
            </w:r>
            <w:r>
              <w:rPr>
                <w:rFonts w:ascii="宋体" w:hAnsi="宋体" w:cs="宋体" w:eastAsia="宋体" w:hint="default"/>
                <w:spacing w:val="8"/>
                <w:sz w:val="21"/>
                <w:szCs w:val="21"/>
              </w:rPr>
              <w:t>第三届董事会第三十三次会</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9"/>
                <w:w w:val="100"/>
                <w:sz w:val="21"/>
                <w:szCs w:val="21"/>
              </w:rPr>
              <w:t>议审议通过了《关于会计政策</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变更的议案》</w:t>
            </w:r>
            <w:r>
              <w:rPr>
                <w:rFonts w:ascii="宋体" w:hAnsi="宋体" w:cs="宋体" w:eastAsia="宋体" w:hint="default"/>
                <w:sz w:val="21"/>
                <w:szCs w:val="21"/>
              </w:rPr>
              <w:t> </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日之前的金融工具</w:t>
            </w:r>
          </w:p>
          <w:p>
            <w:pPr>
              <w:pStyle w:val="TableParagraph"/>
              <w:spacing w:line="235" w:lineRule="auto"/>
              <w:ind w:left="103" w:right="59"/>
              <w:jc w:val="both"/>
              <w:rPr>
                <w:rFonts w:ascii="宋体" w:hAnsi="宋体" w:cs="宋体" w:eastAsia="宋体" w:hint="default"/>
                <w:sz w:val="21"/>
                <w:szCs w:val="21"/>
              </w:rPr>
            </w:pPr>
            <w:r>
              <w:rPr>
                <w:rFonts w:ascii="宋体" w:hAnsi="宋体" w:cs="宋体" w:eastAsia="宋体" w:hint="default"/>
                <w:spacing w:val="3"/>
                <w:sz w:val="21"/>
                <w:szCs w:val="21"/>
              </w:rPr>
              <w:t>确认和计量与新金融工具准则要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求不一致的，本公司按照新金融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工具准则的要求进行衔接调整。</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涉及前期比较财务报表数据与新</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金融工具准则要求不一致的，本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公司未调整可比期间信息。金融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工具原账面价值和新金融工具准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则施行日的新账面价值之间的差</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7"/>
                <w:sz w:val="21"/>
                <w:szCs w:val="21"/>
              </w:rPr>
              <w:t>额，计入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日留存收</w:t>
            </w:r>
            <w:r>
              <w:rPr>
                <w:rFonts w:ascii="宋体" w:hAnsi="宋体" w:cs="宋体" w:eastAsia="宋体" w:hint="default"/>
                <w:w w:val="100"/>
                <w:sz w:val="21"/>
                <w:szCs w:val="21"/>
              </w:rPr>
              <w:t> </w:t>
            </w:r>
            <w:r>
              <w:rPr>
                <w:rFonts w:ascii="宋体" w:hAnsi="宋体" w:cs="宋体" w:eastAsia="宋体" w:hint="default"/>
                <w:spacing w:val="-17"/>
                <w:sz w:val="21"/>
                <w:szCs w:val="21"/>
              </w:rPr>
              <w:t>益或其他综合收益。</w:t>
            </w:r>
            <w:r>
              <w:rPr>
                <w:rFonts w:ascii="Times New Roman" w:hAnsi="Times New Roman" w:cs="Times New Roman" w:eastAsia="Times New Roman" w:hint="default"/>
                <w:spacing w:val="-17"/>
                <w:sz w:val="21"/>
                <w:szCs w:val="21"/>
              </w:rPr>
              <w:t>[</w:t>
            </w:r>
            <w:r>
              <w:rPr>
                <w:rFonts w:ascii="宋体" w:hAnsi="宋体" w:cs="宋体" w:eastAsia="宋体" w:hint="default"/>
                <w:spacing w:val="-17"/>
                <w:sz w:val="21"/>
                <w:szCs w:val="21"/>
              </w:rPr>
              <w:t>详见第（</w:t>
            </w:r>
            <w:r>
              <w:rPr>
                <w:rFonts w:ascii="Times New Roman" w:hAnsi="Times New Roman" w:cs="Times New Roman" w:eastAsia="Times New Roman" w:hint="default"/>
                <w:spacing w:val="-17"/>
                <w:sz w:val="21"/>
                <w:szCs w:val="21"/>
              </w:rPr>
              <w:t>3</w:t>
            </w:r>
            <w:r>
              <w:rPr>
                <w:rFonts w:ascii="宋体" w:hAnsi="宋体" w:cs="宋体" w:eastAsia="宋体" w:hint="default"/>
                <w:spacing w:val="-17"/>
                <w:sz w:val="21"/>
                <w:szCs w:val="21"/>
              </w:rPr>
              <w:t>）、</w:t>
            </w:r>
            <w:r>
              <w:rPr>
                <w:rFonts w:ascii="宋体" w:hAnsi="宋体" w:cs="宋体" w:eastAsia="宋体" w:hint="default"/>
                <w:sz w:val="21"/>
                <w:szCs w:val="21"/>
              </w:rPr>
            </w:r>
          </w:p>
          <w:p>
            <w:pPr>
              <w:pStyle w:val="TableParagraph"/>
              <w:spacing w:line="272"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tc>
      </w:tr>
      <w:tr>
        <w:trPr>
          <w:trHeight w:val="2734"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日发布</w:t>
            </w:r>
          </w:p>
          <w:p>
            <w:pPr>
              <w:pStyle w:val="TableParagraph"/>
              <w:spacing w:line="225" w:lineRule="auto" w:before="6"/>
              <w:ind w:left="103" w:right="-5"/>
              <w:jc w:val="left"/>
              <w:rPr>
                <w:rFonts w:ascii="宋体" w:hAnsi="宋体" w:cs="宋体" w:eastAsia="宋体" w:hint="default"/>
                <w:sz w:val="21"/>
                <w:szCs w:val="21"/>
              </w:rPr>
            </w:pPr>
            <w:r>
              <w:rPr>
                <w:rFonts w:ascii="宋体" w:hAnsi="宋体" w:cs="宋体" w:eastAsia="宋体" w:hint="default"/>
                <w:spacing w:val="6"/>
                <w:sz w:val="21"/>
                <w:szCs w:val="21"/>
              </w:rPr>
              <w:t>了《关于印发修订</w:t>
            </w:r>
            <w:r>
              <w:rPr>
                <w:rFonts w:ascii="Times New Roman" w:hAnsi="Times New Roman" w:cs="Times New Roman" w:eastAsia="Times New Roman" w:hint="default"/>
                <w:spacing w:val="6"/>
                <w:sz w:val="21"/>
                <w:szCs w:val="21"/>
              </w:rPr>
              <w:t>&lt;</w:t>
            </w:r>
            <w:r>
              <w:rPr>
                <w:rFonts w:ascii="宋体" w:hAnsi="宋体" w:cs="宋体" w:eastAsia="宋体" w:hint="default"/>
                <w:spacing w:val="6"/>
                <w:sz w:val="21"/>
                <w:szCs w:val="21"/>
              </w:rPr>
              <w:t>企业会计</w:t>
            </w:r>
            <w:r>
              <w:rPr>
                <w:rFonts w:ascii="宋体" w:hAnsi="宋体" w:cs="宋体" w:eastAsia="宋体" w:hint="default"/>
                <w:spacing w:val="-77"/>
                <w:sz w:val="21"/>
                <w:szCs w:val="21"/>
              </w:rPr>
              <w:t> </w:t>
            </w:r>
            <w:r>
              <w:rPr>
                <w:rFonts w:ascii="宋体" w:hAnsi="宋体" w:cs="宋体" w:eastAsia="宋体" w:hint="default"/>
                <w:sz w:val="21"/>
                <w:szCs w:val="21"/>
              </w:rPr>
              <w:t>准则第 </w:t>
            </w:r>
            <w:r>
              <w:rPr>
                <w:rFonts w:ascii="Times New Roman" w:hAnsi="Times New Roman" w:cs="Times New Roman" w:eastAsia="Times New Roman" w:hint="default"/>
                <w:sz w:val="21"/>
                <w:szCs w:val="21"/>
              </w:rPr>
              <w:t>7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非货币性资产交</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14"/>
                <w:w w:val="100"/>
                <w:sz w:val="21"/>
                <w:szCs w:val="21"/>
              </w:rPr>
              <w:t>换</w:t>
            </w:r>
            <w:r>
              <w:rPr>
                <w:rFonts w:ascii="Times New Roman" w:hAnsi="Times New Roman" w:cs="Times New Roman" w:eastAsia="Times New Roman" w:hint="default"/>
                <w:spacing w:val="-14"/>
                <w:w w:val="100"/>
                <w:sz w:val="21"/>
                <w:szCs w:val="21"/>
              </w:rPr>
              <w:t>&gt;</w:t>
            </w:r>
            <w:r>
              <w:rPr>
                <w:rFonts w:ascii="宋体" w:hAnsi="宋体" w:cs="宋体" w:eastAsia="宋体" w:hint="default"/>
                <w:spacing w:val="-14"/>
                <w:w w:val="100"/>
                <w:sz w:val="21"/>
                <w:szCs w:val="21"/>
              </w:rPr>
              <w:t>的通知》（财会</w:t>
            </w:r>
            <w:r>
              <w:rPr>
                <w:rFonts w:ascii="Times New Roman" w:hAnsi="Times New Roman" w:cs="Times New Roman" w:eastAsia="Times New Roman" w:hint="default"/>
                <w:spacing w:val="-14"/>
                <w:w w:val="100"/>
                <w:sz w:val="21"/>
                <w:szCs w:val="21"/>
              </w:rPr>
              <w:t>[2019]8</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34"/>
                <w:w w:val="100"/>
                <w:sz w:val="21"/>
                <w:szCs w:val="21"/>
              </w:rPr>
              <w:t>号），</w:t>
            </w:r>
            <w:r>
              <w:rPr>
                <w:rFonts w:ascii="宋体" w:hAnsi="宋体" w:cs="宋体" w:eastAsia="宋体" w:hint="default"/>
                <w:w w:val="100"/>
                <w:sz w:val="21"/>
                <w:szCs w:val="21"/>
              </w:rPr>
              <w:t> 于</w:t>
            </w:r>
            <w:r>
              <w:rPr>
                <w:rFonts w:ascii="宋体" w:hAnsi="宋体" w:cs="宋体" w:eastAsia="宋体" w:hint="default"/>
                <w:spacing w:val="-70"/>
                <w:w w:val="100"/>
                <w:sz w:val="21"/>
                <w:szCs w:val="21"/>
              </w:rPr>
              <w:t> </w:t>
            </w: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pacing w:val="-18"/>
                <w:w w:val="100"/>
                <w:sz w:val="21"/>
                <w:szCs w:val="21"/>
              </w:rPr>
              <w:t> </w:t>
            </w:r>
            <w:r>
              <w:rPr>
                <w:rFonts w:ascii="宋体" w:hAnsi="宋体" w:cs="宋体" w:eastAsia="宋体" w:hint="default"/>
                <w:w w:val="100"/>
                <w:sz w:val="21"/>
                <w:szCs w:val="21"/>
              </w:rPr>
              <w:t>年</w:t>
            </w:r>
            <w:r>
              <w:rPr>
                <w:rFonts w:ascii="宋体" w:hAnsi="宋体" w:cs="宋体" w:eastAsia="宋体" w:hint="default"/>
                <w:spacing w:val="-71"/>
                <w:w w:val="100"/>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20"/>
                <w:w w:val="100"/>
                <w:sz w:val="21"/>
                <w:szCs w:val="21"/>
              </w:rPr>
              <w:t> </w:t>
            </w:r>
            <w:r>
              <w:rPr>
                <w:rFonts w:ascii="宋体" w:hAnsi="宋体" w:cs="宋体" w:eastAsia="宋体" w:hint="default"/>
                <w:w w:val="100"/>
                <w:sz w:val="21"/>
                <w:szCs w:val="21"/>
              </w:rPr>
              <w:t>月</w:t>
            </w:r>
            <w:r>
              <w:rPr>
                <w:rFonts w:ascii="宋体" w:hAnsi="宋体" w:cs="宋体" w:eastAsia="宋体" w:hint="default"/>
                <w:spacing w:val="-70"/>
                <w:w w:val="100"/>
                <w:sz w:val="21"/>
                <w:szCs w:val="21"/>
              </w:rPr>
              <w:t> </w:t>
            </w:r>
            <w:r>
              <w:rPr>
                <w:rFonts w:ascii="Times New Roman" w:hAnsi="Times New Roman" w:cs="Times New Roman" w:eastAsia="Times New Roman" w:hint="default"/>
                <w:w w:val="100"/>
                <w:sz w:val="21"/>
                <w:szCs w:val="21"/>
              </w:rPr>
              <w:t>16</w:t>
            </w:r>
            <w:r>
              <w:rPr>
                <w:rFonts w:ascii="Times New Roman" w:hAnsi="Times New Roman" w:cs="Times New Roman" w:eastAsia="Times New Roman" w:hint="default"/>
                <w:spacing w:val="-18"/>
                <w:w w:val="100"/>
                <w:sz w:val="21"/>
                <w:szCs w:val="21"/>
              </w:rPr>
              <w:t> </w:t>
            </w:r>
            <w:r>
              <w:rPr>
                <w:rFonts w:ascii="宋体" w:hAnsi="宋体" w:cs="宋体" w:eastAsia="宋体" w:hint="default"/>
                <w:spacing w:val="-19"/>
                <w:w w:val="100"/>
                <w:sz w:val="21"/>
                <w:szCs w:val="21"/>
              </w:rPr>
              <w:t>日发布了《关</w:t>
            </w:r>
            <w:r>
              <w:rPr>
                <w:rFonts w:ascii="宋体" w:hAnsi="宋体" w:cs="宋体" w:eastAsia="宋体" w:hint="default"/>
                <w:w w:val="100"/>
                <w:sz w:val="21"/>
                <w:szCs w:val="21"/>
              </w:rPr>
              <w:t> </w:t>
            </w:r>
            <w:r>
              <w:rPr>
                <w:rFonts w:ascii="宋体" w:hAnsi="宋体" w:cs="宋体" w:eastAsia="宋体" w:hint="default"/>
                <w:spacing w:val="6"/>
                <w:sz w:val="21"/>
                <w:szCs w:val="21"/>
              </w:rPr>
              <w:t>于印发修订</w:t>
            </w:r>
            <w:r>
              <w:rPr>
                <w:rFonts w:ascii="Times New Roman" w:hAnsi="Times New Roman" w:cs="Times New Roman" w:eastAsia="Times New Roman" w:hint="default"/>
                <w:spacing w:val="6"/>
                <w:sz w:val="21"/>
                <w:szCs w:val="21"/>
              </w:rPr>
              <w:t>&lt;</w:t>
            </w:r>
            <w:r>
              <w:rPr>
                <w:rFonts w:ascii="宋体" w:hAnsi="宋体" w:cs="宋体" w:eastAsia="宋体" w:hint="default"/>
                <w:spacing w:val="6"/>
                <w:sz w:val="21"/>
                <w:szCs w:val="21"/>
              </w:rPr>
              <w:t>企业会计准则第</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12 </w:t>
            </w:r>
            <w:r>
              <w:rPr>
                <w:rFonts w:ascii="宋体" w:hAnsi="宋体" w:cs="宋体" w:eastAsia="宋体" w:hint="default"/>
                <w:spacing w:val="-4"/>
                <w:sz w:val="21"/>
                <w:szCs w:val="21"/>
              </w:rPr>
              <w:t>号</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债务重组</w:t>
            </w:r>
            <w:r>
              <w:rPr>
                <w:rFonts w:ascii="Times New Roman" w:hAnsi="Times New Roman" w:cs="Times New Roman" w:eastAsia="Times New Roman" w:hint="default"/>
                <w:spacing w:val="-4"/>
                <w:sz w:val="21"/>
                <w:szCs w:val="21"/>
              </w:rPr>
              <w:t>&gt;</w:t>
            </w:r>
            <w:r>
              <w:rPr>
                <w:rFonts w:ascii="宋体" w:hAnsi="宋体" w:cs="宋体" w:eastAsia="宋体" w:hint="default"/>
                <w:spacing w:val="-4"/>
                <w:sz w:val="21"/>
                <w:szCs w:val="21"/>
              </w:rPr>
              <w:t>的通知》（财</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会</w:t>
            </w:r>
            <w:r>
              <w:rPr>
                <w:rFonts w:ascii="Times New Roman" w:hAnsi="Times New Roman" w:cs="Times New Roman" w:eastAsia="Times New Roman" w:hint="default"/>
                <w:sz w:val="21"/>
                <w:szCs w:val="21"/>
              </w:rPr>
              <w:t>[2019]9 </w:t>
            </w:r>
            <w:r>
              <w:rPr>
                <w:rFonts w:ascii="宋体" w:hAnsi="宋体" w:cs="宋体" w:eastAsia="宋体" w:hint="default"/>
                <w:spacing w:val="-11"/>
                <w:sz w:val="21"/>
                <w:szCs w:val="21"/>
              </w:rPr>
              <w:t>号），要求在所有执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行企业会计准则的企业范围内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实施。</w:t>
            </w:r>
            <w:r>
              <w:rPr>
                <w:rFonts w:ascii="宋体" w:hAnsi="宋体" w:cs="宋体" w:eastAsia="宋体" w:hint="default"/>
                <w:sz w:val="21"/>
                <w:szCs w:val="21"/>
              </w:rPr>
              <w:t> </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32" w:lineRule="auto"/>
              <w:ind w:left="103" w:right="89"/>
              <w:jc w:val="both"/>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22 </w:t>
            </w:r>
            <w:r>
              <w:rPr>
                <w:rFonts w:ascii="宋体" w:hAnsi="宋体" w:cs="宋体" w:eastAsia="宋体" w:hint="default"/>
                <w:spacing w:val="-8"/>
                <w:sz w:val="21"/>
                <w:szCs w:val="21"/>
              </w:rPr>
              <w:t>日，公司召开</w:t>
            </w:r>
            <w:r>
              <w:rPr>
                <w:rFonts w:ascii="宋体" w:hAnsi="宋体" w:cs="宋体" w:eastAsia="宋体" w:hint="default"/>
                <w:w w:val="100"/>
                <w:sz w:val="21"/>
                <w:szCs w:val="21"/>
              </w:rPr>
              <w:t> </w:t>
            </w:r>
            <w:r>
              <w:rPr>
                <w:rFonts w:ascii="宋体" w:hAnsi="宋体" w:cs="宋体" w:eastAsia="宋体" w:hint="default"/>
                <w:spacing w:val="8"/>
                <w:sz w:val="21"/>
                <w:szCs w:val="21"/>
              </w:rPr>
              <w:t>第三届董事会第三十九次会</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9"/>
                <w:w w:val="100"/>
                <w:sz w:val="21"/>
                <w:szCs w:val="21"/>
              </w:rPr>
              <w:t>议审议通过了《关于会计政策</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变更的议案》</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该项会计政策变更采用未来适用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法处理，并根据准则的规定对于</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2019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z w:val="21"/>
                <w:szCs w:val="21"/>
              </w:rPr>
              <w:t>日至准则实施日之</w:t>
            </w:r>
            <w:r>
              <w:rPr>
                <w:rFonts w:ascii="宋体" w:hAnsi="宋体" w:cs="宋体" w:eastAsia="宋体" w:hint="default"/>
                <w:w w:val="100"/>
                <w:sz w:val="21"/>
                <w:szCs w:val="21"/>
              </w:rPr>
              <w:t> </w:t>
            </w:r>
            <w:r>
              <w:rPr>
                <w:rFonts w:ascii="宋体" w:hAnsi="宋体" w:cs="宋体" w:eastAsia="宋体" w:hint="default"/>
                <w:spacing w:val="3"/>
                <w:sz w:val="21"/>
                <w:szCs w:val="21"/>
              </w:rPr>
              <w:t>间发生的非货币性资产交换和债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务重组进行调整，本公司执行上</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述准则对本报告期内财务报表无</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影响</w:t>
            </w:r>
            <w:r>
              <w:rPr>
                <w:rFonts w:ascii="宋体" w:hAnsi="宋体" w:cs="宋体" w:eastAsia="宋体" w:hint="default"/>
                <w:sz w:val="21"/>
                <w:szCs w:val="21"/>
              </w:rPr>
              <w:t> </w:t>
            </w:r>
          </w:p>
        </w:tc>
      </w:tr>
      <w:tr>
        <w:trPr>
          <w:trHeight w:val="1916"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日，国家财政</w:t>
            </w:r>
          </w:p>
          <w:p>
            <w:pPr>
              <w:pStyle w:val="TableParagraph"/>
              <w:spacing w:line="232" w:lineRule="auto"/>
              <w:ind w:left="103" w:right="99"/>
              <w:jc w:val="both"/>
              <w:rPr>
                <w:rFonts w:ascii="宋体" w:hAnsi="宋体" w:cs="宋体" w:eastAsia="宋体" w:hint="default"/>
                <w:sz w:val="21"/>
                <w:szCs w:val="21"/>
              </w:rPr>
            </w:pPr>
            <w:r>
              <w:rPr>
                <w:rFonts w:ascii="宋体" w:hAnsi="宋体" w:cs="宋体" w:eastAsia="宋体" w:hint="default"/>
                <w:spacing w:val="-6"/>
                <w:sz w:val="21"/>
                <w:szCs w:val="21"/>
              </w:rPr>
              <w:t>部印发了《关于修订印发</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8"/>
                <w:sz w:val="21"/>
                <w:szCs w:val="21"/>
              </w:rPr>
              <w:t> </w:t>
            </w:r>
            <w:r>
              <w:rPr>
                <w:rFonts w:ascii="Times New Roman" w:hAnsi="Times New Roman" w:cs="Times New Roman" w:eastAsia="Times New Roman" w:hint="default"/>
                <w:spacing w:val="-48"/>
                <w:sz w:val="21"/>
                <w:szCs w:val="21"/>
              </w:rPr>
            </w:r>
            <w:r>
              <w:rPr>
                <w:rFonts w:ascii="宋体" w:hAnsi="宋体" w:cs="宋体" w:eastAsia="宋体" w:hint="default"/>
                <w:sz w:val="21"/>
                <w:szCs w:val="21"/>
              </w:rPr>
              <w:t>年度一般企业财务报表格式的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5"/>
                <w:sz w:val="21"/>
                <w:szCs w:val="21"/>
              </w:rPr>
              <w:t>通知》（财会</w:t>
            </w:r>
            <w:r>
              <w:rPr>
                <w:rFonts w:ascii="Times New Roman" w:hAnsi="Times New Roman" w:cs="Times New Roman" w:eastAsia="Times New Roman" w:hint="default"/>
                <w:spacing w:val="-5"/>
                <w:sz w:val="21"/>
                <w:szCs w:val="21"/>
              </w:rPr>
              <w:t>[2019]6</w:t>
            </w:r>
            <w:r>
              <w:rPr>
                <w:rFonts w:ascii="Times New Roman" w:hAnsi="Times New Roman" w:cs="Times New Roman" w:eastAsia="Times New Roman" w:hint="default"/>
                <w:spacing w:val="12"/>
                <w:sz w:val="21"/>
                <w:szCs w:val="21"/>
              </w:rPr>
              <w:t> </w:t>
            </w:r>
            <w:r>
              <w:rPr>
                <w:rFonts w:ascii="宋体" w:hAnsi="宋体" w:cs="宋体" w:eastAsia="宋体" w:hint="default"/>
                <w:spacing w:val="-8"/>
                <w:sz w:val="21"/>
                <w:szCs w:val="21"/>
              </w:rPr>
              <w:t>号）对一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般企业财务报表格式进行了修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订，拆分部分资产负债表项目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和调整利润表项目等。</w:t>
            </w:r>
            <w:r>
              <w:rPr>
                <w:rFonts w:ascii="宋体" w:hAnsi="宋体" w:cs="宋体" w:eastAsia="宋体" w:hint="default"/>
                <w:sz w:val="21"/>
                <w:szCs w:val="21"/>
              </w:rPr>
              <w:t> </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5" w:lineRule="auto"/>
              <w:ind w:left="103" w:right="89"/>
              <w:jc w:val="both"/>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22 </w:t>
            </w:r>
            <w:r>
              <w:rPr>
                <w:rFonts w:ascii="宋体" w:hAnsi="宋体" w:cs="宋体" w:eastAsia="宋体" w:hint="default"/>
                <w:spacing w:val="-8"/>
                <w:sz w:val="21"/>
                <w:szCs w:val="21"/>
              </w:rPr>
              <w:t>日，公司召开</w:t>
            </w:r>
            <w:r>
              <w:rPr>
                <w:rFonts w:ascii="宋体" w:hAnsi="宋体" w:cs="宋体" w:eastAsia="宋体" w:hint="default"/>
                <w:w w:val="100"/>
                <w:sz w:val="21"/>
                <w:szCs w:val="21"/>
              </w:rPr>
              <w:t> </w:t>
            </w:r>
            <w:r>
              <w:rPr>
                <w:rFonts w:ascii="宋体" w:hAnsi="宋体" w:cs="宋体" w:eastAsia="宋体" w:hint="default"/>
                <w:spacing w:val="8"/>
                <w:sz w:val="21"/>
                <w:szCs w:val="21"/>
              </w:rPr>
              <w:t>第三届董事会第三十九次会</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9"/>
                <w:w w:val="100"/>
                <w:sz w:val="21"/>
                <w:szCs w:val="21"/>
              </w:rPr>
              <w:t>议审议通过了《关于会计政策</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变更的议案》</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11"/>
                <w:sz w:val="21"/>
                <w:szCs w:val="21"/>
              </w:rPr>
              <w:t>此次项会计政策变更</w:t>
            </w:r>
            <w:r>
              <w:rPr>
                <w:rFonts w:ascii="宋体" w:hAnsi="宋体" w:cs="宋体" w:eastAsia="宋体" w:hint="default"/>
                <w:spacing w:val="11"/>
                <w:sz w:val="21"/>
                <w:szCs w:val="21"/>
              </w:rPr>
              <w:t>,</w:t>
            </w:r>
            <w:r>
              <w:rPr>
                <w:rFonts w:ascii="宋体" w:hAnsi="宋体" w:cs="宋体" w:eastAsia="宋体" w:hint="default"/>
                <w:spacing w:val="11"/>
                <w:sz w:val="21"/>
                <w:szCs w:val="21"/>
              </w:rPr>
              <w:t>对于执行</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上述新财务报表格式仅影响财务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报表的列报项目，对公司总资产、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负债总额、净资产及净利润不产</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生实质性影响</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 </w:t>
            </w:r>
          </w:p>
        </w:tc>
      </w:tr>
    </w:tbl>
    <w:p>
      <w:pPr>
        <w:pStyle w:val="Heading3"/>
        <w:spacing w:line="274" w:lineRule="exact"/>
        <w:ind w:left="216" w:right="0"/>
        <w:jc w:val="left"/>
      </w:pPr>
      <w:r>
        <w:rPr/>
        <w:t> </w:t>
      </w:r>
    </w:p>
    <w:p>
      <w:pPr>
        <w:pStyle w:val="BodyText"/>
        <w:spacing w:line="274" w:lineRule="exact" w:before="4"/>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t>注</w:t>
      </w:r>
      <w:r>
        <w:rPr>
          <w:spacing w:val="-56"/>
        </w:rPr>
        <w:t> </w:t>
      </w:r>
      <w:r>
        <w:rPr>
          <w:rFonts w:ascii="宋体" w:hAnsi="宋体" w:cs="宋体" w:eastAsia="宋体" w:hint="default"/>
        </w:rPr>
        <w:t>1</w:t>
      </w:r>
      <w:r>
        <w:rPr/>
        <w:t>：对可比期间的财务报表列报项目及金额的影响如下</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73"/>
        <w:gridCol w:w="2093"/>
        <w:gridCol w:w="2091"/>
        <w:gridCol w:w="2093"/>
      </w:tblGrid>
      <w:tr>
        <w:trPr>
          <w:trHeight w:val="350"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4" w:right="0"/>
              <w:jc w:val="left"/>
              <w:rPr>
                <w:rFonts w:ascii="宋体" w:hAnsi="宋体" w:cs="宋体" w:eastAsia="宋体" w:hint="default"/>
                <w:sz w:val="21"/>
                <w:szCs w:val="21"/>
              </w:rPr>
            </w:pPr>
            <w:r>
              <w:rPr>
                <w:rFonts w:ascii="宋体" w:hAnsi="宋体" w:cs="宋体" w:eastAsia="宋体" w:hint="default"/>
                <w:sz w:val="21"/>
                <w:szCs w:val="21"/>
              </w:rPr>
              <w:t>列报变更前金额</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9" w:right="0"/>
              <w:jc w:val="left"/>
              <w:rPr>
                <w:rFonts w:ascii="宋体" w:hAnsi="宋体" w:cs="宋体" w:eastAsia="宋体" w:hint="default"/>
                <w:sz w:val="21"/>
                <w:szCs w:val="21"/>
              </w:rPr>
            </w:pPr>
            <w:r>
              <w:rPr>
                <w:rFonts w:ascii="宋体" w:hAnsi="宋体" w:cs="宋体" w:eastAsia="宋体" w:hint="default"/>
                <w:sz w:val="21"/>
                <w:szCs w:val="21"/>
              </w:rPr>
              <w:t>影响金额</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4" w:right="0"/>
              <w:jc w:val="left"/>
              <w:rPr>
                <w:rFonts w:ascii="宋体" w:hAnsi="宋体" w:cs="宋体" w:eastAsia="宋体" w:hint="default"/>
                <w:sz w:val="21"/>
                <w:szCs w:val="21"/>
              </w:rPr>
            </w:pPr>
            <w:r>
              <w:rPr>
                <w:rFonts w:ascii="宋体" w:hAnsi="宋体" w:cs="宋体" w:eastAsia="宋体" w:hint="default"/>
                <w:sz w:val="21"/>
                <w:szCs w:val="21"/>
              </w:rPr>
              <w:t>列报变更后金额</w:t>
            </w:r>
          </w:p>
        </w:tc>
      </w:tr>
      <w:tr>
        <w:trPr>
          <w:trHeight w:val="350"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248,911,241.15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248,911,241.15</w:t>
            </w:r>
          </w:p>
        </w:tc>
      </w:tr>
      <w:tr>
        <w:trPr>
          <w:trHeight w:val="350"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248,911,241.15</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-248,911,241.15</w:t>
            </w: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w w:val="100"/>
                <w:sz w:val="21"/>
              </w:rPr>
              <w:t>-</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116,825,048.45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116,825,048.45</w:t>
            </w:r>
          </w:p>
        </w:tc>
      </w:tr>
      <w:tr>
        <w:trPr>
          <w:trHeight w:val="350"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100"/>
                <w:sz w:val="21"/>
              </w:rPr>
              <w:t>-</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361,212,717.38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361,212,717.38</w:t>
            </w:r>
          </w:p>
        </w:tc>
      </w:tr>
      <w:tr>
        <w:trPr>
          <w:trHeight w:val="351"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478,037,765.83</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-478,037,765.83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350"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158,473,036.62</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-23,557,847,54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134,915,189.08</w:t>
            </w:r>
          </w:p>
        </w:tc>
      </w:tr>
      <w:tr>
        <w:trPr>
          <w:trHeight w:val="350"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22,221,838.94</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23,557,847,54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45,779,686.48</w:t>
            </w:r>
          </w:p>
        </w:tc>
      </w:tr>
    </w:tbl>
    <w:p>
      <w:pPr>
        <w:pStyle w:val="Heading3"/>
        <w:spacing w:line="273" w:lineRule="exact"/>
        <w:ind w:left="216" w:right="0"/>
        <w:jc w:val="left"/>
      </w:pPr>
      <w:r>
        <w:rPr/>
        <w:t> </w:t>
      </w:r>
    </w:p>
    <w:p>
      <w:pPr>
        <w:pStyle w:val="Heading3"/>
        <w:spacing w:line="313" w:lineRule="exact"/>
        <w:ind w:left="216" w:right="0"/>
        <w:jc w:val="left"/>
      </w:pPr>
      <w:r>
        <w:rPr/>
        <w:t> </w:t>
      </w:r>
    </w:p>
    <w:p>
      <w:pPr>
        <w:pStyle w:val="Heading4"/>
        <w:spacing w:line="240" w:lineRule="auto" w:before="61"/>
        <w:ind w:left="216" w:right="0"/>
        <w:jc w:val="left"/>
        <w:rPr>
          <w:rFonts w:ascii="宋体" w:hAnsi="宋体" w:cs="宋体" w:eastAsia="宋体" w:hint="default"/>
          <w:b w:val="0"/>
          <w:bCs w:val="0"/>
        </w:rPr>
      </w:pP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58"/>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216" w:right="0"/>
        <w:jc w:val="left"/>
      </w:pPr>
      <w:r>
        <w:rPr/>
        <w:t> </w:t>
      </w:r>
    </w:p>
    <w:p>
      <w:pPr>
        <w:spacing w:after="0" w:line="309" w:lineRule="exact"/>
        <w:jc w:val="left"/>
        <w:sectPr>
          <w:pgSz w:w="11910" w:h="16840"/>
          <w:pgMar w:header="857" w:footer="979" w:top="1120" w:bottom="1160" w:left="1060" w:right="1560"/>
        </w:sectPr>
      </w:pPr>
    </w:p>
    <w:p>
      <w:pPr>
        <w:spacing w:line="240" w:lineRule="auto" w:before="6"/>
        <w:rPr>
          <w:rFonts w:ascii="宋体" w:hAnsi="宋体" w:cs="宋体" w:eastAsia="宋体" w:hint="default"/>
          <w:sz w:val="18"/>
          <w:szCs w:val="18"/>
        </w:rPr>
      </w:pPr>
    </w:p>
    <w:p>
      <w:pPr>
        <w:pStyle w:val="Heading4"/>
        <w:spacing w:line="272" w:lineRule="exact"/>
        <w:ind w:left="644" w:right="22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57" w:footer="979" w:top="1120" w:bottom="1160" w:left="1060" w:right="1560"/>
        </w:sectPr>
      </w:pPr>
    </w:p>
    <w:p>
      <w:pPr>
        <w:pStyle w:val="BodyText"/>
        <w:spacing w:line="271" w:lineRule="exact"/>
        <w:ind w:left="0" w:right="0"/>
        <w:jc w:val="right"/>
        <w:rPr>
          <w:rFonts w:ascii="宋体" w:hAnsi="宋体" w:cs="宋体" w:eastAsia="宋体" w:hint="default"/>
        </w:rPr>
      </w:pPr>
      <w:r>
        <w:rPr>
          <w:spacing w:val="-2"/>
        </w:rPr>
        <w:t>合并资产负债表</w:t>
      </w:r>
      <w:r>
        <w:rPr>
          <w:rFonts w:ascii="宋体" w:hAnsi="宋体" w:cs="宋体" w:eastAsia="宋体" w:hint="default"/>
        </w:rPr>
        <w:t> </w:t>
      </w:r>
    </w:p>
    <w:p>
      <w:pPr>
        <w:spacing w:line="240" w:lineRule="auto" w:before="8"/>
        <w:rPr>
          <w:rFonts w:ascii="宋体" w:hAnsi="宋体" w:cs="宋体" w:eastAsia="宋体" w:hint="default"/>
          <w:sz w:val="20"/>
          <w:szCs w:val="20"/>
        </w:rPr>
      </w:pPr>
      <w:r>
        <w:rPr/>
        <w:br w:type="column"/>
      </w:r>
      <w:r>
        <w:rPr>
          <w:rFonts w:ascii="宋体"/>
          <w:sz w:val="20"/>
        </w:rPr>
      </w:r>
    </w:p>
    <w:p>
      <w:pPr>
        <w:pStyle w:val="BodyText"/>
        <w:spacing w:line="240" w:lineRule="auto"/>
        <w:ind w:left="1436" w:right="0"/>
        <w:jc w:val="left"/>
        <w:rPr>
          <w:rFonts w:ascii="宋体" w:hAnsi="宋体" w:cs="宋体" w:eastAsia="宋体" w:hint="default"/>
          <w:sz w:val="24"/>
          <w:szCs w:val="24"/>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60" w:right="1560"/>
          <w:cols w:num="2" w:equalWidth="0">
            <w:col w:w="5474" w:space="40"/>
            <w:col w:w="377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88"/>
        <w:gridCol w:w="2042"/>
        <w:gridCol w:w="1889"/>
        <w:gridCol w:w="1921"/>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8"/>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6"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b/>
                <w:w w:val="99"/>
                <w:sz w:val="24"/>
              </w:rPr>
              <w:t> </w:t>
            </w:r>
            <w:r>
              <w:rPr>
                <w:rFonts w:ascii="宋体"/>
                <w:sz w:val="24"/>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0"/>
              <w:jc w:val="center"/>
              <w:rPr>
                <w:rFonts w:ascii="宋体" w:hAnsi="宋体" w:cs="宋体" w:eastAsia="宋体" w:hint="default"/>
                <w:sz w:val="24"/>
                <w:szCs w:val="24"/>
              </w:rPr>
            </w:pPr>
            <w:r>
              <w:rPr>
                <w:rFonts w:ascii="宋体"/>
                <w:b/>
                <w:w w:val="99"/>
                <w:sz w:val="24"/>
              </w:rPr>
              <w:t> </w:t>
            </w:r>
            <w:r>
              <w:rPr>
                <w:rFonts w:ascii="宋体"/>
                <w:sz w:val="24"/>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center"/>
              <w:rPr>
                <w:rFonts w:ascii="宋体" w:hAnsi="宋体" w:cs="宋体" w:eastAsia="宋体" w:hint="default"/>
                <w:sz w:val="24"/>
                <w:szCs w:val="24"/>
              </w:rPr>
            </w:pPr>
            <w:r>
              <w:rPr>
                <w:rFonts w:ascii="宋体"/>
                <w:b/>
                <w:w w:val="99"/>
                <w:sz w:val="24"/>
              </w:rPr>
              <w:t> </w:t>
            </w:r>
            <w:r>
              <w:rPr>
                <w:rFonts w:ascii="宋体"/>
                <w:sz w:val="24"/>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599,856,207.80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600,039,364.33</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183,156.53</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248,911,241.15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243,681,756.60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-5,229,484.55</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17,532,076.25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17,532,076.25</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46,538,474.95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45,920,454.33</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-618,020.62</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183,156.53</w:t>
            </w: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-183,156.53</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482,156,808.68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482,156,808.68</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82,961,615.43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82,961,615.43</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1,477,956,424.26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1,472,292,075.62</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-5,664,348.64</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2,000,000.00</w:t>
            </w: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702,889,910.08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702,889,910.08</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195,522,147.61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195,522,147.61</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2,000,000.00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29,980,207.55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29,980,207.55</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178,738,710.34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178,738,710.34</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9,376,590.56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9,376,590.56</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133,540,580.83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133,540,580.83</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60,889,912.97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60,889,912.97</w:t>
            </w:r>
          </w:p>
        </w:tc>
        <w:tc>
          <w:tcPr>
            <w:tcW w:w="192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00" w:bottom="280" w:left="1060" w:right="1560"/>
        </w:sectPr>
      </w:pPr>
    </w:p>
    <w:p>
      <w:pPr>
        <w:spacing w:line="240" w:lineRule="auto" w:before="2"/>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88"/>
        <w:gridCol w:w="2042"/>
        <w:gridCol w:w="1889"/>
        <w:gridCol w:w="1921"/>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178,550,549.69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178,550,549.69</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1,640,129.31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1,640,129.31</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18,732,010.43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19,546,478.82</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814,468.39</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7,435,996.89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7,435,996.89</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1,519,296,746.26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1,520,111,214.65</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814,468.39</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2,997,253,170.52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2,992,403,290.27</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-4,849,880.25</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32,200,000.00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32,258,187.27</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58,187.27</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3,000,000.00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3,000,000.00</w:t>
            </w: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116,825,048.45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116,825,048.45</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361,212,717.38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361,212,717.38</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248,242,126.49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248,242,126.49</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55,131,616.56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55,131,616.56</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91,517,931.60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91,517,931.60</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34,413,595.22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34,355,407.95</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-58,187.27</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58,187.27</w:t>
            </w: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-58,187.27</w:t>
            </w:r>
          </w:p>
        </w:tc>
      </w:tr>
      <w:tr>
        <w:trPr>
          <w:trHeight w:val="44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55,823,267.50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55,823,267.50</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998,366,303.20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998,366,303.20</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209,824,635.34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209,824,635.34</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4,023,852.66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4,023,852.66</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16,831,783.07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16,831,783.07</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230,680,271.07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230,680,271.07</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1,229,046,574.27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1,229,046,574.27</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pgSz w:w="11910" w:h="16840"/>
          <w:pgMar w:header="857" w:footer="979" w:top="1120" w:bottom="1160" w:left="1060" w:right="1580"/>
        </w:sectPr>
      </w:pPr>
    </w:p>
    <w:p>
      <w:pPr>
        <w:spacing w:line="240" w:lineRule="auto" w:before="2"/>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88"/>
        <w:gridCol w:w="2042"/>
        <w:gridCol w:w="1889"/>
        <w:gridCol w:w="1921"/>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526,684,472.00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526,684,472.00</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708,204,790.83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708,204,790.83</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15,732,668.62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15,732,668.62</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64,084,066.25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62,925,031.04</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-1,159,035.21</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464,516,842.15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460,987,443.53</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-3,529,398.62</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1,747,757,502.61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1,743,069,068.78</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-4,688,433.83</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20,449,093.64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20,287,647.22</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-161,446.42</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1,768,206,596.25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1,763,356,716.00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-4,849,880.25</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7"/>
              <w:jc w:val="left"/>
              <w:rPr>
                <w:rFonts w:ascii="宋体" w:hAnsi="宋体" w:cs="宋体" w:eastAsia="宋体" w:hint="default"/>
                <w:sz w:val="21"/>
                <w:szCs w:val="21"/>
              </w:rPr>
            </w:pPr>
            <w:r>
              <w:rPr>
                <w:rFonts w:ascii="宋体" w:hAnsi="宋体" w:cs="宋体" w:eastAsia="宋体" w:hint="default"/>
                <w:spacing w:val="-6"/>
                <w:sz w:val="21"/>
                <w:szCs w:val="21"/>
              </w:rPr>
              <w:t>负债和所有者权益（或股东权益）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r>
              <w:rPr>
                <w:rFonts w:ascii="宋体" w:hAnsi="宋体" w:cs="宋体" w:eastAsia="宋体" w:hint="default"/>
                <w:sz w:val="21"/>
                <w:szCs w:val="21"/>
              </w:rPr>
              <w:t> </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2,997,253,170.52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2,992,403,290.27</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-4,849,880.25</w:t>
            </w:r>
          </w:p>
        </w:tc>
      </w:tr>
    </w:tbl>
    <w:p>
      <w:pPr>
        <w:spacing w:after="0" w:line="240" w:lineRule="auto"/>
        <w:jc w:val="right"/>
        <w:rPr>
          <w:rFonts w:ascii="Times New Roman" w:hAnsi="Times New Roman" w:cs="Times New Roman" w:eastAsia="Times New Roman" w:hint="default"/>
          <w:sz w:val="21"/>
          <w:szCs w:val="21"/>
        </w:rPr>
        <w:sectPr>
          <w:pgSz w:w="11910" w:h="16840"/>
          <w:pgMar w:header="857" w:footer="979" w:top="1120" w:bottom="116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16" w:right="0"/>
        <w:jc w:val="left"/>
        <w:rPr>
          <w:rFonts w:ascii="宋体" w:hAnsi="宋体" w:cs="宋体" w:eastAsia="宋体" w:hint="default"/>
        </w:rPr>
      </w:pPr>
      <w:r>
        <w:rPr/>
        <w:t>母公司资产负债表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21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元</w:t>
      </w:r>
      <w:r>
        <w:rPr>
          <w:spacing w:val="99"/>
        </w:rPr>
        <w:t> </w:t>
      </w:r>
      <w:r>
        <w:rPr>
          <w:rFonts w:ascii="宋体" w:hAnsi="宋体" w:cs="宋体" w:eastAsia="宋体" w:hint="default"/>
          <w:spacing w:val="99"/>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3" w:equalWidth="0">
            <w:col w:w="2635" w:space="942"/>
            <w:col w:w="2003" w:space="419"/>
            <w:col w:w="329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7"/>
        <w:gridCol w:w="2288"/>
        <w:gridCol w:w="1891"/>
        <w:gridCol w:w="1784"/>
      </w:tblGrid>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419,602,595.60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419,785,752.13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25" w:right="0"/>
              <w:jc w:val="left"/>
              <w:rPr>
                <w:rFonts w:ascii="Times New Roman" w:hAnsi="Times New Roman" w:cs="Times New Roman" w:eastAsia="Times New Roman" w:hint="default"/>
                <w:sz w:val="21"/>
                <w:szCs w:val="21"/>
              </w:rPr>
            </w:pPr>
            <w:r>
              <w:rPr>
                <w:rFonts w:ascii="Times New Roman"/>
                <w:sz w:val="21"/>
              </w:rPr>
              <w:t>183,156.53</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195,680,383.64</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190,855,003.44</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6" w:right="0"/>
              <w:jc w:val="left"/>
              <w:rPr>
                <w:rFonts w:ascii="Times New Roman" w:hAnsi="Times New Roman" w:cs="Times New Roman" w:eastAsia="Times New Roman" w:hint="default"/>
                <w:sz w:val="21"/>
                <w:szCs w:val="21"/>
              </w:rPr>
            </w:pPr>
            <w:r>
              <w:rPr>
                <w:rFonts w:ascii="Times New Roman"/>
                <w:sz w:val="21"/>
              </w:rPr>
              <w:t>-4,825,380.20</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16,000,441.58</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16,000,441.58</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70,418,302.72</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61,424,818.07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6" w:right="0"/>
              <w:jc w:val="left"/>
              <w:rPr>
                <w:rFonts w:ascii="Times New Roman" w:hAnsi="Times New Roman" w:cs="Times New Roman" w:eastAsia="Times New Roman" w:hint="default"/>
                <w:sz w:val="21"/>
                <w:szCs w:val="21"/>
              </w:rPr>
            </w:pPr>
            <w:r>
              <w:rPr>
                <w:rFonts w:ascii="Times New Roman"/>
                <w:sz w:val="21"/>
              </w:rPr>
              <w:t>-8,993,484.65</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183,156.53</w:t>
            </w: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55" w:right="0"/>
              <w:jc w:val="left"/>
              <w:rPr>
                <w:rFonts w:ascii="Times New Roman" w:hAnsi="Times New Roman" w:cs="Times New Roman" w:eastAsia="Times New Roman" w:hint="default"/>
                <w:sz w:val="21"/>
                <w:szCs w:val="21"/>
              </w:rPr>
            </w:pPr>
            <w:r>
              <w:rPr>
                <w:rFonts w:ascii="Times New Roman"/>
                <w:sz w:val="21"/>
              </w:rPr>
              <w:t>-183,156.53</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368,300,023.70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368,300,023.70</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67,116,037.75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67,116,037.75</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1,137,117,784.99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1,123,482,076.67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93" w:right="0"/>
              <w:jc w:val="left"/>
              <w:rPr>
                <w:rFonts w:ascii="Times New Roman" w:hAnsi="Times New Roman" w:cs="Times New Roman" w:eastAsia="Times New Roman" w:hint="default"/>
                <w:sz w:val="21"/>
                <w:szCs w:val="21"/>
              </w:rPr>
            </w:pPr>
            <w:r>
              <w:rPr>
                <w:rFonts w:ascii="Times New Roman"/>
                <w:sz w:val="21"/>
              </w:rPr>
              <w:t>-13,635,708.32</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194,262,332.89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194,262,332.89</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1,222,048,799.96</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1,222,048,799.96</w:t>
            </w:r>
          </w:p>
        </w:tc>
        <w:tc>
          <w:tcPr>
            <w:tcW w:w="17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00" w:bottom="280" w:left="1060" w:right="1560"/>
        </w:sectPr>
      </w:pPr>
    </w:p>
    <w:p>
      <w:pPr>
        <w:spacing w:line="240" w:lineRule="auto" w:before="2"/>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87"/>
        <w:gridCol w:w="2288"/>
        <w:gridCol w:w="1891"/>
        <w:gridCol w:w="1784"/>
      </w:tblGrid>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29,980,207.55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29,980,207.55</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88,869,734.90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88,869,734.90</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3,715,293.57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3,715,293.57</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68,542,567.41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68,542,567.41</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44,312,413.84</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44,312,413.84</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61,415.17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61,415.17</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11,703,286.97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13,748,643.22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68" w:right="0"/>
              <w:jc w:val="left"/>
              <w:rPr>
                <w:rFonts w:ascii="Times New Roman" w:hAnsi="Times New Roman" w:cs="Times New Roman" w:eastAsia="Times New Roman" w:hint="default"/>
                <w:sz w:val="21"/>
                <w:szCs w:val="21"/>
              </w:rPr>
            </w:pPr>
            <w:r>
              <w:rPr>
                <w:rFonts w:ascii="Times New Roman"/>
                <w:sz w:val="21"/>
              </w:rPr>
              <w:t>2,045,356.25</w:t>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3,597,606.89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3,597,606.89</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1,667,093,659.15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1,669,139,015.40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68" w:right="0"/>
              <w:jc w:val="left"/>
              <w:rPr>
                <w:rFonts w:ascii="Times New Roman" w:hAnsi="Times New Roman" w:cs="Times New Roman" w:eastAsia="Times New Roman" w:hint="default"/>
                <w:sz w:val="21"/>
                <w:szCs w:val="21"/>
              </w:rPr>
            </w:pPr>
            <w:r>
              <w:rPr>
                <w:rFonts w:ascii="Times New Roman"/>
                <w:sz w:val="21"/>
              </w:rPr>
              <w:t>2,045,356.25</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2,804,211,444.14</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2,792,621,092.07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93" w:right="0"/>
              <w:jc w:val="left"/>
              <w:rPr>
                <w:rFonts w:ascii="Times New Roman" w:hAnsi="Times New Roman" w:cs="Times New Roman" w:eastAsia="Times New Roman" w:hint="default"/>
                <w:sz w:val="21"/>
                <w:szCs w:val="21"/>
              </w:rPr>
            </w:pPr>
            <w:r>
              <w:rPr>
                <w:rFonts w:ascii="Times New Roman"/>
                <w:sz w:val="21"/>
              </w:rPr>
              <w:t>-11,590,352.07</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112,924,409.85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112,924,409.85</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457,988,042.67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457,988,042.67</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234,249,373.59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234,249,373.59</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14,482,033.79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14,482,033.79</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57,130,605.12</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57,130,605.12</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45,465,132.81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45,465,132.81</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55,823,267.50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55,823,267.50</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978,062,865.33</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978,062,865.33</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114,967,492.50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114,967,492.50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833,852.66</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833,852.66</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4,825,506.00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4,825,506.00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120,626,851.16</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120,626,851.16</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1,098,689,716.49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1,098,689,716.49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bl>
    <w:p>
      <w:pPr>
        <w:spacing w:after="0" w:line="241" w:lineRule="exact"/>
        <w:jc w:val="left"/>
        <w:rPr>
          <w:rFonts w:ascii="宋体" w:hAnsi="宋体" w:cs="宋体" w:eastAsia="宋体" w:hint="default"/>
          <w:sz w:val="21"/>
          <w:szCs w:val="21"/>
        </w:rPr>
        <w:sectPr>
          <w:pgSz w:w="11910" w:h="16840"/>
          <w:pgMar w:header="857" w:footer="979" w:top="1120" w:bottom="1160" w:left="1060" w:right="1560"/>
        </w:sectPr>
      </w:pPr>
    </w:p>
    <w:p>
      <w:pPr>
        <w:spacing w:line="240" w:lineRule="auto" w:before="2"/>
        <w:rPr>
          <w:rFonts w:ascii="Times New Roman" w:hAnsi="Times New Roman" w:cs="Times New Roman" w:eastAsia="Times New Roman"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3087"/>
        <w:gridCol w:w="2288"/>
        <w:gridCol w:w="1891"/>
        <w:gridCol w:w="1784"/>
      </w:tblGrid>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526,684,472.00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526,684,472.00</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712,443,564.32</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712,443,564.32</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15,732,668.62</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15,732,668.62</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64,084,066.25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62,925,031.04</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-1,159,035.21</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418,042,293.70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407,610,976.84</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-10,431,316.86</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spacing w:val="-7"/>
                <w:sz w:val="21"/>
                <w:szCs w:val="21"/>
              </w:rPr>
              <w:t>所有者权益（或股东权益）合计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1,705,521,727.65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1,693,931,375.58</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-11,590,352.07</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2,804,211,444.14</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2,792,621,092.07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-11,590,352.07</w:t>
            </w:r>
          </w:p>
        </w:tc>
      </w:tr>
    </w:tbl>
    <w:p>
      <w:pPr>
        <w:pStyle w:val="BodyText"/>
        <w:spacing w:line="241" w:lineRule="exact"/>
        <w:ind w:left="236"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69"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9" w:lineRule="exact"/>
        <w:ind w:right="0"/>
        <w:jc w:val="left"/>
      </w:pPr>
      <w:r>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36"/>
        <w:gridCol w:w="1729"/>
        <w:gridCol w:w="1332"/>
        <w:gridCol w:w="1407"/>
        <w:gridCol w:w="1363"/>
        <w:gridCol w:w="1532"/>
      </w:tblGrid>
      <w:tr>
        <w:trPr>
          <w:trHeight w:val="348" w:hRule="exact"/>
        </w:trPr>
        <w:tc>
          <w:tcPr>
            <w:tcW w:w="17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4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累积影响金额</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554" w:hRule="exact"/>
        </w:trPr>
        <w:tc>
          <w:tcPr>
            <w:tcW w:w="1736" w:type="dxa"/>
            <w:vMerge/>
            <w:tcBorders>
              <w:left w:val="single" w:sz="4" w:space="0" w:color="000000"/>
              <w:bottom w:val="single" w:sz="4" w:space="0" w:color="000000"/>
              <w:right w:val="single" w:sz="4" w:space="0" w:color="000000"/>
            </w:tcBorders>
          </w:tcPr>
          <w:p>
            <w:pPr/>
          </w:p>
        </w:tc>
        <w:tc>
          <w:tcPr>
            <w:tcW w:w="1729" w:type="dxa"/>
            <w:vMerge/>
            <w:tcBorders>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分类和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计量影响</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6" w:right="0"/>
              <w:jc w:val="left"/>
              <w:rPr>
                <w:rFonts w:ascii="宋体" w:hAnsi="宋体" w:cs="宋体" w:eastAsia="宋体" w:hint="default"/>
                <w:sz w:val="21"/>
                <w:szCs w:val="21"/>
              </w:rPr>
            </w:pPr>
            <w:r>
              <w:rPr>
                <w:rFonts w:ascii="宋体" w:hAnsi="宋体" w:cs="宋体" w:eastAsia="宋体" w:hint="default"/>
                <w:sz w:val="21"/>
                <w:szCs w:val="21"/>
              </w:rPr>
              <w:t>金融资产</w:t>
            </w:r>
          </w:p>
          <w:p>
            <w:pPr>
              <w:pStyle w:val="TableParagraph"/>
              <w:spacing w:line="274" w:lineRule="exact"/>
              <w:ind w:left="276" w:right="0"/>
              <w:jc w:val="left"/>
              <w:rPr>
                <w:rFonts w:ascii="宋体" w:hAnsi="宋体" w:cs="宋体" w:eastAsia="宋体" w:hint="default"/>
                <w:sz w:val="21"/>
                <w:szCs w:val="21"/>
              </w:rPr>
            </w:pPr>
            <w:r>
              <w:rPr>
                <w:rFonts w:ascii="宋体" w:hAnsi="宋体" w:cs="宋体" w:eastAsia="宋体" w:hint="default"/>
                <w:sz w:val="21"/>
                <w:szCs w:val="21"/>
              </w:rPr>
              <w:t>减值影响</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小计</w:t>
            </w:r>
          </w:p>
        </w:tc>
        <w:tc>
          <w:tcPr>
            <w:tcW w:w="1532" w:type="dxa"/>
            <w:vMerge/>
            <w:tcBorders>
              <w:left w:val="single" w:sz="4" w:space="0" w:color="000000"/>
              <w:bottom w:val="single" w:sz="4" w:space="0" w:color="000000"/>
              <w:right w:val="single" w:sz="4" w:space="0" w:color="000000"/>
            </w:tcBorders>
          </w:tcPr>
          <w:p>
            <w:pPr/>
          </w:p>
        </w:tc>
      </w:tr>
      <w:tr>
        <w:trPr>
          <w:trHeight w:val="384"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21"/>
                <w:szCs w:val="21"/>
              </w:rPr>
            </w:pPr>
            <w:r>
              <w:rPr>
                <w:rFonts w:ascii="Times New Roman"/>
                <w:spacing w:val="-1"/>
                <w:sz w:val="21"/>
              </w:rPr>
              <w:t>599,856,207.80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183,156.53</w:t>
            </w:r>
          </w:p>
        </w:tc>
        <w:tc>
          <w:tcPr>
            <w:tcW w:w="140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183,156.53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21"/>
                <w:szCs w:val="21"/>
              </w:rPr>
            </w:pPr>
            <w:r>
              <w:rPr>
                <w:rFonts w:ascii="Times New Roman"/>
                <w:spacing w:val="-1"/>
                <w:sz w:val="21"/>
              </w:rPr>
              <w:t>600,039,364.33</w:t>
            </w:r>
          </w:p>
        </w:tc>
      </w:tr>
      <w:tr>
        <w:trPr>
          <w:trHeight w:val="386"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21"/>
                <w:szCs w:val="21"/>
              </w:rPr>
            </w:pPr>
            <w:r>
              <w:rPr>
                <w:rFonts w:ascii="Times New Roman"/>
                <w:spacing w:val="-1"/>
                <w:sz w:val="21"/>
              </w:rPr>
              <w:t>248,911,241.15</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-5,228,658.03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3"/>
              <w:jc w:val="right"/>
              <w:rPr>
                <w:rFonts w:ascii="Times New Roman" w:hAnsi="Times New Roman" w:cs="Times New Roman" w:eastAsia="Times New Roman" w:hint="default"/>
                <w:sz w:val="21"/>
                <w:szCs w:val="21"/>
              </w:rPr>
            </w:pPr>
            <w:r>
              <w:rPr>
                <w:rFonts w:ascii="Times New Roman"/>
                <w:spacing w:val="-1"/>
                <w:sz w:val="21"/>
              </w:rPr>
              <w:t>-5,228,658.03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21"/>
                <w:szCs w:val="21"/>
              </w:rPr>
            </w:pPr>
            <w:r>
              <w:rPr>
                <w:rFonts w:ascii="Times New Roman"/>
                <w:spacing w:val="-1"/>
                <w:sz w:val="21"/>
              </w:rPr>
              <w:t>243,682,583.12</w:t>
            </w:r>
          </w:p>
        </w:tc>
      </w:tr>
      <w:tr>
        <w:trPr>
          <w:trHeight w:val="348"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46,538,474.95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pacing w:val="-1"/>
                <w:sz w:val="21"/>
              </w:rPr>
              <w:t>-183,156.53</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spacing w:val="-1"/>
                <w:sz w:val="21"/>
              </w:rPr>
              <w:t>-434,864.09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21"/>
                <w:szCs w:val="21"/>
              </w:rPr>
            </w:pPr>
            <w:r>
              <w:rPr>
                <w:rFonts w:ascii="Times New Roman"/>
                <w:spacing w:val="-1"/>
                <w:sz w:val="21"/>
              </w:rPr>
              <w:t>-618,020.62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45,920,454.33</w:t>
            </w:r>
          </w:p>
        </w:tc>
      </w:tr>
      <w:tr>
        <w:trPr>
          <w:trHeight w:val="348"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21"/>
                <w:szCs w:val="21"/>
              </w:rPr>
            </w:pPr>
            <w:r>
              <w:rPr>
                <w:rFonts w:ascii="Times New Roman"/>
                <w:spacing w:val="-1"/>
                <w:sz w:val="21"/>
              </w:rPr>
              <w:t>1,477,956,424.26</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21"/>
                <w:szCs w:val="21"/>
              </w:rPr>
            </w:pPr>
            <w:r>
              <w:rPr>
                <w:rFonts w:ascii="Times New Roman"/>
                <w:spacing w:val="-1"/>
                <w:sz w:val="21"/>
              </w:rPr>
              <w:t>-5,664,348.64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3"/>
              <w:jc w:val="right"/>
              <w:rPr>
                <w:rFonts w:ascii="Times New Roman" w:hAnsi="Times New Roman" w:cs="Times New Roman" w:eastAsia="Times New Roman" w:hint="default"/>
                <w:sz w:val="21"/>
                <w:szCs w:val="21"/>
              </w:rPr>
            </w:pPr>
            <w:r>
              <w:rPr>
                <w:rFonts w:ascii="Times New Roman"/>
                <w:spacing w:val="-1"/>
                <w:sz w:val="21"/>
              </w:rPr>
              <w:t>-5,664,348.64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21"/>
                <w:szCs w:val="21"/>
              </w:rPr>
            </w:pPr>
            <w:r>
              <w:rPr>
                <w:rFonts w:ascii="Times New Roman"/>
                <w:spacing w:val="-1"/>
                <w:sz w:val="21"/>
              </w:rPr>
              <w:t>1,472,292,075.62</w:t>
            </w:r>
          </w:p>
        </w:tc>
      </w:tr>
      <w:tr>
        <w:trPr>
          <w:trHeight w:val="554"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可供出售金融资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2,000,000.00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-2,000,000.00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-2,000,000.00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其他权益工具投</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72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2,000,000.00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348"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18,732,010.43</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pacing w:val="-1"/>
                <w:sz w:val="21"/>
              </w:rPr>
              <w:t>814,468.39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spacing w:val="-1"/>
                <w:sz w:val="21"/>
              </w:rPr>
              <w:t>814,468.39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19,546,478.82</w:t>
            </w:r>
          </w:p>
        </w:tc>
      </w:tr>
      <w:tr>
        <w:trPr>
          <w:trHeight w:val="348"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1,519,296,746.26</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pacing w:val="-1"/>
                <w:sz w:val="21"/>
              </w:rPr>
              <w:t>814,468.39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spacing w:val="-1"/>
                <w:sz w:val="21"/>
              </w:rPr>
              <w:t>814,468.39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1,520,111,214.65</w:t>
            </w:r>
          </w:p>
        </w:tc>
      </w:tr>
      <w:tr>
        <w:trPr>
          <w:trHeight w:val="348"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资 产总</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2,997,253,170.52</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spacing w:val="-1"/>
                <w:sz w:val="21"/>
              </w:rPr>
              <w:t>-4,849,880.25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21"/>
                <w:szCs w:val="21"/>
              </w:rPr>
            </w:pPr>
            <w:r>
              <w:rPr>
                <w:rFonts w:ascii="Times New Roman"/>
                <w:spacing w:val="-1"/>
                <w:sz w:val="21"/>
              </w:rPr>
              <w:t>-4,849,880.25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2,992,403,290.27</w:t>
            </w:r>
          </w:p>
        </w:tc>
      </w:tr>
      <w:tr>
        <w:trPr>
          <w:trHeight w:val="348"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32,200,000.00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pacing w:val="-1"/>
                <w:sz w:val="21"/>
              </w:rPr>
              <w:t>58,187.27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w w:val="100"/>
                <w:sz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spacing w:val="-1"/>
                <w:sz w:val="21"/>
              </w:rPr>
              <w:t>58,187.27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32,258,187.27</w:t>
            </w:r>
          </w:p>
        </w:tc>
      </w:tr>
      <w:tr>
        <w:trPr>
          <w:trHeight w:val="1100"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pacing w:val="27"/>
                <w:sz w:val="21"/>
                <w:szCs w:val="21"/>
              </w:rPr>
              <w:t>以公允价值计量</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37" w:lineRule="auto" w:before="2"/>
              <w:ind w:left="24" w:right="-12"/>
              <w:jc w:val="both"/>
              <w:rPr>
                <w:rFonts w:ascii="宋体" w:hAnsi="宋体" w:cs="宋体" w:eastAsia="宋体" w:hint="default"/>
                <w:sz w:val="21"/>
                <w:szCs w:val="21"/>
              </w:rPr>
            </w:pPr>
            <w:r>
              <w:rPr>
                <w:rFonts w:ascii="宋体" w:hAnsi="宋体" w:cs="宋体" w:eastAsia="宋体" w:hint="default"/>
                <w:spacing w:val="27"/>
                <w:sz w:val="21"/>
                <w:szCs w:val="21"/>
              </w:rPr>
              <w:t>且其变动计入当</w:t>
            </w:r>
            <w:r>
              <w:rPr>
                <w:rFonts w:ascii="宋体" w:hAnsi="宋体" w:cs="宋体" w:eastAsia="宋体" w:hint="default"/>
                <w:spacing w:val="-88"/>
                <w:sz w:val="21"/>
                <w:szCs w:val="21"/>
              </w:rPr>
              <w:t> </w:t>
            </w:r>
            <w:r>
              <w:rPr>
                <w:rFonts w:ascii="宋体" w:hAnsi="宋体" w:cs="宋体" w:eastAsia="宋体" w:hint="default"/>
                <w:spacing w:val="27"/>
                <w:sz w:val="21"/>
                <w:szCs w:val="21"/>
              </w:rPr>
              <w:t>期损益的金融负</w:t>
            </w:r>
            <w:r>
              <w:rPr>
                <w:rFonts w:ascii="宋体" w:hAnsi="宋体" w:cs="宋体" w:eastAsia="宋体" w:hint="default"/>
                <w:spacing w:val="-88"/>
                <w:sz w:val="21"/>
                <w:szCs w:val="21"/>
              </w:rPr>
              <w:t> </w:t>
            </w:r>
            <w:r>
              <w:rPr>
                <w:rFonts w:ascii="宋体" w:hAnsi="宋体" w:cs="宋体" w:eastAsia="宋体" w:hint="default"/>
                <w:sz w:val="21"/>
                <w:szCs w:val="21"/>
              </w:rPr>
              <w:t>债</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9"/>
              <w:jc w:val="right"/>
              <w:rPr>
                <w:rFonts w:ascii="Times New Roman" w:hAnsi="Times New Roman" w:cs="Times New Roman" w:eastAsia="Times New Roman" w:hint="default"/>
                <w:sz w:val="21"/>
                <w:szCs w:val="21"/>
              </w:rPr>
            </w:pPr>
            <w:r>
              <w:rPr>
                <w:rFonts w:ascii="Times New Roman"/>
                <w:spacing w:val="-1"/>
                <w:sz w:val="21"/>
              </w:rPr>
              <w:t>3,000,000.00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9"/>
              <w:jc w:val="right"/>
              <w:rPr>
                <w:rFonts w:ascii="Times New Roman" w:hAnsi="Times New Roman" w:cs="Times New Roman" w:eastAsia="Times New Roman" w:hint="default"/>
                <w:sz w:val="21"/>
                <w:szCs w:val="21"/>
              </w:rPr>
            </w:pPr>
            <w:r>
              <w:rPr>
                <w:rFonts w:ascii="Times New Roman"/>
                <w:spacing w:val="-1"/>
                <w:sz w:val="21"/>
              </w:rPr>
              <w:t>-3,000,000.00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3"/>
              <w:jc w:val="right"/>
              <w:rPr>
                <w:rFonts w:ascii="Times New Roman" w:hAnsi="Times New Roman" w:cs="Times New Roman" w:eastAsia="Times New Roman" w:hint="default"/>
                <w:sz w:val="21"/>
                <w:szCs w:val="21"/>
              </w:rPr>
            </w:pPr>
            <w:r>
              <w:rPr>
                <w:rFonts w:ascii="Times New Roman"/>
                <w:spacing w:val="-1"/>
                <w:sz w:val="21"/>
              </w:rPr>
              <w:t>-3,000,000.00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72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pacing w:val="-1"/>
                <w:sz w:val="21"/>
              </w:rPr>
              <w:t>3,000,000.00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spacing w:val="-1"/>
                <w:sz w:val="21"/>
              </w:rPr>
              <w:t>3,000,000.00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348"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34,413,595.22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pacing w:val="-1"/>
                <w:sz w:val="21"/>
              </w:rPr>
              <w:t>-58,187.27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w w:val="100"/>
                <w:sz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21"/>
                <w:szCs w:val="21"/>
              </w:rPr>
            </w:pPr>
            <w:r>
              <w:rPr>
                <w:rFonts w:ascii="Times New Roman"/>
                <w:spacing w:val="-1"/>
                <w:sz w:val="21"/>
              </w:rPr>
              <w:t>-58,187.27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34,355,407.95</w:t>
            </w:r>
          </w:p>
        </w:tc>
      </w:tr>
      <w:tr>
        <w:trPr>
          <w:trHeight w:val="348"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998,366,303.20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w w:val="100"/>
                <w:sz w:val="21"/>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w w:val="100"/>
                <w:sz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21"/>
                <w:szCs w:val="21"/>
              </w:rPr>
            </w:pPr>
            <w:r>
              <w:rPr>
                <w:rFonts w:ascii="Times New Roman"/>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998,366,303.20</w:t>
            </w:r>
          </w:p>
        </w:tc>
      </w:tr>
      <w:tr>
        <w:trPr>
          <w:trHeight w:val="348"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230,680,271.07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w w:val="100"/>
                <w:sz w:val="21"/>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w w:val="100"/>
                <w:sz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21"/>
                <w:szCs w:val="21"/>
              </w:rPr>
            </w:pPr>
            <w:r>
              <w:rPr>
                <w:rFonts w:ascii="Times New Roman"/>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230,680,271.07</w:t>
            </w:r>
          </w:p>
        </w:tc>
      </w:tr>
      <w:tr>
        <w:trPr>
          <w:trHeight w:val="348"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负债总计</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1,229,046,574.27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w w:val="100"/>
                <w:sz w:val="21"/>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w w:val="100"/>
                <w:sz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21"/>
                <w:szCs w:val="21"/>
              </w:rPr>
            </w:pPr>
            <w:r>
              <w:rPr>
                <w:rFonts w:ascii="Times New Roman"/>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1,229,046,574.27</w:t>
            </w:r>
          </w:p>
        </w:tc>
      </w:tr>
      <w:tr>
        <w:trPr>
          <w:trHeight w:val="348"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64,084,066.25</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spacing w:val="-1"/>
                <w:sz w:val="21"/>
              </w:rPr>
              <w:t>-1,159,035.21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21"/>
                <w:szCs w:val="21"/>
              </w:rPr>
            </w:pPr>
            <w:r>
              <w:rPr>
                <w:rFonts w:ascii="Times New Roman"/>
                <w:spacing w:val="-1"/>
                <w:sz w:val="21"/>
              </w:rPr>
              <w:t>-1,159,035.21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62,925,031.04</w:t>
            </w:r>
          </w:p>
        </w:tc>
      </w:tr>
      <w:tr>
        <w:trPr>
          <w:trHeight w:val="348"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464,516,842.15</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spacing w:val="-1"/>
                <w:sz w:val="21"/>
              </w:rPr>
              <w:t>-3,529,398.62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21"/>
                <w:szCs w:val="21"/>
              </w:rPr>
            </w:pPr>
            <w:r>
              <w:rPr>
                <w:rFonts w:ascii="Times New Roman"/>
                <w:spacing w:val="-1"/>
                <w:sz w:val="21"/>
              </w:rPr>
              <w:t>-3,529,398.62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460,987,443.53</w:t>
            </w:r>
          </w:p>
        </w:tc>
      </w:tr>
    </w:tbl>
    <w:p>
      <w:pPr>
        <w:spacing w:after="0" w:line="240" w:lineRule="auto"/>
        <w:jc w:val="right"/>
        <w:rPr>
          <w:rFonts w:ascii="Times New Roman" w:hAnsi="Times New Roman" w:cs="Times New Roman" w:eastAsia="Times New Roman" w:hint="default"/>
          <w:sz w:val="21"/>
          <w:szCs w:val="21"/>
        </w:rPr>
        <w:sectPr>
          <w:pgSz w:w="11910" w:h="16840"/>
          <w:pgMar w:header="857" w:footer="979" w:top="1120" w:bottom="1160" w:left="1040" w:right="1540"/>
        </w:sectPr>
      </w:pPr>
    </w:p>
    <w:p>
      <w:pPr>
        <w:spacing w:line="240" w:lineRule="auto" w:before="11"/>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1736"/>
        <w:gridCol w:w="1729"/>
        <w:gridCol w:w="1332"/>
        <w:gridCol w:w="1407"/>
        <w:gridCol w:w="1363"/>
        <w:gridCol w:w="1532"/>
      </w:tblGrid>
      <w:tr>
        <w:trPr>
          <w:trHeight w:val="55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归属于母公司的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21"/>
                <w:szCs w:val="21"/>
              </w:rPr>
            </w:pPr>
            <w:r>
              <w:rPr>
                <w:rFonts w:ascii="Times New Roman"/>
                <w:spacing w:val="-1"/>
                <w:sz w:val="21"/>
              </w:rPr>
              <w:t>1,747,757,502.61</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-4,688,433.83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spacing w:val="-1"/>
                <w:sz w:val="21"/>
              </w:rPr>
              <w:t>-4,688,433.83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21"/>
                <w:szCs w:val="21"/>
              </w:rPr>
            </w:pPr>
            <w:r>
              <w:rPr>
                <w:rFonts w:ascii="Times New Roman"/>
                <w:spacing w:val="-1"/>
                <w:sz w:val="21"/>
              </w:rPr>
              <w:t>1,743,069,068.78</w:t>
            </w:r>
          </w:p>
        </w:tc>
      </w:tr>
      <w:tr>
        <w:trPr>
          <w:trHeight w:val="348"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20,449,093.64</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spacing w:val="-1"/>
                <w:sz w:val="21"/>
              </w:rPr>
              <w:t>-161,446.42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21"/>
                <w:szCs w:val="21"/>
              </w:rPr>
            </w:pPr>
            <w:r>
              <w:rPr>
                <w:rFonts w:ascii="Times New Roman"/>
                <w:spacing w:val="-1"/>
                <w:sz w:val="21"/>
              </w:rPr>
              <w:t>-161,446.42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20,287,647.22</w:t>
            </w:r>
          </w:p>
        </w:tc>
      </w:tr>
      <w:tr>
        <w:trPr>
          <w:trHeight w:val="348"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1,768,206,596.25</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spacing w:val="-1"/>
                <w:sz w:val="21"/>
              </w:rPr>
              <w:t>-4,849,880.25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21"/>
                <w:szCs w:val="21"/>
              </w:rPr>
            </w:pPr>
            <w:r>
              <w:rPr>
                <w:rFonts w:ascii="Times New Roman"/>
                <w:spacing w:val="-1"/>
                <w:sz w:val="21"/>
              </w:rPr>
              <w:t>-4,849,880.25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1,763,356,716.00</w:t>
            </w:r>
          </w:p>
        </w:tc>
      </w:tr>
      <w:tr>
        <w:trPr>
          <w:trHeight w:val="554"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负债及所有者权</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益合计</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2,997,253,170.52</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-4,849,880.25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-4,849,880.25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2,992,403,290.27</w:t>
            </w:r>
          </w:p>
        </w:tc>
      </w:tr>
    </w:tbl>
    <w:p>
      <w:pPr>
        <w:pStyle w:val="BodyText"/>
        <w:spacing w:line="240" w:lineRule="exact"/>
        <w:ind w:left="236" w:right="0"/>
        <w:jc w:val="left"/>
      </w:pPr>
      <w:r>
        <w:rPr/>
        <w:t>注：上表仅呈列受影响的财务报表项目，不受影响的财务报表项目不包括在内，因此所披露的小</w:t>
      </w:r>
    </w:p>
    <w:p>
      <w:pPr>
        <w:pStyle w:val="BodyText"/>
        <w:spacing w:line="272" w:lineRule="exact"/>
        <w:ind w:left="236" w:right="0"/>
        <w:jc w:val="left"/>
        <w:rPr>
          <w:rFonts w:ascii="宋体" w:hAnsi="宋体" w:cs="宋体" w:eastAsia="宋体" w:hint="default"/>
        </w:rPr>
      </w:pPr>
      <w:r>
        <w:rPr/>
        <w:t>计和合计无法根据上表中呈列的数字重新计算得出</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69" w:lineRule="exact"/>
        <w:ind w:left="236" w:right="0"/>
        <w:jc w:val="left"/>
        <w:rPr>
          <w:rFonts w:ascii="宋体" w:hAnsi="宋体" w:cs="宋体" w:eastAsia="宋体" w:hint="default"/>
        </w:rPr>
      </w:pPr>
      <w:r>
        <w:rPr>
          <w:rFonts w:ascii="宋体"/>
          <w:w w:val="100"/>
        </w:rPr>
        <w:t> </w:t>
      </w:r>
    </w:p>
    <w:p>
      <w:pPr>
        <w:pStyle w:val="Heading3"/>
        <w:spacing w:line="309" w:lineRule="exact"/>
        <w:ind w:right="0"/>
        <w:jc w:val="left"/>
      </w:pPr>
      <w:r>
        <w:rPr/>
        <w:t> </w:t>
      </w:r>
    </w:p>
    <w:p>
      <w:pPr>
        <w:pStyle w:val="Heading4"/>
        <w:spacing w:line="240" w:lineRule="auto"/>
        <w:ind w:left="236" w:right="0"/>
        <w:jc w:val="left"/>
        <w:rPr>
          <w:b w:val="0"/>
          <w:bCs w:val="0"/>
        </w:rPr>
      </w:pPr>
      <w:r>
        <w:rPr>
          <w:rFonts w:ascii="Times New Roman" w:hAnsi="Times New Roman" w:cs="Times New Roman" w:eastAsia="Times New Roman" w:hint="default"/>
        </w:rPr>
        <w:t>42.  </w:t>
      </w:r>
      <w:r>
        <w:rPr>
          <w:rFonts w:ascii="Times New Roman" w:hAnsi="Times New Roman" w:cs="Times New Roman" w:eastAsia="Times New Roman" w:hint="default"/>
          <w:spacing w:val="5"/>
        </w:rPr>
        <w:t> </w:t>
      </w:r>
      <w:r>
        <w:rPr/>
        <w:t>其他</w:t>
      </w:r>
      <w:r>
        <w:rPr>
          <w:b w:val="0"/>
          <w:bCs w:val="0"/>
        </w:rPr>
      </w:r>
    </w:p>
    <w:p>
      <w:pPr>
        <w:pStyle w:val="BodyText"/>
        <w:spacing w:line="271" w:lineRule="exact" w:before="41"/>
        <w:ind w:left="236" w:right="0"/>
        <w:jc w:val="left"/>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right="0"/>
        <w:jc w:val="left"/>
      </w:pPr>
      <w:r>
        <w:rPr/>
        <w:t> </w:t>
      </w:r>
    </w:p>
    <w:p>
      <w:pPr>
        <w:pStyle w:val="Heading4"/>
        <w:spacing w:line="240" w:lineRule="auto"/>
        <w:ind w:left="236" w:right="0"/>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61" w:val="left" w:leader="none"/>
        </w:tabs>
        <w:spacing w:line="290" w:lineRule="auto" w:before="56"/>
        <w:ind w:left="236" w:right="709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27" w:lineRule="exact"/>
        <w:ind w:left="2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783"/>
        <w:gridCol w:w="3147"/>
        <w:gridCol w:w="3121"/>
      </w:tblGrid>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境内销售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13% [</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r>
      <w:tr>
        <w:trPr>
          <w:trHeight w:val="55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不动产租赁服务，销售不动产，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转让土地使用权</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sz w:val="21"/>
              </w:rPr>
              <w:t>9%</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其他应税销售服务行为</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z w:val="21"/>
              </w:rPr>
              <w:t>6%</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简易计税方法</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或</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p>
        </w:tc>
      </w:tr>
      <w:tr>
        <w:trPr>
          <w:trHeight w:val="28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z w:val="21"/>
              </w:rPr>
              <w:t>7%</w:t>
            </w:r>
          </w:p>
        </w:tc>
      </w:tr>
      <w:tr>
        <w:trPr>
          <w:trHeight w:val="55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根据应纳税所得额计算缴纳所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15%</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25%</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应交增值税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z w:val="21"/>
              </w:rPr>
              <w:t>3%</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应交增值税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sz w:val="21"/>
              </w:rPr>
              <w:t>2%</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防洪费</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应纳税收入</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0.09%</w:t>
            </w:r>
          </w:p>
        </w:tc>
      </w:tr>
    </w:tbl>
    <w:p>
      <w:pPr>
        <w:pStyle w:val="BodyText"/>
        <w:spacing w:line="264" w:lineRule="auto" w:before="11"/>
        <w:ind w:left="236" w:right="0" w:firstLine="314"/>
        <w:jc w:val="left"/>
      </w:pPr>
      <w:r>
        <w:rPr/>
        <w:t>注</w:t>
      </w:r>
      <w:r>
        <w:rPr>
          <w:spacing w:val="-9"/>
        </w:rPr>
        <w:t> </w:t>
      </w:r>
      <w:r>
        <w:rPr>
          <w:rFonts w:ascii="Times New Roman" w:hAnsi="Times New Roman" w:cs="Times New Roman" w:eastAsia="Times New Roman" w:hint="default"/>
        </w:rPr>
        <w:t>1</w:t>
      </w:r>
      <w:r>
        <w:rPr/>
        <w:t>：根据财政部、税务总局、海关总署《关于深化增值税改革有关政策的公告》（财政部、</w:t>
      </w:r>
      <w:r>
        <w:rPr>
          <w:w w:val="100"/>
        </w:rPr>
        <w:t> </w:t>
      </w:r>
      <w:r>
        <w:rPr>
          <w:spacing w:val="-4"/>
        </w:rPr>
        <w:t>税务总局、海关总署公告</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年第</w:t>
      </w:r>
      <w:r>
        <w:rPr>
          <w:spacing w:val="-51"/>
        </w:rPr>
        <w:t> </w:t>
      </w:r>
      <w:r>
        <w:rPr>
          <w:rFonts w:ascii="Times New Roman" w:hAnsi="Times New Roman" w:cs="Times New Roman" w:eastAsia="Times New Roman" w:hint="default"/>
        </w:rPr>
        <w:t>39</w:t>
      </w:r>
      <w:r>
        <w:rPr>
          <w:rFonts w:ascii="Times New Roman" w:hAnsi="Times New Roman" w:cs="Times New Roman" w:eastAsia="Times New Roman" w:hint="default"/>
          <w:spacing w:val="2"/>
        </w:rPr>
        <w:t> </w:t>
      </w:r>
      <w:r>
        <w:rPr>
          <w:spacing w:val="-8"/>
        </w:rPr>
        <w:t>号）的规定，本公司自</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日起发生增值税应税</w:t>
      </w:r>
      <w:r>
        <w:rPr>
          <w:spacing w:val="-99"/>
        </w:rPr>
        <w:t> </w:t>
      </w:r>
      <w:r>
        <w:rPr>
          <w:spacing w:val="-99"/>
        </w:rPr>
      </w:r>
      <w:r>
        <w:rPr/>
        <w:t>销售行为或者进口货物，原适用</w:t>
      </w:r>
      <w:r>
        <w:rPr>
          <w:spacing w:val="-55"/>
        </w:rPr>
        <w:t> </w:t>
      </w:r>
      <w:r>
        <w:rPr>
          <w:rFonts w:ascii="Times New Roman" w:hAnsi="Times New Roman" w:cs="Times New Roman" w:eastAsia="Times New Roman" w:hint="default"/>
        </w:rPr>
        <w:t>16%</w:t>
      </w:r>
      <w:r>
        <w:rPr/>
        <w:t>和</w:t>
      </w:r>
      <w:r>
        <w:rPr>
          <w:spacing w:val="-56"/>
        </w:rPr>
        <w:t> </w:t>
      </w:r>
      <w:r>
        <w:rPr>
          <w:rFonts w:ascii="Times New Roman" w:hAnsi="Times New Roman" w:cs="Times New Roman" w:eastAsia="Times New Roman" w:hint="default"/>
        </w:rPr>
        <w:t>10%</w:t>
      </w:r>
      <w:r>
        <w:rPr/>
        <w:t>税率的，税率分别调整为</w:t>
      </w:r>
      <w:r>
        <w:rPr>
          <w:spacing w:val="-56"/>
        </w:rPr>
        <w:t> </w:t>
      </w:r>
      <w:r>
        <w:rPr>
          <w:rFonts w:ascii="Times New Roman" w:hAnsi="Times New Roman" w:cs="Times New Roman" w:eastAsia="Times New Roman" w:hint="default"/>
        </w:rPr>
        <w:t>13%</w:t>
      </w:r>
      <w:r>
        <w:rPr/>
        <w:t>、</w:t>
      </w:r>
      <w:r>
        <w:rPr>
          <w:rFonts w:ascii="Times New Roman" w:hAnsi="Times New Roman" w:cs="Times New Roman" w:eastAsia="Times New Roman" w:hint="default"/>
        </w:rPr>
        <w:t>9%</w:t>
      </w:r>
      <w:r>
        <w:rPr/>
        <w:t>。</w:t>
      </w:r>
    </w:p>
    <w:p>
      <w:pPr>
        <w:spacing w:line="240" w:lineRule="auto" w:before="6"/>
        <w:rPr>
          <w:rFonts w:ascii="宋体" w:hAnsi="宋体" w:cs="宋体" w:eastAsia="宋体" w:hint="default"/>
          <w:sz w:val="15"/>
          <w:szCs w:val="15"/>
        </w:rPr>
      </w:pPr>
    </w:p>
    <w:p>
      <w:pPr>
        <w:pStyle w:val="BodyText"/>
        <w:spacing w:line="273" w:lineRule="exact"/>
        <w:ind w:left="448" w:right="0"/>
        <w:jc w:val="left"/>
      </w:pPr>
      <w:r>
        <w:rPr/>
        <w:t>存在不同企业所得税税率纳税主体的，披露情况说明</w:t>
      </w:r>
    </w:p>
    <w:p>
      <w:pPr>
        <w:pStyle w:val="BodyText"/>
        <w:spacing w:line="273" w:lineRule="exact"/>
        <w:ind w:left="236"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604"/>
        <w:gridCol w:w="4446"/>
      </w:tblGrid>
      <w:tr>
        <w:trPr>
          <w:trHeight w:val="284"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2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南威软件股份有限公司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福建南威软件有限公司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网链科技集团有限公司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深圳太极云软技术有限公司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合并报表范围内其他公司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bl>
    <w:p>
      <w:pPr>
        <w:pStyle w:val="Heading3"/>
        <w:spacing w:line="274" w:lineRule="exact"/>
        <w:ind w:right="0"/>
        <w:jc w:val="left"/>
      </w:pPr>
      <w:r>
        <w:rPr/>
        <w:t> </w:t>
      </w:r>
    </w:p>
    <w:p>
      <w:pPr>
        <w:pStyle w:val="Heading4"/>
        <w:tabs>
          <w:tab w:pos="661" w:val="left" w:leader="none"/>
        </w:tabs>
        <w:spacing w:line="240" w:lineRule="auto"/>
        <w:ind w:left="236" w:right="0"/>
        <w:jc w:val="left"/>
        <w:rPr>
          <w:b w:val="0"/>
          <w:bCs w:val="0"/>
        </w:rPr>
      </w:pPr>
      <w:r>
        <w:rPr>
          <w:rFonts w:ascii="宋体" w:hAnsi="宋体" w:cs="宋体" w:eastAsia="宋体" w:hint="default"/>
          <w:w w:val="95"/>
        </w:rPr>
        <w:t>2.</w:t>
        <w:tab/>
      </w:r>
      <w:r>
        <w:rPr/>
        <w:t>税收优惠</w:t>
      </w:r>
      <w:r>
        <w:rPr>
          <w:b w:val="0"/>
          <w:bCs w:val="0"/>
        </w:rPr>
      </w:r>
    </w:p>
    <w:p>
      <w:pPr>
        <w:pStyle w:val="BodyText"/>
        <w:spacing w:line="240" w:lineRule="auto" w:before="56"/>
        <w:ind w:left="236" w:right="0"/>
        <w:jc w:val="left"/>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before="75"/>
        <w:ind w:left="717" w:right="0"/>
        <w:jc w:val="left"/>
      </w:pPr>
      <w:r>
        <w:rPr/>
        <w:t>（</w:t>
      </w:r>
      <w:r>
        <w:rPr>
          <w:rFonts w:ascii="Times New Roman" w:hAnsi="Times New Roman" w:cs="Times New Roman" w:eastAsia="Times New Roman" w:hint="default"/>
        </w:rPr>
        <w:t>1</w:t>
      </w:r>
      <w:r>
        <w:rPr/>
        <w:t>）根据财税字</w:t>
      </w:r>
      <w:r>
        <w:rPr>
          <w:rFonts w:ascii="Times New Roman" w:hAnsi="Times New Roman" w:cs="Times New Roman" w:eastAsia="Times New Roman" w:hint="default"/>
        </w:rPr>
        <w:t>[1999]273</w:t>
      </w:r>
      <w:r>
        <w:rPr>
          <w:rFonts w:ascii="Times New Roman" w:hAnsi="Times New Roman" w:cs="Times New Roman" w:eastAsia="Times New Roman" w:hint="default"/>
          <w:spacing w:val="45"/>
        </w:rPr>
        <w:t> </w:t>
      </w:r>
      <w:r>
        <w:rPr>
          <w:spacing w:val="-3"/>
        </w:rPr>
        <w:t>号，财政部、国家税务总局关于贯彻落实《中共中央国务院关于</w:t>
      </w:r>
    </w:p>
    <w:p>
      <w:pPr>
        <w:spacing w:after="0" w:line="240" w:lineRule="auto"/>
        <w:jc w:val="left"/>
        <w:sectPr>
          <w:pgSz w:w="11910" w:h="16840"/>
          <w:pgMar w:header="857" w:footer="979" w:top="1120" w:bottom="1160" w:left="1040" w:right="1540"/>
        </w:sectPr>
      </w:pPr>
    </w:p>
    <w:p>
      <w:pPr>
        <w:spacing w:line="240" w:lineRule="auto" w:before="4"/>
        <w:rPr>
          <w:rFonts w:ascii="宋体" w:hAnsi="宋体" w:cs="宋体" w:eastAsia="宋体" w:hint="default"/>
          <w:sz w:val="24"/>
          <w:szCs w:val="24"/>
        </w:rPr>
      </w:pPr>
    </w:p>
    <w:p>
      <w:pPr>
        <w:pStyle w:val="BodyText"/>
        <w:spacing w:line="309" w:lineRule="auto" w:before="36"/>
        <w:ind w:left="136" w:right="209"/>
        <w:jc w:val="both"/>
      </w:pPr>
      <w:r>
        <w:rPr>
          <w:spacing w:val="-1"/>
        </w:rPr>
        <w:t>加强技术创新，发展高科技，实现产业化的决定》有关税收问题的通知的规定，公司取得的经税</w:t>
      </w:r>
      <w:r>
        <w:rPr>
          <w:spacing w:val="-55"/>
        </w:rPr>
        <w:t> </w:t>
      </w:r>
      <w:r>
        <w:rPr>
          <w:spacing w:val="-55"/>
        </w:rPr>
      </w:r>
      <w:r>
        <w:rPr>
          <w:spacing w:val="-1"/>
        </w:rPr>
        <w:t>务主管部门核准后的技术转让、技术开发业务和与之相关的技术咨询、技术服务业务收入免征营</w:t>
      </w:r>
      <w:r>
        <w:rPr>
          <w:spacing w:val="-55"/>
        </w:rPr>
        <w:t> </w:t>
      </w:r>
      <w:r>
        <w:rPr>
          <w:spacing w:val="-55"/>
        </w:rPr>
      </w:r>
      <w:r>
        <w:rPr>
          <w:spacing w:val="-4"/>
        </w:rPr>
        <w:t>业税。根据财税</w:t>
      </w:r>
      <w:r>
        <w:rPr>
          <w:rFonts w:ascii="Times New Roman" w:hAnsi="Times New Roman" w:cs="Times New Roman" w:eastAsia="Times New Roman" w:hint="default"/>
          <w:spacing w:val="-4"/>
        </w:rPr>
        <w:t>[2011]111 </w:t>
      </w:r>
      <w:r>
        <w:rPr>
          <w:spacing w:val="-3"/>
        </w:rPr>
        <w:t>号文规定，营改增后经税务主管部门核准后的技术转让、技术开发业务</w:t>
      </w:r>
      <w:r>
        <w:rPr>
          <w:spacing w:val="-79"/>
        </w:rPr>
        <w:t> </w:t>
      </w:r>
      <w:r>
        <w:rPr>
          <w:spacing w:val="-79"/>
        </w:rPr>
      </w:r>
      <w:r>
        <w:rPr/>
        <w:t>和与之相关的技术咨询、技术服务业务收入免征增值税。</w:t>
      </w:r>
    </w:p>
    <w:p>
      <w:pPr>
        <w:pStyle w:val="BodyText"/>
        <w:spacing w:line="240" w:lineRule="auto" w:before="24"/>
        <w:ind w:left="557" w:right="0"/>
        <w:jc w:val="left"/>
      </w:pPr>
      <w:r>
        <w:rPr>
          <w:w w:val="100"/>
        </w:rPr>
        <w:t>（</w:t>
      </w:r>
      <w:r>
        <w:rPr>
          <w:rFonts w:ascii="Times New Roman" w:hAnsi="Times New Roman" w:cs="Times New Roman" w:eastAsia="Times New Roman" w:hint="default"/>
          <w:spacing w:val="-1"/>
          <w:w w:val="100"/>
        </w:rPr>
        <w:t>2</w:t>
      </w:r>
      <w:r>
        <w:rPr>
          <w:spacing w:val="-101"/>
          <w:w w:val="100"/>
        </w:rPr>
        <w:t>）</w:t>
      </w:r>
      <w:r>
        <w:rPr>
          <w:w w:val="100"/>
        </w:rPr>
        <w:t>依</w:t>
      </w:r>
      <w:r>
        <w:rPr>
          <w:spacing w:val="-3"/>
          <w:w w:val="100"/>
        </w:rPr>
        <w:t>据</w:t>
      </w:r>
      <w:r>
        <w:rPr>
          <w:w w:val="100"/>
        </w:rPr>
        <w:t>国</w:t>
      </w:r>
      <w:r>
        <w:rPr>
          <w:spacing w:val="-3"/>
          <w:w w:val="100"/>
        </w:rPr>
        <w:t>务</w:t>
      </w:r>
      <w:r>
        <w:rPr>
          <w:w w:val="100"/>
        </w:rPr>
        <w:t>院</w:t>
      </w:r>
      <w:r>
        <w:rPr>
          <w:spacing w:val="-3"/>
          <w:w w:val="100"/>
        </w:rPr>
        <w:t>下</w:t>
      </w:r>
      <w:r>
        <w:rPr>
          <w:w w:val="100"/>
        </w:rPr>
        <w:t>发</w:t>
      </w:r>
      <w:r>
        <w:rPr>
          <w:spacing w:val="-101"/>
          <w:w w:val="100"/>
        </w:rPr>
        <w:t>的</w:t>
      </w:r>
      <w:r>
        <w:rPr>
          <w:w w:val="100"/>
        </w:rPr>
        <w:t>《</w:t>
      </w:r>
      <w:r>
        <w:rPr>
          <w:spacing w:val="-3"/>
          <w:w w:val="100"/>
        </w:rPr>
        <w:t>关</w:t>
      </w:r>
      <w:r>
        <w:rPr>
          <w:w w:val="100"/>
        </w:rPr>
        <w:t>于印</w:t>
      </w:r>
      <w:r>
        <w:rPr>
          <w:spacing w:val="-3"/>
          <w:w w:val="100"/>
        </w:rPr>
        <w:t>发</w:t>
      </w:r>
      <w:r>
        <w:rPr>
          <w:w w:val="100"/>
        </w:rPr>
        <w:t>进</w:t>
      </w:r>
      <w:r>
        <w:rPr>
          <w:spacing w:val="-3"/>
          <w:w w:val="100"/>
        </w:rPr>
        <w:t>一</w:t>
      </w:r>
      <w:r>
        <w:rPr>
          <w:w w:val="100"/>
        </w:rPr>
        <w:t>步</w:t>
      </w:r>
      <w:r>
        <w:rPr>
          <w:spacing w:val="-3"/>
          <w:w w:val="100"/>
        </w:rPr>
        <w:t>鼓</w:t>
      </w:r>
      <w:r>
        <w:rPr>
          <w:w w:val="100"/>
        </w:rPr>
        <w:t>励</w:t>
      </w:r>
      <w:r>
        <w:rPr>
          <w:spacing w:val="-3"/>
          <w:w w:val="100"/>
        </w:rPr>
        <w:t>软</w:t>
      </w:r>
      <w:r>
        <w:rPr>
          <w:w w:val="100"/>
        </w:rPr>
        <w:t>件</w:t>
      </w:r>
      <w:r>
        <w:rPr>
          <w:spacing w:val="-3"/>
          <w:w w:val="100"/>
        </w:rPr>
        <w:t>产</w:t>
      </w:r>
      <w:r>
        <w:rPr>
          <w:w w:val="100"/>
        </w:rPr>
        <w:t>业和</w:t>
      </w:r>
      <w:r>
        <w:rPr>
          <w:spacing w:val="-3"/>
          <w:w w:val="100"/>
        </w:rPr>
        <w:t>集</w:t>
      </w:r>
      <w:r>
        <w:rPr>
          <w:w w:val="100"/>
        </w:rPr>
        <w:t>成</w:t>
      </w:r>
      <w:r>
        <w:rPr>
          <w:spacing w:val="-3"/>
          <w:w w:val="100"/>
        </w:rPr>
        <w:t>电</w:t>
      </w:r>
      <w:r>
        <w:rPr>
          <w:w w:val="100"/>
        </w:rPr>
        <w:t>路</w:t>
      </w:r>
      <w:r>
        <w:rPr>
          <w:spacing w:val="-3"/>
          <w:w w:val="100"/>
        </w:rPr>
        <w:t>产</w:t>
      </w:r>
      <w:r>
        <w:rPr>
          <w:w w:val="100"/>
        </w:rPr>
        <w:t>业</w:t>
      </w:r>
      <w:r>
        <w:rPr>
          <w:spacing w:val="-3"/>
          <w:w w:val="100"/>
        </w:rPr>
        <w:t>发</w:t>
      </w:r>
      <w:r>
        <w:rPr>
          <w:w w:val="100"/>
        </w:rPr>
        <w:t>展</w:t>
      </w:r>
      <w:r>
        <w:rPr>
          <w:spacing w:val="-3"/>
          <w:w w:val="100"/>
        </w:rPr>
        <w:t>若</w:t>
      </w:r>
      <w:r>
        <w:rPr>
          <w:w w:val="100"/>
        </w:rPr>
        <w:t>干政</w:t>
      </w:r>
      <w:r>
        <w:rPr>
          <w:spacing w:val="-3"/>
          <w:w w:val="100"/>
        </w:rPr>
        <w:t>策</w:t>
      </w:r>
      <w:r>
        <w:rPr>
          <w:w w:val="100"/>
        </w:rPr>
        <w:t>的</w:t>
      </w:r>
      <w:r>
        <w:rPr>
          <w:spacing w:val="-3"/>
          <w:w w:val="100"/>
        </w:rPr>
        <w:t>通知</w:t>
      </w:r>
      <w:r>
        <w:rPr>
          <w:w w:val="100"/>
        </w:rPr>
        <w:t>》</w:t>
      </w:r>
    </w:p>
    <w:p>
      <w:pPr>
        <w:pStyle w:val="BodyText"/>
        <w:spacing w:line="240" w:lineRule="auto" w:before="69"/>
        <w:ind w:left="136" w:right="0"/>
        <w:jc w:val="both"/>
      </w:pPr>
      <w:r>
        <w:rPr/>
        <w:t>（国发</w:t>
      </w:r>
      <w:r>
        <w:rPr>
          <w:rFonts w:ascii="Times New Roman" w:hAnsi="Times New Roman" w:cs="Times New Roman" w:eastAsia="Times New Roman" w:hint="default"/>
        </w:rPr>
        <w:t>[2011]4 </w:t>
      </w:r>
      <w:r>
        <w:rPr>
          <w:spacing w:val="-21"/>
        </w:rPr>
        <w:t>号）第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5"/>
        </w:rPr>
        <w:t>条及财政部、国家税务总局联合下发的《关于软件产品增值税政策的通知》</w:t>
      </w:r>
    </w:p>
    <w:p>
      <w:pPr>
        <w:pStyle w:val="BodyText"/>
        <w:spacing w:line="297" w:lineRule="auto" w:before="69"/>
        <w:ind w:left="136" w:right="209"/>
        <w:jc w:val="both"/>
      </w:pPr>
      <w:r>
        <w:rPr/>
        <w:t>（财税</w:t>
      </w:r>
      <w:r>
        <w:rPr>
          <w:rFonts w:ascii="Times New Roman" w:hAnsi="Times New Roman" w:cs="Times New Roman" w:eastAsia="Times New Roman" w:hint="default"/>
        </w:rPr>
        <w:t>[2011]100</w:t>
      </w:r>
      <w:r>
        <w:rPr>
          <w:rFonts w:ascii="Times New Roman" w:hAnsi="Times New Roman" w:cs="Times New Roman" w:eastAsia="Times New Roman" w:hint="default"/>
          <w:spacing w:val="6"/>
        </w:rPr>
        <w:t> </w:t>
      </w:r>
      <w:r>
        <w:rPr>
          <w:spacing w:val="-5"/>
        </w:rPr>
        <w:t>号）的规定，公司销售其自行开发生产的软件产品，按</w:t>
      </w:r>
      <w:r>
        <w:rPr>
          <w:spacing w:val="-44"/>
        </w:rPr>
        <w:t> </w:t>
      </w:r>
      <w:r>
        <w:rPr>
          <w:rFonts w:ascii="Times New Roman" w:hAnsi="Times New Roman" w:cs="Times New Roman" w:eastAsia="Times New Roman" w:hint="default"/>
        </w:rPr>
        <w:t>17%</w:t>
      </w:r>
      <w:r>
        <w:rPr/>
        <w:t>的法定税率征收增值</w:t>
      </w:r>
      <w:r>
        <w:rPr>
          <w:spacing w:val="-102"/>
        </w:rPr>
        <w:t> </w:t>
      </w:r>
      <w:r>
        <w:rPr>
          <w:spacing w:val="-102"/>
        </w:rPr>
      </w:r>
      <w:r>
        <w:rPr>
          <w:spacing w:val="-2"/>
        </w:rPr>
        <w:t>税后，享受增值税实际税负超过</w:t>
      </w:r>
      <w:r>
        <w:rPr>
          <w:spacing w:val="6"/>
        </w:rPr>
        <w:t> </w:t>
      </w:r>
      <w:r>
        <w:rPr>
          <w:rFonts w:ascii="Times New Roman" w:hAnsi="Times New Roman" w:cs="Times New Roman" w:eastAsia="Times New Roman" w:hint="default"/>
          <w:spacing w:val="-2"/>
        </w:rPr>
        <w:t>3%</w:t>
      </w:r>
      <w:r>
        <w:rPr>
          <w:spacing w:val="-2"/>
        </w:rPr>
        <w:t>的部分实行即征即退的优惠政策。</w:t>
      </w:r>
    </w:p>
    <w:p>
      <w:pPr>
        <w:pStyle w:val="BodyText"/>
        <w:spacing w:line="297" w:lineRule="auto" w:before="13"/>
        <w:ind w:left="136" w:right="208" w:firstLine="420"/>
        <w:jc w:val="both"/>
      </w:pPr>
      <w:r>
        <w:rPr>
          <w:spacing w:val="-4"/>
        </w:rPr>
        <w:t>（</w:t>
      </w:r>
      <w:r>
        <w:rPr>
          <w:rFonts w:ascii="Times New Roman" w:hAnsi="Times New Roman" w:cs="Times New Roman" w:eastAsia="Times New Roman" w:hint="default"/>
          <w:spacing w:val="-4"/>
        </w:rPr>
        <w:t>3</w:t>
      </w:r>
      <w:r>
        <w:rPr>
          <w:spacing w:val="-4"/>
        </w:rPr>
        <w:t>）依据《财政部、国家税务总局、发展改革委、工业和信息化部关于软件和集成电路产业</w:t>
      </w:r>
      <w:r>
        <w:rPr>
          <w:w w:val="100"/>
        </w:rPr>
        <w:t> </w:t>
      </w:r>
      <w:r>
        <w:rPr>
          <w:spacing w:val="-6"/>
          <w:w w:val="100"/>
        </w:rPr>
        <w:t>企业所得税优惠政策有关问题的通知》（财税</w:t>
      </w:r>
      <w:r>
        <w:rPr>
          <w:rFonts w:ascii="Times New Roman" w:hAnsi="Times New Roman" w:cs="Times New Roman" w:eastAsia="Times New Roman" w:hint="default"/>
          <w:spacing w:val="-6"/>
          <w:w w:val="100"/>
        </w:rPr>
        <w:t>[2016]49</w:t>
      </w:r>
      <w:r>
        <w:rPr>
          <w:rFonts w:ascii="Times New Roman" w:hAnsi="Times New Roman" w:cs="Times New Roman" w:eastAsia="Times New Roman" w:hint="default"/>
          <w:w w:val="100"/>
        </w:rPr>
        <w:t> </w:t>
      </w:r>
      <w:r>
        <w:rPr>
          <w:spacing w:val="-5"/>
          <w:w w:val="100"/>
        </w:rPr>
        <w:t>号）的规定，公司子公司深圳太极云软技术</w:t>
      </w:r>
      <w:r>
        <w:rPr>
          <w:spacing w:val="-84"/>
          <w:w w:val="100"/>
        </w:rPr>
        <w:t> </w:t>
      </w:r>
      <w:r>
        <w:rPr>
          <w:spacing w:val="-84"/>
          <w:w w:val="100"/>
        </w:rPr>
      </w:r>
      <w:r>
        <w:rPr>
          <w:spacing w:val="-2"/>
        </w:rPr>
        <w:t>有限公司属于国家规划布局内重点软件企业，可减按</w:t>
      </w:r>
      <w:r>
        <w:rPr>
          <w:spacing w:val="20"/>
        </w:rPr>
        <w:t> </w:t>
      </w:r>
      <w:r>
        <w:rPr>
          <w:rFonts w:ascii="Times New Roman" w:hAnsi="Times New Roman" w:cs="Times New Roman" w:eastAsia="Times New Roman" w:hint="default"/>
          <w:spacing w:val="-2"/>
        </w:rPr>
        <w:t>10%</w:t>
      </w:r>
      <w:r>
        <w:rPr>
          <w:spacing w:val="-2"/>
        </w:rPr>
        <w:t>的税率征收企业所得税。</w:t>
      </w:r>
    </w:p>
    <w:p>
      <w:pPr>
        <w:pStyle w:val="BodyText"/>
        <w:spacing w:line="297" w:lineRule="auto" w:before="13"/>
        <w:ind w:left="136" w:right="208" w:firstLine="420"/>
        <w:jc w:val="both"/>
      </w:pPr>
      <w:r>
        <w:rPr>
          <w:spacing w:val="-7"/>
          <w:w w:val="100"/>
        </w:rPr>
        <w:t>（</w:t>
      </w:r>
      <w:r>
        <w:rPr>
          <w:rFonts w:ascii="Times New Roman" w:hAnsi="Times New Roman" w:cs="Times New Roman" w:eastAsia="Times New Roman" w:hint="default"/>
          <w:spacing w:val="-7"/>
          <w:w w:val="100"/>
        </w:rPr>
        <w:t>4</w:t>
      </w:r>
      <w:r>
        <w:rPr>
          <w:spacing w:val="-7"/>
          <w:w w:val="100"/>
        </w:rPr>
        <w:t>）根据《高新技术企业认定管理办法》（国科发火</w:t>
      </w:r>
      <w:r>
        <w:rPr>
          <w:rFonts w:ascii="Times New Roman" w:hAnsi="Times New Roman" w:cs="Times New Roman" w:eastAsia="Times New Roman" w:hint="default"/>
          <w:spacing w:val="-7"/>
          <w:w w:val="100"/>
        </w:rPr>
        <w:t>[2008]172</w:t>
      </w:r>
      <w:r>
        <w:rPr>
          <w:rFonts w:ascii="Times New Roman" w:hAnsi="Times New Roman" w:cs="Times New Roman" w:eastAsia="Times New Roman" w:hint="default"/>
          <w:spacing w:val="23"/>
          <w:w w:val="100"/>
        </w:rPr>
        <w:t> </w:t>
      </w:r>
      <w:r>
        <w:rPr>
          <w:spacing w:val="-18"/>
          <w:w w:val="100"/>
        </w:rPr>
        <w:t>号）、《高新技术企业认定管理</w:t>
      </w:r>
      <w:r>
        <w:rPr>
          <w:w w:val="100"/>
        </w:rPr>
        <w:t> </w:t>
      </w:r>
      <w:r>
        <w:rPr>
          <w:spacing w:val="-9"/>
          <w:w w:val="100"/>
        </w:rPr>
        <w:t>工作指引》（国科发火</w:t>
      </w:r>
      <w:r>
        <w:rPr>
          <w:rFonts w:ascii="Times New Roman" w:hAnsi="Times New Roman" w:cs="Times New Roman" w:eastAsia="Times New Roman" w:hint="default"/>
          <w:spacing w:val="-9"/>
          <w:w w:val="100"/>
        </w:rPr>
        <w:t>[2008]362</w:t>
      </w:r>
      <w:r>
        <w:rPr>
          <w:rFonts w:ascii="Times New Roman" w:hAnsi="Times New Roman" w:cs="Times New Roman" w:eastAsia="Times New Roman" w:hint="default"/>
          <w:spacing w:val="20"/>
          <w:w w:val="100"/>
        </w:rPr>
        <w:t> </w:t>
      </w:r>
      <w:r>
        <w:rPr>
          <w:spacing w:val="-7"/>
          <w:w w:val="100"/>
        </w:rPr>
        <w:t>号），公司原高新技术企业证书有效期满后重新被认定为高新技术</w:t>
      </w:r>
      <w:r>
        <w:rPr>
          <w:spacing w:val="-98"/>
          <w:w w:val="100"/>
        </w:rPr>
        <w:t> </w:t>
      </w:r>
      <w:r>
        <w:rPr>
          <w:spacing w:val="-98"/>
          <w:w w:val="100"/>
        </w:rPr>
      </w:r>
      <w:r>
        <w:rPr>
          <w:spacing w:val="-4"/>
          <w:w w:val="100"/>
        </w:rPr>
        <w:t>企业并取得《高新技术企业证书》，证书编号：</w:t>
      </w:r>
      <w:r>
        <w:rPr>
          <w:rFonts w:ascii="Times New Roman" w:hAnsi="Times New Roman" w:cs="Times New Roman" w:eastAsia="Times New Roman" w:hint="default"/>
          <w:spacing w:val="-4"/>
          <w:w w:val="100"/>
        </w:rPr>
        <w:t>GR201735000086</w:t>
      </w:r>
      <w:r>
        <w:rPr>
          <w:spacing w:val="-4"/>
          <w:w w:val="100"/>
        </w:rPr>
        <w:t>，有效期三年，</w:t>
      </w:r>
      <w:r>
        <w:rPr>
          <w:rFonts w:ascii="Times New Roman" w:hAnsi="Times New Roman" w:cs="Times New Roman" w:eastAsia="Times New Roman" w:hint="default"/>
          <w:spacing w:val="-4"/>
          <w:w w:val="100"/>
        </w:rPr>
        <w:t>2019</w:t>
      </w:r>
      <w:r>
        <w:rPr>
          <w:rFonts w:ascii="Times New Roman" w:hAnsi="Times New Roman" w:cs="Times New Roman" w:eastAsia="Times New Roman" w:hint="default"/>
          <w:w w:val="100"/>
        </w:rPr>
        <w:t> </w:t>
      </w:r>
      <w:r>
        <w:rPr>
          <w:spacing w:val="-2"/>
          <w:w w:val="100"/>
        </w:rPr>
        <w:t>年企业所得</w:t>
      </w:r>
      <w:r>
        <w:rPr>
          <w:spacing w:val="-94"/>
          <w:w w:val="100"/>
        </w:rPr>
        <w:t> </w:t>
      </w:r>
      <w:r>
        <w:rPr>
          <w:spacing w:val="-94"/>
          <w:w w:val="100"/>
        </w:rPr>
      </w:r>
      <w:r>
        <w:rPr/>
        <w:t>税暂按</w:t>
      </w:r>
      <w:r>
        <w:rPr>
          <w:spacing w:val="-52"/>
        </w:rPr>
        <w:t> </w:t>
      </w:r>
      <w:r>
        <w:rPr>
          <w:rFonts w:ascii="Times New Roman" w:hAnsi="Times New Roman" w:cs="Times New Roman" w:eastAsia="Times New Roman" w:hint="default"/>
        </w:rPr>
        <w:t>15%</w:t>
      </w:r>
      <w:r>
        <w:rPr/>
        <w:t>的所得税税率预缴。</w:t>
      </w:r>
    </w:p>
    <w:p>
      <w:pPr>
        <w:pStyle w:val="BodyText"/>
        <w:spacing w:line="304" w:lineRule="auto" w:before="13"/>
        <w:ind w:left="136" w:right="209" w:firstLine="420"/>
        <w:jc w:val="both"/>
      </w:pPr>
      <w:r>
        <w:rPr/>
        <w:t>（</w:t>
      </w:r>
      <w:r>
        <w:rPr>
          <w:rFonts w:ascii="Times New Roman" w:hAnsi="Times New Roman" w:cs="Times New Roman" w:eastAsia="Times New Roman" w:hint="default"/>
        </w:rPr>
        <w:t>5</w:t>
      </w:r>
      <w:r>
        <w:rPr/>
        <w:t>）公司之子公司福建南威软件有限公司于</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年被认定为高新技术企业，原高新技术企</w:t>
      </w:r>
      <w:r>
        <w:rPr>
          <w:w w:val="100"/>
        </w:rPr>
        <w:t> </w:t>
      </w:r>
      <w:r>
        <w:rPr>
          <w:spacing w:val="17"/>
          <w:w w:val="100"/>
        </w:rPr>
        <w:t>业证书有效期满后重新被认定为高新技术企业并取得《</w:t>
      </w:r>
      <w:r>
        <w:rPr>
          <w:spacing w:val="-82"/>
          <w:w w:val="100"/>
        </w:rPr>
        <w:t> </w:t>
      </w:r>
      <w:r>
        <w:rPr>
          <w:spacing w:val="15"/>
          <w:w w:val="100"/>
        </w:rPr>
        <w:t>高新技术企业证书</w:t>
      </w:r>
      <w:r>
        <w:rPr>
          <w:spacing w:val="-82"/>
          <w:w w:val="100"/>
        </w:rPr>
        <w:t> </w:t>
      </w:r>
      <w:r>
        <w:rPr>
          <w:spacing w:val="-44"/>
          <w:w w:val="100"/>
        </w:rPr>
        <w:t>》，</w:t>
      </w:r>
      <w:r>
        <w:rPr>
          <w:spacing w:val="-82"/>
          <w:w w:val="100"/>
        </w:rPr>
        <w:t> </w:t>
      </w:r>
      <w:r>
        <w:rPr>
          <w:spacing w:val="13"/>
          <w:w w:val="100"/>
        </w:rPr>
        <w:t>证书编号：</w:t>
      </w:r>
      <w:r>
        <w:rPr>
          <w:spacing w:val="-100"/>
          <w:w w:val="100"/>
        </w:rPr>
        <w:t> </w:t>
      </w:r>
      <w:r>
        <w:rPr>
          <w:spacing w:val="-100"/>
          <w:w w:val="100"/>
        </w:rPr>
      </w:r>
      <w:r>
        <w:rPr>
          <w:rFonts w:ascii="Times New Roman" w:hAnsi="Times New Roman" w:cs="Times New Roman" w:eastAsia="Times New Roman" w:hint="default"/>
        </w:rPr>
        <w:t>GR201935001188</w:t>
      </w:r>
      <w:r>
        <w:rPr/>
        <w:t>，有效期三年，</w:t>
      </w:r>
      <w:r>
        <w:rPr>
          <w:rFonts w:ascii="Times New Roman" w:hAnsi="Times New Roman" w:cs="Times New Roman" w:eastAsia="Times New Roman" w:hint="default"/>
        </w:rPr>
        <w:t>2019 </w:t>
      </w:r>
      <w:r>
        <w:rPr/>
        <w:t>年企业所得税暂按</w:t>
      </w:r>
      <w:r>
        <w:rPr>
          <w:spacing w:val="-73"/>
        </w:rPr>
        <w:t> </w:t>
      </w:r>
      <w:r>
        <w:rPr>
          <w:rFonts w:ascii="Times New Roman" w:hAnsi="Times New Roman" w:cs="Times New Roman" w:eastAsia="Times New Roman" w:hint="default"/>
        </w:rPr>
        <w:t>15%</w:t>
      </w:r>
      <w:r>
        <w:rPr/>
        <w:t>的所得税税率预缴。</w:t>
      </w:r>
    </w:p>
    <w:p>
      <w:pPr>
        <w:pStyle w:val="BodyText"/>
        <w:spacing w:line="297" w:lineRule="auto" w:before="6"/>
        <w:ind w:left="136" w:right="209" w:firstLine="420"/>
        <w:jc w:val="both"/>
      </w:pPr>
      <w:r>
        <w:rPr/>
        <w:t>（</w:t>
      </w:r>
      <w:r>
        <w:rPr>
          <w:rFonts w:ascii="Times New Roman" w:hAnsi="Times New Roman" w:cs="Times New Roman" w:eastAsia="Times New Roman" w:hint="default"/>
        </w:rPr>
        <w:t>6</w:t>
      </w:r>
      <w:r>
        <w:rPr/>
        <w:t>）公司之子公司网链科技集团有限公司于</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年被认定为高新技术企业，取得《高新技</w:t>
      </w:r>
      <w:r>
        <w:rPr>
          <w:w w:val="100"/>
        </w:rPr>
        <w:t> </w:t>
      </w:r>
      <w:r>
        <w:rPr>
          <w:spacing w:val="-5"/>
          <w:w w:val="100"/>
        </w:rPr>
        <w:t>术企业证书》，证书编号：</w:t>
      </w:r>
      <w:r>
        <w:rPr>
          <w:rFonts w:ascii="Times New Roman" w:hAnsi="Times New Roman" w:cs="Times New Roman" w:eastAsia="Times New Roman" w:hint="default"/>
          <w:spacing w:val="-5"/>
          <w:w w:val="100"/>
        </w:rPr>
        <w:t>GR201835000084</w:t>
      </w:r>
      <w:r>
        <w:rPr>
          <w:spacing w:val="-5"/>
          <w:w w:val="100"/>
        </w:rPr>
        <w:t>，有效期三年，</w:t>
      </w:r>
      <w:r>
        <w:rPr>
          <w:rFonts w:ascii="Times New Roman" w:hAnsi="Times New Roman" w:cs="Times New Roman" w:eastAsia="Times New Roman" w:hint="default"/>
          <w:spacing w:val="-5"/>
          <w:w w:val="100"/>
        </w:rPr>
        <w:t>2019</w:t>
      </w:r>
      <w:r>
        <w:rPr>
          <w:rFonts w:ascii="Times New Roman" w:hAnsi="Times New Roman" w:cs="Times New Roman" w:eastAsia="Times New Roman" w:hint="default"/>
          <w:spacing w:val="3"/>
          <w:w w:val="100"/>
        </w:rPr>
        <w:t> </w:t>
      </w:r>
      <w:r>
        <w:rPr>
          <w:spacing w:val="-2"/>
          <w:w w:val="100"/>
        </w:rPr>
        <w:t>年企业所得税暂按</w:t>
      </w:r>
      <w:r>
        <w:rPr>
          <w:spacing w:val="-47"/>
          <w:w w:val="100"/>
        </w:rPr>
        <w:t> </w:t>
      </w:r>
      <w:r>
        <w:rPr>
          <w:rFonts w:ascii="Times New Roman" w:hAnsi="Times New Roman" w:cs="Times New Roman" w:eastAsia="Times New Roman" w:hint="default"/>
          <w:spacing w:val="-2"/>
          <w:w w:val="100"/>
        </w:rPr>
        <w:t>15%</w:t>
      </w:r>
      <w:r>
        <w:rPr>
          <w:spacing w:val="-2"/>
          <w:w w:val="100"/>
        </w:rPr>
        <w:t>的所得税</w:t>
      </w:r>
      <w:r>
        <w:rPr>
          <w:spacing w:val="-103"/>
          <w:w w:val="100"/>
        </w:rPr>
        <w:t> </w:t>
      </w:r>
      <w:r>
        <w:rPr>
          <w:spacing w:val="-103"/>
          <w:w w:val="100"/>
        </w:rPr>
      </w:r>
      <w:r>
        <w:rPr/>
        <w:t>税率预缴。</w:t>
      </w:r>
    </w:p>
    <w:p>
      <w:pPr>
        <w:pStyle w:val="BodyText"/>
        <w:spacing w:line="302" w:lineRule="auto" w:before="34"/>
        <w:ind w:left="136" w:right="208" w:firstLine="420"/>
        <w:jc w:val="both"/>
      </w:pPr>
      <w:r>
        <w:rPr>
          <w:spacing w:val="-4"/>
        </w:rPr>
        <w:t>（</w:t>
      </w:r>
      <w:r>
        <w:rPr>
          <w:rFonts w:ascii="Times New Roman" w:hAnsi="Times New Roman" w:cs="Times New Roman" w:eastAsia="Times New Roman" w:hint="default"/>
          <w:spacing w:val="-4"/>
        </w:rPr>
        <w:t>7</w:t>
      </w:r>
      <w:r>
        <w:rPr>
          <w:spacing w:val="-4"/>
        </w:rPr>
        <w:t>）公司之子公司福建威盾科技集团有限公司、上海南信信息科技有限公司为依法成立且符</w:t>
      </w:r>
      <w:r>
        <w:rPr>
          <w:w w:val="100"/>
        </w:rPr>
        <w:t> </w:t>
      </w:r>
      <w:r>
        <w:rPr>
          <w:spacing w:val="-1"/>
        </w:rPr>
        <w:t>合条件的集成电路设计企业和软件企业，根据财政部《关于集成电路设计和软件产业企业所得税</w:t>
      </w:r>
      <w:r>
        <w:rPr>
          <w:spacing w:val="-55"/>
        </w:rPr>
        <w:t> </w:t>
      </w:r>
      <w:r>
        <w:rPr>
          <w:spacing w:val="-55"/>
        </w:rPr>
      </w:r>
      <w:r>
        <w:rPr>
          <w:spacing w:val="-18"/>
          <w:w w:val="100"/>
        </w:rPr>
        <w:t>政策的公告》（税务总局公告</w:t>
      </w:r>
      <w:r>
        <w:rPr>
          <w:spacing w:val="-61"/>
          <w:w w:val="100"/>
        </w:rPr>
        <w:t> </w:t>
      </w:r>
      <w:r>
        <w:rPr>
          <w:rFonts w:ascii="Times New Roman" w:hAnsi="Times New Roman" w:cs="Times New Roman" w:eastAsia="Times New Roman" w:hint="default"/>
          <w:w w:val="100"/>
        </w:rPr>
        <w:t>2019</w:t>
      </w:r>
      <w:r>
        <w:rPr>
          <w:rFonts w:ascii="Times New Roman" w:hAnsi="Times New Roman" w:cs="Times New Roman" w:eastAsia="Times New Roman" w:hint="default"/>
          <w:spacing w:val="-11"/>
          <w:w w:val="100"/>
        </w:rPr>
        <w:t> </w:t>
      </w:r>
      <w:r>
        <w:rPr>
          <w:w w:val="100"/>
        </w:rPr>
        <w:t>年第</w:t>
      </w:r>
      <w:r>
        <w:rPr>
          <w:spacing w:val="-64"/>
          <w:w w:val="100"/>
        </w:rPr>
        <w:t> </w:t>
      </w:r>
      <w:r>
        <w:rPr>
          <w:rFonts w:ascii="Times New Roman" w:hAnsi="Times New Roman" w:cs="Times New Roman" w:eastAsia="Times New Roman" w:hint="default"/>
          <w:w w:val="100"/>
        </w:rPr>
        <w:t>68</w:t>
      </w:r>
      <w:r>
        <w:rPr>
          <w:rFonts w:ascii="Times New Roman" w:hAnsi="Times New Roman" w:cs="Times New Roman" w:eastAsia="Times New Roman" w:hint="default"/>
          <w:spacing w:val="-9"/>
          <w:w w:val="100"/>
        </w:rPr>
        <w:t> </w:t>
      </w:r>
      <w:r>
        <w:rPr>
          <w:spacing w:val="-54"/>
          <w:w w:val="100"/>
        </w:rPr>
        <w:t>号），在</w:t>
      </w:r>
      <w:r>
        <w:rPr>
          <w:spacing w:val="-61"/>
          <w:w w:val="100"/>
        </w:rPr>
        <w:t> </w:t>
      </w:r>
      <w:r>
        <w:rPr>
          <w:rFonts w:ascii="Times New Roman" w:hAnsi="Times New Roman" w:cs="Times New Roman" w:eastAsia="Times New Roman" w:hint="default"/>
          <w:spacing w:val="-2"/>
          <w:w w:val="100"/>
        </w:rPr>
        <w:t>2018</w:t>
      </w:r>
      <w:r>
        <w:rPr>
          <w:rFonts w:ascii="Times New Roman" w:hAnsi="Times New Roman" w:cs="Times New Roman" w:eastAsia="Times New Roman" w:hint="default"/>
          <w:spacing w:val="-9"/>
          <w:w w:val="100"/>
        </w:rPr>
        <w:t> </w:t>
      </w:r>
      <w:r>
        <w:rPr>
          <w:w w:val="100"/>
        </w:rPr>
        <w:t>年</w:t>
      </w:r>
      <w:r>
        <w:rPr>
          <w:spacing w:val="-61"/>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1"/>
          <w:w w:val="100"/>
        </w:rPr>
        <w:t> </w:t>
      </w:r>
      <w:r>
        <w:rPr>
          <w:w w:val="100"/>
        </w:rPr>
        <w:t>月</w:t>
      </w:r>
      <w:r>
        <w:rPr>
          <w:spacing w:val="-61"/>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9"/>
          <w:w w:val="100"/>
        </w:rPr>
        <w:t> </w:t>
      </w:r>
      <w:r>
        <w:rPr>
          <w:spacing w:val="-2"/>
          <w:w w:val="100"/>
        </w:rPr>
        <w:t>日前自获利年度起计算优惠期，</w:t>
      </w:r>
      <w:r>
        <w:rPr>
          <w:w w:val="100"/>
        </w:rPr>
        <w:t> </w:t>
      </w:r>
      <w:r>
        <w:rPr>
          <w:spacing w:val="-2"/>
        </w:rPr>
        <w:t>第一年至第二年免征企业所得税，第三年至第五年按照</w:t>
      </w:r>
      <w:r>
        <w:rPr/>
        <w:t> </w:t>
      </w:r>
      <w:r>
        <w:rPr>
          <w:rFonts w:ascii="Times New Roman" w:hAnsi="Times New Roman" w:cs="Times New Roman" w:eastAsia="Times New Roman" w:hint="default"/>
          <w:spacing w:val="-2"/>
        </w:rPr>
        <w:t>25%</w:t>
      </w:r>
      <w:r>
        <w:rPr>
          <w:spacing w:val="-2"/>
        </w:rPr>
        <w:t>的法定税率减半征收企业所得税，并</w:t>
      </w:r>
      <w:r>
        <w:rPr>
          <w:spacing w:val="-85"/>
        </w:rPr>
        <w:t> </w:t>
      </w:r>
      <w:r>
        <w:rPr>
          <w:spacing w:val="-85"/>
        </w:rPr>
      </w:r>
      <w:r>
        <w:rPr/>
        <w:t>享受至期满为止。</w:t>
      </w:r>
    </w:p>
    <w:p>
      <w:pPr>
        <w:pStyle w:val="BodyText"/>
        <w:spacing w:line="297" w:lineRule="auto" w:before="30"/>
        <w:ind w:left="136" w:right="208" w:firstLine="420"/>
        <w:jc w:val="both"/>
      </w:pPr>
      <w:r>
        <w:rPr>
          <w:spacing w:val="1"/>
          <w:w w:val="100"/>
        </w:rPr>
        <w:t>（</w:t>
      </w:r>
      <w:r>
        <w:rPr>
          <w:rFonts w:ascii="Times New Roman" w:hAnsi="Times New Roman" w:cs="Times New Roman" w:eastAsia="Times New Roman" w:hint="default"/>
          <w:spacing w:val="1"/>
          <w:w w:val="100"/>
        </w:rPr>
        <w:t>8</w:t>
      </w:r>
      <w:r>
        <w:rPr>
          <w:spacing w:val="1"/>
          <w:w w:val="100"/>
        </w:rPr>
        <w:t>）财政部</w:t>
      </w:r>
      <w:r>
        <w:rPr>
          <w:spacing w:val="26"/>
          <w:w w:val="100"/>
        </w:rPr>
        <w:t> </w:t>
      </w:r>
      <w:r>
        <w:rPr>
          <w:spacing w:val="-2"/>
          <w:w w:val="100"/>
        </w:rPr>
        <w:t>税务总局《关于实施小微企业普惠性税收减免政策的通知》（财税〔</w:t>
      </w:r>
      <w:r>
        <w:rPr>
          <w:rFonts w:ascii="Times New Roman" w:hAnsi="Times New Roman" w:cs="Times New Roman" w:eastAsia="Times New Roman" w:hint="default"/>
          <w:spacing w:val="-2"/>
          <w:w w:val="100"/>
        </w:rPr>
        <w:t>2019</w:t>
      </w:r>
      <w:r>
        <w:rPr>
          <w:spacing w:val="-2"/>
          <w:w w:val="100"/>
        </w:rPr>
        <w:t>〕</w:t>
      </w:r>
      <w:r>
        <w:rPr>
          <w:rFonts w:ascii="Times New Roman" w:hAnsi="Times New Roman" w:cs="Times New Roman" w:eastAsia="Times New Roman" w:hint="default"/>
          <w:spacing w:val="-2"/>
          <w:w w:val="100"/>
        </w:rPr>
        <w:t>13</w:t>
      </w:r>
      <w:r>
        <w:rPr>
          <w:rFonts w:ascii="Times New Roman" w:hAnsi="Times New Roman" w:cs="Times New Roman" w:eastAsia="Times New Roman" w:hint="default"/>
          <w:w w:val="100"/>
        </w:rPr>
        <w:t> </w:t>
      </w:r>
      <w:r>
        <w:rPr>
          <w:spacing w:val="-5"/>
          <w:w w:val="100"/>
        </w:rPr>
        <w:t>号），公司部分子公司为小型微利企业，该等公司年应纳税所得额不超过</w:t>
      </w:r>
      <w:r>
        <w:rPr>
          <w:w w:val="100"/>
        </w:rPr>
        <w:t> </w:t>
      </w:r>
      <w:r>
        <w:rPr>
          <w:rFonts w:ascii="Times New Roman" w:hAnsi="Times New Roman" w:cs="Times New Roman" w:eastAsia="Times New Roman" w:hint="default"/>
          <w:w w:val="100"/>
        </w:rPr>
        <w:t>100</w:t>
      </w:r>
      <w:r>
        <w:rPr>
          <w:rFonts w:ascii="Times New Roman" w:hAnsi="Times New Roman" w:cs="Times New Roman" w:eastAsia="Times New Roman" w:hint="default"/>
          <w:spacing w:val="18"/>
          <w:w w:val="100"/>
        </w:rPr>
        <w:t> </w:t>
      </w:r>
      <w:r>
        <w:rPr>
          <w:spacing w:val="-1"/>
          <w:w w:val="100"/>
        </w:rPr>
        <w:t>万元的部分，减按</w:t>
      </w:r>
      <w:r>
        <w:rPr>
          <w:w w:val="100"/>
        </w:rPr>
        <w:t> </w:t>
      </w:r>
      <w:r>
        <w:rPr>
          <w:rFonts w:ascii="Times New Roman" w:hAnsi="Times New Roman" w:cs="Times New Roman" w:eastAsia="Times New Roman" w:hint="default"/>
        </w:rPr>
        <w:t>25%</w:t>
      </w:r>
      <w:r>
        <w:rPr/>
        <w:t>计入应纳税所得额，按</w:t>
      </w:r>
      <w:r>
        <w:rPr>
          <w:spacing w:val="-46"/>
        </w:rPr>
        <w:t> </w:t>
      </w:r>
      <w:r>
        <w:rPr>
          <w:rFonts w:ascii="Times New Roman" w:hAnsi="Times New Roman" w:cs="Times New Roman" w:eastAsia="Times New Roman" w:hint="default"/>
        </w:rPr>
        <w:t>20%</w:t>
      </w:r>
      <w:r>
        <w:rPr/>
        <w:t>的税率缴纳企业所得税；对年应纳税所得额超过</w:t>
      </w:r>
      <w:r>
        <w:rPr>
          <w:spacing w:val="-45"/>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t>万元但不超</w:t>
      </w:r>
      <w:r>
        <w:rPr>
          <w:w w:val="100"/>
        </w:rPr>
        <w:t> </w:t>
      </w:r>
      <w:r>
        <w:rPr/>
        <w:t>过</w:t>
      </w:r>
      <w:r>
        <w:rPr>
          <w:spacing w:val="-53"/>
        </w:rPr>
        <w:t> </w:t>
      </w:r>
      <w:r>
        <w:rPr>
          <w:rFonts w:ascii="Times New Roman" w:hAnsi="Times New Roman" w:cs="Times New Roman" w:eastAsia="Times New Roman" w:hint="default"/>
        </w:rPr>
        <w:t>300</w:t>
      </w:r>
      <w:r>
        <w:rPr>
          <w:rFonts w:ascii="Times New Roman" w:hAnsi="Times New Roman" w:cs="Times New Roman" w:eastAsia="Times New Roman" w:hint="default"/>
          <w:spacing w:val="-4"/>
        </w:rPr>
        <w:t> </w:t>
      </w:r>
      <w:r>
        <w:rPr/>
        <w:t>万元的部分，减按</w:t>
      </w:r>
      <w:r>
        <w:rPr>
          <w:spacing w:val="-56"/>
        </w:rPr>
        <w:t> </w:t>
      </w:r>
      <w:r>
        <w:rPr>
          <w:rFonts w:ascii="Times New Roman" w:hAnsi="Times New Roman" w:cs="Times New Roman" w:eastAsia="Times New Roman" w:hint="default"/>
        </w:rPr>
        <w:t>50%</w:t>
      </w:r>
      <w:r>
        <w:rPr/>
        <w:t>计入应纳税所得额，按</w:t>
      </w:r>
      <w:r>
        <w:rPr>
          <w:spacing w:val="-54"/>
        </w:rPr>
        <w:t> </w:t>
      </w:r>
      <w:r>
        <w:rPr>
          <w:rFonts w:ascii="Times New Roman" w:hAnsi="Times New Roman" w:cs="Times New Roman" w:eastAsia="Times New Roman" w:hint="default"/>
        </w:rPr>
        <w:t>20%</w:t>
      </w:r>
      <w:r>
        <w:rPr/>
        <w:t>的税率缴纳企业所得税。</w:t>
      </w:r>
    </w:p>
    <w:p>
      <w:pPr>
        <w:pStyle w:val="BodyText"/>
        <w:spacing w:line="240" w:lineRule="auto" w:before="14"/>
        <w:ind w:left="557" w:right="0"/>
        <w:jc w:val="left"/>
      </w:pPr>
      <w:r>
        <w:rPr>
          <w:w w:val="100"/>
        </w:rPr>
        <w:t>（</w:t>
      </w:r>
      <w:r>
        <w:rPr>
          <w:rFonts w:ascii="Times New Roman" w:hAnsi="Times New Roman" w:cs="Times New Roman" w:eastAsia="Times New Roman" w:hint="default"/>
          <w:spacing w:val="-1"/>
          <w:w w:val="100"/>
        </w:rPr>
        <w:t>9</w:t>
      </w:r>
      <w:r>
        <w:rPr>
          <w:w w:val="100"/>
        </w:rPr>
        <w:t>）</w:t>
      </w:r>
      <w:r>
        <w:rPr>
          <w:spacing w:val="-3"/>
          <w:w w:val="100"/>
        </w:rPr>
        <w:t>根</w:t>
      </w:r>
      <w:r>
        <w:rPr>
          <w:w w:val="100"/>
        </w:rPr>
        <w:t>据财</w:t>
      </w:r>
      <w:r>
        <w:rPr>
          <w:spacing w:val="-3"/>
          <w:w w:val="100"/>
        </w:rPr>
        <w:t>政</w:t>
      </w:r>
      <w:r>
        <w:rPr>
          <w:w w:val="100"/>
        </w:rPr>
        <w:t>部税</w:t>
      </w:r>
      <w:r>
        <w:rPr>
          <w:spacing w:val="-3"/>
          <w:w w:val="100"/>
        </w:rPr>
        <w:t>务</w:t>
      </w:r>
      <w:r>
        <w:rPr>
          <w:w w:val="100"/>
        </w:rPr>
        <w:t>总</w:t>
      </w:r>
      <w:r>
        <w:rPr>
          <w:spacing w:val="-3"/>
          <w:w w:val="100"/>
        </w:rPr>
        <w:t>局</w:t>
      </w:r>
      <w:r>
        <w:rPr>
          <w:w w:val="100"/>
        </w:rPr>
        <w:t>科技部</w:t>
      </w:r>
      <w:r>
        <w:rPr>
          <w:spacing w:val="-3"/>
          <w:w w:val="100"/>
        </w:rPr>
        <w:t>《</w:t>
      </w:r>
      <w:r>
        <w:rPr>
          <w:w w:val="100"/>
        </w:rPr>
        <w:t>关于</w:t>
      </w:r>
      <w:r>
        <w:rPr>
          <w:spacing w:val="-3"/>
          <w:w w:val="100"/>
        </w:rPr>
        <w:t>提</w:t>
      </w:r>
      <w:r>
        <w:rPr>
          <w:w w:val="100"/>
        </w:rPr>
        <w:t>高</w:t>
      </w:r>
      <w:r>
        <w:rPr>
          <w:spacing w:val="-3"/>
          <w:w w:val="100"/>
        </w:rPr>
        <w:t>研</w:t>
      </w:r>
      <w:r>
        <w:rPr>
          <w:w w:val="100"/>
        </w:rPr>
        <w:t>究</w:t>
      </w:r>
      <w:r>
        <w:rPr>
          <w:spacing w:val="-3"/>
          <w:w w:val="100"/>
        </w:rPr>
        <w:t>开</w:t>
      </w:r>
      <w:r>
        <w:rPr>
          <w:w w:val="100"/>
        </w:rPr>
        <w:t>发费用</w:t>
      </w:r>
      <w:r>
        <w:rPr>
          <w:spacing w:val="-3"/>
          <w:w w:val="100"/>
        </w:rPr>
        <w:t>税</w:t>
      </w:r>
      <w:r>
        <w:rPr>
          <w:w w:val="100"/>
        </w:rPr>
        <w:t>前</w:t>
      </w:r>
      <w:r>
        <w:rPr>
          <w:spacing w:val="-3"/>
          <w:w w:val="100"/>
        </w:rPr>
        <w:t>加</w:t>
      </w:r>
      <w:r>
        <w:rPr>
          <w:w w:val="100"/>
        </w:rPr>
        <w:t>计扣</w:t>
      </w:r>
      <w:r>
        <w:rPr>
          <w:spacing w:val="-3"/>
          <w:w w:val="100"/>
        </w:rPr>
        <w:t>除</w:t>
      </w:r>
      <w:r>
        <w:rPr>
          <w:w w:val="100"/>
        </w:rPr>
        <w:t>比</w:t>
      </w:r>
      <w:r>
        <w:rPr>
          <w:spacing w:val="-3"/>
          <w:w w:val="100"/>
        </w:rPr>
        <w:t>例</w:t>
      </w:r>
      <w:r>
        <w:rPr>
          <w:w w:val="100"/>
        </w:rPr>
        <w:t>的通知</w:t>
      </w:r>
      <w:r>
        <w:rPr>
          <w:spacing w:val="-108"/>
          <w:w w:val="100"/>
        </w:rPr>
        <w:t>》</w:t>
      </w:r>
      <w:r>
        <w:rPr>
          <w:w w:val="100"/>
        </w:rPr>
        <w:t>（财税</w:t>
      </w:r>
    </w:p>
    <w:p>
      <w:pPr>
        <w:pStyle w:val="BodyText"/>
        <w:spacing w:line="297" w:lineRule="auto" w:before="69"/>
        <w:ind w:left="136" w:right="189"/>
        <w:jc w:val="both"/>
        <w:rPr>
          <w:rFonts w:ascii="宋体" w:hAnsi="宋体" w:cs="宋体" w:eastAsia="宋体" w:hint="default"/>
        </w:rPr>
      </w:pPr>
      <w:r>
        <w:rPr>
          <w:spacing w:val="-1"/>
          <w:w w:val="100"/>
        </w:rPr>
        <w:t>〔</w:t>
      </w:r>
      <w:r>
        <w:rPr>
          <w:rFonts w:ascii="Times New Roman" w:hAnsi="Times New Roman" w:cs="Times New Roman" w:eastAsia="Times New Roman" w:hint="default"/>
          <w:spacing w:val="-1"/>
          <w:w w:val="100"/>
        </w:rPr>
        <w:t>2018</w:t>
      </w:r>
      <w:r>
        <w:rPr>
          <w:spacing w:val="-1"/>
          <w:w w:val="100"/>
        </w:rPr>
        <w:t>〕</w:t>
      </w:r>
      <w:r>
        <w:rPr>
          <w:rFonts w:ascii="Times New Roman" w:hAnsi="Times New Roman" w:cs="Times New Roman" w:eastAsia="Times New Roman" w:hint="default"/>
          <w:spacing w:val="-1"/>
          <w:w w:val="100"/>
        </w:rPr>
        <w:t>99</w:t>
      </w:r>
      <w:r>
        <w:rPr>
          <w:rFonts w:ascii="Times New Roman" w:hAnsi="Times New Roman" w:cs="Times New Roman" w:eastAsia="Times New Roman" w:hint="default"/>
          <w:w w:val="100"/>
        </w:rPr>
        <w:t> </w:t>
      </w:r>
      <w:r>
        <w:rPr>
          <w:spacing w:val="-4"/>
          <w:w w:val="100"/>
        </w:rPr>
        <w:t>号），企业开展研发活动中实际发生的研发费用，未形成无形资产计入当期损益的，</w:t>
      </w:r>
      <w:r>
        <w:rPr>
          <w:spacing w:val="-99"/>
          <w:w w:val="100"/>
        </w:rPr>
        <w:t> </w:t>
      </w:r>
      <w:r>
        <w:rPr>
          <w:spacing w:val="-99"/>
          <w:w w:val="100"/>
        </w:rPr>
      </w:r>
      <w:r>
        <w:rPr/>
        <w:t>在按规定据实扣除的基础上，在</w:t>
      </w:r>
      <w:r>
        <w:rPr>
          <w:spacing w:val="-52"/>
        </w:rPr>
        <w:t> </w:t>
      </w:r>
      <w:r>
        <w:rPr>
          <w:rFonts w:ascii="Times New Roman" w:hAnsi="Times New Roman" w:cs="Times New Roman" w:eastAsia="Times New Roman" w:hint="default"/>
        </w:rPr>
        <w:t>2018 </w:t>
      </w:r>
      <w:r>
        <w:rPr/>
        <w:t>年</w:t>
      </w:r>
      <w:r>
        <w:rPr>
          <w:spacing w:val="-53"/>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1 </w:t>
      </w:r>
      <w:r>
        <w:rPr/>
        <w:t>日至</w:t>
      </w:r>
      <w:r>
        <w:rPr>
          <w:spacing w:val="-53"/>
        </w:rPr>
        <w:t> </w:t>
      </w:r>
      <w:r>
        <w:rPr>
          <w:rFonts w:ascii="Times New Roman" w:hAnsi="Times New Roman" w:cs="Times New Roman" w:eastAsia="Times New Roman" w:hint="default"/>
        </w:rPr>
        <w:t>2020 </w:t>
      </w:r>
      <w:r>
        <w:rPr/>
        <w:t>年</w:t>
      </w:r>
      <w:r>
        <w:rPr>
          <w:spacing w:val="-53"/>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日期间，再按照实际发生额</w:t>
      </w:r>
      <w:r>
        <w:rPr>
          <w:w w:val="100"/>
        </w:rPr>
        <w:t> </w:t>
      </w:r>
      <w:r>
        <w:rPr/>
        <w:t>的</w:t>
      </w:r>
      <w:r>
        <w:rPr>
          <w:spacing w:val="-57"/>
        </w:rPr>
        <w:t> </w:t>
      </w:r>
      <w:r>
        <w:rPr>
          <w:rFonts w:ascii="Times New Roman" w:hAnsi="Times New Roman" w:cs="Times New Roman" w:eastAsia="Times New Roman" w:hint="default"/>
        </w:rPr>
        <w:t>75%</w:t>
      </w:r>
      <w:r>
        <w:rPr/>
        <w:t>在税前加计扣除；形成无形资产的，在上述期间按照无形资产成本的</w:t>
      </w:r>
      <w:r>
        <w:rPr>
          <w:spacing w:val="-60"/>
        </w:rPr>
        <w:t> </w:t>
      </w:r>
      <w:r>
        <w:rPr>
          <w:rFonts w:ascii="Times New Roman" w:hAnsi="Times New Roman" w:cs="Times New Roman" w:eastAsia="Times New Roman" w:hint="default"/>
        </w:rPr>
        <w:t>175%</w:t>
      </w:r>
      <w:r>
        <w:rPr/>
        <w:t>在税前摊销。</w:t>
      </w:r>
      <w:r>
        <w:rPr>
          <w:rFonts w:ascii="宋体" w:hAnsi="宋体" w:cs="宋体" w:eastAsia="宋体" w:hint="default"/>
          <w:b/>
          <w:bCs/>
          <w:w w:val="99"/>
        </w:rPr>
        <w:t> </w:t>
      </w:r>
      <w:r>
        <w:rPr>
          <w:rFonts w:ascii="宋体" w:hAnsi="宋体" w:cs="宋体" w:eastAsia="宋体" w:hint="default"/>
        </w:rPr>
      </w:r>
    </w:p>
    <w:p>
      <w:pPr>
        <w:pStyle w:val="Heading3"/>
        <w:spacing w:line="245" w:lineRule="exact"/>
        <w:ind w:left="136" w:right="0"/>
        <w:jc w:val="both"/>
      </w:pPr>
      <w:r>
        <w:rPr/>
        <w:t> </w:t>
      </w:r>
    </w:p>
    <w:p>
      <w:pPr>
        <w:pStyle w:val="Heading4"/>
        <w:spacing w:line="240" w:lineRule="auto"/>
        <w:ind w:left="136" w:right="0"/>
        <w:jc w:val="both"/>
        <w:rPr>
          <w:rFonts w:ascii="宋体" w:hAnsi="宋体" w:cs="宋体" w:eastAsia="宋体" w:hint="default"/>
          <w:b w:val="0"/>
          <w:bCs w:val="0"/>
        </w:rPr>
      </w:pPr>
      <w:r>
        <w:rPr>
          <w:rFonts w:ascii="宋体" w:hAnsi="宋体" w:cs="宋体" w:eastAsia="宋体" w:hint="default"/>
        </w:rPr>
        <w:t>3. </w:t>
      </w:r>
      <w:r>
        <w:rPr>
          <w:rFonts w:ascii="宋体" w:hAnsi="宋体" w:cs="宋体" w:eastAsia="宋体" w:hint="default"/>
          <w:spacing w:val="1"/>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6" w:right="0"/>
        <w:jc w:val="both"/>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4" w:lineRule="exact"/>
        <w:ind w:left="136" w:right="0"/>
        <w:jc w:val="both"/>
        <w:rPr>
          <w:rFonts w:ascii="宋体" w:hAnsi="宋体" w:cs="宋体" w:eastAsia="宋体" w:hint="default"/>
        </w:rPr>
      </w:pPr>
      <w:r>
        <w:rPr>
          <w:rFonts w:ascii="宋体"/>
          <w:w w:val="100"/>
        </w:rPr>
        <w:t> </w:t>
      </w:r>
    </w:p>
    <w:p>
      <w:pPr>
        <w:spacing w:after="0" w:line="274" w:lineRule="exact"/>
        <w:jc w:val="both"/>
        <w:rPr>
          <w:rFonts w:ascii="宋体" w:hAnsi="宋体" w:cs="宋体" w:eastAsia="宋体" w:hint="default"/>
        </w:rPr>
        <w:sectPr>
          <w:pgSz w:w="11910" w:h="16840"/>
          <w:pgMar w:header="857" w:footer="979" w:top="1120" w:bottom="1160" w:left="1140" w:right="1580"/>
        </w:sect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20" w:bottom="1160" w:left="1040" w:right="1560"/>
        </w:sectPr>
      </w:pPr>
    </w:p>
    <w:p>
      <w:pPr>
        <w:pStyle w:val="Heading4"/>
        <w:spacing w:line="240" w:lineRule="auto" w:before="36"/>
        <w:ind w:left="236" w:right="-17"/>
        <w:jc w:val="left"/>
        <w:rPr>
          <w:b w:val="0"/>
          <w:bCs w:val="0"/>
        </w:rPr>
      </w:pPr>
      <w:r>
        <w:rPr/>
        <w:t>七、</w:t>
      </w:r>
      <w:r>
        <w:rPr>
          <w:spacing w:val="-93"/>
        </w:rPr>
        <w:t> </w:t>
      </w:r>
      <w:r>
        <w:rPr>
          <w:rFonts w:ascii="宋体" w:hAnsi="宋体" w:cs="宋体" w:eastAsia="宋体" w:hint="default"/>
          <w:spacing w:val="-93"/>
        </w:rPr>
      </w:r>
      <w:r>
        <w:rPr>
          <w:spacing w:val="-1"/>
        </w:rPr>
        <w:t>合并财务报表项目注释</w:t>
      </w:r>
      <w:r>
        <w:rPr>
          <w:b w:val="0"/>
          <w:bCs w:val="0"/>
          <w:spacing w:val="-1"/>
        </w:rPr>
      </w:r>
    </w:p>
    <w:p>
      <w:pPr>
        <w:pStyle w:val="Heading4"/>
        <w:spacing w:line="240" w:lineRule="auto" w:before="56"/>
        <w:ind w:left="378" w:right="-17"/>
        <w:jc w:val="left"/>
        <w:rPr>
          <w:b w:val="0"/>
          <w:bCs w:val="0"/>
        </w:rPr>
      </w:pPr>
      <w:r>
        <w:rPr>
          <w:rFonts w:ascii="Times New Roman" w:hAnsi="Times New Roman" w:cs="Times New Roman" w:eastAsia="Times New Roman" w:hint="default"/>
        </w:rPr>
        <w:t>1</w:t>
      </w:r>
      <w:r>
        <w:rPr/>
        <w:t>、</w:t>
      </w:r>
      <w:r>
        <w:rPr>
          <w:spacing w:val="-1"/>
        </w:rPr>
        <w:t> </w:t>
      </w:r>
      <w:r>
        <w:rPr/>
        <w:t>货币资金</w:t>
      </w:r>
      <w:r>
        <w:rPr>
          <w:b w:val="0"/>
          <w:bCs w:val="0"/>
        </w:rPr>
      </w:r>
    </w:p>
    <w:p>
      <w:pPr>
        <w:pStyle w:val="BodyText"/>
        <w:spacing w:line="240" w:lineRule="auto" w:before="43"/>
        <w:ind w:left="236" w:right="-1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pStyle w:val="Heading3"/>
        <w:spacing w:line="240" w:lineRule="auto"/>
        <w:ind w:right="0"/>
        <w:jc w:val="left"/>
      </w:pPr>
      <w:r>
        <w:rPr>
          <w:rFonts w:ascii="宋体" w:hAnsi="宋体" w:cs="宋体" w:eastAsia="宋体" w:hint="default"/>
        </w:rPr>
        <w:t>单位：元  </w:t>
      </w:r>
      <w:r>
        <w:rPr/>
      </w:r>
      <w:r>
        <w:rPr>
          <w:rFonts w:ascii="宋体" w:hAnsi="宋体" w:cs="宋体" w:eastAsia="宋体" w:hint="default"/>
        </w:rPr>
        <w:t>币种：人民币</w:t>
      </w:r>
      <w:r>
        <w:rPr/>
        <w:t> </w:t>
      </w:r>
    </w:p>
    <w:p>
      <w:pPr>
        <w:spacing w:after="0" w:line="240" w:lineRule="auto"/>
        <w:jc w:val="left"/>
        <w:sectPr>
          <w:type w:val="continuous"/>
          <w:pgSz w:w="11910" w:h="16840"/>
          <w:pgMar w:top="1500" w:bottom="280" w:left="1040" w:right="1560"/>
          <w:cols w:num="2" w:equalWidth="0">
            <w:col w:w="2772" w:space="3421"/>
            <w:col w:w="311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8,035.61</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24,675.74</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685,572,737.16</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523,646,838.46</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51,091,738.92</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76,184,693.60</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未到期应收利息</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183,156.53</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736,672,511.69</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600,039,364.33</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6" w:right="0"/>
              <w:jc w:val="center"/>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款项总额</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7" w:lineRule="exact"/>
        <w:ind w:left="236" w:right="0"/>
        <w:jc w:val="left"/>
        <w:rPr>
          <w:rFonts w:ascii="宋体" w:hAnsi="宋体" w:cs="宋体" w:eastAsia="宋体" w:hint="default"/>
        </w:rPr>
      </w:pPr>
      <w:r>
        <w:rPr>
          <w:rFonts w:ascii="宋体"/>
          <w:w w:val="100"/>
        </w:rPr>
        <w:t> </w:t>
      </w:r>
    </w:p>
    <w:p>
      <w:pPr>
        <w:pStyle w:val="Heading3"/>
        <w:spacing w:line="311" w:lineRule="exact"/>
        <w:ind w:right="0"/>
        <w:jc w:val="left"/>
      </w:pPr>
      <w:r>
        <w:rPr>
          <w:rFonts w:ascii="宋体" w:hAnsi="宋体" w:cs="宋体" w:eastAsia="宋体" w:hint="default"/>
        </w:rPr>
        <w:t>其他说明</w:t>
      </w:r>
      <w:r>
        <w:rPr/>
        <w:t> </w:t>
      </w:r>
    </w:p>
    <w:p>
      <w:pPr>
        <w:pStyle w:val="BodyText"/>
        <w:spacing w:line="240" w:lineRule="auto" w:before="78"/>
        <w:ind w:left="717" w:right="0"/>
        <w:jc w:val="left"/>
      </w:pPr>
      <w:r>
        <w:rPr/>
        <w:t>其中受限制的货币资金明细如下：</w:t>
      </w:r>
    </w:p>
    <w:p>
      <w:pPr>
        <w:spacing w:line="240" w:lineRule="auto" w:before="3"/>
        <w:rPr>
          <w:rFonts w:ascii="宋体" w:hAnsi="宋体" w:cs="宋体" w:eastAsia="宋体" w:hint="default"/>
          <w:sz w:val="3"/>
          <w:szCs w:val="3"/>
        </w:rPr>
      </w:pPr>
    </w:p>
    <w:tbl>
      <w:tblPr>
        <w:tblW w:w="0" w:type="auto"/>
        <w:jc w:val="left"/>
        <w:tblInd w:w="186" w:type="dxa"/>
        <w:tblLayout w:type="fixed"/>
        <w:tblCellMar>
          <w:top w:w="0" w:type="dxa"/>
          <w:left w:w="0" w:type="dxa"/>
          <w:bottom w:w="0" w:type="dxa"/>
          <w:right w:w="0" w:type="dxa"/>
        </w:tblCellMar>
        <w:tblLook w:val="01E0"/>
      </w:tblPr>
      <w:tblGrid>
        <w:gridCol w:w="2895"/>
        <w:gridCol w:w="3044"/>
        <w:gridCol w:w="2986"/>
      </w:tblGrid>
      <w:tr>
        <w:trPr>
          <w:trHeight w:val="350"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0"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0"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Times New Roman" w:hAnsi="Times New Roman" w:cs="Times New Roman" w:eastAsia="Times New Roman" w:hint="default"/>
                <w:sz w:val="21"/>
                <w:szCs w:val="21"/>
              </w:rPr>
            </w:pPr>
            <w:r>
              <w:rPr>
                <w:rFonts w:ascii="Times New Roman"/>
                <w:spacing w:val="-1"/>
                <w:sz w:val="21"/>
              </w:rPr>
              <w:t>27,712,114.53</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6"/>
              <w:jc w:val="right"/>
              <w:rPr>
                <w:rFonts w:ascii="Times New Roman" w:hAnsi="Times New Roman" w:cs="Times New Roman" w:eastAsia="Times New Roman" w:hint="default"/>
                <w:sz w:val="21"/>
                <w:szCs w:val="21"/>
              </w:rPr>
            </w:pPr>
            <w:r>
              <w:rPr>
                <w:rFonts w:ascii="Times New Roman"/>
                <w:spacing w:val="-1"/>
                <w:sz w:val="21"/>
              </w:rPr>
              <w:t>43,255,247.66</w:t>
            </w:r>
          </w:p>
        </w:tc>
      </w:tr>
      <w:tr>
        <w:trPr>
          <w:trHeight w:val="350"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0"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Times New Roman" w:hAnsi="Times New Roman" w:cs="Times New Roman" w:eastAsia="Times New Roman" w:hint="default"/>
                <w:sz w:val="21"/>
                <w:szCs w:val="21"/>
              </w:rPr>
            </w:pPr>
            <w:r>
              <w:rPr>
                <w:rFonts w:ascii="Times New Roman"/>
                <w:spacing w:val="-1"/>
                <w:sz w:val="21"/>
              </w:rPr>
              <w:t>23,028,990.90</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6"/>
              <w:jc w:val="right"/>
              <w:rPr>
                <w:rFonts w:ascii="Times New Roman" w:hAnsi="Times New Roman" w:cs="Times New Roman" w:eastAsia="Times New Roman" w:hint="default"/>
                <w:sz w:val="21"/>
                <w:szCs w:val="21"/>
              </w:rPr>
            </w:pPr>
            <w:r>
              <w:rPr>
                <w:rFonts w:ascii="Times New Roman"/>
                <w:spacing w:val="-1"/>
                <w:sz w:val="21"/>
              </w:rPr>
              <w:t>32,134,608.55</w:t>
            </w:r>
          </w:p>
        </w:tc>
      </w:tr>
      <w:tr>
        <w:trPr>
          <w:trHeight w:val="350" w:hRule="exact"/>
        </w:trPr>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Times New Roman" w:hAnsi="Times New Roman" w:cs="Times New Roman" w:eastAsia="Times New Roman" w:hint="default"/>
                <w:sz w:val="21"/>
                <w:szCs w:val="21"/>
              </w:rPr>
            </w:pPr>
            <w:r>
              <w:rPr>
                <w:rFonts w:ascii="Times New Roman"/>
                <w:spacing w:val="-1"/>
                <w:sz w:val="21"/>
              </w:rPr>
              <w:t>50,741,105.43</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6"/>
              <w:jc w:val="right"/>
              <w:rPr>
                <w:rFonts w:ascii="Times New Roman" w:hAnsi="Times New Roman" w:cs="Times New Roman" w:eastAsia="Times New Roman" w:hint="default"/>
                <w:sz w:val="21"/>
                <w:szCs w:val="21"/>
              </w:rPr>
            </w:pPr>
            <w:r>
              <w:rPr>
                <w:rFonts w:ascii="Times New Roman"/>
                <w:spacing w:val="-1"/>
                <w:sz w:val="21"/>
              </w:rPr>
              <w:t>75,389,856.21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4"/>
        <w:ind w:left="378" w:right="0"/>
        <w:jc w:val="left"/>
        <w:rPr>
          <w:b w:val="0"/>
          <w:bCs w:val="0"/>
        </w:rPr>
      </w:pPr>
      <w:r>
        <w:rPr>
          <w:rFonts w:ascii="Times New Roman" w:hAnsi="Times New Roman" w:cs="Times New Roman" w:eastAsia="Times New Roman" w:hint="default"/>
        </w:rPr>
        <w:t>2</w:t>
      </w:r>
      <w:r>
        <w:rPr/>
        <w:t>、 交易性金融资产</w:t>
      </w:r>
      <w:r>
        <w:rPr>
          <w:b w:val="0"/>
          <w:bCs w:val="0"/>
        </w:rPr>
      </w:r>
    </w:p>
    <w:p>
      <w:pPr>
        <w:pStyle w:val="BodyText"/>
        <w:spacing w:line="271" w:lineRule="exact" w:before="40"/>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1" w:lineRule="exact"/>
        <w:ind w:right="0"/>
        <w:jc w:val="left"/>
      </w:pPr>
      <w:r>
        <w:rPr/>
        <w:t> </w:t>
      </w:r>
    </w:p>
    <w:p>
      <w:pPr>
        <w:pStyle w:val="Heading4"/>
        <w:spacing w:line="240" w:lineRule="auto" w:before="61"/>
        <w:ind w:left="359" w:right="7218"/>
        <w:jc w:val="center"/>
        <w:rPr>
          <w:b w:val="0"/>
          <w:bCs w:val="0"/>
        </w:rPr>
      </w:pPr>
      <w:r>
        <w:rPr>
          <w:rFonts w:ascii="Times New Roman" w:hAnsi="Times New Roman" w:cs="Times New Roman" w:eastAsia="Times New Roman" w:hint="default"/>
        </w:rPr>
        <w:t>3</w:t>
      </w:r>
      <w:r>
        <w:rPr/>
        <w:t>、 衍生金融资产</w:t>
      </w:r>
      <w:r>
        <w:rPr>
          <w:b w:val="0"/>
          <w:bCs w:val="0"/>
        </w:rPr>
      </w:r>
    </w:p>
    <w:p>
      <w:pPr>
        <w:pStyle w:val="BodyText"/>
        <w:spacing w:line="270" w:lineRule="exact" w:before="43"/>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right="0"/>
        <w:jc w:val="left"/>
      </w:pPr>
      <w:r>
        <w:rPr/>
        <w:t> </w:t>
      </w:r>
    </w:p>
    <w:p>
      <w:pPr>
        <w:pStyle w:val="Heading4"/>
        <w:spacing w:line="240" w:lineRule="auto"/>
        <w:ind w:left="378" w:right="0"/>
        <w:jc w:val="left"/>
        <w:rPr>
          <w:rFonts w:ascii="宋体" w:hAnsi="宋体" w:cs="宋体" w:eastAsia="宋体" w:hint="default"/>
          <w:b w:val="0"/>
          <w:bCs w:val="0"/>
        </w:rPr>
      </w:pPr>
      <w:r>
        <w:rPr>
          <w:rFonts w:ascii="Times New Roman" w:hAnsi="Times New Roman" w:cs="Times New Roman" w:eastAsia="Times New Roman" w:hint="default"/>
        </w:rPr>
        <w:t>4</w:t>
      </w:r>
      <w:r>
        <w:rPr/>
        <w:t>、</w:t>
      </w:r>
      <w:r>
        <w:rPr>
          <w:spacing w:val="-4"/>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40"/>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56"/>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sz w:val="24"/>
          <w:szCs w:val="24"/>
        </w:rPr>
        <w:t> </w:t>
      </w:r>
      <w:r>
        <w:rPr>
          <w:rFonts w:ascii="宋体" w:hAnsi="宋体" w:cs="宋体" w:eastAsia="宋体" w:hint="default"/>
          <w:sz w:val="24"/>
          <w:szCs w:val="24"/>
        </w:rPr>
        <w:t> </w:t>
      </w:r>
    </w:p>
    <w:p>
      <w:pPr>
        <w:pStyle w:val="Heading3"/>
        <w:spacing w:line="310" w:lineRule="exact"/>
        <w:ind w:right="0"/>
        <w:jc w:val="left"/>
      </w:pPr>
      <w:r>
        <w:rPr/>
        <w:t> </w:t>
      </w:r>
    </w:p>
    <w:p>
      <w:pPr>
        <w:pStyle w:val="Heading4"/>
        <w:spacing w:line="240" w:lineRule="auto" w:before="62"/>
        <w:ind w:left="23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before="0"/>
        <w:ind w:left="23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sz w:val="24"/>
          <w:szCs w:val="24"/>
        </w:rPr>
        <w:t> </w:t>
      </w:r>
      <w:r>
        <w:rPr>
          <w:rFonts w:ascii="宋体" w:hAnsi="宋体" w:cs="宋体" w:eastAsia="宋体" w:hint="default"/>
          <w:sz w:val="24"/>
          <w:szCs w:val="24"/>
        </w:rPr>
        <w:t> </w:t>
      </w:r>
    </w:p>
    <w:p>
      <w:pPr>
        <w:spacing w:line="240" w:lineRule="auto" w:before="11"/>
        <w:rPr>
          <w:rFonts w:ascii="宋体" w:hAnsi="宋体" w:cs="宋体" w:eastAsia="宋体" w:hint="default"/>
          <w:sz w:val="26"/>
          <w:szCs w:val="26"/>
        </w:rPr>
      </w:pPr>
    </w:p>
    <w:p>
      <w:pPr>
        <w:pStyle w:val="Heading4"/>
        <w:spacing w:line="240" w:lineRule="auto" w:before="0"/>
        <w:ind w:left="23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236"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spacing w:after="0" w:line="272" w:lineRule="exact"/>
        <w:jc w:val="left"/>
        <w:rPr>
          <w:rFonts w:ascii="宋体" w:hAnsi="宋体" w:cs="宋体" w:eastAsia="宋体" w:hint="default"/>
        </w:rPr>
        <w:sectPr>
          <w:type w:val="continuous"/>
          <w:pgSz w:w="11910" w:h="16840"/>
          <w:pgMar w:top="1500" w:bottom="280" w:left="1040" w:right="1560"/>
        </w:sectPr>
      </w:pPr>
    </w:p>
    <w:p>
      <w:pPr>
        <w:spacing w:line="240" w:lineRule="auto" w:before="8"/>
        <w:rPr>
          <w:rFonts w:ascii="宋体" w:hAnsi="宋体" w:cs="宋体" w:eastAsia="宋体" w:hint="default"/>
          <w:sz w:val="16"/>
          <w:szCs w:val="16"/>
        </w:rPr>
      </w:pPr>
    </w:p>
    <w:p>
      <w:pPr>
        <w:pStyle w:val="BodyText"/>
        <w:spacing w:line="270" w:lineRule="exact" w:before="61"/>
        <w:ind w:left="136" w:right="1452"/>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136" w:right="0"/>
        <w:jc w:val="left"/>
      </w:pPr>
      <w:r>
        <w:rPr/>
        <w:t> </w:t>
      </w:r>
    </w:p>
    <w:p>
      <w:pPr>
        <w:pStyle w:val="BodyText"/>
        <w:spacing w:line="274" w:lineRule="exact" w:before="4"/>
        <w:ind w:left="136" w:right="1452"/>
        <w:jc w:val="left"/>
      </w:pPr>
      <w:r>
        <w:rPr/>
        <w:t>按组合计提坏账准备：</w:t>
      </w:r>
    </w:p>
    <w:p>
      <w:pPr>
        <w:pStyle w:val="BodyText"/>
        <w:spacing w:line="274" w:lineRule="exact"/>
        <w:ind w:left="136" w:right="14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273" w:lineRule="exact"/>
        <w:ind w:left="136" w:right="1452"/>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273" w:lineRule="exact"/>
        <w:ind w:left="136" w:right="1452"/>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11"/>
        <w:rPr>
          <w:rFonts w:ascii="宋体" w:hAnsi="宋体" w:cs="宋体" w:eastAsia="宋体" w:hint="default"/>
          <w:sz w:val="26"/>
          <w:szCs w:val="26"/>
        </w:rPr>
      </w:pPr>
    </w:p>
    <w:p>
      <w:pPr>
        <w:pStyle w:val="Heading4"/>
        <w:spacing w:line="240" w:lineRule="auto" w:before="0"/>
        <w:ind w:left="136" w:right="1452"/>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6" w:right="14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11"/>
        <w:rPr>
          <w:rFonts w:ascii="宋体" w:hAnsi="宋体" w:cs="宋体" w:eastAsia="宋体" w:hint="default"/>
          <w:sz w:val="26"/>
          <w:szCs w:val="26"/>
        </w:rPr>
      </w:pPr>
    </w:p>
    <w:p>
      <w:pPr>
        <w:pStyle w:val="Heading4"/>
        <w:spacing w:line="240" w:lineRule="auto" w:before="0"/>
        <w:ind w:left="136" w:right="1452"/>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6" w:right="14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4"/>
        <w:rPr>
          <w:rFonts w:ascii="宋体" w:hAnsi="宋体" w:cs="宋体" w:eastAsia="宋体" w:hint="default"/>
          <w:sz w:val="22"/>
          <w:szCs w:val="22"/>
        </w:rPr>
      </w:pPr>
    </w:p>
    <w:p>
      <w:pPr>
        <w:pStyle w:val="BodyText"/>
        <w:spacing w:line="273" w:lineRule="exact"/>
        <w:ind w:left="136" w:right="1452"/>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left="136" w:right="1452"/>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136" w:right="0"/>
        <w:jc w:val="left"/>
      </w:pPr>
      <w:r>
        <w:rPr/>
        <w:t> </w:t>
      </w:r>
    </w:p>
    <w:p>
      <w:pPr>
        <w:spacing w:after="0" w:line="310" w:lineRule="exact"/>
        <w:jc w:val="left"/>
        <w:sectPr>
          <w:pgSz w:w="11910" w:h="16840"/>
          <w:pgMar w:header="857" w:footer="979" w:top="1120" w:bottom="1160" w:left="1140" w:right="1560"/>
        </w:sectPr>
      </w:pPr>
    </w:p>
    <w:p>
      <w:pPr>
        <w:pStyle w:val="Heading4"/>
        <w:spacing w:line="240" w:lineRule="auto"/>
        <w:ind w:left="313" w:right="322"/>
        <w:jc w:val="center"/>
        <w:rPr>
          <w:rFonts w:ascii="宋体" w:hAnsi="宋体" w:cs="宋体" w:eastAsia="宋体" w:hint="default"/>
          <w:b w:val="0"/>
          <w:bCs w:val="0"/>
        </w:rPr>
      </w:pPr>
      <w:r>
        <w:rPr>
          <w:rFonts w:ascii="Times New Roman" w:hAnsi="Times New Roman" w:cs="Times New Roman" w:eastAsia="Times New Roman"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40"/>
        <w:ind w:left="136"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2"/>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1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pStyle w:val="BodyText"/>
        <w:spacing w:line="240" w:lineRule="auto"/>
        <w:ind w:left="1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140" w:right="1560"/>
          <w:cols w:num="2" w:equalWidth="0">
            <w:col w:w="1938" w:space="4584"/>
            <w:col w:w="268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71"/>
        <w:gridCol w:w="4525"/>
      </w:tblGrid>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66"/>
              <w:jc w:val="right"/>
              <w:rPr>
                <w:rFonts w:ascii="宋体" w:hAnsi="宋体" w:cs="宋体" w:eastAsia="宋体" w:hint="default"/>
                <w:sz w:val="21"/>
                <w:szCs w:val="21"/>
              </w:rPr>
            </w:pPr>
            <w:r>
              <w:rPr>
                <w:rFonts w:ascii="宋体" w:hAnsi="宋体" w:cs="宋体" w:eastAsia="宋体" w:hint="default"/>
                <w:sz w:val="21"/>
                <w:szCs w:val="21"/>
              </w:rPr>
              <w:t>账龄</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年以内分项</w:t>
            </w:r>
          </w:p>
        </w:tc>
      </w:tr>
      <w:tr>
        <w:trPr>
          <w:trHeight w:val="28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2"/>
              <w:jc w:val="right"/>
              <w:rPr>
                <w:rFonts w:ascii="Times New Roman" w:hAnsi="Times New Roman" w:cs="Times New Roman" w:eastAsia="Times New Roman" w:hint="default"/>
                <w:sz w:val="21"/>
                <w:szCs w:val="21"/>
              </w:rPr>
            </w:pPr>
            <w:r>
              <w:rPr>
                <w:rFonts w:ascii="Times New Roman"/>
                <w:spacing w:val="-1"/>
                <w:sz w:val="21"/>
              </w:rPr>
              <w:t>414,083,837.00</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414,083,837.00</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56,712,357.64</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43,698,956.38</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9,028,589.71</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15,901,034.7</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17,055,409.75</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-71,682,829.60</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66"/>
              <w:jc w:val="right"/>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484,797,355.58</w:t>
            </w:r>
          </w:p>
        </w:tc>
      </w:tr>
    </w:tbl>
    <w:p>
      <w:pPr>
        <w:pStyle w:val="BodyText"/>
        <w:spacing w:line="241" w:lineRule="exact"/>
        <w:ind w:left="1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500" w:bottom="280" w:left="1140" w:right="1560"/>
        </w:sectPr>
      </w:pPr>
    </w:p>
    <w:p>
      <w:pPr>
        <w:spacing w:before="45"/>
        <w:ind w:left="3836" w:right="0" w:firstLine="0"/>
        <w:jc w:val="left"/>
        <w:rPr>
          <w:rFonts w:ascii="宋体" w:hAnsi="宋体" w:cs="宋体" w:eastAsia="宋体" w:hint="default"/>
          <w:sz w:val="18"/>
          <w:szCs w:val="18"/>
        </w:rPr>
      </w:pPr>
      <w:r>
        <w:rPr/>
        <w:pict>
          <v:shape style="position:absolute;margin-left:205.449997pt;margin-top:3.521709pt;width:51.594pt;height:9.2pt;mso-position-horizontal-relative:page;mso-position-vertical-relative:paragraph;z-index:-1170064" type="#_x0000_t75" stroked="false">
            <v:imagedata r:id="rId18" o:title=""/>
          </v:shape>
        </w:pict>
      </w: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47"/>
          <w:footerReference w:type="default" r:id="rId48"/>
          <w:pgSz w:w="16840" w:h="11910" w:orient="landscape"/>
          <w:pgMar w:header="0" w:footer="0" w:top="780" w:bottom="280" w:left="1300" w:right="1380"/>
        </w:sectPr>
      </w:pPr>
    </w:p>
    <w:p>
      <w:pPr>
        <w:pStyle w:val="BodyText"/>
        <w:spacing w:line="240" w:lineRule="auto" w:before="36"/>
        <w:ind w:left="140" w:right="0"/>
        <w:jc w:val="left"/>
        <w:rPr>
          <w:rFonts w:ascii="宋体" w:hAnsi="宋体" w:cs="宋体" w:eastAsia="宋体" w:hint="default"/>
        </w:rPr>
      </w:pPr>
      <w:r>
        <w:rPr>
          <w:rFonts w:ascii="宋体"/>
          <w:w w:val="100"/>
        </w:rPr>
        <w:t> </w:t>
      </w:r>
    </w:p>
    <w:p>
      <w:pPr>
        <w:pStyle w:val="Heading4"/>
        <w:spacing w:line="240" w:lineRule="auto" w:before="56"/>
        <w:ind w:left="140"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1"/>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1"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500" w:bottom="280" w:left="1300" w:right="1380"/>
          <w:cols w:num="2" w:equalWidth="0">
            <w:col w:w="2992" w:space="8467"/>
            <w:col w:w="270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88"/>
        <w:gridCol w:w="1711"/>
        <w:gridCol w:w="641"/>
        <w:gridCol w:w="1598"/>
        <w:gridCol w:w="641"/>
        <w:gridCol w:w="1503"/>
        <w:gridCol w:w="1536"/>
        <w:gridCol w:w="638"/>
        <w:gridCol w:w="1541"/>
        <w:gridCol w:w="641"/>
        <w:gridCol w:w="1498"/>
      </w:tblGrid>
      <w:tr>
        <w:trPr>
          <w:trHeight w:val="281" w:hRule="exact"/>
        </w:trPr>
        <w:tc>
          <w:tcPr>
            <w:tcW w:w="19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0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8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988" w:type="dxa"/>
            <w:vMerge/>
            <w:tcBorders>
              <w:left w:val="single" w:sz="4" w:space="0" w:color="000000"/>
              <w:right w:val="single" w:sz="4" w:space="0" w:color="000000"/>
            </w:tcBorders>
          </w:tcPr>
          <w:p>
            <w:pP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0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5" w:right="43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1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5" w:right="42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829" w:hRule="exact"/>
        </w:trPr>
        <w:tc>
          <w:tcPr>
            <w:tcW w:w="1988" w:type="dxa"/>
            <w:vMerge/>
            <w:tcBorders>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40"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58" w:right="50" w:hanging="54"/>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58" w:right="5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503" w:type="dxa"/>
            <w:vMerge/>
            <w:tcBorders>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52"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58" w:right="4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58" w:right="5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498" w:type="dxa"/>
            <w:vMerge/>
            <w:tcBorders>
              <w:left w:val="single" w:sz="4" w:space="0" w:color="000000"/>
              <w:bottom w:val="single" w:sz="4" w:space="0" w:color="000000"/>
              <w:right w:val="single" w:sz="4" w:space="0" w:color="000000"/>
            </w:tcBorders>
          </w:tcPr>
          <w:p>
            <w:pPr/>
          </w:p>
        </w:tc>
      </w:tr>
      <w:tr>
        <w:trPr>
          <w:trHeight w:val="28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6,974,800.00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6,974,800.00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100.00</w:t>
            </w:r>
          </w:p>
        </w:tc>
        <w:tc>
          <w:tcPr>
            <w:tcW w:w="1503"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6,974,800.00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2.26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6,974,800.00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100.00</w:t>
            </w: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单项计提坏账准备</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6,974,800.00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6,974,800.00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100.00</w:t>
            </w:r>
          </w:p>
        </w:tc>
        <w:tc>
          <w:tcPr>
            <w:tcW w:w="1503"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6,974,800.00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2.26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6,974,800.00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100.00</w:t>
            </w: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549,505,385.18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98.75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64,708,029.60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11.78</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484,797,355.58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302,102,738.14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97.74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58,420,981.54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8" w:right="0"/>
              <w:jc w:val="center"/>
              <w:rPr>
                <w:rFonts w:ascii="Times New Roman" w:hAnsi="Times New Roman" w:cs="Times New Roman" w:eastAsia="Times New Roman" w:hint="default"/>
                <w:sz w:val="21"/>
                <w:szCs w:val="21"/>
              </w:rPr>
            </w:pPr>
            <w:r>
              <w:rPr>
                <w:rFonts w:ascii="Times New Roman"/>
                <w:sz w:val="21"/>
              </w:rPr>
              <w:t>19.34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243,681,756.60</w:t>
            </w:r>
          </w:p>
        </w:tc>
      </w:tr>
      <w:tr>
        <w:trPr>
          <w:trHeight w:val="283"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政府事业单位组合</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309,232,173.23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55.57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27,060,244.12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12.17</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271,584,387.75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196,954,205.54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63.72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40,536,942.25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center"/>
              <w:rPr>
                <w:rFonts w:ascii="Times New Roman" w:hAnsi="Times New Roman" w:cs="Times New Roman" w:eastAsia="Times New Roman" w:hint="default"/>
                <w:sz w:val="21"/>
                <w:szCs w:val="21"/>
              </w:rPr>
            </w:pPr>
            <w:r>
              <w:rPr>
                <w:rFonts w:ascii="Times New Roman"/>
                <w:sz w:val="21"/>
              </w:rPr>
              <w:t>20.58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156,417,263.29</w:t>
            </w:r>
          </w:p>
        </w:tc>
      </w:tr>
      <w:tr>
        <w:trPr>
          <w:trHeight w:val="28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企业单位组合</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240,273,211.95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43.18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27,060,244.12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11.27</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213,212,967.83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105,148,532.60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34.02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17,884,039.29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8" w:right="0"/>
              <w:jc w:val="center"/>
              <w:rPr>
                <w:rFonts w:ascii="Times New Roman" w:hAnsi="Times New Roman" w:cs="Times New Roman" w:eastAsia="Times New Roman" w:hint="default"/>
                <w:sz w:val="21"/>
                <w:szCs w:val="21"/>
              </w:rPr>
            </w:pPr>
            <w:r>
              <w:rPr>
                <w:rFonts w:ascii="Times New Roman"/>
                <w:sz w:val="21"/>
              </w:rPr>
              <w:t>17.01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87,264,493.31</w:t>
            </w:r>
          </w:p>
        </w:tc>
      </w:tr>
      <w:tr>
        <w:trPr>
          <w:trHeight w:val="28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556,480,185.18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71,682,829.60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12.88</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484,797,355.58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309,077,538.14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65,395,781.54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8" w:right="0"/>
              <w:jc w:val="center"/>
              <w:rPr>
                <w:rFonts w:ascii="Times New Roman" w:hAnsi="Times New Roman" w:cs="Times New Roman" w:eastAsia="Times New Roman" w:hint="default"/>
                <w:sz w:val="21"/>
                <w:szCs w:val="21"/>
              </w:rPr>
            </w:pPr>
            <w:r>
              <w:rPr>
                <w:rFonts w:ascii="Times New Roman"/>
                <w:sz w:val="21"/>
              </w:rPr>
              <w:t>21.16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243,681,756.60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76"/>
        <w:ind w:left="6718" w:right="6721" w:firstLine="0"/>
        <w:jc w:val="center"/>
        <w:rPr>
          <w:rFonts w:ascii="Times New Roman" w:hAnsi="Times New Roman" w:cs="Times New Roman" w:eastAsia="Times New Roman" w:hint="default"/>
          <w:sz w:val="18"/>
          <w:szCs w:val="18"/>
        </w:rPr>
      </w:pPr>
      <w:r>
        <w:rPr>
          <w:rFonts w:ascii="Times New Roman"/>
          <w:b/>
          <w:sz w:val="18"/>
        </w:rPr>
        <w:t>145 </w:t>
      </w:r>
      <w:r>
        <w:rPr>
          <w:rFonts w:ascii="Times New Roman"/>
          <w:sz w:val="18"/>
        </w:rPr>
        <w:t>/</w:t>
      </w:r>
      <w:r>
        <w:rPr>
          <w:rFonts w:ascii="Times New Roman"/>
          <w:spacing w:val="-2"/>
          <w:sz w:val="18"/>
        </w:rPr>
        <w:t> </w:t>
      </w:r>
      <w:r>
        <w:rPr>
          <w:rFonts w:ascii="Times New Roman"/>
          <w:b/>
          <w:sz w:val="18"/>
        </w:rPr>
        <w:t>237</w:t>
      </w:r>
      <w:r>
        <w:rPr>
          <w:rFonts w:ascii="Times New Roman"/>
          <w:sz w:val="18"/>
        </w:rPr>
      </w:r>
    </w:p>
    <w:p>
      <w:pPr>
        <w:spacing w:after="0"/>
        <w:jc w:val="center"/>
        <w:rPr>
          <w:rFonts w:ascii="Times New Roman" w:hAnsi="Times New Roman" w:cs="Times New Roman" w:eastAsia="Times New Roman" w:hint="default"/>
          <w:sz w:val="18"/>
          <w:szCs w:val="18"/>
        </w:rPr>
        <w:sectPr>
          <w:type w:val="continuous"/>
          <w:pgSz w:w="16840" w:h="11910" w:orient="landscape"/>
          <w:pgMar w:top="1500" w:bottom="280" w:left="1300" w:right="1380"/>
        </w:sectPr>
      </w:pPr>
    </w:p>
    <w:p>
      <w:pPr>
        <w:spacing w:line="240" w:lineRule="auto" w:before="0"/>
        <w:rPr>
          <w:rFonts w:ascii="Times New Roman" w:hAnsi="Times New Roman" w:cs="Times New Roman" w:eastAsia="Times New Roman" w:hint="default"/>
          <w:b/>
          <w:bCs/>
          <w:sz w:val="21"/>
          <w:szCs w:val="21"/>
        </w:rPr>
      </w:pPr>
    </w:p>
    <w:p>
      <w:pPr>
        <w:spacing w:after="0" w:line="240" w:lineRule="auto"/>
        <w:rPr>
          <w:rFonts w:ascii="Times New Roman" w:hAnsi="Times New Roman" w:cs="Times New Roman" w:eastAsia="Times New Roman" w:hint="default"/>
          <w:sz w:val="21"/>
          <w:szCs w:val="21"/>
        </w:rPr>
        <w:sectPr>
          <w:footerReference w:type="default" r:id="rId49"/>
          <w:pgSz w:w="11910" w:h="16840"/>
          <w:pgMar w:footer="979" w:header="0" w:top="1120" w:bottom="1160" w:left="1060" w:right="1560"/>
          <w:pgNumType w:start="146"/>
        </w:sectPr>
      </w:pPr>
    </w:p>
    <w:p>
      <w:pPr>
        <w:pStyle w:val="BodyText"/>
        <w:spacing w:line="272" w:lineRule="exact" w:before="64"/>
        <w:ind w:left="216"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9"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2423" w:space="3996"/>
            <w:col w:w="287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283"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1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2"/>
                <w:sz w:val="21"/>
                <w:szCs w:val="21"/>
              </w:rPr>
              <w:t>计提比例（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5"/>
              <w:jc w:val="right"/>
              <w:rPr>
                <w:rFonts w:ascii="宋体" w:hAnsi="宋体" w:cs="宋体" w:eastAsia="宋体" w:hint="default"/>
                <w:sz w:val="21"/>
                <w:szCs w:val="21"/>
              </w:rPr>
            </w:pPr>
            <w:r>
              <w:rPr>
                <w:rFonts w:ascii="宋体" w:hAnsi="宋体" w:cs="宋体" w:eastAsia="宋体" w:hint="default"/>
                <w:spacing w:val="-2"/>
                <w:sz w:val="21"/>
                <w:szCs w:val="21"/>
              </w:rPr>
              <w:t>计提理由</w:t>
            </w:r>
            <w:r>
              <w:rPr>
                <w:rFonts w:ascii="宋体" w:hAnsi="宋体" w:cs="宋体" w:eastAsia="宋体" w:hint="default"/>
                <w:sz w:val="21"/>
                <w:szCs w:val="21"/>
              </w:rPr>
              <w:t> </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474,800.00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474,800.00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1"/>
              <w:jc w:val="right"/>
              <w:rPr>
                <w:rFonts w:ascii="宋体" w:hAnsi="宋体" w:cs="宋体" w:eastAsia="宋体" w:hint="default"/>
                <w:sz w:val="21"/>
                <w:szCs w:val="21"/>
              </w:rPr>
            </w:pPr>
            <w:r>
              <w:rPr>
                <w:rFonts w:ascii="宋体" w:hAnsi="宋体" w:cs="宋体" w:eastAsia="宋体" w:hint="default"/>
                <w:spacing w:val="-2"/>
                <w:sz w:val="21"/>
                <w:szCs w:val="21"/>
              </w:rPr>
              <w:t>胜诉执行未果</w:t>
            </w:r>
            <w:r>
              <w:rPr>
                <w:rFonts w:ascii="宋体" w:hAnsi="宋体" w:cs="宋体" w:eastAsia="宋体" w:hint="default"/>
                <w:sz w:val="21"/>
                <w:szCs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6,500,000.00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100.00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3"/>
              <w:jc w:val="left"/>
              <w:rPr>
                <w:rFonts w:ascii="宋体" w:hAnsi="宋体" w:cs="宋体" w:eastAsia="宋体" w:hint="default"/>
                <w:sz w:val="21"/>
                <w:szCs w:val="21"/>
              </w:rPr>
            </w:pPr>
            <w:r>
              <w:rPr>
                <w:rFonts w:ascii="宋体" w:hAnsi="宋体" w:cs="宋体" w:eastAsia="宋体" w:hint="default"/>
                <w:spacing w:val="5"/>
                <w:sz w:val="21"/>
                <w:szCs w:val="21"/>
              </w:rPr>
              <w:t>合同中止</w:t>
            </w:r>
            <w:r>
              <w:rPr>
                <w:rFonts w:ascii="宋体" w:hAnsi="宋体" w:cs="宋体" w:eastAsia="宋体" w:hint="default"/>
                <w:spacing w:val="5"/>
                <w:sz w:val="21"/>
                <w:szCs w:val="21"/>
              </w:rPr>
              <w:t>,</w:t>
            </w:r>
            <w:r>
              <w:rPr>
                <w:rFonts w:ascii="宋体" w:hAnsi="宋体" w:cs="宋体" w:eastAsia="宋体" w:hint="default"/>
                <w:spacing w:val="5"/>
                <w:sz w:val="21"/>
                <w:szCs w:val="21"/>
              </w:rPr>
              <w:t>逾期多</w:t>
            </w:r>
          </w:p>
          <w:p>
            <w:pPr>
              <w:pStyle w:val="TableParagraph"/>
              <w:spacing w:line="273" w:lineRule="exact"/>
              <w:ind w:left="100" w:right="-3"/>
              <w:jc w:val="left"/>
              <w:rPr>
                <w:rFonts w:ascii="宋体" w:hAnsi="宋体" w:cs="宋体" w:eastAsia="宋体" w:hint="default"/>
                <w:sz w:val="21"/>
                <w:szCs w:val="21"/>
              </w:rPr>
            </w:pPr>
            <w:r>
              <w:rPr>
                <w:rFonts w:ascii="宋体" w:hAnsi="宋体" w:cs="宋体" w:eastAsia="宋体" w:hint="default"/>
                <w:spacing w:val="-7"/>
                <w:sz w:val="21"/>
                <w:szCs w:val="21"/>
              </w:rPr>
              <w:t>年，预计无法收回</w:t>
            </w:r>
            <w:r>
              <w:rPr>
                <w:rFonts w:ascii="宋体" w:hAnsi="宋体" w:cs="宋体" w:eastAsia="宋体" w:hint="default"/>
                <w:sz w:val="21"/>
                <w:szCs w:val="21"/>
              </w:rPr>
              <w:t> </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6,974,800.00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6,974,800.00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r>
    </w:tbl>
    <w:p>
      <w:pPr>
        <w:spacing w:after="0" w:line="241" w:lineRule="exact"/>
        <w:jc w:val="center"/>
        <w:rPr>
          <w:rFonts w:ascii="宋体" w:hAnsi="宋体" w:cs="宋体" w:eastAsia="宋体" w:hint="default"/>
          <w:sz w:val="21"/>
          <w:szCs w:val="21"/>
        </w:rPr>
        <w:sectPr>
          <w:type w:val="continuous"/>
          <w:pgSz w:w="11910" w:h="16840"/>
          <w:pgMar w:top="1500" w:bottom="280" w:left="1060" w:right="1560"/>
        </w:sectPr>
      </w:pPr>
    </w:p>
    <w:p>
      <w:pPr>
        <w:pStyle w:val="BodyText"/>
        <w:spacing w:line="274" w:lineRule="exact"/>
        <w:ind w:left="216" w:right="2141"/>
        <w:jc w:val="left"/>
        <w:rPr>
          <w:rFonts w:ascii="宋体" w:hAnsi="宋体" w:cs="宋体" w:eastAsia="宋体" w:hint="default"/>
          <w:sz w:val="24"/>
          <w:szCs w:val="24"/>
        </w:rPr>
      </w:pPr>
      <w:r>
        <w:rPr/>
        <w:t>按单项计提坏账准备的说明</w:t>
      </w:r>
      <w:r>
        <w:rPr>
          <w:sz w:val="24"/>
          <w:szCs w:val="24"/>
        </w:rPr>
        <w:t>：</w:t>
      </w:r>
      <w:r>
        <w:rPr>
          <w:rFonts w:ascii="宋体" w:hAnsi="宋体" w:cs="宋体" w:eastAsia="宋体" w:hint="default"/>
          <w:sz w:val="24"/>
          <w:szCs w:val="24"/>
        </w:rPr>
        <w:t> </w:t>
      </w:r>
    </w:p>
    <w:p>
      <w:pPr>
        <w:pStyle w:val="BodyText"/>
        <w:spacing w:line="240" w:lineRule="auto" w:before="1"/>
        <w:ind w:left="216" w:right="2141"/>
        <w:jc w:val="left"/>
        <w:rPr>
          <w:rFonts w:ascii="宋体" w:hAnsi="宋体" w:cs="宋体" w:eastAsia="宋体" w:hint="default"/>
          <w:sz w:val="24"/>
          <w:szCs w:val="24"/>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t>按组合计提坏账准备：</w:t>
      </w:r>
      <w:r>
        <w:rPr>
          <w:rFonts w:ascii="宋体" w:hAnsi="宋体" w:cs="宋体" w:eastAsia="宋体" w:hint="default"/>
          <w:sz w:val="24"/>
          <w:szCs w:val="24"/>
        </w:rPr>
        <w:t> </w:t>
      </w:r>
    </w:p>
    <w:p>
      <w:pPr>
        <w:pStyle w:val="BodyText"/>
        <w:spacing w:line="274" w:lineRule="exact" w:before="23"/>
        <w:ind w:left="216" w:right="0"/>
        <w:jc w:val="left"/>
        <w:rPr>
          <w:rFonts w:ascii="宋体" w:hAnsi="宋体" w:cs="宋体" w:eastAsia="宋体" w:hint="default"/>
          <w:sz w:val="24"/>
          <w:szCs w:val="24"/>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组合计提项目：按信用风险特征组合计提坏账准备的应收账款</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6012" w:space="407"/>
            <w:col w:w="287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6"/>
        <w:gridCol w:w="2309"/>
        <w:gridCol w:w="2352"/>
        <w:gridCol w:w="2293"/>
      </w:tblGrid>
      <w:tr>
        <w:trPr>
          <w:trHeight w:val="281"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政府事业单位组合</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309,232,173.23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37,647,785.48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12.17</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1"/>
                <w:szCs w:val="21"/>
              </w:rPr>
              <w:t>企业</w:t>
            </w:r>
            <w:r>
              <w:rPr>
                <w:rFonts w:ascii="宋体" w:hAnsi="宋体" w:cs="宋体" w:eastAsia="宋体" w:hint="default"/>
                <w:sz w:val="24"/>
                <w:szCs w:val="24"/>
              </w:rPr>
              <w:t>单位组合</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240,273,211.95</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27,060,244.12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z w:val="21"/>
              </w:rPr>
              <w:t>11.26</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02"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549,505,385.18</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64,708,029.60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z w:val="21"/>
              </w:rPr>
              <w:t>11.78</w:t>
            </w:r>
          </w:p>
        </w:tc>
      </w:tr>
    </w:tbl>
    <w:p>
      <w:pPr>
        <w:pStyle w:val="BodyText"/>
        <w:spacing w:line="274" w:lineRule="exact"/>
        <w:ind w:left="216" w:right="0"/>
        <w:jc w:val="left"/>
        <w:rPr>
          <w:rFonts w:ascii="宋体" w:hAnsi="宋体" w:cs="宋体" w:eastAsia="宋体" w:hint="default"/>
          <w:sz w:val="24"/>
          <w:szCs w:val="24"/>
        </w:rPr>
      </w:pPr>
      <w:r>
        <w:rPr/>
        <w:t>按组合计提坏账的确认标准及说明</w:t>
      </w:r>
      <w:r>
        <w:rPr>
          <w:sz w:val="24"/>
          <w:szCs w:val="24"/>
        </w:rPr>
        <w:t>：</w:t>
      </w:r>
      <w:r>
        <w:rPr>
          <w:rFonts w:ascii="宋体" w:hAnsi="宋体" w:cs="宋体" w:eastAsia="宋体" w:hint="default"/>
          <w:sz w:val="24"/>
          <w:szCs w:val="24"/>
        </w:rPr>
        <w:t> </w:t>
      </w:r>
    </w:p>
    <w:p>
      <w:pPr>
        <w:pStyle w:val="BodyText"/>
        <w:spacing w:line="274" w:lineRule="exact" w:before="1"/>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90" w:lineRule="exact"/>
        <w:ind w:left="216" w:right="0"/>
        <w:jc w:val="left"/>
        <w:rPr>
          <w:rFonts w:ascii="宋体" w:hAnsi="宋体" w:cs="宋体" w:eastAsia="宋体" w:hint="default"/>
        </w:rPr>
      </w:pPr>
      <w:r>
        <w:rPr>
          <w:rFonts w:ascii="Times New Roman" w:hAnsi="Times New Roman" w:cs="Times New Roman" w:eastAsia="Times New Roman" w:hint="default"/>
        </w:rPr>
        <w:t>1</w:t>
      </w:r>
      <w:r>
        <w:rPr/>
        <w:t>、政府、事业单位组合</w:t>
      </w:r>
      <w:r>
        <w:rPr>
          <w:rFonts w:ascii="宋体" w:hAnsi="宋体" w:cs="宋体" w:eastAsia="宋体" w:hint="default"/>
        </w:rPr>
        <w:t> </w:t>
      </w:r>
    </w:p>
    <w:tbl>
      <w:tblPr>
        <w:tblW w:w="0" w:type="auto"/>
        <w:jc w:val="left"/>
        <w:tblInd w:w="103" w:type="dxa"/>
        <w:tblLayout w:type="fixed"/>
        <w:tblCellMar>
          <w:top w:w="0" w:type="dxa"/>
          <w:left w:w="0" w:type="dxa"/>
          <w:bottom w:w="0" w:type="dxa"/>
          <w:right w:w="0" w:type="dxa"/>
        </w:tblCellMar>
        <w:tblLook w:val="01E0"/>
      </w:tblPr>
      <w:tblGrid>
        <w:gridCol w:w="2556"/>
        <w:gridCol w:w="1990"/>
        <w:gridCol w:w="1992"/>
        <w:gridCol w:w="1990"/>
      </w:tblGrid>
      <w:tr>
        <w:trPr>
          <w:trHeight w:val="350" w:hRule="exact"/>
        </w:trPr>
        <w:tc>
          <w:tcPr>
            <w:tcW w:w="2556" w:type="dxa"/>
            <w:vMerge w:val="restart"/>
            <w:tcBorders>
              <w:top w:val="single" w:sz="4" w:space="0" w:color="000000"/>
              <w:left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9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1" w:hRule="exact"/>
        </w:trPr>
        <w:tc>
          <w:tcPr>
            <w:tcW w:w="2556" w:type="dxa"/>
            <w:vMerge/>
            <w:tcBorders>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236,904,416.14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7,105,432.48</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3.00</w:t>
            </w:r>
          </w:p>
        </w:tc>
      </w:tr>
      <w:tr>
        <w:trPr>
          <w:trHeight w:val="35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30,474,350.53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3,963,165.57</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13.00</w:t>
            </w:r>
          </w:p>
        </w:tc>
      </w:tr>
      <w:tr>
        <w:trPr>
          <w:trHeight w:val="348"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17,253,162.93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5,521,012.14</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32.00</w:t>
            </w:r>
          </w:p>
        </w:tc>
      </w:tr>
      <w:tr>
        <w:trPr>
          <w:trHeight w:val="35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4,279,054.33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2,396,338.70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56.00</w:t>
            </w:r>
          </w:p>
        </w:tc>
      </w:tr>
      <w:tr>
        <w:trPr>
          <w:trHeight w:val="35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8,297,422.28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6,638,069.57</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80.00</w:t>
            </w:r>
          </w:p>
        </w:tc>
      </w:tr>
      <w:tr>
        <w:trPr>
          <w:trHeight w:val="35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12,023,767.02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12,023,767.02</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z w:val="21"/>
              </w:rPr>
              <w:t>100.00</w:t>
            </w:r>
          </w:p>
        </w:tc>
      </w:tr>
      <w:tr>
        <w:trPr>
          <w:trHeight w:val="35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309,232,173.23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37,647,785.48</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12.17</w:t>
            </w:r>
          </w:p>
        </w:tc>
      </w:tr>
    </w:tbl>
    <w:p>
      <w:pPr>
        <w:spacing w:line="240" w:lineRule="auto" w:before="3"/>
        <w:rPr>
          <w:rFonts w:ascii="宋体" w:hAnsi="宋体" w:cs="宋体" w:eastAsia="宋体" w:hint="default"/>
          <w:sz w:val="14"/>
          <w:szCs w:val="14"/>
        </w:rPr>
      </w:pPr>
    </w:p>
    <w:p>
      <w:pPr>
        <w:pStyle w:val="BodyText"/>
        <w:spacing w:line="240" w:lineRule="auto" w:before="36"/>
        <w:ind w:left="216" w:right="0"/>
        <w:jc w:val="left"/>
      </w:pPr>
      <w:r>
        <w:rPr>
          <w:rFonts w:ascii="Times New Roman" w:hAnsi="Times New Roman" w:cs="Times New Roman" w:eastAsia="Times New Roman" w:hint="default"/>
        </w:rPr>
        <w:t>2</w:t>
      </w:r>
      <w:r>
        <w:rPr/>
        <w:t>、企业单位组合</w:t>
      </w:r>
    </w:p>
    <w:tbl>
      <w:tblPr>
        <w:tblW w:w="0" w:type="auto"/>
        <w:jc w:val="left"/>
        <w:tblInd w:w="103" w:type="dxa"/>
        <w:tblLayout w:type="fixed"/>
        <w:tblCellMar>
          <w:top w:w="0" w:type="dxa"/>
          <w:left w:w="0" w:type="dxa"/>
          <w:bottom w:w="0" w:type="dxa"/>
          <w:right w:w="0" w:type="dxa"/>
        </w:tblCellMar>
        <w:tblLook w:val="01E0"/>
      </w:tblPr>
      <w:tblGrid>
        <w:gridCol w:w="2556"/>
        <w:gridCol w:w="1990"/>
        <w:gridCol w:w="1992"/>
        <w:gridCol w:w="1990"/>
      </w:tblGrid>
      <w:tr>
        <w:trPr>
          <w:trHeight w:val="351" w:hRule="exact"/>
        </w:trPr>
        <w:tc>
          <w:tcPr>
            <w:tcW w:w="2556" w:type="dxa"/>
            <w:vMerge w:val="restart"/>
            <w:tcBorders>
              <w:top w:val="single" w:sz="4" w:space="0" w:color="000000"/>
              <w:left w:val="single" w:sz="4" w:space="0" w:color="000000"/>
              <w:right w:val="single" w:sz="4" w:space="0" w:color="000000"/>
            </w:tcBorders>
          </w:tcPr>
          <w:p>
            <w:pPr>
              <w:pStyle w:val="TableParagraph"/>
              <w:spacing w:line="240" w:lineRule="auto" w:before="175"/>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9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2556" w:type="dxa"/>
            <w:vMerge/>
            <w:tcBorders>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7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177,179,420.86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7,087,176.84</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4.00</w:t>
            </w:r>
          </w:p>
        </w:tc>
      </w:tr>
      <w:tr>
        <w:trPr>
          <w:trHeight w:val="348"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26,238,007.11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3,410,940.92</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13.00</w:t>
            </w:r>
          </w:p>
        </w:tc>
      </w:tr>
      <w:tr>
        <w:trPr>
          <w:trHeight w:val="35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26,445,793.45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8,462,653.90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32.00</w:t>
            </w:r>
          </w:p>
        </w:tc>
      </w:tr>
      <w:tr>
        <w:trPr>
          <w:trHeight w:val="35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4,749,535.38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2,659,739.81</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56.00</w:t>
            </w:r>
          </w:p>
        </w:tc>
      </w:tr>
      <w:tr>
        <w:trPr>
          <w:trHeight w:val="35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1,103,612.42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882,889.92</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80.00</w:t>
            </w:r>
          </w:p>
        </w:tc>
      </w:tr>
      <w:tr>
        <w:trPr>
          <w:trHeight w:val="35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4,556,842.73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4,556,842.73</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z w:val="21"/>
              </w:rPr>
              <w:t>100.00</w:t>
            </w:r>
          </w:p>
        </w:tc>
      </w:tr>
      <w:tr>
        <w:trPr>
          <w:trHeight w:val="35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240,273,211.95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27,060,244.12</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11.26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060" w:right="1560"/>
        </w:sectPr>
      </w:pPr>
    </w:p>
    <w:p>
      <w:pPr>
        <w:spacing w:line="240" w:lineRule="auto" w:before="6"/>
        <w:rPr>
          <w:rFonts w:ascii="宋体" w:hAnsi="宋体" w:cs="宋体" w:eastAsia="宋体" w:hint="default"/>
          <w:sz w:val="18"/>
          <w:szCs w:val="18"/>
        </w:rPr>
      </w:pPr>
    </w:p>
    <w:p>
      <w:pPr>
        <w:pStyle w:val="BodyText"/>
        <w:spacing w:line="273" w:lineRule="exact" w:before="36"/>
        <w:ind w:left="236" w:right="0"/>
        <w:jc w:val="left"/>
        <w:rPr>
          <w:rFonts w:ascii="宋体" w:hAnsi="宋体" w:cs="宋体" w:eastAsia="宋体" w:hint="default"/>
        </w:rPr>
      </w:pPr>
      <w:r>
        <w:rPr>
          <w:rFonts w:ascii="宋体"/>
          <w:w w:val="100"/>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236" w:right="0"/>
        <w:jc w:val="left"/>
        <w:rPr>
          <w:rFonts w:ascii="宋体" w:hAnsi="宋体" w:cs="宋体" w:eastAsia="宋体" w:hint="default"/>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left="236" w:right="0"/>
        <w:jc w:val="left"/>
        <w:rPr>
          <w:rFonts w:ascii="宋体" w:hAnsi="宋体" w:cs="宋体" w:eastAsia="宋体" w:hint="default"/>
        </w:rPr>
      </w:pPr>
      <w:r>
        <w:rPr/>
        <w:t>√适用 </w:t>
      </w:r>
      <w:r>
        <w:rPr>
          <w:rFonts w:ascii="宋体" w:hAnsi="宋体" w:cs="宋体" w:eastAsia="宋体" w:hint="default"/>
        </w:rPr>
      </w:r>
      <w:r>
        <w:rPr/>
        <w:t>□不适用                                              </w:t>
      </w:r>
      <w:r>
        <w:rPr>
          <w:rFonts w:ascii="宋体" w:hAnsi="宋体" w:cs="宋体" w:eastAsia="宋体" w:hint="default"/>
        </w:rPr>
      </w:r>
      <w:r>
        <w:rPr>
          <w:spacing w:val="-3"/>
        </w:rPr>
        <w:t>单位：元 </w:t>
      </w:r>
      <w:r>
        <w:rPr>
          <w:spacing w:val="-1"/>
        </w:rPr>
        <w:t> </w:t>
      </w:r>
      <w:r>
        <w:rPr>
          <w:rFonts w:ascii="宋体" w:hAnsi="宋体" w:cs="宋体" w:eastAsia="宋体" w:hint="default"/>
          <w:spacing w:val="-1"/>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889"/>
        <w:gridCol w:w="1520"/>
        <w:gridCol w:w="1536"/>
        <w:gridCol w:w="728"/>
        <w:gridCol w:w="1363"/>
        <w:gridCol w:w="554"/>
        <w:gridCol w:w="1472"/>
      </w:tblGrid>
      <w:tr>
        <w:trPr>
          <w:trHeight w:val="370" w:hRule="exact"/>
        </w:trPr>
        <w:tc>
          <w:tcPr>
            <w:tcW w:w="18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0"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1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54"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1450" w:hRule="exact"/>
        </w:trPr>
        <w:tc>
          <w:tcPr>
            <w:tcW w:w="1889"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52"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48" w:right="144"/>
              <w:jc w:val="both"/>
              <w:rPr>
                <w:rFonts w:ascii="宋体" w:hAnsi="宋体" w:cs="宋体" w:eastAsia="宋体" w:hint="default"/>
                <w:sz w:val="21"/>
                <w:szCs w:val="21"/>
              </w:rPr>
            </w:pPr>
            <w:r>
              <w:rPr>
                <w:rFonts w:ascii="宋体" w:hAnsi="宋体" w:cs="宋体" w:eastAsia="宋体" w:hint="default"/>
                <w:sz w:val="21"/>
                <w:szCs w:val="21"/>
              </w:rPr>
              <w:t>收回</w:t>
            </w:r>
            <w:r>
              <w:rPr>
                <w:rFonts w:ascii="宋体" w:hAnsi="宋体" w:cs="宋体" w:eastAsia="宋体" w:hint="default"/>
                <w:spacing w:val="-103"/>
                <w:sz w:val="21"/>
                <w:szCs w:val="21"/>
              </w:rPr>
              <w:t> </w:t>
            </w:r>
            <w:r>
              <w:rPr>
                <w:rFonts w:ascii="宋体" w:hAnsi="宋体" w:cs="宋体" w:eastAsia="宋体" w:hint="default"/>
                <w:sz w:val="21"/>
                <w:szCs w:val="21"/>
              </w:rPr>
              <w:t>或转</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43"/>
              <w:jc w:val="right"/>
              <w:rPr>
                <w:rFonts w:ascii="宋体" w:hAnsi="宋体" w:cs="宋体" w:eastAsia="宋体" w:hint="default"/>
                <w:sz w:val="21"/>
                <w:szCs w:val="21"/>
              </w:rPr>
            </w:pPr>
            <w:r>
              <w:rPr>
                <w:rFonts w:ascii="宋体" w:hAnsi="宋体" w:cs="宋体" w:eastAsia="宋体" w:hint="default"/>
                <w:spacing w:val="-2"/>
                <w:sz w:val="21"/>
                <w:szCs w:val="21"/>
              </w:rPr>
              <w:t>转销或核销</w:t>
            </w:r>
            <w:r>
              <w:rPr>
                <w:rFonts w:ascii="宋体" w:hAnsi="宋体" w:cs="宋体" w:eastAsia="宋体" w:hint="default"/>
                <w:sz w:val="21"/>
                <w:szCs w:val="21"/>
              </w:rPr>
              <w:t> </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65" w:right="60"/>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1472" w:type="dxa"/>
            <w:vMerge/>
            <w:tcBorders>
              <w:left w:val="single" w:sz="4" w:space="0" w:color="000000"/>
              <w:bottom w:val="single" w:sz="4" w:space="0" w:color="000000"/>
              <w:right w:val="single" w:sz="4" w:space="0" w:color="000000"/>
            </w:tcBorders>
          </w:tcPr>
          <w:p>
            <w:pPr/>
          </w:p>
        </w:tc>
      </w:tr>
      <w:tr>
        <w:trPr>
          <w:trHeight w:val="1090"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8" w:right="295"/>
              <w:jc w:val="both"/>
              <w:rPr>
                <w:rFonts w:ascii="宋体" w:hAnsi="宋体" w:cs="宋体" w:eastAsia="宋体" w:hint="default"/>
                <w:sz w:val="21"/>
                <w:szCs w:val="21"/>
              </w:rPr>
            </w:pPr>
            <w:r>
              <w:rPr>
                <w:rFonts w:ascii="宋体" w:hAnsi="宋体" w:cs="宋体" w:eastAsia="宋体" w:hint="default"/>
                <w:sz w:val="21"/>
                <w:szCs w:val="21"/>
              </w:rPr>
              <w:t>单项计提预期信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用损失的应收账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6,974,800.00</w:t>
            </w:r>
          </w:p>
        </w:tc>
        <w:tc>
          <w:tcPr>
            <w:tcW w:w="1536"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6,974,800.00</w:t>
            </w:r>
          </w:p>
        </w:tc>
      </w:tr>
      <w:tr>
        <w:trPr>
          <w:trHeight w:val="37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政府事业单位</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21"/>
                <w:szCs w:val="21"/>
              </w:rPr>
            </w:pPr>
            <w:r>
              <w:rPr>
                <w:rFonts w:ascii="Times New Roman"/>
                <w:spacing w:val="-1"/>
                <w:sz w:val="21"/>
              </w:rPr>
              <w:t>40,536,942.25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6,431,240.80</w:t>
            </w:r>
          </w:p>
        </w:tc>
        <w:tc>
          <w:tcPr>
            <w:tcW w:w="72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9,320,397.57</w:t>
            </w:r>
          </w:p>
        </w:tc>
        <w:tc>
          <w:tcPr>
            <w:tcW w:w="5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21"/>
                <w:szCs w:val="21"/>
              </w:rPr>
            </w:pPr>
            <w:r>
              <w:rPr>
                <w:rFonts w:ascii="Times New Roman"/>
                <w:spacing w:val="-1"/>
                <w:sz w:val="21"/>
              </w:rPr>
              <w:t>37,647,785.48</w:t>
            </w:r>
          </w:p>
        </w:tc>
      </w:tr>
      <w:tr>
        <w:trPr>
          <w:trHeight w:val="370"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企业单位</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17,884,039.29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9,176,204.83</w:t>
            </w:r>
          </w:p>
        </w:tc>
        <w:tc>
          <w:tcPr>
            <w:tcW w:w="72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pacing w:val="-1"/>
                <w:sz w:val="21"/>
              </w:rPr>
              <w:t>27,060,244.12</w:t>
            </w:r>
          </w:p>
        </w:tc>
      </w:tr>
      <w:tr>
        <w:trPr>
          <w:trHeight w:val="370"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98"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65,395,781.54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15,607,445.63</w:t>
            </w:r>
          </w:p>
        </w:tc>
        <w:tc>
          <w:tcPr>
            <w:tcW w:w="72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9,320,397.57</w:t>
            </w:r>
          </w:p>
        </w:tc>
        <w:tc>
          <w:tcPr>
            <w:tcW w:w="55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
              <w:jc w:val="right"/>
              <w:rPr>
                <w:rFonts w:ascii="Times New Roman" w:hAnsi="Times New Roman" w:cs="Times New Roman" w:eastAsia="Times New Roman" w:hint="default"/>
                <w:sz w:val="21"/>
                <w:szCs w:val="21"/>
              </w:rPr>
            </w:pPr>
            <w:r>
              <w:rPr>
                <w:rFonts w:ascii="Times New Roman"/>
                <w:spacing w:val="-1"/>
                <w:sz w:val="21"/>
              </w:rPr>
              <w:t>71,682,829.60</w:t>
            </w:r>
          </w:p>
        </w:tc>
      </w:tr>
    </w:tbl>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979" w:top="1120" w:bottom="1160" w:left="1040" w:right="1560"/>
        </w:sectPr>
      </w:pPr>
    </w:p>
    <w:p>
      <w:pPr>
        <w:pStyle w:val="BodyText"/>
        <w:spacing w:line="273" w:lineRule="exact" w:before="36"/>
        <w:ind w:left="23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69"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0" w:lineRule="exact"/>
        <w:ind w:right="0"/>
        <w:jc w:val="left"/>
      </w:pPr>
      <w:r>
        <w:rPr/>
        <w:t> </w:t>
      </w:r>
    </w:p>
    <w:p>
      <w:pPr>
        <w:pStyle w:val="Heading4"/>
        <w:spacing w:line="240" w:lineRule="auto" w:before="61"/>
        <w:ind w:left="236" w:right="0"/>
        <w:jc w:val="left"/>
        <w:rPr>
          <w:rFonts w:ascii="宋体" w:hAnsi="宋体" w:cs="宋体" w:eastAsia="宋体" w:hint="default"/>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3"/>
        </w:rPr>
        <w:t> </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4335" w:space="2187"/>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4"/>
                <w:szCs w:val="24"/>
              </w:rPr>
            </w:pPr>
            <w:r>
              <w:rPr>
                <w:rFonts w:ascii="宋体" w:hAnsi="宋体" w:cs="宋体" w:eastAsia="宋体" w:hint="default"/>
                <w:sz w:val="21"/>
                <w:szCs w:val="21"/>
              </w:rPr>
              <w:t>实际核销的应收账款</w:t>
            </w:r>
            <w:r>
              <w:rPr>
                <w:rFonts w:ascii="宋体" w:hAnsi="宋体" w:cs="宋体" w:eastAsia="宋体" w:hint="default"/>
                <w:sz w:val="24"/>
                <w:szCs w:val="24"/>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9"/>
              <w:jc w:val="right"/>
              <w:rPr>
                <w:rFonts w:ascii="Times New Roman" w:hAnsi="Times New Roman" w:cs="Times New Roman" w:eastAsia="Times New Roman" w:hint="default"/>
                <w:sz w:val="21"/>
                <w:szCs w:val="21"/>
              </w:rPr>
            </w:pPr>
            <w:r>
              <w:rPr>
                <w:rFonts w:ascii="Times New Roman"/>
                <w:spacing w:val="-1"/>
                <w:sz w:val="21"/>
              </w:rPr>
              <w:t>9,320,397.57</w:t>
            </w:r>
          </w:p>
        </w:tc>
      </w:tr>
    </w:tbl>
    <w:p>
      <w:pPr>
        <w:pStyle w:val="Heading3"/>
        <w:spacing w:line="274" w:lineRule="exact"/>
        <w:ind w:right="0"/>
        <w:jc w:val="left"/>
      </w:pPr>
      <w:r>
        <w:rPr/>
        <w:t> </w:t>
      </w:r>
    </w:p>
    <w:p>
      <w:pPr>
        <w:pStyle w:val="BodyText"/>
        <w:spacing w:line="274" w:lineRule="exact" w:before="4"/>
        <w:ind w:left="236" w:right="0"/>
        <w:jc w:val="left"/>
        <w:rPr>
          <w:rFonts w:ascii="宋体" w:hAnsi="宋体" w:cs="宋体" w:eastAsia="宋体" w:hint="default"/>
        </w:rPr>
      </w:pPr>
      <w:r>
        <w:rPr/>
        <w:t>其中重要的应收账款核销情况</w:t>
      </w:r>
      <w:r>
        <w:rPr>
          <w:rFonts w:ascii="宋体" w:hAnsi="宋体" w:cs="宋体" w:eastAsia="宋体" w:hint="default"/>
        </w:rPr>
        <w:t> </w:t>
      </w:r>
    </w:p>
    <w:p>
      <w:pPr>
        <w:pStyle w:val="BodyText"/>
        <w:spacing w:line="272" w:lineRule="exact" w:before="27"/>
        <w:ind w:left="236" w:right="605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t>应收账款核销说明：</w:t>
      </w:r>
      <w:r>
        <w:rPr>
          <w:rFonts w:ascii="宋体" w:hAnsi="宋体" w:cs="宋体" w:eastAsia="宋体" w:hint="default"/>
        </w:rPr>
        <w:t> </w:t>
      </w:r>
    </w:p>
    <w:p>
      <w:pPr>
        <w:pStyle w:val="BodyText"/>
        <w:spacing w:line="246" w:lineRule="exact"/>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40" w:lineRule="auto" w:before="56"/>
        <w:ind w:left="236" w:right="0"/>
        <w:jc w:val="left"/>
        <w:rPr>
          <w:rFonts w:ascii="宋体" w:hAnsi="宋体" w:cs="宋体" w:eastAsia="宋体" w:hint="default"/>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19"/>
        </w:rPr>
        <w:t> </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43"/>
        <w:ind w:left="236"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right="0"/>
        <w:jc w:val="left"/>
      </w:pPr>
      <w:r>
        <w:rPr/>
        <w:t> </w:t>
      </w: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72"/>
        <w:gridCol w:w="1985"/>
        <w:gridCol w:w="1745"/>
        <w:gridCol w:w="2122"/>
      </w:tblGrid>
      <w:tr>
        <w:trPr>
          <w:trHeight w:val="730"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84" w:right="77" w:hanging="53"/>
              <w:jc w:val="left"/>
              <w:rPr>
                <w:rFonts w:ascii="宋体" w:hAnsi="宋体" w:cs="宋体" w:eastAsia="宋体" w:hint="default"/>
                <w:sz w:val="21"/>
                <w:szCs w:val="21"/>
              </w:rPr>
            </w:pPr>
            <w:r>
              <w:rPr>
                <w:rFonts w:ascii="宋体" w:hAnsi="宋体" w:cs="宋体" w:eastAsia="宋体" w:hint="default"/>
                <w:sz w:val="21"/>
                <w:szCs w:val="21"/>
              </w:rPr>
              <w:t>占应收账款合计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数的比例（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已计提坏账准备</w:t>
            </w:r>
            <w:r>
              <w:rPr>
                <w:rFonts w:ascii="宋体" w:hAnsi="宋体" w:cs="宋体" w:eastAsia="宋体" w:hint="default"/>
                <w:sz w:val="21"/>
                <w:szCs w:val="21"/>
              </w:rPr>
              <w:t> </w:t>
            </w:r>
          </w:p>
        </w:tc>
      </w:tr>
      <w:tr>
        <w:trPr>
          <w:trHeight w:val="37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1" w:right="0"/>
              <w:jc w:val="center"/>
              <w:rPr>
                <w:rFonts w:ascii="宋体" w:hAnsi="宋体" w:cs="宋体" w:eastAsia="宋体" w:hint="default"/>
                <w:sz w:val="21"/>
                <w:szCs w:val="21"/>
              </w:rPr>
            </w:pPr>
            <w:r>
              <w:rPr>
                <w:rFonts w:ascii="宋体" w:hAnsi="宋体" w:cs="宋体" w:eastAsia="宋体" w:hint="default"/>
                <w:sz w:val="21"/>
                <w:szCs w:val="21"/>
              </w:rPr>
              <w:t>期末余额前五名应收款项汇总</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9" w:right="0"/>
              <w:jc w:val="left"/>
              <w:rPr>
                <w:rFonts w:ascii="Times New Roman" w:hAnsi="Times New Roman" w:cs="Times New Roman" w:eastAsia="Times New Roman" w:hint="default"/>
                <w:sz w:val="21"/>
                <w:szCs w:val="21"/>
              </w:rPr>
            </w:pPr>
            <w:r>
              <w:rPr>
                <w:rFonts w:ascii="Times New Roman"/>
                <w:sz w:val="21"/>
              </w:rPr>
              <w:t>108,258,636.58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19.45</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1" w:right="0"/>
              <w:jc w:val="left"/>
              <w:rPr>
                <w:rFonts w:ascii="Times New Roman" w:hAnsi="Times New Roman" w:cs="Times New Roman" w:eastAsia="Times New Roman" w:hint="default"/>
                <w:sz w:val="21"/>
                <w:szCs w:val="21"/>
              </w:rPr>
            </w:pPr>
            <w:r>
              <w:rPr>
                <w:rFonts w:ascii="Times New Roman"/>
                <w:sz w:val="21"/>
              </w:rPr>
              <w:t>10,112,345.47</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56"/>
        <w:ind w:left="236" w:right="0"/>
        <w:jc w:val="left"/>
        <w:rPr>
          <w:rFonts w:ascii="宋体" w:hAnsi="宋体" w:cs="宋体" w:eastAsia="宋体" w:hint="default"/>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21"/>
        </w:rPr>
        <w:t> </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36"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40" w:right="1560"/>
        </w:sectPr>
      </w:pPr>
    </w:p>
    <w:p>
      <w:pPr>
        <w:spacing w:line="240" w:lineRule="auto" w:before="6"/>
        <w:rPr>
          <w:rFonts w:ascii="宋体" w:hAnsi="宋体" w:cs="宋体" w:eastAsia="宋体" w:hint="default"/>
          <w:sz w:val="18"/>
          <w:szCs w:val="18"/>
        </w:rPr>
      </w:pPr>
    </w:p>
    <w:p>
      <w:pPr>
        <w:pStyle w:val="Heading4"/>
        <w:spacing w:line="240" w:lineRule="auto" w:before="36"/>
        <w:ind w:left="236" w:right="0"/>
        <w:jc w:val="left"/>
        <w:rPr>
          <w:rFonts w:ascii="宋体" w:hAnsi="宋体" w:cs="宋体" w:eastAsia="宋体" w:hint="default"/>
          <w:b w:val="0"/>
          <w:bCs w:val="0"/>
        </w:rPr>
      </w:pPr>
      <w:r>
        <w:rPr>
          <w:rFonts w:ascii="Times New Roman" w:hAnsi="Times New Roman" w:cs="Times New Roman" w:eastAsia="Times New Roman" w:hint="default"/>
        </w:rPr>
        <w:t>(7). </w:t>
      </w:r>
      <w:r>
        <w:rPr>
          <w:rFonts w:ascii="Times New Roman" w:hAnsi="Times New Roman" w:cs="Times New Roman" w:eastAsia="Times New Roman" w:hint="default"/>
          <w:spacing w:val="19"/>
        </w:rPr>
        <w:t> </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1"/>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7"/>
        <w:rPr>
          <w:rFonts w:ascii="宋体" w:hAnsi="宋体" w:cs="宋体" w:eastAsia="宋体" w:hint="default"/>
          <w:sz w:val="20"/>
          <w:szCs w:val="20"/>
        </w:rPr>
      </w:pPr>
    </w:p>
    <w:p>
      <w:pPr>
        <w:pStyle w:val="Heading3"/>
        <w:spacing w:line="240" w:lineRule="auto"/>
        <w:ind w:right="0"/>
        <w:jc w:val="left"/>
      </w:pPr>
      <w:r>
        <w:rPr>
          <w:rFonts w:ascii="宋体" w:hAnsi="宋体" w:cs="宋体" w:eastAsia="宋体" w:hint="default"/>
        </w:rPr>
        <w:t>其他说明：</w:t>
      </w:r>
      <w:r>
        <w:rPr/>
        <w:t> </w:t>
      </w:r>
    </w:p>
    <w:p>
      <w:pPr>
        <w:pStyle w:val="BodyText"/>
        <w:spacing w:line="270" w:lineRule="exact" w:before="4"/>
        <w:ind w:left="236"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right="0"/>
        <w:jc w:val="left"/>
      </w:pPr>
      <w:r>
        <w:rPr/>
        <w:t> </w:t>
      </w:r>
    </w:p>
    <w:p>
      <w:pPr>
        <w:spacing w:after="0" w:line="309" w:lineRule="exact"/>
        <w:jc w:val="left"/>
        <w:sectPr>
          <w:pgSz w:w="11910" w:h="16840"/>
          <w:pgMar w:header="0" w:footer="979" w:top="1120" w:bottom="1160" w:left="1040" w:right="1480"/>
        </w:sectPr>
      </w:pPr>
    </w:p>
    <w:p>
      <w:pPr>
        <w:pStyle w:val="Heading4"/>
        <w:spacing w:line="240" w:lineRule="auto"/>
        <w:ind w:left="378" w:right="0"/>
        <w:jc w:val="center"/>
        <w:rPr>
          <w:b w:val="0"/>
          <w:bCs w:val="0"/>
        </w:rPr>
      </w:pPr>
      <w:r>
        <w:rPr>
          <w:rFonts w:ascii="Times New Roman" w:hAnsi="Times New Roman" w:cs="Times New Roman" w:eastAsia="Times New Roman" w:hint="default"/>
        </w:rPr>
        <w:t>6</w:t>
      </w:r>
      <w:r>
        <w:rPr/>
        <w:t>、 应收款项融资</w:t>
      </w:r>
      <w:r>
        <w:rPr>
          <w:b w:val="0"/>
          <w:bCs w:val="0"/>
        </w:rPr>
      </w:r>
    </w:p>
    <w:p>
      <w:pPr>
        <w:pStyle w:val="BodyText"/>
        <w:spacing w:line="240" w:lineRule="auto" w:before="40"/>
        <w:ind w:left="207" w:right="0"/>
        <w:jc w:val="center"/>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45"/>
        <w:ind w:left="236" w:right="0"/>
        <w:jc w:val="left"/>
        <w:rPr>
          <w:rFonts w:ascii="宋体" w:hAnsi="宋体" w:cs="宋体" w:eastAsia="宋体" w:hint="default"/>
        </w:rPr>
      </w:pPr>
      <w:r>
        <w:rPr>
          <w:rFonts w:ascii="宋体" w:hAnsi="宋体" w:cs="宋体" w:eastAsia="宋体" w:hint="default"/>
          <w:w w:val="100"/>
        </w:rPr>
        <w:t>  </w:t>
      </w: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480"/>
          <w:cols w:num="2" w:equalWidth="0">
            <w:col w:w="2067" w:space="4343"/>
            <w:col w:w="2980"/>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46"/>
        <w:gridCol w:w="2897"/>
        <w:gridCol w:w="2907"/>
      </w:tblGrid>
      <w:tr>
        <w:trPr>
          <w:trHeight w:val="286" w:hRule="exact"/>
        </w:trPr>
        <w:tc>
          <w:tcPr>
            <w:tcW w:w="324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97"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0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07"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324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应收票据融资</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1,920,405.10</w:t>
            </w:r>
          </w:p>
        </w:tc>
        <w:tc>
          <w:tcPr>
            <w:tcW w:w="290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46"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1,920,405.10</w:t>
            </w:r>
          </w:p>
        </w:tc>
        <w:tc>
          <w:tcPr>
            <w:tcW w:w="2907"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应收款项融资本期增减变动及公允价值变动情况：</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2"/>
          <w:w w:val="100"/>
        </w:rPr>
        <w:t>露</w:t>
      </w:r>
      <w:r>
        <w:rPr>
          <w:spacing w:val="-3"/>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4" w:lineRule="auto" w:before="44"/>
        <w:ind w:left="236" w:right="0" w:firstLine="420"/>
        <w:jc w:val="left"/>
      </w:pPr>
      <w:r>
        <w:rPr/>
        <w:t>于</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5"/>
        </w:rPr>
        <w:t>日，本公司认为所持有的应收款项融资不存在重大的信用风险，不会因违</w:t>
      </w:r>
      <w:r>
        <w:rPr>
          <w:w w:val="100"/>
        </w:rPr>
        <w:t> </w:t>
      </w:r>
      <w:r>
        <w:rPr/>
        <w:t>约而产生重大损失。</w:t>
      </w:r>
    </w:p>
    <w:p>
      <w:pPr>
        <w:pStyle w:val="Heading3"/>
        <w:spacing w:line="285" w:lineRule="exact"/>
        <w:ind w:right="0"/>
        <w:jc w:val="left"/>
      </w:pPr>
      <w:r>
        <w:rPr/>
        <w:t> </w:t>
      </w:r>
    </w:p>
    <w:p>
      <w:pPr>
        <w:pStyle w:val="Heading3"/>
        <w:spacing w:line="313" w:lineRule="exact"/>
        <w:ind w:right="0"/>
        <w:jc w:val="left"/>
      </w:pPr>
      <w:r>
        <w:rPr/>
        <w:t> </w:t>
      </w:r>
    </w:p>
    <w:p>
      <w:pPr>
        <w:spacing w:after="0" w:line="313" w:lineRule="exact"/>
        <w:jc w:val="left"/>
        <w:sectPr>
          <w:type w:val="continuous"/>
          <w:pgSz w:w="11910" w:h="16840"/>
          <w:pgMar w:top="1500" w:bottom="280" w:left="1040" w:right="1480"/>
        </w:sectPr>
      </w:pPr>
    </w:p>
    <w:p>
      <w:pPr>
        <w:pStyle w:val="Heading4"/>
        <w:spacing w:line="273" w:lineRule="auto"/>
        <w:ind w:left="236" w:right="0" w:firstLine="142"/>
        <w:jc w:val="left"/>
        <w:rPr>
          <w:rFonts w:ascii="宋体" w:hAnsi="宋体" w:cs="宋体" w:eastAsia="宋体" w:hint="default"/>
          <w:b w:val="0"/>
          <w:bCs w:val="0"/>
        </w:rPr>
      </w:pPr>
      <w:r>
        <w:rPr>
          <w:rFonts w:ascii="Times New Roman" w:hAnsi="Times New Roman" w:cs="Times New Roman" w:eastAsia="Times New Roman"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9"/>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sz w:val="24"/>
          <w:szCs w:val="24"/>
        </w:rPr>
        <w:t> </w:t>
      </w:r>
      <w:r>
        <w:rPr>
          <w:rFonts w:ascii="宋体" w:hAnsi="宋体" w:cs="宋体" w:eastAsia="宋体" w:hint="default"/>
          <w:sz w:val="24"/>
          <w:szCs w:val="24"/>
        </w:rPr>
      </w:r>
    </w:p>
    <w:p>
      <w:pPr>
        <w:spacing w:after="0" w:line="240" w:lineRule="auto"/>
        <w:jc w:val="left"/>
        <w:rPr>
          <w:rFonts w:ascii="宋体" w:hAnsi="宋体" w:cs="宋体" w:eastAsia="宋体" w:hint="default"/>
          <w:sz w:val="24"/>
          <w:szCs w:val="24"/>
        </w:rPr>
        <w:sectPr>
          <w:type w:val="continuous"/>
          <w:pgSz w:w="11910" w:h="16840"/>
          <w:pgMar w:top="1500" w:bottom="280" w:left="1040" w:right="1480"/>
          <w:cols w:num="2" w:equalWidth="0">
            <w:col w:w="2669" w:space="3853"/>
            <w:col w:w="2868"/>
          </w:cols>
        </w:sectPr>
      </w:pPr>
    </w:p>
    <w:p>
      <w:pPr>
        <w:spacing w:line="240" w:lineRule="auto" w:before="7"/>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8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
                <w:sz w:val="21"/>
              </w:rPr>
              <w:t>10,160,181.83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z w:val="21"/>
              </w:rPr>
              <w:t>91.37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
                <w:sz w:val="21"/>
              </w:rPr>
              <w:t>17,032,615.41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z w:val="21"/>
              </w:rPr>
              <w:t>97.15</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
                <w:sz w:val="21"/>
              </w:rPr>
              <w:t>509,005.23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z w:val="21"/>
              </w:rPr>
              <w:t>4.58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
                <w:sz w:val="21"/>
              </w:rPr>
              <w:t>85,530.83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z w:val="21"/>
              </w:rPr>
              <w:t>0.49</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
                <w:sz w:val="21"/>
              </w:rPr>
              <w:t>69,151.36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z w:val="21"/>
              </w:rPr>
              <w:t>0.62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
                <w:sz w:val="21"/>
              </w:rPr>
              <w:t>399,645.24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z w:val="21"/>
              </w:rPr>
              <w:t>2.28</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
                <w:sz w:val="21"/>
              </w:rPr>
              <w:t>381,657.93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z w:val="21"/>
              </w:rPr>
              <w:t>3.43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
                <w:sz w:val="21"/>
              </w:rPr>
              <w:t>14,284.77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z w:val="21"/>
              </w:rPr>
              <w:t>0.08</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4"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8"/>
              <w:jc w:val="right"/>
              <w:rPr>
                <w:rFonts w:ascii="Times New Roman" w:hAnsi="Times New Roman" w:cs="Times New Roman" w:eastAsia="Times New Roman" w:hint="default"/>
                <w:sz w:val="21"/>
                <w:szCs w:val="21"/>
              </w:rPr>
            </w:pPr>
            <w:r>
              <w:rPr>
                <w:rFonts w:ascii="Times New Roman"/>
                <w:spacing w:val="-1"/>
                <w:sz w:val="21"/>
              </w:rPr>
              <w:t>11,119,996.35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8"/>
              <w:jc w:val="right"/>
              <w:rPr>
                <w:rFonts w:ascii="Times New Roman" w:hAnsi="Times New Roman" w:cs="Times New Roman" w:eastAsia="Times New Roman" w:hint="default"/>
                <w:sz w:val="21"/>
                <w:szCs w:val="21"/>
              </w:rPr>
            </w:pPr>
            <w:r>
              <w:rPr>
                <w:rFonts w:ascii="Times New Roman"/>
                <w:sz w:val="21"/>
              </w:rPr>
              <w:t>100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8"/>
              <w:jc w:val="right"/>
              <w:rPr>
                <w:rFonts w:ascii="Times New Roman" w:hAnsi="Times New Roman" w:cs="Times New Roman" w:eastAsia="Times New Roman" w:hint="default"/>
                <w:sz w:val="21"/>
                <w:szCs w:val="21"/>
              </w:rPr>
            </w:pPr>
            <w:r>
              <w:rPr>
                <w:rFonts w:ascii="Times New Roman"/>
                <w:spacing w:val="-1"/>
                <w:sz w:val="21"/>
              </w:rPr>
              <w:t>17,532,076.25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0"/>
              <w:jc w:val="right"/>
              <w:rPr>
                <w:rFonts w:ascii="Times New Roman" w:hAnsi="Times New Roman" w:cs="Times New Roman" w:eastAsia="Times New Roman" w:hint="default"/>
                <w:sz w:val="21"/>
                <w:szCs w:val="21"/>
              </w:rPr>
            </w:pPr>
            <w:r>
              <w:rPr>
                <w:rFonts w:ascii="Times New Roman"/>
                <w:sz w:val="21"/>
              </w:rPr>
              <w:t>100</w:t>
            </w:r>
          </w:p>
        </w:tc>
      </w:tr>
    </w:tbl>
    <w:p>
      <w:pPr>
        <w:pStyle w:val="BodyText"/>
        <w:spacing w:line="239" w:lineRule="exact"/>
        <w:ind w:left="236" w:right="0"/>
        <w:jc w:val="left"/>
        <w:rPr>
          <w:rFonts w:ascii="宋体" w:hAnsi="宋体" w:cs="宋体" w:eastAsia="宋体" w:hint="default"/>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rPr>
        <w:t> </w:t>
      </w:r>
    </w:p>
    <w:p>
      <w:pPr>
        <w:pStyle w:val="Heading4"/>
        <w:spacing w:line="290" w:lineRule="auto" w:before="0"/>
        <w:ind w:left="236" w:right="4109"/>
        <w:jc w:val="left"/>
        <w:rPr>
          <w:rFonts w:ascii="宋体" w:hAnsi="宋体" w:cs="宋体" w:eastAsia="宋体" w:hint="default"/>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(2).</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12"/>
        <w:ind w:left="236" w:right="0"/>
        <w:jc w:val="left"/>
        <w:rPr>
          <w:rFonts w:ascii="宋体" w:hAnsi="宋体" w:cs="宋体" w:eastAsia="宋体" w:hint="default"/>
          <w:sz w:val="24"/>
          <w:szCs w:val="24"/>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right="0"/>
        <w:jc w:val="left"/>
      </w:pPr>
      <w:r>
        <w:rPr/>
        <w:t> </w:t>
      </w: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116"/>
        <w:gridCol w:w="2549"/>
        <w:gridCol w:w="3159"/>
      </w:tblGrid>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0"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占预付账款合计数的比例（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期末余额前五名预付款项汇总</w:t>
            </w:r>
            <w:r>
              <w:rPr>
                <w:rFonts w:ascii="宋体" w:hAnsi="宋体" w:cs="宋体" w:eastAsia="宋体" w:hint="default"/>
                <w:sz w:val="21"/>
                <w:szCs w:val="21"/>
              </w:rPr>
              <w:t> </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34" w:right="0"/>
              <w:jc w:val="left"/>
              <w:rPr>
                <w:rFonts w:ascii="Times New Roman" w:hAnsi="Times New Roman" w:cs="Times New Roman" w:eastAsia="Times New Roman" w:hint="default"/>
                <w:sz w:val="21"/>
                <w:szCs w:val="21"/>
              </w:rPr>
            </w:pPr>
            <w:r>
              <w:rPr>
                <w:rFonts w:ascii="Times New Roman"/>
                <w:sz w:val="21"/>
              </w:rPr>
              <w:t>5,074,318.79</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45.63</w:t>
            </w:r>
          </w:p>
        </w:tc>
      </w:tr>
    </w:tbl>
    <w:p>
      <w:pPr>
        <w:pStyle w:val="Heading3"/>
        <w:spacing w:line="274" w:lineRule="exact"/>
        <w:ind w:right="0"/>
        <w:jc w:val="left"/>
      </w:pPr>
      <w:r>
        <w:rPr/>
        <w:t> </w:t>
      </w:r>
    </w:p>
    <w:p>
      <w:pPr>
        <w:pStyle w:val="BodyText"/>
        <w:spacing w:line="274" w:lineRule="exact" w:before="1"/>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left="236"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right="0"/>
        <w:jc w:val="left"/>
      </w:pPr>
      <w:r>
        <w:rPr/>
        <w:t> </w:t>
      </w:r>
    </w:p>
    <w:p>
      <w:pPr>
        <w:spacing w:after="0" w:line="309" w:lineRule="exact"/>
        <w:jc w:val="left"/>
        <w:sectPr>
          <w:type w:val="continuous"/>
          <w:pgSz w:w="11910" w:h="16840"/>
          <w:pgMar w:top="1500" w:bottom="280" w:left="1040" w:right="1480"/>
        </w:sect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79" w:top="1120" w:bottom="1160" w:left="1040" w:right="1560"/>
        </w:sectPr>
      </w:pPr>
    </w:p>
    <w:p>
      <w:pPr>
        <w:pStyle w:val="Heading4"/>
        <w:spacing w:line="273" w:lineRule="auto" w:before="36"/>
        <w:ind w:left="236" w:right="150" w:firstLine="142"/>
        <w:jc w:val="left"/>
        <w:rPr>
          <w:rFonts w:ascii="宋体" w:hAnsi="宋体" w:cs="宋体" w:eastAsia="宋体" w:hint="default"/>
          <w:b w:val="0"/>
          <w:bCs w:val="0"/>
        </w:rPr>
      </w:pPr>
      <w:r>
        <w:rPr>
          <w:rFonts w:ascii="Times New Roman" w:hAnsi="Times New Roman" w:cs="Times New Roman" w:eastAsia="Times New Roman" w:hint="default"/>
        </w:rPr>
        <w:t>8</w:t>
      </w:r>
      <w:r>
        <w:rPr/>
        <w:t>、</w:t>
      </w:r>
      <w:r>
        <w:rPr>
          <w:spacing w:val="-1"/>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9"/>
        <w:ind w:left="236" w:right="15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6"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
                <w:sz w:val="21"/>
              </w:rPr>
              <w:t>55,328,891.90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45,920,454.33</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
                <w:sz w:val="21"/>
              </w:rPr>
              <w:t>55,328,891.90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45,920,454.33</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500" w:bottom="280" w:left="1040" w:right="1560"/>
        </w:sectPr>
      </w:pPr>
    </w:p>
    <w:p>
      <w:pPr>
        <w:pStyle w:val="BodyText"/>
        <w:spacing w:line="237" w:lineRule="exact"/>
        <w:ind w:left="236" w:right="0"/>
        <w:jc w:val="left"/>
        <w:rPr>
          <w:rFonts w:ascii="宋体" w:hAnsi="宋体" w:cs="宋体" w:eastAsia="宋体" w:hint="default"/>
        </w:rPr>
      </w:pPr>
      <w:r>
        <w:rPr>
          <w:rFonts w:ascii="宋体"/>
          <w:w w:val="100"/>
        </w:rPr>
        <w:t> </w:t>
      </w:r>
    </w:p>
    <w:p>
      <w:pPr>
        <w:pStyle w:val="Heading3"/>
        <w:spacing w:line="310" w:lineRule="exact"/>
        <w:ind w:right="0"/>
        <w:jc w:val="left"/>
      </w:pPr>
      <w:r>
        <w:rPr>
          <w:rFonts w:ascii="宋体" w:hAnsi="宋体" w:cs="宋体" w:eastAsia="宋体" w:hint="default"/>
        </w:rPr>
        <w:t>其他说明：</w:t>
      </w:r>
      <w:r>
        <w:rPr/>
        <w:t> </w:t>
      </w:r>
    </w:p>
    <w:p>
      <w:pPr>
        <w:pStyle w:val="BodyText"/>
        <w:spacing w:line="271" w:lineRule="exact" w:before="1"/>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right="0"/>
        <w:jc w:val="left"/>
      </w:pPr>
      <w:r>
        <w:rPr/>
        <w:t> </w:t>
      </w:r>
    </w:p>
    <w:p>
      <w:pPr>
        <w:pStyle w:val="Heading4"/>
        <w:spacing w:line="240" w:lineRule="auto"/>
        <w:ind w:left="236" w:right="0"/>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left="236"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2"/>
        </w:rPr>
        <w:t> </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43"/>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sz w:val="24"/>
          <w:szCs w:val="24"/>
        </w:rPr>
        <w:t> </w:t>
      </w:r>
      <w:r>
        <w:rPr>
          <w:rFonts w:ascii="宋体" w:hAnsi="宋体" w:cs="宋体" w:eastAsia="宋体" w:hint="default"/>
          <w:sz w:val="24"/>
          <w:szCs w:val="24"/>
        </w:rPr>
        <w:t> </w:t>
      </w:r>
    </w:p>
    <w:p>
      <w:pPr>
        <w:pStyle w:val="Heading3"/>
        <w:spacing w:line="309" w:lineRule="exact"/>
        <w:ind w:right="0"/>
        <w:jc w:val="left"/>
      </w:pPr>
      <w:r>
        <w:rPr/>
        <w:t> </w:t>
      </w:r>
    </w:p>
    <w:p>
      <w:pPr>
        <w:pStyle w:val="Heading4"/>
        <w:spacing w:line="240" w:lineRule="auto"/>
        <w:ind w:left="236"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2"/>
        </w:rPr>
        <w:t> </w:t>
      </w:r>
      <w:r>
        <w:rPr/>
        <w:t>重要逾期利息</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40"/>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sz w:val="24"/>
          <w:szCs w:val="24"/>
        </w:rPr>
        <w:t> </w:t>
      </w:r>
      <w:r>
        <w:rPr>
          <w:rFonts w:ascii="宋体" w:hAnsi="宋体" w:cs="宋体" w:eastAsia="宋体" w:hint="default"/>
          <w:sz w:val="24"/>
          <w:szCs w:val="24"/>
        </w:rPr>
        <w:t> </w:t>
      </w:r>
    </w:p>
    <w:p>
      <w:pPr>
        <w:pStyle w:val="Heading3"/>
        <w:spacing w:line="310" w:lineRule="exact"/>
        <w:ind w:right="0"/>
        <w:jc w:val="left"/>
      </w:pPr>
      <w:r>
        <w:rPr/>
        <w:t> </w:t>
      </w:r>
    </w:p>
    <w:p>
      <w:pPr>
        <w:pStyle w:val="Heading4"/>
        <w:spacing w:line="240" w:lineRule="auto" w:before="61"/>
        <w:ind w:left="236" w:right="0"/>
        <w:jc w:val="left"/>
        <w:rPr>
          <w:rFonts w:ascii="宋体" w:hAnsi="宋体" w:cs="宋体" w:eastAsia="宋体" w:hint="default"/>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3"/>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43"/>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right="0"/>
        <w:jc w:val="left"/>
      </w:pPr>
      <w:r>
        <w:rPr/>
        <w:t> </w:t>
      </w:r>
    </w:p>
    <w:p>
      <w:pPr>
        <w:pStyle w:val="BodyText"/>
        <w:spacing w:line="274" w:lineRule="exact" w:before="4"/>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left="236"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right="0"/>
        <w:jc w:val="left"/>
      </w:pPr>
      <w:r>
        <w:rPr/>
        <w:t> </w:t>
      </w:r>
    </w:p>
    <w:p>
      <w:pPr>
        <w:pStyle w:val="Heading4"/>
        <w:spacing w:line="240" w:lineRule="auto"/>
        <w:ind w:left="236" w:right="0"/>
        <w:jc w:val="left"/>
        <w:rPr>
          <w:rFonts w:ascii="宋体" w:hAnsi="宋体" w:cs="宋体" w:eastAsia="宋体" w:hint="default"/>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2"/>
        </w:rPr>
        <w:t> </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40"/>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sz w:val="24"/>
          <w:szCs w:val="24"/>
        </w:rPr>
        <w:t> </w:t>
      </w:r>
      <w:r>
        <w:rPr>
          <w:rFonts w:ascii="宋体" w:hAnsi="宋体" w:cs="宋体" w:eastAsia="宋体" w:hint="default"/>
          <w:sz w:val="24"/>
          <w:szCs w:val="24"/>
        </w:rPr>
        <w:t> </w:t>
      </w:r>
    </w:p>
    <w:p>
      <w:pPr>
        <w:pStyle w:val="Heading3"/>
        <w:spacing w:line="310" w:lineRule="exact"/>
        <w:ind w:right="0"/>
        <w:jc w:val="left"/>
      </w:pPr>
      <w:r>
        <w:rPr/>
        <w:t> </w:t>
      </w:r>
    </w:p>
    <w:p>
      <w:pPr>
        <w:pStyle w:val="Heading4"/>
        <w:spacing w:line="240" w:lineRule="auto" w:before="61"/>
        <w:ind w:left="236" w:right="0"/>
        <w:jc w:val="left"/>
        <w:rPr>
          <w:rFonts w:ascii="宋体" w:hAnsi="宋体" w:cs="宋体" w:eastAsia="宋体" w:hint="default"/>
          <w:b w:val="0"/>
          <w:bCs w:val="0"/>
        </w:rPr>
      </w:pPr>
      <w:r>
        <w:rPr>
          <w:rFonts w:ascii="Times New Roman" w:hAnsi="Times New Roman" w:cs="Times New Roman" w:eastAsia="Times New Roman" w:hint="default"/>
        </w:rPr>
        <w:t>(5).  </w:t>
      </w:r>
      <w:r>
        <w:rPr/>
        <w:t>重要的账龄超过 </w:t>
      </w:r>
      <w:r>
        <w:rPr>
          <w:rFonts w:ascii="宋体" w:hAnsi="宋体" w:cs="宋体" w:eastAsia="宋体" w:hint="default"/>
        </w:rPr>
        <w:t>1</w:t>
      </w:r>
      <w:r>
        <w:rPr>
          <w:rFonts w:ascii="宋体" w:hAnsi="宋体" w:cs="宋体" w:eastAsia="宋体" w:hint="default"/>
          <w:spacing w:val="-83"/>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23"/>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40"/>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right="0"/>
        <w:jc w:val="left"/>
      </w:pPr>
      <w:r>
        <w:rPr/>
        <w:t> </w:t>
      </w:r>
    </w:p>
    <w:p>
      <w:pPr>
        <w:pStyle w:val="BodyText"/>
        <w:spacing w:line="274" w:lineRule="exact" w:before="2"/>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right="0"/>
        <w:jc w:val="left"/>
      </w:pPr>
      <w:r>
        <w:rPr>
          <w:color w:val="FF0000"/>
        </w:rPr>
        <w:t> </w:t>
      </w:r>
      <w:r>
        <w:rPr/>
      </w:r>
    </w:p>
    <w:p>
      <w:pPr>
        <w:pStyle w:val="Heading4"/>
        <w:spacing w:line="240" w:lineRule="auto"/>
        <w:ind w:left="236" w:right="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left="236" w:right="0"/>
        <w:jc w:val="left"/>
        <w:rPr>
          <w:rFonts w:ascii="宋体" w:hAnsi="宋体" w:cs="宋体" w:eastAsia="宋体" w:hint="default"/>
          <w:b w:val="0"/>
          <w:bCs w:val="0"/>
        </w:rPr>
      </w:pPr>
      <w:r>
        <w:rPr/>
        <w:t>（</w:t>
      </w:r>
      <w:r>
        <w:rPr>
          <w:rFonts w:ascii="宋体" w:hAnsi="宋体" w:cs="宋体" w:eastAsia="宋体" w:hint="default"/>
        </w:rPr>
        <w:t>1</w:t>
      </w:r>
      <w:r>
        <w:rPr/>
        <w:t>）</w:t>
      </w:r>
      <w:r>
        <w:rPr>
          <w:rFonts w:ascii="宋体" w:hAnsi="宋体" w:cs="宋体" w:eastAsia="宋体" w:hint="default"/>
        </w:rPr>
        <w:t>.</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40" w:right="1560"/>
          <w:cols w:num="2" w:equalWidth="0">
            <w:col w:w="3726" w:space="2797"/>
            <w:col w:w="278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8" w:right="0"/>
              <w:jc w:val="left"/>
              <w:rPr>
                <w:rFonts w:ascii="宋体" w:hAnsi="宋体" w:cs="宋体" w:eastAsia="宋体" w:hint="default"/>
                <w:sz w:val="24"/>
                <w:szCs w:val="24"/>
              </w:rPr>
            </w:pPr>
            <w:r>
              <w:rPr>
                <w:rFonts w:ascii="宋体" w:hAnsi="宋体" w:cs="宋体" w:eastAsia="宋体" w:hint="default"/>
                <w:sz w:val="21"/>
                <w:szCs w:val="21"/>
              </w:rPr>
              <w:t>期末账面余额</w:t>
            </w:r>
            <w:r>
              <w:rPr>
                <w:rFonts w:ascii="宋体" w:hAnsi="宋体" w:cs="宋体" w:eastAsia="宋体" w:hint="default"/>
                <w:sz w:val="24"/>
                <w:szCs w:val="24"/>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
                <w:sz w:val="21"/>
              </w:rPr>
              <w:t>33,648,808.54</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年以内分项</w:t>
            </w:r>
          </w:p>
        </w:tc>
      </w:tr>
    </w:tbl>
    <w:p>
      <w:pPr>
        <w:spacing w:after="0" w:line="257" w:lineRule="exact"/>
        <w:jc w:val="left"/>
        <w:rPr>
          <w:rFonts w:ascii="宋体" w:hAnsi="宋体" w:cs="宋体" w:eastAsia="宋体" w:hint="default"/>
          <w:sz w:val="21"/>
          <w:szCs w:val="21"/>
        </w:rPr>
        <w:sectPr>
          <w:type w:val="continuous"/>
          <w:pgSz w:w="11910" w:h="16840"/>
          <w:pgMar w:top="1500" w:bottom="280" w:left="1040" w:right="1560"/>
        </w:sectPr>
      </w:pPr>
    </w:p>
    <w:p>
      <w:pPr>
        <w:spacing w:line="240" w:lineRule="auto" w:before="11"/>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
                <w:sz w:val="21"/>
              </w:rPr>
              <w:t>33,648,808.54</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15,134,207.73</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7,199,537.70</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6,765,613.31</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2,667,547.60</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1,673,548.93</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
                <w:sz w:val="21"/>
              </w:rPr>
              <w:t>67,089,263.81</w:t>
            </w:r>
          </w:p>
        </w:tc>
      </w:tr>
    </w:tbl>
    <w:p>
      <w:pPr>
        <w:spacing w:after="0" w:line="235" w:lineRule="exact"/>
        <w:jc w:val="right"/>
        <w:rPr>
          <w:rFonts w:ascii="Times New Roman" w:hAnsi="Times New Roman" w:cs="Times New Roman" w:eastAsia="Times New Roman" w:hint="default"/>
          <w:sz w:val="21"/>
          <w:szCs w:val="21"/>
        </w:rPr>
        <w:sectPr>
          <w:pgSz w:w="11910" w:h="16840"/>
          <w:pgMar w:header="0" w:footer="979" w:top="1120" w:bottom="116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56"/>
        <w:ind w:left="236" w:right="0"/>
        <w:jc w:val="left"/>
        <w:rPr>
          <w:rFonts w:ascii="宋体" w:hAnsi="宋体" w:cs="宋体" w:eastAsia="宋体" w:hint="default"/>
          <w:b w:val="0"/>
          <w:bCs w:val="0"/>
        </w:rPr>
      </w:pPr>
      <w:r>
        <w:rPr/>
        <w:t>（</w:t>
      </w:r>
      <w:r>
        <w:rPr>
          <w:rFonts w:ascii="宋体" w:hAnsi="宋体" w:cs="宋体" w:eastAsia="宋体" w:hint="default"/>
        </w:rPr>
        <w:t>2</w:t>
      </w:r>
      <w:r>
        <w:rPr/>
        <w:t>）</w:t>
      </w:r>
      <w:r>
        <w:rPr>
          <w:rFonts w:ascii="宋体" w:hAnsi="宋体" w:cs="宋体" w:eastAsia="宋体" w:hint="default"/>
        </w:rPr>
        <w:t>.</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2875" w:space="3647"/>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4"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4"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39,111,024.42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36,823,053.43</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投标保证金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15,630,492.32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5,155,504.33</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备用金、押金及日常业务款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8,049,815.49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5,696,218.57</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right"/>
              <w:rPr>
                <w:rFonts w:ascii="宋体" w:hAnsi="宋体" w:cs="宋体" w:eastAsia="宋体" w:hint="default"/>
                <w:sz w:val="21"/>
                <w:szCs w:val="21"/>
              </w:rPr>
            </w:pPr>
            <w:r>
              <w:rPr>
                <w:rFonts w:ascii="Times New Roman"/>
                <w:spacing w:val="-4"/>
                <w:sz w:val="21"/>
              </w:rPr>
              <w:t>-</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4,297,931.58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4,294,119.55</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67,089,263.81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54,968,895.88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500" w:bottom="2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1"/>
          <w:szCs w:val="21"/>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40" w:right="1560"/>
          <w:cols w:num="2" w:equalWidth="0">
            <w:col w:w="2453" w:space="3966"/>
            <w:col w:w="2891"/>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283"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70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8"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9" w:right="143"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9"/>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790,092.28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8,258,356.33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9,048,448.61</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9"/>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313,261.65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313,261.65</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313,261.65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313,261.65</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853,186.46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4,892,899.43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5,746,085.89</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476,830.63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2,131,270.31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2,608,100.94</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112,800.00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112,800.00</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853,186.46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10,907,185.45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11,760,371.91</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pPr>
      <w:r>
        <w:rPr/>
        <w:t>对本期发生损失准备变动的其他应收款账面余额显著变动的情况说明：</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500" w:bottom="280" w:left="1040" w:right="1560"/>
        </w:sect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79" w:top="1120" w:bottom="1160" w:left="1040" w:right="1560"/>
        </w:sectPr>
      </w:pPr>
    </w:p>
    <w:p>
      <w:pPr>
        <w:pStyle w:val="Heading4"/>
        <w:spacing w:line="240" w:lineRule="auto" w:before="36"/>
        <w:ind w:left="236" w:right="0"/>
        <w:jc w:val="left"/>
        <w:rPr>
          <w:rFonts w:ascii="宋体" w:hAnsi="宋体" w:cs="宋体" w:eastAsia="宋体" w:hint="default"/>
          <w:b w:val="0"/>
          <w:bCs w:val="0"/>
        </w:rPr>
      </w:pPr>
      <w:r>
        <w:rPr>
          <w:rFonts w:ascii="Times New Roman" w:hAnsi="Times New Roman" w:cs="Times New Roman" w:eastAsia="Times New Roman" w:hint="default"/>
        </w:rPr>
        <w:t>(4).</w:t>
      </w:r>
      <w:r>
        <w:rPr/>
        <w:t>坏账准备的情况</w:t>
      </w:r>
      <w:r>
        <w:rPr>
          <w:rFonts w:ascii="宋体" w:hAnsi="宋体" w:cs="宋体" w:eastAsia="宋体" w:hint="default"/>
          <w:color w:val="FF0000"/>
          <w:w w:val="99"/>
        </w:rPr>
        <w:t> </w:t>
      </w:r>
      <w:r>
        <w:rPr>
          <w:rFonts w:ascii="宋体" w:hAnsi="宋体" w:cs="宋体" w:eastAsia="宋体" w:hint="default"/>
          <w:b w:val="0"/>
          <w:bCs w:val="0"/>
        </w:rPr>
      </w:r>
    </w:p>
    <w:p>
      <w:pPr>
        <w:pStyle w:val="BodyText"/>
        <w:spacing w:line="240" w:lineRule="auto" w:before="41"/>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500" w:bottom="280" w:left="1040" w:right="1560"/>
          <w:cols w:num="2" w:equalWidth="0">
            <w:col w:w="2117" w:space="4405"/>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45"/>
        <w:gridCol w:w="1345"/>
        <w:gridCol w:w="1327"/>
        <w:gridCol w:w="1330"/>
        <w:gridCol w:w="1171"/>
        <w:gridCol w:w="1008"/>
        <w:gridCol w:w="1436"/>
      </w:tblGrid>
      <w:tr>
        <w:trPr>
          <w:trHeight w:val="283" w:hRule="exact"/>
        </w:trPr>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6"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3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8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24"/>
                <w:szCs w:val="24"/>
              </w:rPr>
            </w:pPr>
            <w:r>
              <w:rPr>
                <w:rFonts w:ascii="宋体" w:hAnsi="宋体" w:cs="宋体" w:eastAsia="宋体" w:hint="default"/>
                <w:sz w:val="21"/>
                <w:szCs w:val="21"/>
              </w:rPr>
              <w:t>期末余额</w:t>
            </w:r>
            <w:r>
              <w:rPr>
                <w:rFonts w:ascii="宋体" w:hAnsi="宋体" w:cs="宋体" w:eastAsia="宋体" w:hint="default"/>
                <w:sz w:val="24"/>
                <w:szCs w:val="24"/>
              </w:rPr>
              <w:t> </w:t>
            </w:r>
          </w:p>
        </w:tc>
      </w:tr>
      <w:tr>
        <w:trPr>
          <w:trHeight w:val="554" w:hRule="exact"/>
        </w:trPr>
        <w:tc>
          <w:tcPr>
            <w:tcW w:w="1445"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9" w:right="0"/>
              <w:jc w:val="left"/>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4" w:lineRule="exact"/>
              <w:ind w:right="0"/>
              <w:jc w:val="righ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436" w:type="dxa"/>
            <w:vMerge/>
            <w:tcBorders>
              <w:left w:val="single" w:sz="4" w:space="0" w:color="000000"/>
              <w:bottom w:val="single" w:sz="4" w:space="0" w:color="000000"/>
              <w:right w:val="single" w:sz="4" w:space="0" w:color="000000"/>
            </w:tcBorders>
          </w:tcPr>
          <w:p>
            <w:pPr/>
          </w:p>
        </w:tc>
      </w:tr>
      <w:tr>
        <w:trPr>
          <w:trHeight w:val="828"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单项计提预</w:t>
            </w:r>
          </w:p>
          <w:p>
            <w:pPr>
              <w:pStyle w:val="TableParagraph"/>
              <w:spacing w:line="272" w:lineRule="exact" w:before="27"/>
              <w:ind w:left="108" w:right="168"/>
              <w:jc w:val="left"/>
              <w:rPr>
                <w:rFonts w:ascii="宋体" w:hAnsi="宋体" w:cs="宋体" w:eastAsia="宋体" w:hint="default"/>
                <w:sz w:val="21"/>
                <w:szCs w:val="21"/>
              </w:rPr>
            </w:pPr>
            <w:r>
              <w:rPr>
                <w:rFonts w:ascii="宋体" w:hAnsi="宋体" w:cs="宋体" w:eastAsia="宋体" w:hint="default"/>
                <w:sz w:val="21"/>
                <w:szCs w:val="21"/>
              </w:rPr>
              <w:t>期信用损失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的应收账款</w:t>
            </w:r>
            <w:r>
              <w:rPr>
                <w:rFonts w:ascii="宋体" w:hAnsi="宋体" w:cs="宋体" w:eastAsia="宋体" w:hint="default"/>
                <w:sz w:val="21"/>
                <w:szCs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90" w:right="-13"/>
              <w:jc w:val="left"/>
              <w:rPr>
                <w:rFonts w:ascii="宋体" w:hAnsi="宋体" w:cs="宋体" w:eastAsia="宋体" w:hint="default"/>
                <w:sz w:val="24"/>
                <w:szCs w:val="24"/>
              </w:rPr>
            </w:pPr>
            <w:r>
              <w:rPr>
                <w:rFonts w:ascii="宋体"/>
                <w:sz w:val="24"/>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r>
      <w:tr>
        <w:trPr>
          <w:trHeight w:val="1099"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按组合计提</w:t>
            </w:r>
          </w:p>
          <w:p>
            <w:pPr>
              <w:pStyle w:val="TableParagraph"/>
              <w:spacing w:line="237" w:lineRule="auto"/>
              <w:ind w:left="108" w:right="271"/>
              <w:jc w:val="both"/>
              <w:rPr>
                <w:rFonts w:ascii="宋体" w:hAnsi="宋体" w:cs="宋体" w:eastAsia="宋体" w:hint="default"/>
                <w:sz w:val="21"/>
                <w:szCs w:val="21"/>
              </w:rPr>
            </w:pPr>
            <w:r>
              <w:rPr>
                <w:rFonts w:ascii="宋体" w:hAnsi="宋体" w:cs="宋体" w:eastAsia="宋体" w:hint="default"/>
                <w:sz w:val="21"/>
                <w:szCs w:val="21"/>
              </w:rPr>
              <w:t>预期信用损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失的应收账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r>
              <w:rPr>
                <w:rFonts w:ascii="宋体" w:hAnsi="宋体" w:cs="宋体" w:eastAsia="宋体" w:hint="default"/>
                <w:sz w:val="21"/>
                <w:szCs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22" w:right="0"/>
              <w:jc w:val="left"/>
              <w:rPr>
                <w:rFonts w:ascii="Times New Roman" w:hAnsi="Times New Roman" w:cs="Times New Roman" w:eastAsia="Times New Roman" w:hint="default"/>
                <w:sz w:val="21"/>
                <w:szCs w:val="21"/>
              </w:rPr>
            </w:pPr>
            <w:r>
              <w:rPr>
                <w:rFonts w:ascii="Times New Roman"/>
                <w:sz w:val="21"/>
              </w:rPr>
              <w:t>9,048,448.61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7" w:right="0"/>
              <w:jc w:val="left"/>
              <w:rPr>
                <w:rFonts w:ascii="Times New Roman" w:hAnsi="Times New Roman" w:cs="Times New Roman" w:eastAsia="Times New Roman" w:hint="default"/>
                <w:sz w:val="21"/>
                <w:szCs w:val="21"/>
              </w:rPr>
            </w:pPr>
            <w:r>
              <w:rPr>
                <w:rFonts w:ascii="Times New Roman"/>
                <w:sz w:val="21"/>
              </w:rPr>
              <w:t>5,432,824.24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10" w:right="0"/>
              <w:jc w:val="left"/>
              <w:rPr>
                <w:rFonts w:ascii="Times New Roman" w:hAnsi="Times New Roman" w:cs="Times New Roman" w:eastAsia="Times New Roman" w:hint="default"/>
                <w:sz w:val="21"/>
                <w:szCs w:val="21"/>
              </w:rPr>
            </w:pPr>
            <w:r>
              <w:rPr>
                <w:rFonts w:ascii="Times New Roman"/>
                <w:sz w:val="21"/>
              </w:rPr>
              <w:t>2,608,100.94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8" w:right="0"/>
              <w:jc w:val="left"/>
              <w:rPr>
                <w:rFonts w:ascii="Times New Roman" w:hAnsi="Times New Roman" w:cs="Times New Roman" w:eastAsia="Times New Roman" w:hint="default"/>
                <w:sz w:val="21"/>
                <w:szCs w:val="21"/>
              </w:rPr>
            </w:pPr>
            <w:r>
              <w:rPr>
                <w:rFonts w:ascii="Times New Roman"/>
                <w:sz w:val="21"/>
              </w:rPr>
              <w:t>112,800.00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820" w:right="0"/>
              <w:jc w:val="left"/>
              <w:rPr>
                <w:rFonts w:ascii="Times New Roman" w:hAnsi="Times New Roman" w:cs="Times New Roman" w:eastAsia="Times New Roman" w:hint="default"/>
                <w:sz w:val="21"/>
                <w:szCs w:val="21"/>
              </w:rPr>
            </w:pPr>
            <w:r>
              <w:rPr>
                <w:rFonts w:ascii="Times New Roman"/>
                <w:w w:val="100"/>
                <w:sz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7" w:right="0"/>
              <w:jc w:val="left"/>
              <w:rPr>
                <w:rFonts w:ascii="Times New Roman" w:hAnsi="Times New Roman" w:cs="Times New Roman" w:eastAsia="Times New Roman" w:hint="default"/>
                <w:sz w:val="21"/>
                <w:szCs w:val="21"/>
              </w:rPr>
            </w:pPr>
            <w:r>
              <w:rPr>
                <w:rFonts w:ascii="Times New Roman"/>
                <w:sz w:val="21"/>
              </w:rPr>
              <w:t>11,760,371.91</w:t>
            </w:r>
          </w:p>
        </w:tc>
      </w:tr>
      <w:tr>
        <w:trPr>
          <w:trHeight w:val="284"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left"/>
              <w:rPr>
                <w:rFonts w:ascii="Times New Roman" w:hAnsi="Times New Roman" w:cs="Times New Roman" w:eastAsia="Times New Roman" w:hint="default"/>
                <w:sz w:val="21"/>
                <w:szCs w:val="21"/>
              </w:rPr>
            </w:pPr>
            <w:r>
              <w:rPr>
                <w:rFonts w:ascii="Times New Roman"/>
                <w:sz w:val="21"/>
              </w:rPr>
              <w:t>9,048,448.61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7" w:right="0"/>
              <w:jc w:val="left"/>
              <w:rPr>
                <w:rFonts w:ascii="Times New Roman" w:hAnsi="Times New Roman" w:cs="Times New Roman" w:eastAsia="Times New Roman" w:hint="default"/>
                <w:sz w:val="21"/>
                <w:szCs w:val="21"/>
              </w:rPr>
            </w:pPr>
            <w:r>
              <w:rPr>
                <w:rFonts w:ascii="Times New Roman"/>
                <w:sz w:val="21"/>
              </w:rPr>
              <w:t>5,432,824.24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0" w:right="0"/>
              <w:jc w:val="left"/>
              <w:rPr>
                <w:rFonts w:ascii="Times New Roman" w:hAnsi="Times New Roman" w:cs="Times New Roman" w:eastAsia="Times New Roman" w:hint="default"/>
                <w:sz w:val="21"/>
                <w:szCs w:val="21"/>
              </w:rPr>
            </w:pPr>
            <w:r>
              <w:rPr>
                <w:rFonts w:ascii="Times New Roman"/>
                <w:sz w:val="21"/>
              </w:rPr>
              <w:t>2,608,100.94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left"/>
              <w:rPr>
                <w:rFonts w:ascii="Times New Roman" w:hAnsi="Times New Roman" w:cs="Times New Roman" w:eastAsia="Times New Roman" w:hint="default"/>
                <w:sz w:val="21"/>
                <w:szCs w:val="21"/>
              </w:rPr>
            </w:pPr>
            <w:r>
              <w:rPr>
                <w:rFonts w:ascii="Times New Roman"/>
                <w:sz w:val="21"/>
              </w:rPr>
              <w:t>112,800.00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20" w:right="0"/>
              <w:jc w:val="left"/>
              <w:rPr>
                <w:rFonts w:ascii="Times New Roman" w:hAnsi="Times New Roman" w:cs="Times New Roman" w:eastAsia="Times New Roman" w:hint="default"/>
                <w:sz w:val="21"/>
                <w:szCs w:val="21"/>
              </w:rPr>
            </w:pPr>
            <w:r>
              <w:rPr>
                <w:rFonts w:ascii="Times New Roman"/>
                <w:w w:val="100"/>
                <w:sz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7" w:right="0"/>
              <w:jc w:val="left"/>
              <w:rPr>
                <w:rFonts w:ascii="Times New Roman" w:hAnsi="Times New Roman" w:cs="Times New Roman" w:eastAsia="Times New Roman" w:hint="default"/>
                <w:sz w:val="21"/>
                <w:szCs w:val="21"/>
              </w:rPr>
            </w:pPr>
            <w:r>
              <w:rPr>
                <w:rFonts w:ascii="Times New Roman"/>
                <w:sz w:val="21"/>
              </w:rPr>
              <w:t>11,760,371.91</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500" w:bottom="2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6"/>
        <w:ind w:left="236" w:right="0"/>
        <w:jc w:val="left"/>
        <w:rPr>
          <w:rFonts w:ascii="宋体" w:hAnsi="宋体" w:cs="宋体" w:eastAsia="宋体" w:hint="default"/>
          <w:b w:val="0"/>
          <w:bCs w:val="0"/>
        </w:rPr>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0"/>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40" w:right="1560"/>
          <w:cols w:num="2" w:equalWidth="0">
            <w:col w:w="4335" w:space="2187"/>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4431"/>
        <w:gridCol w:w="4465"/>
      </w:tblGrid>
      <w:tr>
        <w:trPr>
          <w:trHeight w:val="281"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 w:right="0"/>
              <w:jc w:val="center"/>
              <w:rPr>
                <w:rFonts w:ascii="宋体" w:hAnsi="宋体" w:cs="宋体" w:eastAsia="宋体" w:hint="default"/>
                <w:sz w:val="24"/>
                <w:szCs w:val="24"/>
              </w:rPr>
            </w:pPr>
            <w:r>
              <w:rPr>
                <w:rFonts w:ascii="宋体" w:hAnsi="宋体" w:cs="宋体" w:eastAsia="宋体" w:hint="default"/>
                <w:sz w:val="21"/>
                <w:szCs w:val="21"/>
              </w:rPr>
              <w:t>核销金额</w:t>
            </w:r>
            <w:r>
              <w:rPr>
                <w:rFonts w:ascii="宋体" w:hAnsi="宋体" w:cs="宋体" w:eastAsia="宋体" w:hint="default"/>
                <w:sz w:val="24"/>
                <w:szCs w:val="24"/>
              </w:rPr>
              <w:t> </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112,800.00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500" w:bottom="280" w:left="1040" w:right="1560"/>
        </w:sectPr>
      </w:pPr>
    </w:p>
    <w:p>
      <w:pPr>
        <w:pStyle w:val="Heading3"/>
        <w:spacing w:line="274" w:lineRule="exact"/>
        <w:ind w:right="0"/>
        <w:jc w:val="left"/>
      </w:pPr>
      <w:r>
        <w:rPr/>
        <w:t> </w:t>
      </w:r>
    </w:p>
    <w:p>
      <w:pPr>
        <w:pStyle w:val="BodyText"/>
        <w:spacing w:line="273" w:lineRule="exact" w:before="4"/>
        <w:ind w:left="236" w:right="0"/>
        <w:jc w:val="left"/>
        <w:rPr>
          <w:rFonts w:ascii="宋体" w:hAnsi="宋体" w:cs="宋体" w:eastAsia="宋体" w:hint="default"/>
        </w:rPr>
      </w:pPr>
      <w:r>
        <w:rPr/>
        <w:t>其中重要的其他应收款核销情况：</w:t>
      </w:r>
      <w:r>
        <w:rPr>
          <w:rFonts w:ascii="宋体" w:hAnsi="宋体" w:cs="宋体" w:eastAsia="宋体" w:hint="default"/>
        </w:rPr>
        <w:t> </w:t>
      </w:r>
    </w:p>
    <w:p>
      <w:pPr>
        <w:pStyle w:val="BodyText"/>
        <w:spacing w:line="240" w:lineRule="auto"/>
        <w:ind w:left="236" w:right="14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其他应收款核销说明：</w:t>
      </w:r>
      <w:r>
        <w:rPr>
          <w:rFonts w:ascii="宋体" w:hAnsi="宋体" w:cs="宋体" w:eastAsia="宋体" w:hint="default"/>
          <w:b/>
          <w:bCs/>
          <w:w w:val="99"/>
        </w:rPr>
        <w:t> </w:t>
      </w:r>
      <w:r>
        <w:rPr>
          <w:rFonts w:ascii="宋体" w:hAnsi="宋体" w:cs="宋体" w:eastAsia="宋体" w:hint="default"/>
        </w:rPr>
      </w:r>
    </w:p>
    <w:p>
      <w:pPr>
        <w:pStyle w:val="BodyText"/>
        <w:spacing w:line="26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0" w:lineRule="exact"/>
        <w:ind w:right="0"/>
        <w:jc w:val="left"/>
      </w:pPr>
      <w:r>
        <w:rPr/>
        <w:t> </w:t>
      </w:r>
    </w:p>
    <w:p>
      <w:pPr>
        <w:pStyle w:val="Heading4"/>
        <w:spacing w:line="240" w:lineRule="auto" w:before="61"/>
        <w:ind w:left="236" w:right="0"/>
        <w:jc w:val="left"/>
        <w:rPr>
          <w:rFonts w:ascii="宋体" w:hAnsi="宋体" w:cs="宋体" w:eastAsia="宋体" w:hint="default"/>
          <w:b w:val="0"/>
          <w:bCs w:val="0"/>
        </w:rPr>
      </w:pPr>
      <w:r>
        <w:rPr>
          <w:rFonts w:ascii="Times New Roman" w:hAnsi="Times New Roman" w:cs="Times New Roman" w:eastAsia="Times New Roman" w:hint="default"/>
        </w:rPr>
        <w:t>(6</w:t>
      </w:r>
      <w:r>
        <w:rPr>
          <w:rFonts w:ascii="宋体" w:hAnsi="宋体" w:cs="宋体" w:eastAsia="宋体" w:hint="default"/>
        </w:rPr>
        <w:t>).</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4"/>
          <w:szCs w:val="34"/>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40" w:right="1560"/>
          <w:cols w:num="2" w:equalWidth="0">
            <w:col w:w="5370" w:space="1153"/>
            <w:col w:w="2787"/>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712"/>
        <w:gridCol w:w="1285"/>
        <w:gridCol w:w="1430"/>
        <w:gridCol w:w="1049"/>
        <w:gridCol w:w="1754"/>
        <w:gridCol w:w="1666"/>
      </w:tblGrid>
      <w:tr>
        <w:trPr>
          <w:trHeight w:val="826"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7"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40" w:lineRule="auto"/>
              <w:ind w:left="715" w:right="28" w:hanging="684"/>
              <w:jc w:val="left"/>
              <w:rPr>
                <w:rFonts w:ascii="宋体" w:hAnsi="宋体" w:cs="宋体" w:eastAsia="宋体" w:hint="default"/>
                <w:sz w:val="21"/>
                <w:szCs w:val="21"/>
              </w:rPr>
            </w:pPr>
            <w:r>
              <w:rPr>
                <w:rFonts w:ascii="宋体" w:hAnsi="宋体" w:cs="宋体" w:eastAsia="宋体" w:hint="default"/>
                <w:sz w:val="21"/>
                <w:szCs w:val="21"/>
              </w:rPr>
              <w:t>余额合计数的比例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05" w:right="30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其他应收客户一</w:t>
            </w:r>
            <w:r>
              <w:rPr>
                <w:rFonts w:ascii="宋体" w:hAnsi="宋体" w:cs="宋体" w:eastAsia="宋体" w:hint="default"/>
                <w:sz w:val="21"/>
                <w:szCs w:val="21"/>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投标保证金</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4" w:right="0"/>
              <w:jc w:val="center"/>
              <w:rPr>
                <w:rFonts w:ascii="Times New Roman" w:hAnsi="Times New Roman" w:cs="Times New Roman" w:eastAsia="Times New Roman" w:hint="default"/>
                <w:sz w:val="21"/>
                <w:szCs w:val="21"/>
              </w:rPr>
            </w:pPr>
            <w:r>
              <w:rPr>
                <w:rFonts w:ascii="Times New Roman"/>
                <w:sz w:val="21"/>
              </w:rPr>
              <w:t>5,645,007.00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8.41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169,350.21</w:t>
            </w:r>
          </w:p>
        </w:tc>
      </w:tr>
      <w:tr>
        <w:trPr>
          <w:trHeight w:val="55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其他应收客户二</w:t>
            </w:r>
            <w:r>
              <w:rPr>
                <w:rFonts w:ascii="宋体" w:hAnsi="宋体" w:cs="宋体" w:eastAsia="宋体" w:hint="default"/>
                <w:sz w:val="21"/>
                <w:szCs w:val="21"/>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履约保证金</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24" w:right="0"/>
              <w:jc w:val="center"/>
              <w:rPr>
                <w:rFonts w:ascii="Times New Roman" w:hAnsi="Times New Roman" w:cs="Times New Roman" w:eastAsia="Times New Roman" w:hint="default"/>
                <w:sz w:val="21"/>
                <w:szCs w:val="21"/>
              </w:rPr>
            </w:pPr>
            <w:r>
              <w:rPr>
                <w:rFonts w:ascii="Times New Roman"/>
                <w:sz w:val="21"/>
              </w:rPr>
              <w:t>4,821,143.00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0"/>
                <w:sz w:val="21"/>
                <w:szCs w:val="21"/>
              </w:rPr>
              <w:t> </w:t>
            </w:r>
            <w:r>
              <w:rPr>
                <w:rFonts w:ascii="宋体" w:hAnsi="宋体" w:cs="宋体" w:eastAsia="宋体" w:hint="default"/>
                <w:spacing w:val="14"/>
                <w:sz w:val="21"/>
                <w:szCs w:val="21"/>
              </w:rPr>
              <w:t>年以内</w:t>
            </w:r>
          </w:p>
          <w:p>
            <w:pPr>
              <w:pStyle w:val="TableParagraph"/>
              <w:spacing w:line="282" w:lineRule="exact"/>
              <w:ind w:left="26"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3-4 </w:t>
            </w:r>
            <w:r>
              <w:rPr>
                <w:rFonts w:ascii="宋体" w:hAnsi="宋体" w:cs="宋体" w:eastAsia="宋体" w:hint="default"/>
                <w:sz w:val="21"/>
                <w:szCs w:val="21"/>
              </w:rPr>
              <w:t>年</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7.19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1,518,396.76</w:t>
            </w:r>
          </w:p>
        </w:tc>
      </w:tr>
      <w:tr>
        <w:trPr>
          <w:trHeight w:val="28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其他应收客户三</w:t>
            </w:r>
            <w:r>
              <w:rPr>
                <w:rFonts w:ascii="宋体" w:hAnsi="宋体" w:cs="宋体" w:eastAsia="宋体" w:hint="default"/>
                <w:sz w:val="21"/>
                <w:szCs w:val="21"/>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投标保证金</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4" w:right="0"/>
              <w:jc w:val="center"/>
              <w:rPr>
                <w:rFonts w:ascii="Times New Roman" w:hAnsi="Times New Roman" w:cs="Times New Roman" w:eastAsia="Times New Roman" w:hint="default"/>
                <w:sz w:val="21"/>
                <w:szCs w:val="21"/>
              </w:rPr>
            </w:pPr>
            <w:r>
              <w:rPr>
                <w:rFonts w:ascii="Times New Roman"/>
                <w:sz w:val="21"/>
              </w:rPr>
              <w:t>3,000,000.00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4.47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90,000.00</w:t>
            </w:r>
          </w:p>
        </w:tc>
      </w:tr>
      <w:tr>
        <w:trPr>
          <w:trHeight w:val="28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其他应收客户四</w:t>
            </w:r>
            <w:r>
              <w:rPr>
                <w:rFonts w:ascii="宋体" w:hAnsi="宋体" w:cs="宋体" w:eastAsia="宋体" w:hint="default"/>
                <w:sz w:val="21"/>
                <w:szCs w:val="21"/>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履约保证金</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center"/>
              <w:rPr>
                <w:rFonts w:ascii="Times New Roman" w:hAnsi="Times New Roman" w:cs="Times New Roman" w:eastAsia="Times New Roman" w:hint="default"/>
                <w:sz w:val="21"/>
                <w:szCs w:val="21"/>
              </w:rPr>
            </w:pPr>
            <w:r>
              <w:rPr>
                <w:rFonts w:ascii="Times New Roman"/>
                <w:sz w:val="21"/>
              </w:rPr>
              <w:t>2,748,860.50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4.10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1,539,361.88</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其他应收客户五</w:t>
            </w:r>
            <w:r>
              <w:rPr>
                <w:rFonts w:ascii="宋体" w:hAnsi="宋体" w:cs="宋体" w:eastAsia="宋体" w:hint="default"/>
                <w:sz w:val="21"/>
                <w:szCs w:val="21"/>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履约保证金</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4" w:right="0"/>
              <w:jc w:val="center"/>
              <w:rPr>
                <w:rFonts w:ascii="Times New Roman" w:hAnsi="Times New Roman" w:cs="Times New Roman" w:eastAsia="Times New Roman" w:hint="default"/>
                <w:sz w:val="21"/>
                <w:szCs w:val="21"/>
              </w:rPr>
            </w:pPr>
            <w:r>
              <w:rPr>
                <w:rFonts w:ascii="Times New Roman"/>
                <w:sz w:val="21"/>
              </w:rPr>
              <w:t>2,000,000.00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2.98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260,000.00</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3" w:right="0"/>
              <w:jc w:val="center"/>
              <w:rPr>
                <w:rFonts w:ascii="Times New Roman" w:hAnsi="Times New Roman" w:cs="Times New Roman" w:eastAsia="Times New Roman" w:hint="default"/>
                <w:sz w:val="21"/>
                <w:szCs w:val="21"/>
              </w:rPr>
            </w:pPr>
            <w:r>
              <w:rPr>
                <w:rFonts w:ascii="Times New Roman"/>
                <w:sz w:val="21"/>
              </w:rPr>
              <w:t>18,215,010.50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7"/>
              <w:jc w:val="right"/>
              <w:rPr>
                <w:rFonts w:ascii="Times New Roman" w:hAnsi="Times New Roman" w:cs="Times New Roman" w:eastAsia="Times New Roman" w:hint="default"/>
                <w:sz w:val="21"/>
                <w:szCs w:val="21"/>
              </w:rPr>
            </w:pPr>
            <w:r>
              <w:rPr>
                <w:rFonts w:ascii="Times New Roman"/>
                <w:w w:val="100"/>
                <w:sz w:val="21"/>
              </w:rPr>
              <w:t>/</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27.15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3,577,108.85</w:t>
            </w:r>
          </w:p>
        </w:tc>
      </w:tr>
    </w:tbl>
    <w:p>
      <w:pPr>
        <w:pStyle w:val="Heading3"/>
        <w:spacing w:line="274" w:lineRule="exact"/>
        <w:ind w:right="0"/>
        <w:jc w:val="left"/>
      </w:pPr>
      <w:r>
        <w:rPr/>
        <w:t> </w:t>
      </w:r>
    </w:p>
    <w:p>
      <w:pPr>
        <w:pStyle w:val="Heading4"/>
        <w:spacing w:line="240" w:lineRule="auto" w:before="61"/>
        <w:ind w:left="236" w:right="0"/>
        <w:jc w:val="left"/>
        <w:rPr>
          <w:rFonts w:ascii="宋体" w:hAnsi="宋体" w:cs="宋体" w:eastAsia="宋体" w:hint="default"/>
          <w:b w:val="0"/>
          <w:bCs w:val="0"/>
        </w:rPr>
      </w:pPr>
      <w:r>
        <w:rPr>
          <w:rFonts w:ascii="Times New Roman" w:hAnsi="Times New Roman" w:cs="Times New Roman" w:eastAsia="Times New Roman" w:hint="default"/>
        </w:rPr>
        <w:t>(7). </w:t>
      </w:r>
      <w:r>
        <w:rPr>
          <w:rFonts w:ascii="Times New Roman" w:hAnsi="Times New Roman" w:cs="Times New Roman" w:eastAsia="Times New Roman" w:hint="default"/>
          <w:spacing w:val="22"/>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5"/>
          <w:szCs w:val="25"/>
        </w:rPr>
      </w:pPr>
    </w:p>
    <w:p>
      <w:pPr>
        <w:pStyle w:val="Heading4"/>
        <w:spacing w:line="240" w:lineRule="auto" w:before="0"/>
        <w:ind w:left="236" w:right="0"/>
        <w:jc w:val="left"/>
        <w:rPr>
          <w:rFonts w:ascii="宋体" w:hAnsi="宋体" w:cs="宋体" w:eastAsia="宋体" w:hint="default"/>
          <w:b w:val="0"/>
          <w:bCs w:val="0"/>
        </w:rPr>
      </w:pPr>
      <w:r>
        <w:rPr>
          <w:rFonts w:ascii="Times New Roman" w:hAnsi="Times New Roman" w:cs="Times New Roman" w:eastAsia="Times New Roman" w:hint="default"/>
        </w:rPr>
        <w:t>(8). </w:t>
      </w:r>
      <w:r>
        <w:rPr>
          <w:rFonts w:ascii="Times New Roman" w:hAnsi="Times New Roman" w:cs="Times New Roman" w:eastAsia="Times New Roman" w:hint="default"/>
          <w:spacing w:val="21"/>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36"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40" w:right="1560"/>
        </w:sectPr>
      </w:pPr>
    </w:p>
    <w:p>
      <w:pPr>
        <w:spacing w:line="240" w:lineRule="auto" w:before="10"/>
        <w:rPr>
          <w:rFonts w:ascii="宋体" w:hAnsi="宋体" w:cs="宋体" w:eastAsia="宋体" w:hint="default"/>
          <w:sz w:val="18"/>
          <w:szCs w:val="18"/>
        </w:rPr>
      </w:pPr>
    </w:p>
    <w:p>
      <w:pPr>
        <w:pStyle w:val="Heading3"/>
        <w:spacing w:line="240" w:lineRule="auto" w:before="26"/>
        <w:ind w:right="0"/>
        <w:jc w:val="left"/>
      </w:pPr>
      <w:r>
        <w:rPr/>
        <w:t> </w:t>
      </w:r>
    </w:p>
    <w:p>
      <w:pPr>
        <w:pStyle w:val="Heading4"/>
        <w:spacing w:line="240" w:lineRule="auto"/>
        <w:ind w:left="236" w:right="0"/>
        <w:jc w:val="left"/>
        <w:rPr>
          <w:rFonts w:ascii="宋体" w:hAnsi="宋体" w:cs="宋体" w:eastAsia="宋体" w:hint="default"/>
          <w:b w:val="0"/>
          <w:bCs w:val="0"/>
        </w:rPr>
      </w:pPr>
      <w:r>
        <w:rPr>
          <w:rFonts w:ascii="Times New Roman" w:hAnsi="Times New Roman" w:cs="Times New Roman" w:eastAsia="Times New Roman" w:hint="default"/>
        </w:rPr>
        <w:t>(9). </w:t>
      </w:r>
      <w:r>
        <w:rPr>
          <w:rFonts w:ascii="Times New Roman" w:hAnsi="Times New Roman" w:cs="Times New Roman" w:eastAsia="Times New Roman" w:hint="default"/>
          <w:spacing w:val="20"/>
        </w:rPr>
        <w:t> </w:t>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40"/>
        <w:ind w:left="236"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right="0"/>
        <w:jc w:val="left"/>
      </w:pPr>
      <w:r>
        <w:rPr/>
        <w:t> </w:t>
      </w:r>
    </w:p>
    <w:p>
      <w:pPr>
        <w:pStyle w:val="BodyText"/>
        <w:spacing w:line="274" w:lineRule="exact" w:before="1"/>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40" w:lineRule="auto"/>
        <w:ind w:left="236" w:right="5100"/>
        <w:jc w:val="left"/>
        <w:rPr>
          <w:rFonts w:ascii="宋体" w:hAnsi="宋体" w:cs="宋体" w:eastAsia="宋体" w:hint="default"/>
        </w:rPr>
      </w:pPr>
      <w:r>
        <w:rPr/>
        <w:pict>
          <v:shape style="position:absolute;margin-left:57.959999pt;margin-top:34.943710pt;width:453.95pt;height:146.950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7"/>
                    <w:gridCol w:w="2040"/>
                    <w:gridCol w:w="1891"/>
                    <w:gridCol w:w="1781"/>
                  </w:tblGrid>
                  <w:tr>
                    <w:trPr>
                      <w:trHeight w:val="418" w:hRule="exact"/>
                    </w:trPr>
                    <w:tc>
                      <w:tcPr>
                        <w:tcW w:w="3337"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713"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15" w:hRule="exact"/>
                    </w:trPr>
                    <w:tc>
                      <w:tcPr>
                        <w:tcW w:w="3337" w:type="dxa"/>
                        <w:vMerge/>
                        <w:tcBorders>
                          <w:left w:val="single" w:sz="8" w:space="0" w:color="000000"/>
                          <w:bottom w:val="single" w:sz="8" w:space="0" w:color="000000"/>
                          <w:right w:val="single" w:sz="8" w:space="0" w:color="000000"/>
                        </w:tcBorders>
                      </w:tcPr>
                      <w:p>
                        <w:pP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48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1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1"/>
                          <w:jc w:val="right"/>
                          <w:rPr>
                            <w:rFonts w:ascii="宋体" w:hAnsi="宋体" w:cs="宋体" w:eastAsia="宋体" w:hint="default"/>
                            <w:sz w:val="21"/>
                            <w:szCs w:val="21"/>
                          </w:rPr>
                        </w:pPr>
                        <w:r>
                          <w:rPr>
                            <w:rFonts w:ascii="宋体" w:hAnsi="宋体" w:cs="宋体" w:eastAsia="宋体" w:hint="default"/>
                            <w:spacing w:val="-2"/>
                            <w:sz w:val="21"/>
                            <w:szCs w:val="21"/>
                          </w:rPr>
                          <w:t>计提比例（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418" w:hRule="exact"/>
                    </w:trPr>
                    <w:tc>
                      <w:tcPr>
                        <w:tcW w:w="3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21"/>
                            <w:szCs w:val="21"/>
                          </w:rPr>
                        </w:pPr>
                        <w:r>
                          <w:rPr>
                            <w:rFonts w:ascii="宋体" w:hAnsi="宋体" w:cs="宋体" w:eastAsia="宋体" w:hint="default"/>
                            <w:sz w:val="21"/>
                            <w:szCs w:val="21"/>
                          </w:rPr>
                          <w:t>政府事业单位履约保证金</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32,554,981.10</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3"/>
                          <w:jc w:val="right"/>
                          <w:rPr>
                            <w:rFonts w:ascii="Times New Roman" w:hAnsi="Times New Roman" w:cs="Times New Roman" w:eastAsia="Times New Roman" w:hint="default"/>
                            <w:sz w:val="21"/>
                            <w:szCs w:val="21"/>
                          </w:rPr>
                        </w:pPr>
                        <w:r>
                          <w:rPr>
                            <w:rFonts w:ascii="Times New Roman"/>
                            <w:spacing w:val="-1"/>
                            <w:sz w:val="21"/>
                          </w:rPr>
                          <w:t>9,715,510.18</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z w:val="21"/>
                          </w:rPr>
                          <w:t>29.84</w:t>
                        </w:r>
                      </w:p>
                    </w:tc>
                  </w:tr>
                  <w:tr>
                    <w:trPr>
                      <w:trHeight w:val="418" w:hRule="exact"/>
                    </w:trPr>
                    <w:tc>
                      <w:tcPr>
                        <w:tcW w:w="3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21"/>
                            <w:szCs w:val="21"/>
                          </w:rPr>
                        </w:pPr>
                        <w:r>
                          <w:rPr>
                            <w:rFonts w:ascii="宋体" w:hAnsi="宋体" w:cs="宋体" w:eastAsia="宋体" w:hint="default"/>
                            <w:sz w:val="21"/>
                            <w:szCs w:val="21"/>
                          </w:rPr>
                          <w:t>企业单位履约保证金</w:t>
                        </w:r>
                        <w:r>
                          <w:rPr>
                            <w:rFonts w:ascii="宋体" w:hAnsi="宋体" w:cs="宋体" w:eastAsia="宋体" w:hint="default"/>
                            <w:sz w:val="21"/>
                            <w:szCs w:val="21"/>
                          </w:rPr>
                          <w:t> </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6,556,043.32</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3"/>
                          <w:jc w:val="right"/>
                          <w:rPr>
                            <w:rFonts w:ascii="Times New Roman" w:hAnsi="Times New Roman" w:cs="Times New Roman" w:eastAsia="Times New Roman" w:hint="default"/>
                            <w:sz w:val="21"/>
                            <w:szCs w:val="21"/>
                          </w:rPr>
                        </w:pPr>
                        <w:r>
                          <w:rPr>
                            <w:rFonts w:ascii="Times New Roman"/>
                            <w:spacing w:val="-1"/>
                            <w:sz w:val="21"/>
                          </w:rPr>
                          <w:t>848,870.52</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z w:val="21"/>
                          </w:rPr>
                          <w:t>12.95</w:t>
                        </w:r>
                      </w:p>
                    </w:tc>
                  </w:tr>
                  <w:tr>
                    <w:trPr>
                      <w:trHeight w:val="418" w:hRule="exact"/>
                    </w:trPr>
                    <w:tc>
                      <w:tcPr>
                        <w:tcW w:w="3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宋体" w:hAnsi="宋体" w:cs="宋体" w:eastAsia="宋体" w:hint="default"/>
                            <w:sz w:val="21"/>
                            <w:szCs w:val="21"/>
                          </w:rPr>
                        </w:pPr>
                        <w:r>
                          <w:rPr>
                            <w:rFonts w:ascii="宋体" w:hAnsi="宋体" w:cs="宋体" w:eastAsia="宋体" w:hint="default"/>
                            <w:sz w:val="21"/>
                            <w:szCs w:val="21"/>
                          </w:rPr>
                          <w:t>押金、备用金</w:t>
                        </w:r>
                        <w:r>
                          <w:rPr>
                            <w:rFonts w:ascii="宋体" w:hAnsi="宋体" w:cs="宋体" w:eastAsia="宋体" w:hint="default"/>
                            <w:sz w:val="21"/>
                            <w:szCs w:val="21"/>
                          </w:rPr>
                          <w:t> </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8,049,815.49</w:t>
                        </w:r>
                      </w:p>
                    </w:tc>
                    <w:tc>
                      <w:tcPr>
                        <w:tcW w:w="1891" w:type="dxa"/>
                        <w:tcBorders>
                          <w:top w:val="single" w:sz="8" w:space="0" w:color="000000"/>
                          <w:left w:val="single" w:sz="8" w:space="0" w:color="000000"/>
                          <w:bottom w:val="single" w:sz="8" w:space="0" w:color="000000"/>
                          <w:right w:val="single" w:sz="8" w:space="0" w:color="000000"/>
                        </w:tcBorders>
                      </w:tcPr>
                      <w:p>
                        <w:pPr/>
                      </w:p>
                    </w:tc>
                    <w:tc>
                      <w:tcPr>
                        <w:tcW w:w="1781" w:type="dxa"/>
                        <w:tcBorders>
                          <w:top w:val="single" w:sz="8" w:space="0" w:color="000000"/>
                          <w:left w:val="single" w:sz="8" w:space="0" w:color="000000"/>
                          <w:bottom w:val="single" w:sz="8" w:space="0" w:color="000000"/>
                          <w:right w:val="single" w:sz="8" w:space="0" w:color="000000"/>
                        </w:tcBorders>
                      </w:tcPr>
                      <w:p>
                        <w:pPr/>
                      </w:p>
                    </w:tc>
                  </w:tr>
                  <w:tr>
                    <w:trPr>
                      <w:trHeight w:val="415" w:hRule="exact"/>
                    </w:trPr>
                    <w:tc>
                      <w:tcPr>
                        <w:tcW w:w="3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宋体" w:hAnsi="宋体" w:cs="宋体" w:eastAsia="宋体" w:hint="default"/>
                            <w:sz w:val="21"/>
                            <w:szCs w:val="21"/>
                          </w:rPr>
                        </w:pPr>
                        <w:r>
                          <w:rPr>
                            <w:rFonts w:ascii="宋体" w:hAnsi="宋体" w:cs="宋体" w:eastAsia="宋体" w:hint="default"/>
                            <w:sz w:val="21"/>
                            <w:szCs w:val="21"/>
                          </w:rPr>
                          <w:t>除上述外其他组合</w:t>
                        </w:r>
                        <w:r>
                          <w:rPr>
                            <w:rFonts w:ascii="宋体" w:hAnsi="宋体" w:cs="宋体" w:eastAsia="宋体" w:hint="default"/>
                            <w:sz w:val="21"/>
                            <w:szCs w:val="21"/>
                          </w:rPr>
                          <w:t> </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19,928,423.90</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3"/>
                          <w:jc w:val="right"/>
                          <w:rPr>
                            <w:rFonts w:ascii="Times New Roman" w:hAnsi="Times New Roman" w:cs="Times New Roman" w:eastAsia="Times New Roman" w:hint="default"/>
                            <w:sz w:val="21"/>
                            <w:szCs w:val="21"/>
                          </w:rPr>
                        </w:pPr>
                        <w:r>
                          <w:rPr>
                            <w:rFonts w:ascii="Times New Roman"/>
                            <w:spacing w:val="-1"/>
                            <w:sz w:val="21"/>
                          </w:rPr>
                          <w:t>1,195,991.21</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z w:val="21"/>
                          </w:rPr>
                          <w:t>6.00</w:t>
                        </w:r>
                      </w:p>
                    </w:tc>
                  </w:tr>
                  <w:tr>
                    <w:trPr>
                      <w:trHeight w:val="418" w:hRule="exact"/>
                    </w:trPr>
                    <w:tc>
                      <w:tcPr>
                        <w:tcW w:w="3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67,089,263.81</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3"/>
                          <w:jc w:val="right"/>
                          <w:rPr>
                            <w:rFonts w:ascii="Times New Roman" w:hAnsi="Times New Roman" w:cs="Times New Roman" w:eastAsia="Times New Roman" w:hint="default"/>
                            <w:sz w:val="21"/>
                            <w:szCs w:val="21"/>
                          </w:rPr>
                        </w:pPr>
                        <w:r>
                          <w:rPr>
                            <w:rFonts w:ascii="Times New Roman"/>
                            <w:spacing w:val="-1"/>
                            <w:sz w:val="21"/>
                          </w:rPr>
                          <w:t>11,760,371.91</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z w:val="21"/>
                          </w:rPr>
                          <w:t>17.53</w:t>
                        </w:r>
                      </w:p>
                    </w:tc>
                  </w:tr>
                </w:tbl>
                <w:p>
                  <w:pPr/>
                </w:p>
              </w:txbxContent>
            </v:textbox>
            <w10:wrap type="none"/>
          </v:shape>
        </w:pict>
      </w: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t>按组合计提预期信用损失的其他应收款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6"/>
        <w:ind w:left="236" w:right="0"/>
        <w:jc w:val="left"/>
        <w:rPr>
          <w:rFonts w:ascii="宋体" w:hAnsi="宋体" w:cs="宋体" w:eastAsia="宋体" w:hint="default"/>
        </w:rPr>
      </w:pPr>
      <w:r>
        <w:rPr/>
        <w:t>（</w:t>
      </w:r>
      <w:r>
        <w:rPr>
          <w:rFonts w:ascii="Times New Roman" w:hAnsi="Times New Roman" w:cs="Times New Roman" w:eastAsia="Times New Roman" w:hint="default"/>
        </w:rPr>
        <w:t>1</w:t>
      </w:r>
      <w:r>
        <w:rPr/>
        <w:t>）政府、事业单位履约保证金</w:t>
      </w:r>
      <w:r>
        <w:rPr>
          <w:rFonts w:ascii="宋体" w:hAnsi="宋体" w:cs="宋体" w:eastAsia="宋体" w:hint="default"/>
        </w:rPr>
        <w:t> </w:t>
      </w:r>
    </w:p>
    <w:tbl>
      <w:tblPr>
        <w:tblW w:w="0" w:type="auto"/>
        <w:jc w:val="left"/>
        <w:tblInd w:w="123" w:type="dxa"/>
        <w:tblLayout w:type="fixed"/>
        <w:tblCellMar>
          <w:top w:w="0" w:type="dxa"/>
          <w:left w:w="0" w:type="dxa"/>
          <w:bottom w:w="0" w:type="dxa"/>
          <w:right w:w="0" w:type="dxa"/>
        </w:tblCellMar>
        <w:tblLook w:val="01E0"/>
      </w:tblPr>
      <w:tblGrid>
        <w:gridCol w:w="3368"/>
        <w:gridCol w:w="2069"/>
        <w:gridCol w:w="1927"/>
        <w:gridCol w:w="1685"/>
      </w:tblGrid>
      <w:tr>
        <w:trPr>
          <w:trHeight w:val="281" w:hRule="exact"/>
        </w:trPr>
        <w:tc>
          <w:tcPr>
            <w:tcW w:w="33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56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06" w:hRule="exact"/>
        </w:trPr>
        <w:tc>
          <w:tcPr>
            <w:tcW w:w="3368" w:type="dxa"/>
            <w:vMerge/>
            <w:tcBorders>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0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3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8"/>
              <w:jc w:val="right"/>
              <w:rPr>
                <w:rFonts w:ascii="宋体" w:hAnsi="宋体" w:cs="宋体" w:eastAsia="宋体" w:hint="default"/>
                <w:sz w:val="21"/>
                <w:szCs w:val="21"/>
              </w:rPr>
            </w:pPr>
            <w:r>
              <w:rPr>
                <w:rFonts w:ascii="宋体" w:hAnsi="宋体" w:cs="宋体" w:eastAsia="宋体" w:hint="default"/>
                <w:spacing w:val="-2"/>
                <w:sz w:val="21"/>
                <w:szCs w:val="21"/>
              </w:rPr>
              <w:t>计提比例（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6,271,531.00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188,145.93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1"/>
              <w:jc w:val="right"/>
              <w:rPr>
                <w:rFonts w:ascii="Times New Roman" w:hAnsi="Times New Roman" w:cs="Times New Roman" w:eastAsia="Times New Roman" w:hint="default"/>
                <w:sz w:val="21"/>
                <w:szCs w:val="21"/>
              </w:rPr>
            </w:pPr>
            <w:r>
              <w:rPr>
                <w:rFonts w:ascii="Times New Roman"/>
                <w:sz w:val="21"/>
              </w:rPr>
              <w:t>3.00</w:t>
            </w:r>
          </w:p>
        </w:tc>
      </w:tr>
      <w:tr>
        <w:trPr>
          <w:trHeight w:val="28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10,323,729.95</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1,342,084.89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1"/>
              <w:jc w:val="right"/>
              <w:rPr>
                <w:rFonts w:ascii="Times New Roman" w:hAnsi="Times New Roman" w:cs="Times New Roman" w:eastAsia="Times New Roman" w:hint="default"/>
                <w:sz w:val="21"/>
                <w:szCs w:val="21"/>
              </w:rPr>
            </w:pPr>
            <w:r>
              <w:rPr>
                <w:rFonts w:ascii="Times New Roman"/>
                <w:sz w:val="21"/>
              </w:rPr>
              <w:t>13.00</w:t>
            </w: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6,700,357.50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2,144,114.40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1"/>
              <w:jc w:val="right"/>
              <w:rPr>
                <w:rFonts w:ascii="Times New Roman" w:hAnsi="Times New Roman" w:cs="Times New Roman" w:eastAsia="Times New Roman" w:hint="default"/>
                <w:sz w:val="21"/>
                <w:szCs w:val="21"/>
              </w:rPr>
            </w:pPr>
            <w:r>
              <w:rPr>
                <w:rFonts w:ascii="Times New Roman"/>
                <w:sz w:val="21"/>
              </w:rPr>
              <w:t>32.00</w:t>
            </w:r>
          </w:p>
        </w:tc>
      </w:tr>
      <w:tr>
        <w:trPr>
          <w:trHeight w:val="28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6,258,105.65</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3,504,539.16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1"/>
              <w:jc w:val="right"/>
              <w:rPr>
                <w:rFonts w:ascii="Times New Roman" w:hAnsi="Times New Roman" w:cs="Times New Roman" w:eastAsia="Times New Roman" w:hint="default"/>
                <w:sz w:val="21"/>
                <w:szCs w:val="21"/>
              </w:rPr>
            </w:pPr>
            <w:r>
              <w:rPr>
                <w:rFonts w:ascii="Times New Roman"/>
                <w:sz w:val="21"/>
              </w:rPr>
              <w:t>56.00</w:t>
            </w: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2,323,156.00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1,858,524.80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1"/>
              <w:jc w:val="right"/>
              <w:rPr>
                <w:rFonts w:ascii="Times New Roman" w:hAnsi="Times New Roman" w:cs="Times New Roman" w:eastAsia="Times New Roman" w:hint="default"/>
                <w:sz w:val="21"/>
                <w:szCs w:val="21"/>
              </w:rPr>
            </w:pPr>
            <w:r>
              <w:rPr>
                <w:rFonts w:ascii="Times New Roman"/>
                <w:sz w:val="21"/>
              </w:rPr>
              <w:t>80.00</w:t>
            </w: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678,101.00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678,101.00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1"/>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32,554,981.10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9,715,510.18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1"/>
                <w:szCs w:val="21"/>
              </w:rPr>
            </w:pPr>
            <w:r>
              <w:rPr>
                <w:rFonts w:ascii="Times New Roman"/>
                <w:sz w:val="21"/>
              </w:rPr>
              <w:t>29.84</w:t>
            </w:r>
          </w:p>
        </w:tc>
      </w:tr>
    </w:tbl>
    <w:p>
      <w:pPr>
        <w:spacing w:line="240" w:lineRule="auto" w:before="1"/>
        <w:rPr>
          <w:rFonts w:ascii="宋体" w:hAnsi="宋体" w:cs="宋体" w:eastAsia="宋体" w:hint="default"/>
          <w:sz w:val="5"/>
          <w:szCs w:val="5"/>
        </w:rPr>
      </w:pPr>
    </w:p>
    <w:p>
      <w:pPr>
        <w:pStyle w:val="BodyText"/>
        <w:spacing w:line="240" w:lineRule="auto" w:before="36"/>
        <w:ind w:left="236" w:right="0"/>
        <w:jc w:val="left"/>
        <w:rPr>
          <w:rFonts w:ascii="宋体" w:hAnsi="宋体" w:cs="宋体" w:eastAsia="宋体" w:hint="default"/>
        </w:rPr>
      </w:pPr>
      <w:r>
        <w:rPr/>
        <w:t>（</w:t>
      </w:r>
      <w:r>
        <w:rPr>
          <w:rFonts w:ascii="Times New Roman" w:hAnsi="Times New Roman" w:cs="Times New Roman" w:eastAsia="Times New Roman" w:hint="default"/>
        </w:rPr>
        <w:t>2</w:t>
      </w:r>
      <w:r>
        <w:rPr/>
        <w:t>）企业单位单位履约保证金</w:t>
      </w:r>
      <w:r>
        <w:rPr>
          <w:rFonts w:ascii="宋体" w:hAnsi="宋体" w:cs="宋体" w:eastAsia="宋体" w:hint="default"/>
        </w:rPr>
        <w:t> </w:t>
      </w:r>
    </w:p>
    <w:tbl>
      <w:tblPr>
        <w:tblW w:w="0" w:type="auto"/>
        <w:jc w:val="left"/>
        <w:tblInd w:w="123" w:type="dxa"/>
        <w:tblLayout w:type="fixed"/>
        <w:tblCellMar>
          <w:top w:w="0" w:type="dxa"/>
          <w:left w:w="0" w:type="dxa"/>
          <w:bottom w:w="0" w:type="dxa"/>
          <w:right w:w="0" w:type="dxa"/>
        </w:tblCellMar>
        <w:tblLook w:val="01E0"/>
      </w:tblPr>
      <w:tblGrid>
        <w:gridCol w:w="3368"/>
        <w:gridCol w:w="2069"/>
        <w:gridCol w:w="1927"/>
        <w:gridCol w:w="1685"/>
      </w:tblGrid>
      <w:tr>
        <w:trPr>
          <w:trHeight w:val="283" w:hRule="exact"/>
        </w:trPr>
        <w:tc>
          <w:tcPr>
            <w:tcW w:w="33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逾期天数</w:t>
            </w:r>
          </w:p>
        </w:tc>
        <w:tc>
          <w:tcPr>
            <w:tcW w:w="56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04" w:hRule="exact"/>
        </w:trPr>
        <w:tc>
          <w:tcPr>
            <w:tcW w:w="3368" w:type="dxa"/>
            <w:vMerge/>
            <w:tcBorders>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3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15"/>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2,462,425.05</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98,497.00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1"/>
              <w:jc w:val="right"/>
              <w:rPr>
                <w:rFonts w:ascii="Times New Roman" w:hAnsi="Times New Roman" w:cs="Times New Roman" w:eastAsia="Times New Roman" w:hint="default"/>
                <w:sz w:val="21"/>
                <w:szCs w:val="21"/>
              </w:rPr>
            </w:pPr>
            <w:r>
              <w:rPr>
                <w:rFonts w:ascii="Times New Roman"/>
                <w:sz w:val="21"/>
              </w:rPr>
              <w:t>4.00</w:t>
            </w:r>
          </w:p>
        </w:tc>
      </w:tr>
      <w:tr>
        <w:trPr>
          <w:trHeight w:val="28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3,492,820.27</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454,066.64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1"/>
              <w:jc w:val="right"/>
              <w:rPr>
                <w:rFonts w:ascii="Times New Roman" w:hAnsi="Times New Roman" w:cs="Times New Roman" w:eastAsia="Times New Roman" w:hint="default"/>
                <w:sz w:val="21"/>
                <w:szCs w:val="21"/>
              </w:rPr>
            </w:pPr>
            <w:r>
              <w:rPr>
                <w:rFonts w:ascii="Times New Roman"/>
                <w:sz w:val="21"/>
              </w:rPr>
              <w:t>13.00</w:t>
            </w: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177,000.00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56,640.00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1"/>
              <w:jc w:val="right"/>
              <w:rPr>
                <w:rFonts w:ascii="Times New Roman" w:hAnsi="Times New Roman" w:cs="Times New Roman" w:eastAsia="Times New Roman" w:hint="default"/>
                <w:sz w:val="21"/>
                <w:szCs w:val="21"/>
              </w:rPr>
            </w:pPr>
            <w:r>
              <w:rPr>
                <w:rFonts w:ascii="Times New Roman"/>
                <w:sz w:val="21"/>
              </w:rPr>
              <w:t>32.00</w:t>
            </w: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414,048.00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231,866.88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1"/>
              <w:jc w:val="right"/>
              <w:rPr>
                <w:rFonts w:ascii="Times New Roman" w:hAnsi="Times New Roman" w:cs="Times New Roman" w:eastAsia="Times New Roman" w:hint="default"/>
                <w:sz w:val="21"/>
                <w:szCs w:val="21"/>
              </w:rPr>
            </w:pPr>
            <w:r>
              <w:rPr>
                <w:rFonts w:ascii="Times New Roman"/>
                <w:sz w:val="21"/>
              </w:rPr>
              <w:t>56.00</w:t>
            </w:r>
          </w:p>
        </w:tc>
      </w:tr>
      <w:tr>
        <w:trPr>
          <w:trHeight w:val="28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9,750.00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7,800.00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1"/>
              <w:jc w:val="right"/>
              <w:rPr>
                <w:rFonts w:ascii="Times New Roman" w:hAnsi="Times New Roman" w:cs="Times New Roman" w:eastAsia="Times New Roman" w:hint="default"/>
                <w:sz w:val="21"/>
                <w:szCs w:val="21"/>
              </w:rPr>
            </w:pPr>
            <w:r>
              <w:rPr>
                <w:rFonts w:ascii="Times New Roman"/>
                <w:sz w:val="21"/>
              </w:rPr>
              <w:t>80.00</w:t>
            </w: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069"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1"/>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6,556,043.32</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848,870.52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1"/>
              <w:jc w:val="right"/>
              <w:rPr>
                <w:rFonts w:ascii="Times New Roman" w:hAnsi="Times New Roman" w:cs="Times New Roman" w:eastAsia="Times New Roman" w:hint="default"/>
                <w:sz w:val="21"/>
                <w:szCs w:val="21"/>
              </w:rPr>
            </w:pPr>
            <w:r>
              <w:rPr>
                <w:rFonts w:ascii="Times New Roman"/>
                <w:sz w:val="21"/>
              </w:rPr>
              <w:t>12.95</w:t>
            </w:r>
          </w:p>
        </w:tc>
      </w:tr>
    </w:tbl>
    <w:p>
      <w:pPr>
        <w:pStyle w:val="BodyText"/>
        <w:spacing w:line="255" w:lineRule="exact"/>
        <w:ind w:left="236" w:right="0"/>
        <w:jc w:val="left"/>
        <w:rPr>
          <w:rFonts w:ascii="宋体" w:hAnsi="宋体" w:cs="宋体" w:eastAsia="宋体" w:hint="default"/>
        </w:rPr>
      </w:pPr>
      <w:r>
        <w:rPr>
          <w:rFonts w:ascii="宋体"/>
          <w:w w:val="100"/>
        </w:rPr>
        <w:t> </w:t>
      </w:r>
    </w:p>
    <w:p>
      <w:pPr>
        <w:pStyle w:val="BodyText"/>
        <w:spacing w:line="240" w:lineRule="auto" w:before="116"/>
        <w:ind w:left="236" w:right="0"/>
        <w:jc w:val="left"/>
        <w:rPr>
          <w:rFonts w:ascii="宋体" w:hAnsi="宋体" w:cs="宋体" w:eastAsia="宋体" w:hint="default"/>
        </w:rPr>
      </w:pPr>
      <w:r>
        <w:rPr/>
        <w:t>（</w:t>
      </w:r>
      <w:r>
        <w:rPr>
          <w:rFonts w:ascii="Times New Roman" w:hAnsi="Times New Roman" w:cs="Times New Roman" w:eastAsia="Times New Roman" w:hint="default"/>
        </w:rPr>
        <w:t>3</w:t>
      </w:r>
      <w:r>
        <w:rPr/>
        <w:t>）押金、备用金</w:t>
      </w:r>
      <w:r>
        <w:rPr>
          <w:rFonts w:ascii="宋体" w:hAnsi="宋体" w:cs="宋体" w:eastAsia="宋体" w:hint="default"/>
        </w:rPr>
        <w:t> </w:t>
      </w:r>
    </w:p>
    <w:tbl>
      <w:tblPr>
        <w:tblW w:w="0" w:type="auto"/>
        <w:jc w:val="left"/>
        <w:tblInd w:w="123" w:type="dxa"/>
        <w:tblLayout w:type="fixed"/>
        <w:tblCellMar>
          <w:top w:w="0" w:type="dxa"/>
          <w:left w:w="0" w:type="dxa"/>
          <w:bottom w:w="0" w:type="dxa"/>
          <w:right w:w="0" w:type="dxa"/>
        </w:tblCellMar>
        <w:tblLook w:val="01E0"/>
      </w:tblPr>
      <w:tblGrid>
        <w:gridCol w:w="3368"/>
        <w:gridCol w:w="2069"/>
        <w:gridCol w:w="1927"/>
        <w:gridCol w:w="1685"/>
      </w:tblGrid>
      <w:tr>
        <w:trPr>
          <w:trHeight w:val="281" w:hRule="exact"/>
        </w:trPr>
        <w:tc>
          <w:tcPr>
            <w:tcW w:w="33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逾期天数</w:t>
            </w:r>
          </w:p>
        </w:tc>
        <w:tc>
          <w:tcPr>
            <w:tcW w:w="56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35" w:hRule="exact"/>
        </w:trPr>
        <w:tc>
          <w:tcPr>
            <w:tcW w:w="3368" w:type="dxa"/>
            <w:vMerge/>
            <w:tcBorders>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9"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6,347,757.01</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631,815.42</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210,031.20</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20" w:bottom="1160" w:left="1040" w:right="156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3368"/>
        <w:gridCol w:w="2069"/>
        <w:gridCol w:w="1927"/>
        <w:gridCol w:w="1685"/>
      </w:tblGrid>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83,952.33</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293,891.60</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482,367.93</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8,049,815.49</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216" w:right="0"/>
        <w:jc w:val="left"/>
        <w:rPr>
          <w:rFonts w:ascii="宋体" w:hAnsi="宋体" w:cs="宋体" w:eastAsia="宋体" w:hint="default"/>
        </w:rPr>
      </w:pPr>
      <w:r>
        <w:rPr/>
        <w:t>（</w:t>
      </w:r>
      <w:r>
        <w:rPr>
          <w:rFonts w:ascii="Times New Roman" w:hAnsi="Times New Roman" w:cs="Times New Roman" w:eastAsia="Times New Roman" w:hint="default"/>
        </w:rPr>
        <w:t>4</w:t>
      </w:r>
      <w:r>
        <w:rPr/>
        <w:t>）除上述外其他组合</w:t>
      </w:r>
      <w:r>
        <w:rPr>
          <w:rFonts w:ascii="宋体" w:hAnsi="宋体" w:cs="宋体" w:eastAsia="宋体" w:hint="default"/>
        </w:rPr>
        <w:t> </w:t>
      </w:r>
    </w:p>
    <w:tbl>
      <w:tblPr>
        <w:tblW w:w="0" w:type="auto"/>
        <w:jc w:val="left"/>
        <w:tblInd w:w="103" w:type="dxa"/>
        <w:tblLayout w:type="fixed"/>
        <w:tblCellMar>
          <w:top w:w="0" w:type="dxa"/>
          <w:left w:w="0" w:type="dxa"/>
          <w:bottom w:w="0" w:type="dxa"/>
          <w:right w:w="0" w:type="dxa"/>
        </w:tblCellMar>
        <w:tblLook w:val="01E0"/>
      </w:tblPr>
      <w:tblGrid>
        <w:gridCol w:w="3368"/>
        <w:gridCol w:w="2069"/>
        <w:gridCol w:w="1927"/>
        <w:gridCol w:w="1685"/>
      </w:tblGrid>
      <w:tr>
        <w:trPr>
          <w:trHeight w:val="283" w:hRule="exact"/>
        </w:trPr>
        <w:tc>
          <w:tcPr>
            <w:tcW w:w="33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逾期天数</w:t>
            </w:r>
          </w:p>
        </w:tc>
        <w:tc>
          <w:tcPr>
            <w:tcW w:w="56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04" w:hRule="exact"/>
        </w:trPr>
        <w:tc>
          <w:tcPr>
            <w:tcW w:w="3368" w:type="dxa"/>
            <w:vMerge/>
            <w:tcBorders>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3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15"/>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18,567,095.48</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566,543.53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1"/>
              <w:jc w:val="right"/>
              <w:rPr>
                <w:rFonts w:ascii="Times New Roman" w:hAnsi="Times New Roman" w:cs="Times New Roman" w:eastAsia="Times New Roman" w:hint="default"/>
                <w:sz w:val="21"/>
                <w:szCs w:val="21"/>
              </w:rPr>
            </w:pPr>
            <w:r>
              <w:rPr>
                <w:rFonts w:ascii="Times New Roman"/>
                <w:sz w:val="21"/>
              </w:rPr>
              <w:t>3.00</w:t>
            </w: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685,842.09</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68,584.21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1"/>
              <w:jc w:val="right"/>
              <w:rPr>
                <w:rFonts w:ascii="Times New Roman" w:hAnsi="Times New Roman" w:cs="Times New Roman" w:eastAsia="Times New Roman" w:hint="default"/>
                <w:sz w:val="21"/>
                <w:szCs w:val="21"/>
              </w:rPr>
            </w:pPr>
            <w:r>
              <w:rPr>
                <w:rFonts w:ascii="Times New Roman"/>
                <w:sz w:val="21"/>
              </w:rPr>
              <w:t>10.00</w:t>
            </w:r>
          </w:p>
        </w:tc>
      </w:tr>
      <w:tr>
        <w:trPr>
          <w:trHeight w:val="28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112,149.00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22,429.80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1"/>
              <w:jc w:val="right"/>
              <w:rPr>
                <w:rFonts w:ascii="Times New Roman" w:hAnsi="Times New Roman" w:cs="Times New Roman" w:eastAsia="Times New Roman" w:hint="default"/>
                <w:sz w:val="21"/>
                <w:szCs w:val="21"/>
              </w:rPr>
            </w:pPr>
            <w:r>
              <w:rPr>
                <w:rFonts w:ascii="Times New Roman"/>
                <w:sz w:val="21"/>
              </w:rPr>
              <w:t>20.00</w:t>
            </w: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9,507.33</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4,753.67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1"/>
              <w:jc w:val="right"/>
              <w:rPr>
                <w:rFonts w:ascii="Times New Roman" w:hAnsi="Times New Roman" w:cs="Times New Roman" w:eastAsia="Times New Roman" w:hint="default"/>
                <w:sz w:val="21"/>
                <w:szCs w:val="21"/>
              </w:rPr>
            </w:pPr>
            <w:r>
              <w:rPr>
                <w:rFonts w:ascii="Times New Roman"/>
                <w:sz w:val="21"/>
              </w:rPr>
              <w:t>50.00</w:t>
            </w:r>
          </w:p>
        </w:tc>
      </w:tr>
      <w:tr>
        <w:trPr>
          <w:trHeight w:val="28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40,750.00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32,600.00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1"/>
              <w:jc w:val="right"/>
              <w:rPr>
                <w:rFonts w:ascii="Times New Roman" w:hAnsi="Times New Roman" w:cs="Times New Roman" w:eastAsia="Times New Roman" w:hint="default"/>
                <w:sz w:val="21"/>
                <w:szCs w:val="21"/>
              </w:rPr>
            </w:pPr>
            <w:r>
              <w:rPr>
                <w:rFonts w:ascii="Times New Roman"/>
                <w:sz w:val="21"/>
              </w:rPr>
              <w:t>80.00</w:t>
            </w:r>
          </w:p>
        </w:tc>
      </w:tr>
      <w:tr>
        <w:trPr>
          <w:trHeight w:val="28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513,080.00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513,080.00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51"/>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19,928,423.90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1,195,991.21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1"/>
              <w:jc w:val="right"/>
              <w:rPr>
                <w:rFonts w:ascii="Times New Roman" w:hAnsi="Times New Roman" w:cs="Times New Roman" w:eastAsia="Times New Roman" w:hint="default"/>
                <w:sz w:val="21"/>
                <w:szCs w:val="21"/>
              </w:rPr>
            </w:pPr>
            <w:r>
              <w:rPr>
                <w:rFonts w:ascii="Times New Roman"/>
                <w:sz w:val="21"/>
              </w:rPr>
              <w:t>6.00</w:t>
            </w:r>
          </w:p>
        </w:tc>
      </w:tr>
    </w:tbl>
    <w:p>
      <w:pPr>
        <w:spacing w:line="240" w:lineRule="auto" w:before="2"/>
        <w:rPr>
          <w:rFonts w:ascii="宋体" w:hAnsi="宋体" w:cs="宋体" w:eastAsia="宋体" w:hint="default"/>
          <w:sz w:val="24"/>
          <w:szCs w:val="24"/>
        </w:rPr>
      </w:pPr>
    </w:p>
    <w:p>
      <w:pPr>
        <w:pStyle w:val="Heading4"/>
        <w:spacing w:line="240" w:lineRule="auto" w:before="36"/>
        <w:ind w:left="358" w:right="0"/>
        <w:jc w:val="left"/>
        <w:rPr>
          <w:b w:val="0"/>
          <w:bCs w:val="0"/>
        </w:rPr>
      </w:pPr>
      <w:r>
        <w:rPr>
          <w:rFonts w:ascii="Times New Roman" w:hAnsi="Times New Roman" w:cs="Times New Roman" w:eastAsia="Times New Roman" w:hint="default"/>
        </w:rPr>
        <w:t>9</w:t>
      </w:r>
      <w:r>
        <w:rPr/>
        <w:t>、</w:t>
      </w:r>
      <w:r>
        <w:rPr>
          <w:spacing w:val="-2"/>
        </w:rPr>
        <w:t> </w:t>
      </w:r>
      <w:r>
        <w:rPr/>
        <w:t>存货</w:t>
      </w:r>
      <w:r>
        <w:rPr>
          <w:b w:val="0"/>
          <w:bCs w:val="0"/>
        </w:rPr>
      </w:r>
    </w:p>
    <w:p>
      <w:pPr>
        <w:spacing w:after="0" w:line="240" w:lineRule="auto"/>
        <w:jc w:val="left"/>
        <w:sectPr>
          <w:pgSz w:w="11910" w:h="16840"/>
          <w:pgMar w:header="0" w:footer="979" w:top="1120" w:bottom="1160" w:left="1060" w:right="1560"/>
        </w:sectPr>
      </w:pPr>
    </w:p>
    <w:p>
      <w:pPr>
        <w:pStyle w:val="Heading4"/>
        <w:spacing w:line="240" w:lineRule="auto" w:before="40"/>
        <w:ind w:left="216" w:right="0"/>
        <w:jc w:val="left"/>
        <w:rPr>
          <w:rFonts w:ascii="宋体" w:hAnsi="宋体" w:cs="宋体" w:eastAsia="宋体" w:hint="default"/>
          <w:b w:val="0"/>
          <w:bCs w:val="0"/>
        </w:rPr>
      </w:pP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0"/>
          <w:szCs w:val="20"/>
        </w:rPr>
      </w:pPr>
    </w:p>
    <w:p>
      <w:pPr>
        <w:pStyle w:val="Heading3"/>
        <w:spacing w:line="240" w:lineRule="auto"/>
        <w:ind w:left="216" w:right="0"/>
        <w:jc w:val="left"/>
      </w:pPr>
      <w:r>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25"/>
          <w:szCs w:val="25"/>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60" w:right="1560"/>
          <w:cols w:num="2" w:equalWidth="0">
            <w:col w:w="2003" w:space="4519"/>
            <w:col w:w="2768"/>
          </w:cols>
        </w:sectPr>
      </w:pPr>
    </w:p>
    <w:p>
      <w:pPr>
        <w:spacing w:line="240" w:lineRule="auto" w:before="10"/>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196"/>
        <w:gridCol w:w="1465"/>
        <w:gridCol w:w="1176"/>
        <w:gridCol w:w="1390"/>
        <w:gridCol w:w="1392"/>
        <w:gridCol w:w="830"/>
        <w:gridCol w:w="1448"/>
      </w:tblGrid>
      <w:tr>
        <w:trPr>
          <w:trHeight w:val="283" w:hRule="exact"/>
        </w:trPr>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0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6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196" w:type="dxa"/>
            <w:vMerge/>
            <w:tcBorders>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0"/>
              <w:jc w:val="right"/>
              <w:rPr>
                <w:rFonts w:ascii="宋体" w:hAnsi="宋体" w:cs="宋体" w:eastAsia="宋体" w:hint="default"/>
                <w:sz w:val="21"/>
                <w:szCs w:val="21"/>
              </w:rPr>
            </w:pPr>
            <w:r>
              <w:rPr>
                <w:rFonts w:ascii="宋体" w:hAnsi="宋体" w:cs="宋体" w:eastAsia="宋体" w:hint="default"/>
                <w:spacing w:val="-2"/>
                <w:sz w:val="21"/>
                <w:szCs w:val="21"/>
              </w:rPr>
              <w:t>跌价准备</w:t>
            </w:r>
            <w:r>
              <w:rPr>
                <w:rFonts w:ascii="宋体" w:hAnsi="宋体" w:cs="宋体" w:eastAsia="宋体" w:hint="default"/>
                <w:sz w:val="21"/>
                <w:szCs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4" w:lineRule="exact"/>
              <w:ind w:left="95"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32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6" w:right="0"/>
              <w:jc w:val="center"/>
              <w:rPr>
                <w:rFonts w:ascii="Times New Roman" w:hAnsi="Times New Roman" w:cs="Times New Roman" w:eastAsia="Times New Roman" w:hint="default"/>
                <w:sz w:val="21"/>
                <w:szCs w:val="21"/>
              </w:rPr>
            </w:pPr>
            <w:r>
              <w:rPr>
                <w:rFonts w:ascii="Times New Roman"/>
                <w:sz w:val="21"/>
              </w:rPr>
              <w:t>10,433,060.70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65,976.28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10,367,084.42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5" w:right="0"/>
              <w:jc w:val="center"/>
              <w:rPr>
                <w:rFonts w:ascii="Times New Roman" w:hAnsi="Times New Roman" w:cs="Times New Roman" w:eastAsia="Times New Roman" w:hint="default"/>
                <w:sz w:val="21"/>
                <w:szCs w:val="21"/>
              </w:rPr>
            </w:pPr>
            <w:r>
              <w:rPr>
                <w:rFonts w:ascii="Times New Roman"/>
                <w:sz w:val="21"/>
              </w:rPr>
              <w:t>18,086,887.24</w:t>
            </w:r>
          </w:p>
        </w:tc>
        <w:tc>
          <w:tcPr>
            <w:tcW w:w="83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9" w:right="0"/>
              <w:jc w:val="center"/>
              <w:rPr>
                <w:rFonts w:ascii="Times New Roman" w:hAnsi="Times New Roman" w:cs="Times New Roman" w:eastAsia="Times New Roman" w:hint="default"/>
                <w:sz w:val="21"/>
                <w:szCs w:val="21"/>
              </w:rPr>
            </w:pPr>
            <w:r>
              <w:rPr>
                <w:rFonts w:ascii="Times New Roman"/>
                <w:sz w:val="21"/>
              </w:rPr>
              <w:t>18,086,887.24</w:t>
            </w:r>
          </w:p>
        </w:tc>
      </w:tr>
      <w:tr>
        <w:trPr>
          <w:trHeight w:val="55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在建系统集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81" w:right="0"/>
              <w:jc w:val="center"/>
              <w:rPr>
                <w:rFonts w:ascii="Times New Roman" w:hAnsi="Times New Roman" w:cs="Times New Roman" w:eastAsia="Times New Roman" w:hint="default"/>
                <w:sz w:val="21"/>
                <w:szCs w:val="21"/>
              </w:rPr>
            </w:pPr>
            <w:r>
              <w:rPr>
                <w:rFonts w:ascii="Times New Roman"/>
                <w:sz w:val="21"/>
              </w:rPr>
              <w:t>313,361,717.90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7"/>
              <w:jc w:val="right"/>
              <w:rPr>
                <w:rFonts w:ascii="Times New Roman" w:hAnsi="Times New Roman" w:cs="Times New Roman" w:eastAsia="Times New Roman" w:hint="default"/>
                <w:sz w:val="21"/>
                <w:szCs w:val="21"/>
              </w:rPr>
            </w:pPr>
            <w:r>
              <w:rPr>
                <w:rFonts w:ascii="Times New Roman"/>
                <w:spacing w:val="-1"/>
                <w:sz w:val="21"/>
              </w:rPr>
              <w:t>313,361,717.90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9" w:right="0"/>
              <w:jc w:val="center"/>
              <w:rPr>
                <w:rFonts w:ascii="Times New Roman" w:hAnsi="Times New Roman" w:cs="Times New Roman" w:eastAsia="Times New Roman" w:hint="default"/>
                <w:sz w:val="21"/>
                <w:szCs w:val="21"/>
              </w:rPr>
            </w:pPr>
            <w:r>
              <w:rPr>
                <w:rFonts w:ascii="Times New Roman"/>
                <w:sz w:val="21"/>
              </w:rPr>
              <w:t>464,069,921.44</w:t>
            </w:r>
          </w:p>
        </w:tc>
        <w:tc>
          <w:tcPr>
            <w:tcW w:w="83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64" w:right="0"/>
              <w:jc w:val="center"/>
              <w:rPr>
                <w:rFonts w:ascii="Times New Roman" w:hAnsi="Times New Roman" w:cs="Times New Roman" w:eastAsia="Times New Roman" w:hint="default"/>
                <w:sz w:val="21"/>
                <w:szCs w:val="21"/>
              </w:rPr>
            </w:pPr>
            <w:r>
              <w:rPr>
                <w:rFonts w:ascii="Times New Roman"/>
                <w:sz w:val="21"/>
              </w:rPr>
              <w:t>464,069,921.44</w:t>
            </w:r>
          </w:p>
        </w:tc>
      </w:tr>
      <w:tr>
        <w:trPr>
          <w:trHeight w:val="28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1" w:right="0"/>
              <w:jc w:val="center"/>
              <w:rPr>
                <w:rFonts w:ascii="Times New Roman" w:hAnsi="Times New Roman" w:cs="Times New Roman" w:eastAsia="Times New Roman" w:hint="default"/>
                <w:sz w:val="21"/>
                <w:szCs w:val="21"/>
              </w:rPr>
            </w:pPr>
            <w:r>
              <w:rPr>
                <w:rFonts w:ascii="Times New Roman"/>
                <w:sz w:val="21"/>
              </w:rPr>
              <w:t>323,794,778.60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Times New Roman" w:hAnsi="Times New Roman" w:cs="Times New Roman" w:eastAsia="Times New Roman" w:hint="default"/>
                <w:sz w:val="21"/>
                <w:szCs w:val="21"/>
              </w:rPr>
            </w:pPr>
            <w:r>
              <w:rPr>
                <w:rFonts w:ascii="Times New Roman"/>
                <w:spacing w:val="-1"/>
                <w:sz w:val="21"/>
              </w:rPr>
              <w:t>65,976.28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
              <w:jc w:val="right"/>
              <w:rPr>
                <w:rFonts w:ascii="Times New Roman" w:hAnsi="Times New Roman" w:cs="Times New Roman" w:eastAsia="Times New Roman" w:hint="default"/>
                <w:sz w:val="21"/>
                <w:szCs w:val="21"/>
              </w:rPr>
            </w:pPr>
            <w:r>
              <w:rPr>
                <w:rFonts w:ascii="Times New Roman"/>
                <w:spacing w:val="-1"/>
                <w:sz w:val="21"/>
              </w:rPr>
              <w:t>323,728,802.32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center"/>
              <w:rPr>
                <w:rFonts w:ascii="Times New Roman" w:hAnsi="Times New Roman" w:cs="Times New Roman" w:eastAsia="Times New Roman" w:hint="default"/>
                <w:sz w:val="21"/>
                <w:szCs w:val="21"/>
              </w:rPr>
            </w:pPr>
            <w:r>
              <w:rPr>
                <w:rFonts w:ascii="Times New Roman"/>
                <w:sz w:val="21"/>
              </w:rPr>
              <w:t>482,156,808.68</w:t>
            </w:r>
          </w:p>
        </w:tc>
        <w:tc>
          <w:tcPr>
            <w:tcW w:w="83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 w:right="0"/>
              <w:jc w:val="center"/>
              <w:rPr>
                <w:rFonts w:ascii="Times New Roman" w:hAnsi="Times New Roman" w:cs="Times New Roman" w:eastAsia="Times New Roman" w:hint="default"/>
                <w:sz w:val="21"/>
                <w:szCs w:val="21"/>
              </w:rPr>
            </w:pPr>
            <w:r>
              <w:rPr>
                <w:rFonts w:ascii="Times New Roman"/>
                <w:sz w:val="21"/>
              </w:rPr>
              <w:t>482,156,808.68</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500" w:bottom="280" w:left="1060" w:right="1560"/>
        </w:sectPr>
      </w:pPr>
    </w:p>
    <w:p>
      <w:pPr>
        <w:pStyle w:val="Heading3"/>
        <w:spacing w:line="273" w:lineRule="exact"/>
        <w:ind w:left="216" w:right="0"/>
        <w:jc w:val="left"/>
      </w:pPr>
      <w:r>
        <w:rPr/>
        <w:t> </w:t>
      </w:r>
    </w:p>
    <w:p>
      <w:pPr>
        <w:pStyle w:val="Heading3"/>
        <w:spacing w:line="313" w:lineRule="exact"/>
        <w:ind w:left="216" w:right="0"/>
        <w:jc w:val="left"/>
      </w:pPr>
      <w:r>
        <w:rPr/>
        <w:t> </w:t>
      </w:r>
    </w:p>
    <w:p>
      <w:pPr>
        <w:spacing w:line="290" w:lineRule="auto" w:before="64"/>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存货跌价准备及合同履约成本减值准备</w:t>
      </w:r>
      <w:r>
        <w:rPr>
          <w:rFonts w:ascii="宋体" w:hAnsi="宋体" w:cs="宋体" w:eastAsia="宋体" w:hint="default"/>
          <w:sz w:val="21"/>
          <w:szCs w:val="21"/>
        </w:rPr>
        <w:t> </w:t>
      </w:r>
    </w:p>
    <w:p>
      <w:pPr>
        <w:pStyle w:val="BodyText"/>
        <w:spacing w:line="229"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3895" w:space="26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16"/>
        <w:gridCol w:w="1174"/>
        <w:gridCol w:w="1190"/>
        <w:gridCol w:w="1191"/>
        <w:gridCol w:w="1202"/>
        <w:gridCol w:w="1193"/>
        <w:gridCol w:w="1184"/>
      </w:tblGrid>
      <w:tr>
        <w:trPr>
          <w:trHeight w:val="281" w:hRule="exact"/>
        </w:trPr>
        <w:tc>
          <w:tcPr>
            <w:tcW w:w="191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18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916"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184" w:type="dxa"/>
            <w:vMerge/>
            <w:tcBorders>
              <w:left w:val="single" w:sz="4" w:space="0" w:color="000000"/>
              <w:bottom w:val="single" w:sz="4" w:space="0" w:color="000000"/>
              <w:right w:val="single" w:sz="4" w:space="0" w:color="000000"/>
            </w:tcBorders>
          </w:tcPr>
          <w:p>
            <w:pPr/>
          </w:p>
        </w:tc>
      </w:tr>
      <w:tr>
        <w:trPr>
          <w:trHeight w:val="28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65,976.28</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65,976.28</w:t>
            </w:r>
          </w:p>
        </w:tc>
      </w:tr>
      <w:tr>
        <w:trPr>
          <w:trHeight w:val="28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65,976.28</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65,976.28</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Heading4"/>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存货期末余额含有</w:t>
      </w:r>
      <w:r>
        <w:rPr>
          <w:spacing w:val="-3"/>
          <w:w w:val="100"/>
        </w:rPr>
        <w:t>借</w:t>
      </w:r>
      <w:r>
        <w:rPr>
          <w:w w:val="100"/>
        </w:rPr>
        <w:t>款</w:t>
      </w:r>
      <w:r>
        <w:rPr>
          <w:spacing w:val="-3"/>
          <w:w w:val="100"/>
        </w:rPr>
        <w:t>费</w:t>
      </w:r>
      <w:r>
        <w:rPr>
          <w:w w:val="100"/>
        </w:rPr>
        <w:t>用资本化金额的说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500" w:bottom="280" w:left="1060" w:right="1560"/>
        </w:sectPr>
      </w:pPr>
    </w:p>
    <w:p>
      <w:pPr>
        <w:spacing w:line="240" w:lineRule="auto" w:before="6"/>
        <w:rPr>
          <w:rFonts w:ascii="宋体" w:hAnsi="宋体" w:cs="宋体" w:eastAsia="宋体" w:hint="default"/>
          <w:sz w:val="18"/>
          <w:szCs w:val="18"/>
        </w:r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(4).</w:t>
      </w:r>
      <w:r>
        <w:rPr/>
        <w:t>期末建造合同形成的已完工未结算资产情况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9" w:lineRule="exact"/>
        <w:ind w:left="358" w:right="0" w:hanging="1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5"/>
          <w:szCs w:val="25"/>
        </w:rPr>
      </w:pPr>
    </w:p>
    <w:p>
      <w:pPr>
        <w:pStyle w:val="Heading4"/>
        <w:spacing w:line="240" w:lineRule="auto" w:before="0"/>
        <w:ind w:left="341" w:right="7218"/>
        <w:jc w:val="center"/>
        <w:rPr>
          <w:b w:val="0"/>
          <w:bCs w:val="0"/>
        </w:rPr>
      </w:pPr>
      <w:r>
        <w:rPr>
          <w:rFonts w:ascii="Times New Roman" w:hAnsi="Times New Roman" w:cs="Times New Roman" w:eastAsia="Times New Roman" w:hint="default"/>
        </w:rPr>
        <w:t>10</w:t>
      </w:r>
      <w:r>
        <w:rPr/>
        <w:t>、持有待售资产</w:t>
      </w:r>
      <w:r>
        <w:rPr>
          <w:b w:val="0"/>
          <w:bCs w:val="0"/>
        </w:rPr>
      </w:r>
    </w:p>
    <w:p>
      <w:pPr>
        <w:pStyle w:val="BodyText"/>
        <w:spacing w:line="273" w:lineRule="exact" w:before="4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0" w:footer="979" w:top="1120" w:bottom="1160" w:left="1060" w:right="1560"/>
        </w:sectPr>
      </w:pPr>
    </w:p>
    <w:p>
      <w:pPr>
        <w:pStyle w:val="Heading4"/>
        <w:spacing w:line="240" w:lineRule="auto" w:before="58"/>
        <w:ind w:left="358" w:right="-2"/>
        <w:jc w:val="left"/>
        <w:rPr>
          <w:b w:val="0"/>
          <w:bCs w:val="0"/>
        </w:rPr>
      </w:pPr>
      <w:r>
        <w:rPr>
          <w:rFonts w:ascii="Times New Roman" w:hAnsi="Times New Roman" w:cs="Times New Roman" w:eastAsia="Times New Roman" w:hint="default"/>
          <w:spacing w:val="-1"/>
        </w:rPr>
        <w:t>11</w:t>
      </w:r>
      <w:r>
        <w:rPr>
          <w:spacing w:val="-1"/>
        </w:rPr>
        <w:t>、一年内到期的非流动资产</w:t>
      </w:r>
      <w:r>
        <w:rPr>
          <w:b w:val="0"/>
          <w:bCs w:val="0"/>
          <w:spacing w:val="-1"/>
        </w:rPr>
      </w:r>
    </w:p>
    <w:p>
      <w:pPr>
        <w:pStyle w:val="BodyText"/>
        <w:spacing w:line="240" w:lineRule="auto" w:before="40"/>
        <w:ind w:left="216" w:right="-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6"/>
          <w:szCs w:val="26"/>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60" w:right="1560"/>
          <w:cols w:num="2" w:equalWidth="0">
            <w:col w:w="3103" w:space="3211"/>
            <w:col w:w="297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897"/>
        <w:gridCol w:w="2864"/>
      </w:tblGrid>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PPP</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项目及政府购买服务项目</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150,620,793.35</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150,620,793.35</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type w:val="continuous"/>
          <w:pgSz w:w="11910" w:h="16840"/>
          <w:pgMar w:top="1500" w:bottom="280" w:left="1060" w:right="1560"/>
        </w:sectPr>
      </w:pPr>
    </w:p>
    <w:p>
      <w:pPr>
        <w:pStyle w:val="Heading3"/>
        <w:spacing w:line="272" w:lineRule="exact"/>
        <w:ind w:left="216" w:right="0"/>
        <w:jc w:val="left"/>
      </w:pPr>
      <w:r>
        <w:rPr/>
        <w:t> </w:t>
      </w:r>
    </w:p>
    <w:p>
      <w:pPr>
        <w:pStyle w:val="Heading3"/>
        <w:spacing w:line="312" w:lineRule="exact"/>
        <w:ind w:left="216" w:right="0"/>
        <w:jc w:val="left"/>
      </w:pPr>
      <w:r>
        <w:rPr>
          <w:rFonts w:ascii="宋体" w:hAnsi="宋体" w:cs="宋体" w:eastAsia="宋体" w:hint="default"/>
        </w:rPr>
        <w:t>期末重要的债权投资和其他债权投资：</w:t>
      </w:r>
      <w:r>
        <w:rPr/>
        <w:t> </w:t>
      </w:r>
    </w:p>
    <w:p>
      <w:pPr>
        <w:pStyle w:val="BodyText"/>
        <w:spacing w:line="270" w:lineRule="exact" w:before="4"/>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2" w:lineRule="exact" w:before="25"/>
        <w:ind w:left="216" w:right="3021"/>
        <w:jc w:val="left"/>
      </w:pPr>
      <w:r>
        <w:rPr/>
        <w:t>  </w:t>
      </w:r>
      <w:r>
        <w:rPr>
          <w:rFonts w:ascii="宋体" w:hAnsi="宋体" w:cs="宋体" w:eastAsia="宋体" w:hint="default"/>
        </w:rPr>
        <w:t>其他说明   </w:t>
      </w:r>
      <w:r>
        <w:rPr>
          <w:rFonts w:ascii="宋体" w:hAnsi="宋体" w:cs="宋体" w:eastAsia="宋体" w:hint="default"/>
          <w:spacing w:val="119"/>
        </w:rPr>
        <w:t> </w:t>
      </w:r>
      <w:r>
        <w:rPr>
          <w:spacing w:val="119"/>
        </w:rPr>
      </w:r>
      <w:r>
        <w:rPr>
          <w:rFonts w:ascii="宋体" w:hAnsi="宋体" w:cs="宋体" w:eastAsia="宋体" w:hint="default"/>
        </w:rPr>
        <w:t>无</w:t>
      </w:r>
      <w:r>
        <w:rPr/>
        <w:t> </w:t>
      </w:r>
    </w:p>
    <w:p>
      <w:pPr>
        <w:pStyle w:val="Heading4"/>
        <w:spacing w:line="240" w:lineRule="auto" w:before="33"/>
        <w:ind w:left="342" w:right="2350"/>
        <w:jc w:val="center"/>
        <w:rPr>
          <w:b w:val="0"/>
          <w:bCs w:val="0"/>
        </w:rPr>
      </w:pPr>
      <w:r>
        <w:rPr>
          <w:rFonts w:ascii="Times New Roman" w:hAnsi="Times New Roman" w:cs="Times New Roman" w:eastAsia="Times New Roman" w:hint="default"/>
        </w:rPr>
        <w:t>12</w:t>
      </w:r>
      <w:r>
        <w:rPr/>
        <w:t>、其他流动资产</w:t>
      </w:r>
      <w:r>
        <w:rPr>
          <w:b w:val="0"/>
          <w:bCs w:val="0"/>
        </w:rPr>
      </w:r>
    </w:p>
    <w:p>
      <w:pPr>
        <w:pStyle w:val="BodyText"/>
        <w:spacing w:line="240" w:lineRule="auto" w:before="4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4418" w:space="210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预缴增值税及待抵扣进项税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86,806,755.11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75,289,990.25</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短期其他债权投资</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50,957,808.22</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房租及物业费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4,433,544.94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1,960,901.78</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预交所得税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4,462,265.34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4,431,163.73</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456,833.66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1,279,559.67</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147,117,207.27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82,961,615.43</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40" w:lineRule="auto"/>
        <w:ind w:left="216" w:right="8097"/>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73" w:lineRule="auto" w:before="56"/>
        <w:ind w:left="216" w:right="7252"/>
        <w:jc w:val="left"/>
        <w:rPr>
          <w:rFonts w:ascii="宋体" w:hAnsi="宋体" w:cs="宋体" w:eastAsia="宋体" w:hint="default"/>
          <w:b w:val="0"/>
          <w:bCs w:val="0"/>
        </w:rPr>
      </w:pPr>
      <w:r>
        <w:rPr>
          <w:rFonts w:ascii="Times New Roman" w:hAnsi="Times New Roman" w:cs="Times New Roman" w:eastAsia="Times New Roman" w:hint="default"/>
        </w:rPr>
        <w:t>13</w:t>
      </w:r>
      <w:r>
        <w:rPr/>
        <w:t>、</w:t>
      </w:r>
      <w:r>
        <w:rPr>
          <w:spacing w:val="-22"/>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30"/>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期末重要的债权投</w:t>
      </w:r>
      <w:r>
        <w:rPr>
          <w:spacing w:val="-3"/>
          <w:w w:val="100"/>
        </w:rPr>
        <w:t>资</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减值准备计提情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6" w:right="1810"/>
        <w:jc w:val="left"/>
      </w:pPr>
      <w:r>
        <w:rPr>
          <w:rFonts w:ascii="宋体" w:hAnsi="宋体" w:cs="宋体" w:eastAsia="宋体" w:hint="default"/>
          <w:w w:val="100"/>
        </w:rPr>
        <w:t> </w:t>
      </w:r>
      <w:r>
        <w:rPr>
          <w:w w:val="100"/>
        </w:rPr>
        <w:t>本期</w:t>
      </w:r>
      <w:r>
        <w:rPr>
          <w:spacing w:val="-3"/>
          <w:w w:val="100"/>
        </w:rPr>
        <w:t>减</w:t>
      </w:r>
      <w:r>
        <w:rPr>
          <w:spacing w:val="-1"/>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71"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type w:val="continuous"/>
          <w:pgSz w:w="11910" w:h="16840"/>
          <w:pgMar w:top="1500" w:bottom="280" w:left="1060" w:right="1560"/>
        </w:sectPr>
      </w:pPr>
    </w:p>
    <w:p>
      <w:pPr>
        <w:spacing w:line="240" w:lineRule="auto" w:before="6"/>
        <w:rPr>
          <w:rFonts w:ascii="宋体" w:hAnsi="宋体" w:cs="宋体" w:eastAsia="宋体" w:hint="default"/>
          <w:sz w:val="18"/>
          <w:szCs w:val="18"/>
        </w:rPr>
      </w:pPr>
    </w:p>
    <w:p>
      <w:pPr>
        <w:pStyle w:val="BodyText"/>
        <w:spacing w:line="272" w:lineRule="exact" w:before="64"/>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Times New Roman" w:hAnsi="Times New Roman" w:cs="Times New Roman" w:eastAsia="Times New Roman" w:hint="default"/>
        </w:rPr>
        <w:t>14</w:t>
      </w:r>
      <w:r>
        <w:rPr/>
        <w:t>、</w:t>
      </w:r>
      <w:r>
        <w:rPr>
          <w:spacing w:val="-21"/>
        </w:rPr>
        <w:t> </w:t>
      </w:r>
      <w:r>
        <w:rPr/>
        <w:t>其他债权投资</w:t>
      </w:r>
      <w:r>
        <w:rPr>
          <w:b w:val="0"/>
          <w:bCs w:val="0"/>
        </w:rPr>
      </w:r>
    </w:p>
    <w:p>
      <w:pPr>
        <w:pStyle w:val="Heading4"/>
        <w:spacing w:line="240" w:lineRule="auto" w:before="40"/>
        <w:ind w:left="216"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3"/>
        </w:rPr>
        <w:t> </w:t>
      </w:r>
      <w:r>
        <w:rPr/>
        <w:t>其他债权投资情况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2"/>
        </w:rPr>
        <w:t> </w:t>
      </w:r>
      <w:r>
        <w:rPr/>
        <w:t>期末重要的其他债权投资</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0"/>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rFonts w:ascii="宋体" w:hAnsi="宋体" w:cs="宋体" w:eastAsia="宋体" w:hint="default"/>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3"/>
        </w:rPr>
        <w:t> </w:t>
      </w:r>
      <w:r>
        <w:rPr/>
        <w:t>减值准备计提情况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6" w:right="1809"/>
        <w:jc w:val="left"/>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71"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0" w:footer="979" w:top="1120" w:bottom="1160" w:left="1060" w:right="1560"/>
        </w:sectPr>
      </w:pPr>
    </w:p>
    <w:p>
      <w:pPr>
        <w:pStyle w:val="Heading4"/>
        <w:spacing w:line="273" w:lineRule="auto" w:before="58"/>
        <w:ind w:left="216" w:right="0" w:firstLine="142"/>
        <w:jc w:val="left"/>
        <w:rPr>
          <w:rFonts w:ascii="宋体" w:hAnsi="宋体" w:cs="宋体" w:eastAsia="宋体" w:hint="default"/>
          <w:b w:val="0"/>
          <w:bCs w:val="0"/>
        </w:rPr>
      </w:pPr>
      <w:r>
        <w:rPr>
          <w:rFonts w:ascii="Times New Roman" w:hAnsi="Times New Roman" w:cs="Times New Roman" w:eastAsia="Times New Roman" w:hint="default"/>
        </w:rPr>
        <w:t>15</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2227" w:space="4296"/>
            <w:col w:w="276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580"/>
        <w:gridCol w:w="1573"/>
        <w:gridCol w:w="518"/>
        <w:gridCol w:w="1572"/>
        <w:gridCol w:w="1409"/>
        <w:gridCol w:w="521"/>
        <w:gridCol w:w="1412"/>
        <w:gridCol w:w="466"/>
      </w:tblGrid>
      <w:tr>
        <w:trPr>
          <w:trHeight w:val="286" w:hRule="exact"/>
        </w:trPr>
        <w:tc>
          <w:tcPr>
            <w:tcW w:w="15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663" w:type="dxa"/>
            <w:gridSpan w:val="3"/>
            <w:tcBorders>
              <w:top w:val="single" w:sz="4" w:space="0" w:color="000000"/>
              <w:left w:val="single" w:sz="4" w:space="0" w:color="000000"/>
              <w:bottom w:val="single" w:sz="6" w:space="0" w:color="000000"/>
              <w:right w:val="single" w:sz="4" w:space="0" w:color="000000"/>
            </w:tcBorders>
          </w:tcPr>
          <w:p>
            <w:pPr>
              <w:pStyle w:val="TableParagraph"/>
              <w:spacing w:line="244"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2" w:type="dxa"/>
            <w:gridSpan w:val="3"/>
            <w:tcBorders>
              <w:top w:val="single" w:sz="4" w:space="0" w:color="000000"/>
              <w:left w:val="single" w:sz="4" w:space="0" w:color="000000"/>
              <w:bottom w:val="single" w:sz="6" w:space="0" w:color="000000"/>
              <w:right w:val="single" w:sz="4"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66" w:type="dxa"/>
            <w:vMerge w:val="restart"/>
            <w:tcBorders>
              <w:top w:val="single" w:sz="4" w:space="0" w:color="000000"/>
              <w:left w:val="single" w:sz="4" w:space="0" w:color="000000"/>
              <w:right w:val="single" w:sz="4" w:space="0" w:color="000000"/>
            </w:tcBorders>
          </w:tcPr>
          <w:p>
            <w:pPr>
              <w:pStyle w:val="TableParagraph"/>
              <w:spacing w:line="242" w:lineRule="exact"/>
              <w:ind w:left="120" w:right="0"/>
              <w:jc w:val="both"/>
              <w:rPr>
                <w:rFonts w:ascii="宋体" w:hAnsi="宋体" w:cs="宋体" w:eastAsia="宋体" w:hint="default"/>
                <w:sz w:val="21"/>
                <w:szCs w:val="21"/>
              </w:rPr>
            </w:pPr>
            <w:r>
              <w:rPr>
                <w:rFonts w:ascii="宋体" w:hAnsi="宋体" w:cs="宋体" w:eastAsia="宋体" w:hint="default"/>
                <w:w w:val="100"/>
                <w:sz w:val="21"/>
                <w:szCs w:val="21"/>
              </w:rPr>
              <w:t>折</w:t>
            </w:r>
          </w:p>
          <w:p>
            <w:pPr>
              <w:pStyle w:val="TableParagraph"/>
              <w:spacing w:line="237" w:lineRule="auto"/>
              <w:ind w:left="120" w:right="17"/>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区</w:t>
            </w:r>
            <w:r>
              <w:rPr>
                <w:rFonts w:ascii="宋体" w:hAnsi="宋体" w:cs="宋体" w:eastAsia="宋体" w:hint="default"/>
                <w:w w:val="100"/>
                <w:sz w:val="21"/>
                <w:szCs w:val="21"/>
              </w:rPr>
              <w:t> </w:t>
            </w:r>
            <w:r>
              <w:rPr>
                <w:rFonts w:ascii="宋体" w:hAnsi="宋体" w:cs="宋体" w:eastAsia="宋体" w:hint="default"/>
                <w:sz w:val="21"/>
                <w:szCs w:val="21"/>
              </w:rPr>
              <w:t>间</w:t>
            </w:r>
            <w:r>
              <w:rPr>
                <w:rFonts w:ascii="宋体" w:hAnsi="宋体" w:cs="宋体" w:eastAsia="宋体" w:hint="default"/>
                <w:sz w:val="21"/>
                <w:szCs w:val="21"/>
              </w:rPr>
              <w:t> </w:t>
            </w:r>
          </w:p>
        </w:tc>
      </w:tr>
      <w:tr>
        <w:trPr>
          <w:trHeight w:val="1090" w:hRule="exact"/>
        </w:trPr>
        <w:tc>
          <w:tcPr>
            <w:tcW w:w="1580" w:type="dxa"/>
            <w:vMerge/>
            <w:tcBorders>
              <w:left w:val="single" w:sz="4" w:space="0" w:color="000000"/>
              <w:bottom w:val="single" w:sz="6" w:space="0" w:color="000000"/>
              <w:right w:val="single" w:sz="4" w:space="0" w:color="000000"/>
            </w:tcBorders>
          </w:tcPr>
          <w:p>
            <w:pPr/>
          </w:p>
        </w:tc>
        <w:tc>
          <w:tcPr>
            <w:tcW w:w="157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72" w:lineRule="exact"/>
              <w:ind w:left="40" w:right="38"/>
              <w:jc w:val="left"/>
              <w:rPr>
                <w:rFonts w:ascii="宋体" w:hAnsi="宋体" w:cs="宋体" w:eastAsia="宋体" w:hint="default"/>
                <w:sz w:val="21"/>
                <w:szCs w:val="21"/>
              </w:rPr>
            </w:pP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72" w:lineRule="exact"/>
              <w:ind w:left="40" w:right="41"/>
              <w:jc w:val="left"/>
              <w:rPr>
                <w:rFonts w:ascii="宋体" w:hAnsi="宋体" w:cs="宋体" w:eastAsia="宋体" w:hint="default"/>
                <w:sz w:val="21"/>
                <w:szCs w:val="21"/>
              </w:rPr>
            </w:pP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41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466" w:type="dxa"/>
            <w:vMerge/>
            <w:tcBorders>
              <w:left w:val="single" w:sz="4" w:space="0" w:color="000000"/>
              <w:bottom w:val="single" w:sz="6" w:space="0" w:color="000000"/>
              <w:right w:val="single" w:sz="4" w:space="0" w:color="000000"/>
            </w:tcBorders>
          </w:tcPr>
          <w:p>
            <w:pPr/>
          </w:p>
        </w:tc>
      </w:tr>
      <w:tr>
        <w:trPr>
          <w:trHeight w:val="326" w:hRule="exact"/>
        </w:trPr>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融资租赁款</w:t>
            </w:r>
            <w:r>
              <w:rPr>
                <w:rFonts w:ascii="宋体" w:hAnsi="宋体" w:cs="宋体" w:eastAsia="宋体" w:hint="default"/>
                <w:sz w:val="21"/>
                <w:szCs w:val="21"/>
              </w:rPr>
              <w:t> </w:t>
            </w:r>
          </w:p>
        </w:tc>
        <w:tc>
          <w:tcPr>
            <w:tcW w:w="1573"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 </w:t>
            </w:r>
          </w:p>
        </w:tc>
      </w:tr>
      <w:tr>
        <w:trPr>
          <w:trHeight w:val="559" w:hRule="exact"/>
        </w:trPr>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其中：未实</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现融资收益</w:t>
            </w:r>
            <w:r>
              <w:rPr>
                <w:rFonts w:ascii="宋体" w:hAnsi="宋体" w:cs="宋体" w:eastAsia="宋体" w:hint="default"/>
                <w:sz w:val="21"/>
                <w:szCs w:val="21"/>
              </w:rPr>
              <w:t> </w:t>
            </w:r>
          </w:p>
        </w:tc>
        <w:tc>
          <w:tcPr>
            <w:tcW w:w="1573"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 </w:t>
            </w:r>
          </w:p>
        </w:tc>
      </w:tr>
      <w:tr>
        <w:trPr>
          <w:trHeight w:val="559" w:hRule="exact"/>
        </w:trPr>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分期收款销售商</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1,061,044,919.98</w:t>
            </w:r>
          </w:p>
        </w:tc>
        <w:tc>
          <w:tcPr>
            <w:tcW w:w="518"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1,061,044,919.98</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6" w:right="0"/>
              <w:jc w:val="center"/>
              <w:rPr>
                <w:rFonts w:ascii="Times New Roman" w:hAnsi="Times New Roman" w:cs="Times New Roman" w:eastAsia="Times New Roman" w:hint="default"/>
                <w:sz w:val="21"/>
                <w:szCs w:val="21"/>
              </w:rPr>
            </w:pPr>
            <w:r>
              <w:rPr>
                <w:rFonts w:ascii="Times New Roman"/>
                <w:sz w:val="21"/>
              </w:rPr>
              <w:t>702,889,910.08</w:t>
            </w:r>
          </w:p>
        </w:tc>
        <w:tc>
          <w:tcPr>
            <w:tcW w:w="521"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7"/>
              <w:ind w:left="35" w:right="0"/>
              <w:jc w:val="center"/>
              <w:rPr>
                <w:rFonts w:ascii="Times New Roman" w:hAnsi="Times New Roman" w:cs="Times New Roman" w:eastAsia="Times New Roman" w:hint="default"/>
                <w:sz w:val="21"/>
                <w:szCs w:val="21"/>
              </w:rPr>
            </w:pPr>
            <w:r>
              <w:rPr>
                <w:rFonts w:ascii="Times New Roman"/>
                <w:sz w:val="21"/>
              </w:rPr>
              <w:t>702,889,910.08</w:t>
            </w:r>
          </w:p>
        </w:tc>
        <w:tc>
          <w:tcPr>
            <w:tcW w:w="46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 </w:t>
            </w:r>
          </w:p>
        </w:tc>
      </w:tr>
      <w:tr>
        <w:trPr>
          <w:trHeight w:val="562" w:hRule="exact"/>
        </w:trPr>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其中：未实现融</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资收益</w:t>
            </w:r>
            <w:r>
              <w:rPr>
                <w:rFonts w:ascii="宋体" w:hAnsi="宋体" w:cs="宋体" w:eastAsia="宋体" w:hint="default"/>
                <w:sz w:val="21"/>
                <w:szCs w:val="21"/>
              </w:rPr>
              <w:t> </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165,876,669.51</w:t>
            </w:r>
          </w:p>
        </w:tc>
        <w:tc>
          <w:tcPr>
            <w:tcW w:w="518"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36"/>
              <w:jc w:val="right"/>
              <w:rPr>
                <w:rFonts w:ascii="Times New Roman" w:hAnsi="Times New Roman" w:cs="Times New Roman" w:eastAsia="Times New Roman" w:hint="default"/>
                <w:sz w:val="21"/>
                <w:szCs w:val="21"/>
              </w:rPr>
            </w:pPr>
            <w:r>
              <w:rPr>
                <w:rFonts w:ascii="Times New Roman"/>
                <w:spacing w:val="-1"/>
                <w:sz w:val="21"/>
              </w:rPr>
              <w:t>165,876,669.51</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6" w:right="0"/>
              <w:jc w:val="center"/>
              <w:rPr>
                <w:rFonts w:ascii="Times New Roman" w:hAnsi="Times New Roman" w:cs="Times New Roman" w:eastAsia="Times New Roman" w:hint="default"/>
                <w:sz w:val="21"/>
                <w:szCs w:val="21"/>
              </w:rPr>
            </w:pPr>
            <w:r>
              <w:rPr>
                <w:rFonts w:ascii="Times New Roman"/>
                <w:sz w:val="21"/>
              </w:rPr>
              <w:t>137,562,260.10</w:t>
            </w:r>
          </w:p>
        </w:tc>
        <w:tc>
          <w:tcPr>
            <w:tcW w:w="521"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7"/>
              <w:ind w:left="35" w:right="0"/>
              <w:jc w:val="center"/>
              <w:rPr>
                <w:rFonts w:ascii="Times New Roman" w:hAnsi="Times New Roman" w:cs="Times New Roman" w:eastAsia="Times New Roman" w:hint="default"/>
                <w:sz w:val="21"/>
                <w:szCs w:val="21"/>
              </w:rPr>
            </w:pPr>
            <w:r>
              <w:rPr>
                <w:rFonts w:ascii="Times New Roman"/>
                <w:sz w:val="21"/>
              </w:rPr>
              <w:t>137,562,260.10</w:t>
            </w:r>
          </w:p>
        </w:tc>
        <w:tc>
          <w:tcPr>
            <w:tcW w:w="466"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sz w:val="24"/>
              </w:rPr>
              <w:t> </w:t>
            </w:r>
          </w:p>
        </w:tc>
      </w:tr>
      <w:tr>
        <w:trPr>
          <w:trHeight w:val="560" w:hRule="exact"/>
        </w:trPr>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减：一年到期的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20"/>
              <w:jc w:val="right"/>
              <w:rPr>
                <w:rFonts w:ascii="Times New Roman" w:hAnsi="Times New Roman" w:cs="Times New Roman" w:eastAsia="Times New Roman" w:hint="default"/>
                <w:sz w:val="21"/>
                <w:szCs w:val="21"/>
              </w:rPr>
            </w:pPr>
            <w:r>
              <w:rPr>
                <w:rFonts w:ascii="Times New Roman"/>
                <w:spacing w:val="-1"/>
                <w:sz w:val="21"/>
              </w:rPr>
              <w:t>-150,620,793.35</w:t>
            </w:r>
          </w:p>
        </w:tc>
        <w:tc>
          <w:tcPr>
            <w:tcW w:w="518"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-150,620,793.35</w:t>
            </w:r>
          </w:p>
        </w:tc>
        <w:tc>
          <w:tcPr>
            <w:tcW w:w="1409"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 </w:t>
            </w:r>
          </w:p>
        </w:tc>
      </w:tr>
      <w:tr>
        <w:trPr>
          <w:trHeight w:val="326" w:hRule="exact"/>
        </w:trPr>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 </w:t>
            </w:r>
          </w:p>
        </w:tc>
        <w:tc>
          <w:tcPr>
            <w:tcW w:w="1573"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521"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 </w:t>
            </w:r>
          </w:p>
        </w:tc>
      </w:tr>
      <w:tr>
        <w:trPr>
          <w:trHeight w:val="326" w:hRule="exact"/>
        </w:trPr>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42"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0"/>
              <w:jc w:val="right"/>
              <w:rPr>
                <w:rFonts w:ascii="Times New Roman" w:hAnsi="Times New Roman" w:cs="Times New Roman" w:eastAsia="Times New Roman" w:hint="default"/>
                <w:sz w:val="21"/>
                <w:szCs w:val="21"/>
              </w:rPr>
            </w:pPr>
            <w:r>
              <w:rPr>
                <w:rFonts w:ascii="Times New Roman"/>
                <w:spacing w:val="-1"/>
                <w:sz w:val="21"/>
              </w:rPr>
              <w:t>910,424,126.63</w:t>
            </w:r>
          </w:p>
        </w:tc>
        <w:tc>
          <w:tcPr>
            <w:tcW w:w="518"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910,424,126.63</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36" w:right="0"/>
              <w:jc w:val="center"/>
              <w:rPr>
                <w:rFonts w:ascii="Times New Roman" w:hAnsi="Times New Roman" w:cs="Times New Roman" w:eastAsia="Times New Roman" w:hint="default"/>
                <w:sz w:val="21"/>
                <w:szCs w:val="21"/>
              </w:rPr>
            </w:pPr>
            <w:r>
              <w:rPr>
                <w:rFonts w:ascii="Times New Roman"/>
                <w:sz w:val="21"/>
              </w:rPr>
              <w:t>702,889,910.08</w:t>
            </w:r>
          </w:p>
        </w:tc>
        <w:tc>
          <w:tcPr>
            <w:tcW w:w="521"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7"/>
              <w:ind w:left="35" w:right="0"/>
              <w:jc w:val="center"/>
              <w:rPr>
                <w:rFonts w:ascii="Times New Roman" w:hAnsi="Times New Roman" w:cs="Times New Roman" w:eastAsia="Times New Roman" w:hint="default"/>
                <w:sz w:val="21"/>
                <w:szCs w:val="21"/>
              </w:rPr>
            </w:pPr>
            <w:r>
              <w:rPr>
                <w:rFonts w:ascii="Times New Roman"/>
                <w:sz w:val="21"/>
              </w:rPr>
              <w:t>702,889,910.08</w:t>
            </w:r>
          </w:p>
        </w:tc>
        <w:tc>
          <w:tcPr>
            <w:tcW w:w="466"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65" w:right="0"/>
              <w:jc w:val="left"/>
              <w:rPr>
                <w:rFonts w:ascii="宋体" w:hAnsi="宋体" w:cs="宋体" w:eastAsia="宋体" w:hint="default"/>
                <w:sz w:val="24"/>
                <w:szCs w:val="24"/>
              </w:rPr>
            </w:pPr>
            <w:r>
              <w:rPr>
                <w:rFonts w:ascii="宋体"/>
                <w:sz w:val="24"/>
              </w:rPr>
              <w:t>/ </w:t>
            </w:r>
          </w:p>
        </w:tc>
      </w:tr>
    </w:tbl>
    <w:p>
      <w:pPr>
        <w:pStyle w:val="Heading3"/>
        <w:spacing w:line="274" w:lineRule="exact"/>
        <w:ind w:left="216" w:right="0"/>
        <w:jc w:val="left"/>
      </w:pPr>
      <w:r>
        <w:rPr>
          <w:color w:val="FF0000"/>
        </w:rPr>
        <w:t> </w:t>
      </w:r>
      <w:r>
        <w:rPr/>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56"/>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6" w:right="0"/>
        <w:jc w:val="left"/>
      </w:pPr>
      <w:r>
        <w:rPr/>
        <w:t> </w:t>
      </w:r>
    </w:p>
    <w:p>
      <w:pPr>
        <w:pStyle w:val="BodyText"/>
        <w:spacing w:line="274" w:lineRule="exact" w:before="1"/>
        <w:ind w:left="216" w:right="0"/>
        <w:jc w:val="left"/>
      </w:pPr>
      <w:r>
        <w:rPr/>
        <w:t>本期坏账准备计提金额以及评估金融工具的信用风险是否显著增加的采用依据</w:t>
      </w:r>
    </w:p>
    <w:p>
      <w:pPr>
        <w:pStyle w:val="BodyText"/>
        <w:spacing w:line="274" w:lineRule="exact"/>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after="0" w:line="274" w:lineRule="exact"/>
        <w:jc w:val="left"/>
        <w:rPr>
          <w:rFonts w:ascii="宋体" w:hAnsi="宋体" w:cs="宋体" w:eastAsia="宋体" w:hint="default"/>
          <w:sz w:val="24"/>
          <w:szCs w:val="24"/>
        </w:rPr>
        <w:sectPr>
          <w:type w:val="continuous"/>
          <w:pgSz w:w="11910" w:h="16840"/>
          <w:pgMar w:top="1500" w:bottom="280" w:left="1060" w:right="1560"/>
        </w:sectPr>
      </w:pPr>
    </w:p>
    <w:p>
      <w:pPr>
        <w:spacing w:line="240" w:lineRule="auto" w:before="10"/>
        <w:rPr>
          <w:rFonts w:ascii="宋体" w:hAnsi="宋体" w:cs="宋体" w:eastAsia="宋体" w:hint="default"/>
          <w:sz w:val="18"/>
          <w:szCs w:val="18"/>
        </w:rPr>
      </w:pPr>
    </w:p>
    <w:p>
      <w:pPr>
        <w:pStyle w:val="Heading3"/>
        <w:spacing w:line="240" w:lineRule="auto" w:before="26"/>
        <w:ind w:left="136" w:right="0"/>
        <w:jc w:val="left"/>
      </w:pPr>
      <w:r>
        <w:rPr/>
        <w:t> </w:t>
      </w:r>
    </w:p>
    <w:p>
      <w:pPr>
        <w:pStyle w:val="Heading4"/>
        <w:spacing w:line="240" w:lineRule="auto"/>
        <w:ind w:left="136" w:right="0"/>
        <w:jc w:val="left"/>
        <w:rPr>
          <w:rFonts w:ascii="宋体" w:hAnsi="宋体" w:cs="宋体" w:eastAsia="宋体" w:hint="default"/>
          <w:b w:val="0"/>
          <w:bCs w:val="0"/>
        </w:rPr>
      </w:pPr>
      <w:r>
        <w:rPr>
          <w:rFonts w:ascii="宋体" w:hAnsi="宋体" w:cs="宋体" w:eastAsia="宋体" w:hint="default"/>
        </w:rPr>
        <w:t>(3).</w:t>
      </w:r>
      <w:r>
        <w:rPr/>
        <w:t>因金融资产转移而终止确认的长期应收款</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56"/>
        <w:ind w:left="136"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136" w:right="0"/>
        <w:jc w:val="left"/>
      </w:pPr>
      <w:r>
        <w:rPr/>
        <w:t> </w:t>
      </w:r>
    </w:p>
    <w:p>
      <w:pPr>
        <w:pStyle w:val="Heading4"/>
        <w:spacing w:line="240" w:lineRule="auto" w:before="61"/>
        <w:ind w:left="136" w:right="0"/>
        <w:jc w:val="left"/>
        <w:rPr>
          <w:rFonts w:ascii="宋体" w:hAnsi="宋体" w:cs="宋体" w:eastAsia="宋体" w:hint="default"/>
          <w:b w:val="0"/>
          <w:bCs w:val="0"/>
        </w:rPr>
      </w:pPr>
      <w:r>
        <w:rPr>
          <w:rFonts w:ascii="宋体" w:hAnsi="宋体" w:cs="宋体" w:eastAsia="宋体" w:hint="default"/>
        </w:rPr>
        <w:t>(4).</w:t>
      </w:r>
      <w:r>
        <w:rPr/>
        <w:t>转移长期应收款且继续涉入形成的资产、负债金额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left="1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after="0" w:line="271" w:lineRule="exact"/>
        <w:jc w:val="left"/>
        <w:rPr>
          <w:rFonts w:ascii="宋体" w:hAnsi="宋体" w:cs="宋体" w:eastAsia="宋体" w:hint="default"/>
          <w:sz w:val="24"/>
          <w:szCs w:val="24"/>
        </w:rPr>
        <w:sectPr>
          <w:pgSz w:w="11910" w:h="16840"/>
          <w:pgMar w:header="0" w:footer="979" w:top="1120" w:bottom="1160" w:left="1140" w:right="16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4"/>
        <w:spacing w:line="240" w:lineRule="auto" w:before="36"/>
        <w:ind w:left="365" w:right="0"/>
        <w:jc w:val="left"/>
        <w:rPr>
          <w:rFonts w:ascii="宋体" w:hAnsi="宋体" w:cs="宋体" w:eastAsia="宋体" w:hint="default"/>
          <w:b w:val="0"/>
          <w:bCs w:val="0"/>
        </w:rPr>
      </w:pPr>
      <w:r>
        <w:rPr>
          <w:rFonts w:ascii="Times New Roman" w:hAnsi="Times New Roman" w:cs="Times New Roman" w:eastAsia="Times New Roman" w:hint="default"/>
        </w:rPr>
        <w:t>16</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12"/>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68"/>
        <w:gridCol w:w="1586"/>
        <w:gridCol w:w="1589"/>
        <w:gridCol w:w="1440"/>
        <w:gridCol w:w="1440"/>
        <w:gridCol w:w="862"/>
        <w:gridCol w:w="1584"/>
        <w:gridCol w:w="723"/>
        <w:gridCol w:w="430"/>
        <w:gridCol w:w="442"/>
        <w:gridCol w:w="1584"/>
        <w:gridCol w:w="542"/>
      </w:tblGrid>
      <w:tr>
        <w:trPr>
          <w:trHeight w:val="370" w:hRule="exact"/>
        </w:trPr>
        <w:tc>
          <w:tcPr>
            <w:tcW w:w="18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5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4" w:lineRule="auto"/>
              <w:ind w:left="580" w:right="46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8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0"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5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4" w:lineRule="auto"/>
              <w:ind w:left="576" w:right="47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42" w:type="dxa"/>
            <w:vMerge w:val="restart"/>
            <w:tcBorders>
              <w:top w:val="single" w:sz="4" w:space="0" w:color="000000"/>
              <w:left w:val="single" w:sz="4" w:space="0" w:color="000000"/>
              <w:right w:val="single" w:sz="4" w:space="0" w:color="000000"/>
            </w:tcBorders>
          </w:tcPr>
          <w:p>
            <w:pPr>
              <w:pStyle w:val="TableParagraph"/>
              <w:spacing w:line="314" w:lineRule="auto" w:before="42"/>
              <w:ind w:left="160" w:right="53"/>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r>
      <w:tr>
        <w:trPr>
          <w:trHeight w:val="2521" w:hRule="exact"/>
        </w:trPr>
        <w:tc>
          <w:tcPr>
            <w:tcW w:w="1868" w:type="dxa"/>
            <w:vMerge/>
            <w:tcBorders>
              <w:left w:val="single" w:sz="4" w:space="0" w:color="000000"/>
              <w:bottom w:val="single" w:sz="4" w:space="0" w:color="000000"/>
              <w:right w:val="single" w:sz="4" w:space="0" w:color="000000"/>
            </w:tcBorders>
          </w:tcPr>
          <w:p>
            <w:pPr/>
          </w:p>
        </w:tc>
        <w:tc>
          <w:tcPr>
            <w:tcW w:w="1586" w:type="dxa"/>
            <w:vMerge/>
            <w:tcBorders>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追加投资</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减少投资</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314" w:lineRule="auto"/>
              <w:ind w:left="191" w:right="183"/>
              <w:jc w:val="center"/>
              <w:rPr>
                <w:rFonts w:ascii="宋体" w:hAnsi="宋体" w:cs="宋体" w:eastAsia="宋体" w:hint="default"/>
                <w:sz w:val="21"/>
                <w:szCs w:val="21"/>
              </w:rPr>
            </w:pPr>
            <w:r>
              <w:rPr>
                <w:rFonts w:ascii="宋体" w:hAnsi="宋体" w:cs="宋体" w:eastAsia="宋体" w:hint="default"/>
                <w:sz w:val="21"/>
                <w:szCs w:val="21"/>
              </w:rPr>
              <w:t>权益法下确</w:t>
            </w:r>
            <w:r>
              <w:rPr>
                <w:rFonts w:ascii="宋体" w:hAnsi="宋体" w:cs="宋体" w:eastAsia="宋体" w:hint="default"/>
                <w:w w:val="100"/>
                <w:sz w:val="21"/>
                <w:szCs w:val="21"/>
              </w:rPr>
              <w:t> </w:t>
            </w:r>
            <w:r>
              <w:rPr>
                <w:rFonts w:ascii="宋体" w:hAnsi="宋体" w:cs="宋体" w:eastAsia="宋体" w:hint="default"/>
                <w:sz w:val="21"/>
                <w:szCs w:val="21"/>
              </w:rPr>
              <w:t>认的投资损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314" w:lineRule="auto"/>
              <w:ind w:left="112" w:right="103"/>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spacing w:val="-2"/>
                <w:sz w:val="21"/>
                <w:szCs w:val="21"/>
              </w:rPr>
              <w:t>其他权益变动</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4" w:lineRule="auto"/>
              <w:ind w:left="146" w:right="143"/>
              <w:jc w:val="both"/>
              <w:rPr>
                <w:rFonts w:ascii="宋体" w:hAnsi="宋体" w:cs="宋体" w:eastAsia="宋体" w:hint="default"/>
                <w:sz w:val="21"/>
                <w:szCs w:val="21"/>
              </w:rPr>
            </w:pPr>
            <w:r>
              <w:rPr>
                <w:rFonts w:ascii="宋体" w:hAnsi="宋体" w:cs="宋体" w:eastAsia="宋体" w:hint="default"/>
                <w:sz w:val="21"/>
                <w:szCs w:val="21"/>
              </w:rPr>
              <w:t>宣告</w:t>
            </w:r>
            <w:r>
              <w:rPr>
                <w:rFonts w:ascii="宋体" w:hAnsi="宋体" w:cs="宋体" w:eastAsia="宋体" w:hint="default"/>
                <w:spacing w:val="-103"/>
                <w:sz w:val="21"/>
                <w:szCs w:val="21"/>
              </w:rPr>
              <w:t> </w:t>
            </w: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4" w:lineRule="auto"/>
              <w:ind w:left="105" w:right="-3"/>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53"/>
              <w:ind w:left="110" w:right="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c>
          <w:tcPr>
            <w:tcW w:w="1584" w:type="dxa"/>
            <w:vMerge/>
            <w:tcBorders>
              <w:left w:val="single" w:sz="4" w:space="0" w:color="000000"/>
              <w:bottom w:val="single" w:sz="4" w:space="0" w:color="000000"/>
              <w:right w:val="single" w:sz="4" w:space="0" w:color="000000"/>
            </w:tcBorders>
          </w:tcPr>
          <w:p>
            <w:pPr/>
          </w:p>
        </w:tc>
        <w:tc>
          <w:tcPr>
            <w:tcW w:w="542" w:type="dxa"/>
            <w:vMerge/>
            <w:tcBorders>
              <w:left w:val="single" w:sz="4" w:space="0" w:color="000000"/>
              <w:bottom w:val="single" w:sz="4" w:space="0" w:color="000000"/>
              <w:right w:val="single" w:sz="4" w:space="0" w:color="000000"/>
            </w:tcBorders>
          </w:tcPr>
          <w:p>
            <w:pPr/>
          </w:p>
        </w:tc>
      </w:tr>
      <w:tr>
        <w:trPr>
          <w:trHeight w:val="370"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370"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w w:val="100"/>
                <w:sz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r>
      <w:tr>
        <w:trPr>
          <w:trHeight w:val="370"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w w:val="100"/>
                <w:sz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r>
      <w:tr>
        <w:trPr>
          <w:trHeight w:val="37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1"/>
                <w:szCs w:val="21"/>
              </w:rPr>
            </w:pPr>
            <w:r>
              <w:rPr>
                <w:rFonts w:ascii="宋体"/>
                <w:w w:val="100"/>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1"/>
                <w:szCs w:val="21"/>
              </w:rPr>
            </w:pPr>
            <w:r>
              <w:rPr>
                <w:rFonts w:ascii="宋体"/>
                <w:w w:val="100"/>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1"/>
                <w:szCs w:val="21"/>
              </w:rPr>
            </w:pPr>
            <w:r>
              <w:rPr>
                <w:rFonts w:ascii="宋体"/>
                <w:w w:val="100"/>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1"/>
                <w:szCs w:val="21"/>
              </w:rPr>
            </w:pPr>
            <w:r>
              <w:rPr>
                <w:rFonts w:ascii="宋体"/>
                <w:w w:val="100"/>
                <w:sz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1"/>
                <w:szCs w:val="21"/>
              </w:rPr>
            </w:pPr>
            <w:r>
              <w:rPr>
                <w:rFonts w:ascii="宋体"/>
                <w:w w:val="100"/>
                <w:sz w:val="21"/>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1"/>
                <w:szCs w:val="21"/>
              </w:rPr>
            </w:pPr>
            <w:r>
              <w:rPr>
                <w:rFonts w:ascii="宋体"/>
                <w:w w:val="100"/>
                <w:sz w:val="21"/>
              </w:rPr>
              <w:t> </w:t>
            </w:r>
          </w:p>
        </w:tc>
      </w:tr>
      <w:tr>
        <w:trPr>
          <w:trHeight w:val="370"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730"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75"/>
              <w:jc w:val="left"/>
              <w:rPr>
                <w:rFonts w:ascii="宋体" w:hAnsi="宋体" w:cs="宋体" w:eastAsia="宋体" w:hint="default"/>
                <w:sz w:val="21"/>
                <w:szCs w:val="21"/>
              </w:rPr>
            </w:pPr>
            <w:r>
              <w:rPr>
                <w:rFonts w:ascii="宋体" w:hAnsi="宋体" w:cs="宋体" w:eastAsia="宋体" w:hint="default"/>
                <w:sz w:val="21"/>
                <w:szCs w:val="21"/>
              </w:rPr>
              <w:t>成都四方伟业软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件股份有限公司</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8" w:right="0"/>
              <w:jc w:val="left"/>
              <w:rPr>
                <w:rFonts w:ascii="Times New Roman" w:hAnsi="Times New Roman" w:cs="Times New Roman" w:eastAsia="Times New Roman" w:hint="default"/>
                <w:sz w:val="21"/>
                <w:szCs w:val="21"/>
              </w:rPr>
            </w:pPr>
            <w:r>
              <w:rPr>
                <w:rFonts w:ascii="Times New Roman"/>
                <w:sz w:val="21"/>
              </w:rPr>
              <w:t>77,809,927.69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71" w:right="0"/>
              <w:jc w:val="left"/>
              <w:rPr>
                <w:rFonts w:ascii="Times New Roman" w:hAnsi="Times New Roman" w:cs="Times New Roman" w:eastAsia="Times New Roman" w:hint="default"/>
                <w:sz w:val="21"/>
                <w:szCs w:val="21"/>
              </w:rPr>
            </w:pPr>
            <w:r>
              <w:rPr>
                <w:rFonts w:ascii="Times New Roman"/>
                <w:sz w:val="21"/>
              </w:rPr>
              <w:t>50,000,000.00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sz w:val="21"/>
              </w:rPr>
              <w:t>4,576,070.59</w:t>
            </w:r>
          </w:p>
        </w:tc>
        <w:tc>
          <w:tcPr>
            <w:tcW w:w="86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6" w:right="0"/>
              <w:jc w:val="left"/>
              <w:rPr>
                <w:rFonts w:ascii="Times New Roman" w:hAnsi="Times New Roman" w:cs="Times New Roman" w:eastAsia="Times New Roman" w:hint="default"/>
                <w:sz w:val="21"/>
                <w:szCs w:val="21"/>
              </w:rPr>
            </w:pPr>
            <w:r>
              <w:rPr>
                <w:rFonts w:ascii="Times New Roman"/>
                <w:sz w:val="21"/>
              </w:rPr>
              <w:t>31,283,533.90</w:t>
            </w:r>
          </w:p>
        </w:tc>
        <w:tc>
          <w:tcPr>
            <w:tcW w:w="72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58" w:right="0"/>
              <w:jc w:val="left"/>
              <w:rPr>
                <w:rFonts w:ascii="Times New Roman" w:hAnsi="Times New Roman" w:cs="Times New Roman" w:eastAsia="Times New Roman" w:hint="default"/>
                <w:sz w:val="21"/>
                <w:szCs w:val="21"/>
              </w:rPr>
            </w:pPr>
            <w:r>
              <w:rPr>
                <w:rFonts w:ascii="Times New Roman"/>
                <w:sz w:val="21"/>
              </w:rPr>
              <w:t>163,669,532.18</w:t>
            </w: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9"/>
              <w:jc w:val="left"/>
              <w:rPr>
                <w:rFonts w:ascii="宋体" w:hAnsi="宋体" w:cs="宋体" w:eastAsia="宋体" w:hint="default"/>
                <w:sz w:val="21"/>
                <w:szCs w:val="21"/>
              </w:rPr>
            </w:pPr>
            <w:r>
              <w:rPr>
                <w:rFonts w:ascii="宋体" w:hAnsi="宋体" w:cs="宋体" w:eastAsia="宋体" w:hint="default"/>
                <w:sz w:val="21"/>
                <w:szCs w:val="21"/>
              </w:rPr>
              <w:t>福建省应急通信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运营有限公司</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8" w:right="0"/>
              <w:jc w:val="left"/>
              <w:rPr>
                <w:rFonts w:ascii="Times New Roman" w:hAnsi="Times New Roman" w:cs="Times New Roman" w:eastAsia="Times New Roman" w:hint="default"/>
                <w:sz w:val="21"/>
                <w:szCs w:val="21"/>
              </w:rPr>
            </w:pPr>
            <w:r>
              <w:rPr>
                <w:rFonts w:ascii="Times New Roman"/>
                <w:sz w:val="21"/>
              </w:rPr>
              <w:t>82,356,260.80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sz w:val="21"/>
              </w:rPr>
              <w:t>2,694,036.10</w:t>
            </w:r>
          </w:p>
        </w:tc>
        <w:tc>
          <w:tcPr>
            <w:tcW w:w="86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4" w:right="0"/>
              <w:jc w:val="left"/>
              <w:rPr>
                <w:rFonts w:ascii="Times New Roman" w:hAnsi="Times New Roman" w:cs="Times New Roman" w:eastAsia="Times New Roman" w:hint="default"/>
                <w:sz w:val="21"/>
                <w:szCs w:val="21"/>
              </w:rPr>
            </w:pPr>
            <w:r>
              <w:rPr>
                <w:rFonts w:ascii="Times New Roman"/>
                <w:sz w:val="21"/>
              </w:rPr>
              <w:t>85,050,296.90</w:t>
            </w: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9"/>
              <w:jc w:val="both"/>
              <w:rPr>
                <w:rFonts w:ascii="宋体" w:hAnsi="宋体" w:cs="宋体" w:eastAsia="宋体" w:hint="default"/>
                <w:sz w:val="21"/>
                <w:szCs w:val="21"/>
              </w:rPr>
            </w:pPr>
            <w:r>
              <w:rPr>
                <w:rFonts w:ascii="宋体" w:hAnsi="宋体" w:cs="宋体" w:eastAsia="宋体" w:hint="default"/>
                <w:sz w:val="21"/>
                <w:szCs w:val="21"/>
              </w:rPr>
              <w:t>泉州市数字云谷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信息产业发展有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68" w:right="0"/>
              <w:jc w:val="left"/>
              <w:rPr>
                <w:rFonts w:ascii="Times New Roman" w:hAnsi="Times New Roman" w:cs="Times New Roman" w:eastAsia="Times New Roman" w:hint="default"/>
                <w:sz w:val="21"/>
                <w:szCs w:val="21"/>
              </w:rPr>
            </w:pPr>
            <w:r>
              <w:rPr>
                <w:rFonts w:ascii="Times New Roman"/>
                <w:sz w:val="21"/>
              </w:rPr>
              <w:t>13,382,238.30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sz w:val="21"/>
              </w:rPr>
              <w:t>1,350,314.55</w:t>
            </w:r>
          </w:p>
        </w:tc>
        <w:tc>
          <w:tcPr>
            <w:tcW w:w="86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64" w:right="0"/>
              <w:jc w:val="left"/>
              <w:rPr>
                <w:rFonts w:ascii="Times New Roman" w:hAnsi="Times New Roman" w:cs="Times New Roman" w:eastAsia="Times New Roman" w:hint="default"/>
                <w:sz w:val="21"/>
                <w:szCs w:val="21"/>
              </w:rPr>
            </w:pPr>
            <w:r>
              <w:rPr>
                <w:rFonts w:ascii="Times New Roman"/>
                <w:sz w:val="21"/>
              </w:rPr>
              <w:t>14,732,552.85</w:t>
            </w:r>
          </w:p>
        </w:tc>
        <w:tc>
          <w:tcPr>
            <w:tcW w:w="54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0"/>
          <w:footerReference w:type="default" r:id="rId51"/>
          <w:pgSz w:w="16840" w:h="11910" w:orient="landscape"/>
          <w:pgMar w:header="857" w:footer="980" w:top="1120" w:bottom="1160" w:left="1300" w:right="1220"/>
          <w:pgNumType w:start="157"/>
        </w:sectPr>
      </w:pPr>
    </w:p>
    <w:p>
      <w:pPr>
        <w:spacing w:line="240" w:lineRule="auto" w:before="5"/>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868"/>
        <w:gridCol w:w="1586"/>
        <w:gridCol w:w="1589"/>
        <w:gridCol w:w="1440"/>
        <w:gridCol w:w="1440"/>
        <w:gridCol w:w="862"/>
        <w:gridCol w:w="1584"/>
        <w:gridCol w:w="723"/>
        <w:gridCol w:w="430"/>
        <w:gridCol w:w="442"/>
        <w:gridCol w:w="1584"/>
        <w:gridCol w:w="542"/>
      </w:tblGrid>
      <w:tr>
        <w:trPr>
          <w:trHeight w:val="730"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175"/>
              <w:jc w:val="left"/>
              <w:rPr>
                <w:rFonts w:ascii="宋体" w:hAnsi="宋体" w:cs="宋体" w:eastAsia="宋体" w:hint="default"/>
                <w:sz w:val="21"/>
                <w:szCs w:val="21"/>
              </w:rPr>
            </w:pPr>
            <w:r>
              <w:rPr>
                <w:rFonts w:ascii="宋体" w:hAnsi="宋体" w:cs="宋体" w:eastAsia="宋体" w:hint="default"/>
                <w:sz w:val="21"/>
                <w:szCs w:val="21"/>
              </w:rPr>
              <w:t>福建神威系统集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成有限责任公司</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13,361,210.79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-2,156,744.50</w:t>
            </w:r>
          </w:p>
        </w:tc>
        <w:tc>
          <w:tcPr>
            <w:tcW w:w="86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11,204,466.29</w:t>
            </w: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9"/>
              <w:jc w:val="left"/>
              <w:rPr>
                <w:rFonts w:ascii="宋体" w:hAnsi="宋体" w:cs="宋体" w:eastAsia="宋体" w:hint="default"/>
                <w:sz w:val="21"/>
                <w:szCs w:val="21"/>
              </w:rPr>
            </w:pPr>
            <w:r>
              <w:rPr>
                <w:rFonts w:ascii="宋体" w:hAnsi="宋体" w:cs="宋体" w:eastAsia="宋体" w:hint="default"/>
                <w:sz w:val="21"/>
                <w:szCs w:val="21"/>
              </w:rPr>
              <w:t>厦门会同鼎盛股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权投资合伙企业</w:t>
            </w:r>
          </w:p>
          <w:p>
            <w:pPr>
              <w:pStyle w:val="TableParagraph"/>
              <w:spacing w:line="240" w:lineRule="auto" w:before="20"/>
              <w:ind w:left="103" w:right="0"/>
              <w:jc w:val="left"/>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6,629,793.35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-1,825,887.08</w:t>
            </w:r>
          </w:p>
        </w:tc>
        <w:tc>
          <w:tcPr>
            <w:tcW w:w="86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4,803,906.27</w:t>
            </w: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9"/>
              <w:jc w:val="left"/>
              <w:rPr>
                <w:rFonts w:ascii="宋体" w:hAnsi="宋体" w:cs="宋体" w:eastAsia="宋体" w:hint="default"/>
                <w:sz w:val="21"/>
                <w:szCs w:val="21"/>
              </w:rPr>
            </w:pPr>
            <w:r>
              <w:rPr>
                <w:rFonts w:ascii="宋体" w:hAnsi="宋体" w:cs="宋体" w:eastAsia="宋体" w:hint="default"/>
                <w:sz w:val="21"/>
                <w:szCs w:val="21"/>
              </w:rPr>
              <w:t>泉州市搏浪信息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1,808,427.75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2,414,400.00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152,303.22</w:t>
            </w:r>
          </w:p>
        </w:tc>
        <w:tc>
          <w:tcPr>
            <w:tcW w:w="86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4,375,130.97</w:t>
            </w: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79"/>
              <w:jc w:val="left"/>
              <w:rPr>
                <w:rFonts w:ascii="宋体" w:hAnsi="宋体" w:cs="宋体" w:eastAsia="宋体" w:hint="default"/>
                <w:sz w:val="21"/>
                <w:szCs w:val="21"/>
              </w:rPr>
            </w:pPr>
            <w:r>
              <w:rPr>
                <w:rFonts w:ascii="宋体" w:hAnsi="宋体" w:cs="宋体" w:eastAsia="宋体" w:hint="default"/>
                <w:sz w:val="21"/>
                <w:szCs w:val="21"/>
              </w:rPr>
              <w:t>福建金证智城科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技有限公司</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2,532,000.00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330,091.65</w:t>
            </w:r>
          </w:p>
        </w:tc>
        <w:tc>
          <w:tcPr>
            <w:tcW w:w="86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2,862,091.65</w:t>
            </w: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75"/>
              <w:jc w:val="left"/>
              <w:rPr>
                <w:rFonts w:ascii="宋体" w:hAnsi="宋体" w:cs="宋体" w:eastAsia="宋体" w:hint="default"/>
                <w:sz w:val="21"/>
                <w:szCs w:val="21"/>
              </w:rPr>
            </w:pPr>
            <w:r>
              <w:rPr>
                <w:rFonts w:ascii="宋体" w:hAnsi="宋体" w:cs="宋体" w:eastAsia="宋体" w:hint="default"/>
                <w:sz w:val="21"/>
                <w:szCs w:val="21"/>
              </w:rPr>
              <w:t>福建龙睿智城信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息科技有限公司</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1,950,000.00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3,475.68</w:t>
            </w:r>
          </w:p>
        </w:tc>
        <w:tc>
          <w:tcPr>
            <w:tcW w:w="86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1,953,475.68</w:t>
            </w: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9"/>
              <w:jc w:val="left"/>
              <w:rPr>
                <w:rFonts w:ascii="宋体" w:hAnsi="宋体" w:cs="宋体" w:eastAsia="宋体" w:hint="default"/>
                <w:sz w:val="21"/>
                <w:szCs w:val="21"/>
              </w:rPr>
            </w:pPr>
            <w:r>
              <w:rPr>
                <w:rFonts w:ascii="宋体" w:hAnsi="宋体" w:cs="宋体" w:eastAsia="宋体" w:hint="default"/>
                <w:sz w:val="21"/>
                <w:szCs w:val="21"/>
              </w:rPr>
              <w:t>山东南威信息科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技有限公司</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980,000.00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-178,778.64</w:t>
            </w:r>
          </w:p>
        </w:tc>
        <w:tc>
          <w:tcPr>
            <w:tcW w:w="86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801,221.36</w:t>
            </w: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9"/>
              <w:jc w:val="left"/>
              <w:rPr>
                <w:rFonts w:ascii="宋体" w:hAnsi="宋体" w:cs="宋体" w:eastAsia="宋体" w:hint="default"/>
                <w:sz w:val="21"/>
                <w:szCs w:val="21"/>
              </w:rPr>
            </w:pPr>
            <w:r>
              <w:rPr>
                <w:rFonts w:ascii="宋体" w:hAnsi="宋体" w:cs="宋体" w:eastAsia="宋体" w:hint="default"/>
                <w:sz w:val="21"/>
                <w:szCs w:val="21"/>
              </w:rPr>
              <w:t>南京伍安信息科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技有限公司</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156,737.63</w:t>
            </w:r>
          </w:p>
        </w:tc>
        <w:tc>
          <w:tcPr>
            <w:tcW w:w="158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154,390.56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-2,347.07</w:t>
            </w:r>
          </w:p>
        </w:tc>
        <w:tc>
          <w:tcPr>
            <w:tcW w:w="86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79"/>
              <w:jc w:val="both"/>
              <w:rPr>
                <w:rFonts w:ascii="宋体" w:hAnsi="宋体" w:cs="宋体" w:eastAsia="宋体" w:hint="default"/>
                <w:sz w:val="21"/>
                <w:szCs w:val="21"/>
              </w:rPr>
            </w:pPr>
            <w:r>
              <w:rPr>
                <w:rFonts w:ascii="宋体" w:hAnsi="宋体" w:cs="宋体" w:eastAsia="宋体" w:hint="default"/>
                <w:sz w:val="21"/>
                <w:szCs w:val="21"/>
              </w:rPr>
              <w:t>波梅山保税港区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南威道高投资合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伙企业（有限合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伙）</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17,551.30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-17,551.30</w:t>
            </w:r>
          </w:p>
        </w:tc>
        <w:tc>
          <w:tcPr>
            <w:tcW w:w="86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195,522,147.61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57,876,400.00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154,390.56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4,924,983.20</w:t>
            </w:r>
          </w:p>
        </w:tc>
        <w:tc>
          <w:tcPr>
            <w:tcW w:w="86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31,283,533.90</w:t>
            </w:r>
          </w:p>
        </w:tc>
        <w:tc>
          <w:tcPr>
            <w:tcW w:w="72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289,452,674.15</w:t>
            </w:r>
          </w:p>
        </w:tc>
        <w:tc>
          <w:tcPr>
            <w:tcW w:w="54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1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195,522,147.61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57,876,400.00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154,390.56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4,924,983.20</w:t>
            </w:r>
          </w:p>
        </w:tc>
        <w:tc>
          <w:tcPr>
            <w:tcW w:w="86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31,283,533.90</w:t>
            </w:r>
          </w:p>
        </w:tc>
        <w:tc>
          <w:tcPr>
            <w:tcW w:w="723"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289,452,674.15</w:t>
            </w:r>
          </w:p>
        </w:tc>
        <w:tc>
          <w:tcPr>
            <w:tcW w:w="54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68" w:lineRule="exact"/>
        <w:ind w:left="224"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09" w:lineRule="exact"/>
        <w:ind w:left="224" w:right="0"/>
        <w:jc w:val="left"/>
        <w:rPr>
          <w:rFonts w:ascii="宋体" w:hAnsi="宋体" w:cs="宋体" w:eastAsia="宋体" w:hint="default"/>
        </w:rPr>
      </w:pPr>
      <w:r>
        <w:rPr>
          <w:rFonts w:ascii="宋体" w:hAnsi="宋体" w:cs="宋体" w:eastAsia="宋体" w:hint="default"/>
        </w:rPr>
        <w:t>无</w:t>
      </w:r>
    </w:p>
    <w:p>
      <w:pPr>
        <w:spacing w:after="0" w:line="309" w:lineRule="exact"/>
        <w:jc w:val="left"/>
        <w:rPr>
          <w:rFonts w:ascii="宋体" w:hAnsi="宋体" w:cs="宋体" w:eastAsia="宋体" w:hint="default"/>
        </w:rPr>
        <w:sectPr>
          <w:pgSz w:w="16840" w:h="11910" w:orient="landscape"/>
          <w:pgMar w:header="857" w:footer="980" w:top="1120" w:bottom="1160" w:left="1300" w:right="12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before="36"/>
        <w:ind w:left="358" w:right="0"/>
        <w:jc w:val="left"/>
        <w:rPr>
          <w:b w:val="0"/>
          <w:bCs w:val="0"/>
        </w:rPr>
      </w:pPr>
      <w:r>
        <w:rPr>
          <w:rFonts w:ascii="Times New Roman" w:hAnsi="Times New Roman" w:cs="Times New Roman" w:eastAsia="Times New Roman" w:hint="default"/>
        </w:rPr>
        <w:t>17</w:t>
      </w:r>
      <w:r>
        <w:rPr/>
        <w:t>、其他权益工具投资</w:t>
      </w:r>
      <w:r>
        <w:rPr>
          <w:b w:val="0"/>
          <w:bCs w:val="0"/>
        </w:rPr>
      </w:r>
    </w:p>
    <w:p>
      <w:pPr>
        <w:spacing w:after="0" w:line="240" w:lineRule="auto"/>
        <w:jc w:val="left"/>
        <w:sectPr>
          <w:headerReference w:type="default" r:id="rId52"/>
          <w:footerReference w:type="default" r:id="rId53"/>
          <w:pgSz w:w="11910" w:h="16840"/>
          <w:pgMar w:header="857" w:footer="979" w:top="1120" w:bottom="1160" w:left="1060" w:right="1560"/>
          <w:pgNumType w:start="159"/>
        </w:sectPr>
      </w:pPr>
    </w:p>
    <w:p>
      <w:pPr>
        <w:pStyle w:val="Heading4"/>
        <w:spacing w:line="240" w:lineRule="auto" w:before="40"/>
        <w:ind w:left="216"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1"/>
        </w:rPr>
        <w:t> </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2858" w:space="3561"/>
            <w:col w:w="287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9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股权投资</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324"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74" w:lineRule="exact"/>
              <w:ind w:right="1457"/>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2,000,000.00</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00" w:bottom="280" w:left="1060" w:right="1560"/>
        </w:sectPr>
      </w:pPr>
    </w:p>
    <w:p>
      <w:pPr>
        <w:pStyle w:val="Heading4"/>
        <w:spacing w:line="240" w:lineRule="auto" w:before="36"/>
        <w:ind w:left="216"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2"/>
        </w:rPr>
        <w:t> </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3492" w:space="303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33"/>
        <w:gridCol w:w="1016"/>
        <w:gridCol w:w="727"/>
        <w:gridCol w:w="727"/>
        <w:gridCol w:w="1455"/>
        <w:gridCol w:w="2038"/>
        <w:gridCol w:w="1054"/>
      </w:tblGrid>
      <w:tr>
        <w:trPr>
          <w:trHeight w:val="137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84" w:right="83"/>
              <w:jc w:val="both"/>
              <w:rPr>
                <w:rFonts w:ascii="宋体" w:hAnsi="宋体" w:cs="宋体" w:eastAsia="宋体" w:hint="default"/>
                <w:sz w:val="21"/>
                <w:szCs w:val="21"/>
              </w:rPr>
            </w:pPr>
            <w:r>
              <w:rPr>
                <w:rFonts w:ascii="宋体" w:hAnsi="宋体" w:cs="宋体" w:eastAsia="宋体" w:hint="default"/>
                <w:sz w:val="21"/>
                <w:szCs w:val="21"/>
              </w:rPr>
              <w:t>本期确</w:t>
            </w:r>
            <w:r>
              <w:rPr>
                <w:rFonts w:ascii="宋体" w:hAnsi="宋体" w:cs="宋体" w:eastAsia="宋体" w:hint="default"/>
                <w:spacing w:val="-102"/>
                <w:sz w:val="21"/>
                <w:szCs w:val="21"/>
              </w:rPr>
              <w:t> </w:t>
            </w:r>
            <w:r>
              <w:rPr>
                <w:rFonts w:ascii="宋体" w:hAnsi="宋体" w:cs="宋体" w:eastAsia="宋体" w:hint="default"/>
                <w:sz w:val="21"/>
                <w:szCs w:val="21"/>
              </w:rPr>
              <w:t>认的股</w:t>
            </w:r>
            <w:r>
              <w:rPr>
                <w:rFonts w:ascii="宋体" w:hAnsi="宋体" w:cs="宋体" w:eastAsia="宋体" w:hint="default"/>
                <w:spacing w:val="-102"/>
                <w:sz w:val="21"/>
                <w:szCs w:val="21"/>
              </w:rPr>
              <w:t> </w:t>
            </w:r>
            <w:r>
              <w:rPr>
                <w:rFonts w:ascii="宋体" w:hAnsi="宋体" w:cs="宋体" w:eastAsia="宋体" w:hint="default"/>
                <w:sz w:val="21"/>
                <w:szCs w:val="21"/>
              </w:rPr>
              <w:t>利收入</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148" w:right="41"/>
              <w:jc w:val="left"/>
              <w:rPr>
                <w:rFonts w:ascii="宋体" w:hAnsi="宋体" w:cs="宋体" w:eastAsia="宋体" w:hint="default"/>
                <w:sz w:val="21"/>
                <w:szCs w:val="21"/>
              </w:rPr>
            </w:pP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利得</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148" w:right="41"/>
              <w:jc w:val="left"/>
              <w:rPr>
                <w:rFonts w:ascii="宋体" w:hAnsi="宋体" w:cs="宋体" w:eastAsia="宋体" w:hint="default"/>
                <w:sz w:val="21"/>
                <w:szCs w:val="21"/>
              </w:rPr>
            </w:pP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损失</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94" w:right="91"/>
              <w:jc w:val="both"/>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益转入留存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收益的金额</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0" w:right="173"/>
              <w:jc w:val="center"/>
              <w:rPr>
                <w:rFonts w:ascii="宋体" w:hAnsi="宋体" w:cs="宋体" w:eastAsia="宋体" w:hint="default"/>
                <w:sz w:val="21"/>
                <w:szCs w:val="21"/>
              </w:rPr>
            </w:pPr>
            <w:r>
              <w:rPr>
                <w:rFonts w:ascii="宋体" w:hAnsi="宋体" w:cs="宋体" w:eastAsia="宋体" w:hint="default"/>
                <w:spacing w:val="-2"/>
                <w:sz w:val="21"/>
                <w:szCs w:val="21"/>
              </w:rPr>
              <w:t>指定为以公允价值</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计量且其变动计入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其他综合收益的原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因</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both"/>
              <w:rPr>
                <w:rFonts w:ascii="宋体" w:hAnsi="宋体" w:cs="宋体" w:eastAsia="宋体" w:hint="default"/>
                <w:sz w:val="21"/>
                <w:szCs w:val="21"/>
              </w:rPr>
            </w:pPr>
            <w:r>
              <w:rPr>
                <w:rFonts w:ascii="宋体" w:hAnsi="宋体" w:cs="宋体" w:eastAsia="宋体" w:hint="default"/>
                <w:sz w:val="21"/>
                <w:szCs w:val="21"/>
              </w:rPr>
              <w:t>其他综</w:t>
            </w:r>
          </w:p>
          <w:p>
            <w:pPr>
              <w:pStyle w:val="TableParagraph"/>
              <w:spacing w:line="237" w:lineRule="auto" w:before="2"/>
              <w:ind w:left="206" w:right="98"/>
              <w:jc w:val="both"/>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转入留</w:t>
            </w:r>
            <w:r>
              <w:rPr>
                <w:rFonts w:ascii="宋体" w:hAnsi="宋体" w:cs="宋体" w:eastAsia="宋体" w:hint="default"/>
                <w:spacing w:val="-102"/>
                <w:sz w:val="21"/>
                <w:szCs w:val="21"/>
              </w:rPr>
              <w:t> </w:t>
            </w:r>
            <w:r>
              <w:rPr>
                <w:rFonts w:ascii="宋体" w:hAnsi="宋体" w:cs="宋体" w:eastAsia="宋体" w:hint="default"/>
                <w:sz w:val="21"/>
                <w:szCs w:val="21"/>
              </w:rPr>
              <w:t>存收益</w:t>
            </w:r>
            <w:r>
              <w:rPr>
                <w:rFonts w:ascii="宋体" w:hAnsi="宋体" w:cs="宋体" w:eastAsia="宋体" w:hint="default"/>
                <w:spacing w:val="-102"/>
                <w:sz w:val="21"/>
                <w:szCs w:val="21"/>
              </w:rPr>
              <w:t> </w:t>
            </w:r>
            <w:r>
              <w:rPr>
                <w:rFonts w:ascii="宋体" w:hAnsi="宋体" w:cs="宋体" w:eastAsia="宋体" w:hint="default"/>
                <w:sz w:val="21"/>
                <w:szCs w:val="21"/>
              </w:rPr>
              <w:t>的原因</w:t>
            </w:r>
            <w:r>
              <w:rPr>
                <w:rFonts w:ascii="宋体" w:hAnsi="宋体" w:cs="宋体" w:eastAsia="宋体" w:hint="default"/>
                <w:sz w:val="21"/>
                <w:szCs w:val="21"/>
              </w:rPr>
              <w:t> </w:t>
            </w:r>
          </w:p>
        </w:tc>
      </w:tr>
      <w:tr>
        <w:trPr>
          <w:trHeight w:val="1099"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0"/>
              <w:jc w:val="both"/>
              <w:rPr>
                <w:rFonts w:ascii="宋体" w:hAnsi="宋体" w:cs="宋体" w:eastAsia="宋体" w:hint="default"/>
                <w:sz w:val="21"/>
                <w:szCs w:val="21"/>
              </w:rPr>
            </w:pPr>
            <w:r>
              <w:rPr>
                <w:rFonts w:ascii="宋体" w:hAnsi="宋体" w:cs="宋体" w:eastAsia="宋体" w:hint="default"/>
                <w:spacing w:val="15"/>
                <w:sz w:val="21"/>
                <w:szCs w:val="21"/>
              </w:rPr>
              <w:t>嘉峪关市智慧雄关</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信息科技有限责任</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
                <w:sz w:val="21"/>
                <w:szCs w:val="21"/>
              </w:rPr>
              <w:t>非重大的“三无”股</w:t>
            </w:r>
          </w:p>
          <w:p>
            <w:pPr>
              <w:pStyle w:val="TableParagraph"/>
              <w:spacing w:line="272" w:lineRule="exact" w:before="27"/>
              <w:ind w:left="100" w:right="82"/>
              <w:jc w:val="both"/>
              <w:rPr>
                <w:rFonts w:ascii="宋体" w:hAnsi="宋体" w:cs="宋体" w:eastAsia="宋体" w:hint="default"/>
                <w:sz w:val="21"/>
                <w:szCs w:val="21"/>
              </w:rPr>
            </w:pPr>
            <w:r>
              <w:rPr>
                <w:rFonts w:ascii="宋体" w:hAnsi="宋体" w:cs="宋体" w:eastAsia="宋体" w:hint="default"/>
                <w:spacing w:val="-9"/>
                <w:sz w:val="21"/>
                <w:szCs w:val="21"/>
              </w:rPr>
              <w:t>权投资，不符合本金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5"/>
                <w:sz w:val="21"/>
                <w:szCs w:val="21"/>
              </w:rPr>
              <w:t>加利息的合同现金</w:t>
            </w:r>
            <w:r>
              <w:rPr>
                <w:rFonts w:ascii="宋体" w:hAnsi="宋体" w:cs="宋体" w:eastAsia="宋体" w:hint="default"/>
                <w:spacing w:val="-83"/>
                <w:sz w:val="21"/>
                <w:szCs w:val="21"/>
              </w:rPr>
              <w:t> </w:t>
            </w:r>
            <w:r>
              <w:rPr>
                <w:rFonts w:ascii="宋体" w:hAnsi="宋体" w:cs="宋体" w:eastAsia="宋体" w:hint="default"/>
                <w:sz w:val="21"/>
                <w:szCs w:val="21"/>
              </w:rPr>
              <w:t>流量特征</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Heading3"/>
        <w:spacing w:line="274" w:lineRule="exact"/>
        <w:ind w:left="216" w:right="0"/>
        <w:jc w:val="left"/>
      </w:pPr>
      <w:r>
        <w:rPr/>
        <w:t> </w:t>
      </w:r>
    </w:p>
    <w:p>
      <w:pPr>
        <w:pStyle w:val="BodyText"/>
        <w:spacing w:line="273" w:lineRule="exact" w:before="4"/>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6" w:right="0"/>
        <w:jc w:val="left"/>
      </w:pPr>
      <w:r>
        <w:rPr/>
        <w:t> </w:t>
      </w:r>
    </w:p>
    <w:p>
      <w:pPr>
        <w:pStyle w:val="Heading4"/>
        <w:spacing w:line="240" w:lineRule="auto" w:before="62"/>
        <w:ind w:left="358" w:right="0"/>
        <w:jc w:val="left"/>
        <w:rPr>
          <w:b w:val="0"/>
          <w:bCs w:val="0"/>
        </w:rPr>
      </w:pPr>
      <w:r>
        <w:rPr>
          <w:rFonts w:ascii="Times New Roman" w:hAnsi="Times New Roman" w:cs="Times New Roman" w:eastAsia="Times New Roman" w:hint="default"/>
        </w:rPr>
        <w:t>18</w:t>
      </w:r>
      <w:r>
        <w:rPr/>
        <w:t>、其他非流动金融资产</w:t>
      </w:r>
      <w:r>
        <w:rPr>
          <w:b w:val="0"/>
          <w:bCs w:val="0"/>
        </w:rPr>
      </w:r>
    </w:p>
    <w:p>
      <w:pPr>
        <w:pStyle w:val="BodyText"/>
        <w:spacing w:line="272" w:lineRule="exact" w:before="70"/>
        <w:ind w:left="216" w:right="725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4" w:lineRule="exact"/>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216" w:right="0"/>
        <w:jc w:val="left"/>
      </w:pPr>
      <w:r>
        <w:rPr/>
        <w:t> </w:t>
      </w:r>
    </w:p>
    <w:p>
      <w:pPr>
        <w:spacing w:after="0" w:line="309" w:lineRule="exact"/>
        <w:jc w:val="left"/>
        <w:sectPr>
          <w:type w:val="continuous"/>
          <w:pgSz w:w="11910" w:h="16840"/>
          <w:pgMar w:top="1500" w:bottom="280" w:left="1060" w:right="1560"/>
        </w:sectPr>
      </w:pPr>
    </w:p>
    <w:p>
      <w:pPr>
        <w:spacing w:line="273" w:lineRule="auto" w:before="64"/>
        <w:ind w:left="216" w:right="0" w:firstLine="14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r>
        <w:rPr>
          <w:rFonts w:ascii="宋体" w:hAnsi="宋体" w:cs="宋体" w:eastAsia="宋体" w:hint="default"/>
          <w:sz w:val="21"/>
          <w:szCs w:val="21"/>
        </w:rPr>
        <w:t> </w:t>
      </w:r>
    </w:p>
    <w:p>
      <w:pPr>
        <w:pStyle w:val="Heading4"/>
        <w:spacing w:line="240" w:lineRule="auto" w:before="29"/>
        <w:ind w:left="216"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0"/>
        </w:rPr>
        <w:t> </w:t>
      </w:r>
      <w:r>
        <w:rPr/>
        <w:t>采用成本计量模式的投资性房地产</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3912" w:space="261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23"/>
        <w:gridCol w:w="1596"/>
        <w:gridCol w:w="1594"/>
        <w:gridCol w:w="1567"/>
        <w:gridCol w:w="1469"/>
      </w:tblGrid>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6"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34,652,718.21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34,652,718.21</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18"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）存货</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固定资产</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在建</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工程转入</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8,207,574.34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8,207,574.34</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8,207,574.34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8,207,574.34</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26,445,143.87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26,445,143.87</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00" w:bottom="280" w:left="1060" w:right="156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2823"/>
        <w:gridCol w:w="1596"/>
        <w:gridCol w:w="1594"/>
        <w:gridCol w:w="1567"/>
        <w:gridCol w:w="1469"/>
      </w:tblGrid>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4,672,510.66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4,672,510.66</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888,997.08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888,997.08</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888,997.08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888,997.08</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1,108,605.68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1,108,605.68</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1,108,605.68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1,108,605.68</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4,452,902.06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4,452,902.06</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21,992,241.81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21,992,241.81</w:t>
            </w:r>
          </w:p>
        </w:tc>
      </w:tr>
      <w:tr>
        <w:trPr>
          <w:trHeight w:val="30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29,980,207.55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29,980,207.55</w:t>
            </w:r>
          </w:p>
        </w:tc>
      </w:tr>
    </w:tbl>
    <w:p>
      <w:pPr>
        <w:pStyle w:val="Heading3"/>
        <w:spacing w:line="274" w:lineRule="exact"/>
        <w:ind w:left="216" w:right="0"/>
        <w:jc w:val="left"/>
      </w:pPr>
      <w:r>
        <w:rPr/>
        <w:t> </w:t>
      </w:r>
    </w:p>
    <w:p>
      <w:pPr>
        <w:pStyle w:val="Heading4"/>
        <w:spacing w:line="240" w:lineRule="auto"/>
        <w:ind w:left="216"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0"/>
        </w:rPr>
        <w:t> </w:t>
      </w:r>
      <w:r>
        <w:rPr/>
        <w:t>未办妥产权证书的投资性房地产情况</w:t>
      </w:r>
      <w:r>
        <w:rPr>
          <w:rFonts w:ascii="宋体" w:hAnsi="宋体" w:cs="宋体" w:eastAsia="宋体" w:hint="default"/>
          <w:w w:val="99"/>
        </w:rPr>
        <w:t> </w:t>
      </w:r>
      <w:r>
        <w:rPr>
          <w:rFonts w:ascii="宋体" w:hAnsi="宋体" w:cs="宋体" w:eastAsia="宋体" w:hint="default"/>
          <w:b w:val="0"/>
          <w:bCs w:val="0"/>
        </w:rPr>
      </w:r>
    </w:p>
    <w:p>
      <w:pPr>
        <w:spacing w:line="302" w:lineRule="exact" w:before="44"/>
        <w:ind w:left="173" w:right="7252" w:firstLine="43"/>
        <w:jc w:val="left"/>
        <w:rPr>
          <w:rFonts w:ascii="宋体" w:hAnsi="宋体" w:cs="宋体" w:eastAsia="宋体" w:hint="default"/>
          <w:sz w:val="24"/>
          <w:szCs w:val="24"/>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sz w:val="24"/>
          <w:szCs w:val="24"/>
        </w:rPr>
        <w:t>其他说明</w:t>
      </w:r>
      <w:r>
        <w:rPr>
          <w:rFonts w:ascii="宋体" w:hAnsi="宋体" w:cs="宋体" w:eastAsia="宋体" w:hint="default"/>
          <w:sz w:val="24"/>
          <w:szCs w:val="24"/>
        </w:rPr>
        <w:t> </w:t>
      </w:r>
    </w:p>
    <w:p>
      <w:pPr>
        <w:pStyle w:val="BodyText"/>
        <w:spacing w:line="247" w:lineRule="exact"/>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216" w:right="0"/>
        <w:jc w:val="left"/>
      </w:pPr>
      <w:r>
        <w:rPr/>
        <w:t> </w:t>
      </w:r>
    </w:p>
    <w:p>
      <w:pPr>
        <w:spacing w:after="0" w:line="309" w:lineRule="exact"/>
        <w:jc w:val="left"/>
        <w:sectPr>
          <w:pgSz w:w="11910" w:h="16840"/>
          <w:pgMar w:header="857" w:footer="979" w:top="1120" w:bottom="1160" w:left="1060" w:right="1560"/>
        </w:sectPr>
      </w:pPr>
    </w:p>
    <w:p>
      <w:pPr>
        <w:pStyle w:val="Heading4"/>
        <w:spacing w:line="273" w:lineRule="auto"/>
        <w:ind w:left="216" w:right="0" w:firstLine="142"/>
        <w:jc w:val="left"/>
        <w:rPr>
          <w:rFonts w:ascii="宋体" w:hAnsi="宋体" w:cs="宋体" w:eastAsia="宋体" w:hint="default"/>
          <w:b w:val="0"/>
          <w:bCs w:val="0"/>
        </w:rPr>
      </w:pPr>
      <w:r>
        <w:rPr>
          <w:rFonts w:ascii="Times New Roman" w:hAnsi="Times New Roman" w:cs="Times New Roman" w:eastAsia="Times New Roman" w:hint="default"/>
        </w:rPr>
        <w:t>20</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9"/>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209,600,331.96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178,738,710.34</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209,600,331.96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178,738,710.34</w:t>
            </w:r>
          </w:p>
        </w:tc>
      </w:tr>
    </w:tbl>
    <w:p>
      <w:pPr>
        <w:pStyle w:val="Heading2"/>
        <w:spacing w:line="273" w:lineRule="exact"/>
        <w:ind w:left="216" w:right="0"/>
        <w:jc w:val="left"/>
        <w:rPr>
          <w:rFonts w:ascii="宋体" w:hAnsi="宋体" w:cs="宋体" w:eastAsia="宋体" w:hint="default"/>
          <w:b w:val="0"/>
          <w:bCs w:val="0"/>
        </w:rPr>
      </w:pPr>
      <w:r>
        <w:rPr>
          <w:rFonts w:ascii="宋体"/>
          <w:w w:val="99"/>
        </w:rPr>
        <w:t> </w:t>
      </w:r>
      <w:r>
        <w:rPr>
          <w:rFonts w:ascii="宋体"/>
          <w:b w:val="0"/>
        </w:rPr>
      </w:r>
    </w:p>
    <w:p>
      <w:pPr>
        <w:pStyle w:val="Heading3"/>
        <w:spacing w:line="313" w:lineRule="exact"/>
        <w:ind w:left="216" w:right="0"/>
        <w:jc w:val="left"/>
      </w:pPr>
      <w:r>
        <w:rPr>
          <w:rFonts w:ascii="宋体" w:hAnsi="宋体" w:cs="宋体" w:eastAsia="宋体" w:hint="default"/>
        </w:rPr>
        <w:t>其他说明：</w:t>
      </w:r>
      <w:r>
        <w:rPr/>
        <w:t> </w:t>
      </w:r>
    </w:p>
    <w:p>
      <w:pPr>
        <w:pStyle w:val="BodyText"/>
        <w:spacing w:line="270" w:lineRule="exact" w:before="4"/>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tabs>
          <w:tab w:pos="3097" w:val="left" w:leader="none"/>
        </w:tabs>
        <w:spacing w:line="309" w:lineRule="exact"/>
        <w:ind w:left="216" w:right="0"/>
        <w:jc w:val="left"/>
      </w:pPr>
      <w:r>
        <w:rPr/>
        <w:t> </w:t>
        <w:tab/>
        <w:t> </w:t>
      </w:r>
    </w:p>
    <w:p>
      <w:pPr>
        <w:spacing w:after="0" w:line="309" w:lineRule="exact"/>
        <w:jc w:val="left"/>
        <w:sectPr>
          <w:type w:val="continuous"/>
          <w:pgSz w:w="11910" w:h="16840"/>
          <w:pgMar w:top="1500" w:bottom="280" w:left="1060" w:right="1560"/>
        </w:sectPr>
      </w:pPr>
    </w:p>
    <w:p>
      <w:pPr>
        <w:pStyle w:val="Heading3"/>
        <w:spacing w:line="240" w:lineRule="auto" w:before="109"/>
        <w:ind w:left="224" w:right="0"/>
        <w:jc w:val="left"/>
      </w:pPr>
      <w:r>
        <w:rPr/>
        <w:t> </w:t>
      </w:r>
    </w:p>
    <w:p>
      <w:pPr>
        <w:pStyle w:val="Heading4"/>
        <w:spacing w:line="290" w:lineRule="auto" w:before="61"/>
        <w:ind w:left="224" w:right="0"/>
        <w:jc w:val="left"/>
        <w:rPr>
          <w:rFonts w:ascii="宋体" w:hAnsi="宋体" w:cs="宋体" w:eastAsia="宋体" w:hint="default"/>
          <w:b w:val="0"/>
          <w:bCs w:val="0"/>
        </w:rPr>
      </w:pPr>
      <w:r>
        <w:rPr/>
        <w:t>固定资产</w:t>
      </w:r>
      <w:r>
        <w:rPr>
          <w:rFonts w:ascii="宋体" w:hAnsi="宋体" w:cs="宋体" w:eastAsia="宋体" w:hint="default"/>
          <w:w w:val="99"/>
        </w:rPr>
        <w:t> </w:t>
      </w: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67"/>
        <w:ind w:left="224"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headerReference w:type="default" r:id="rId54"/>
          <w:footerReference w:type="default" r:id="rId55"/>
          <w:pgSz w:w="16840" w:h="11910" w:orient="landscape"/>
          <w:pgMar w:header="857" w:footer="980" w:top="1120" w:bottom="1160" w:left="1300" w:right="1200"/>
          <w:pgNumType w:start="161"/>
          <w:cols w:num="2" w:equalWidth="0">
            <w:col w:w="2116" w:space="9447"/>
            <w:col w:w="277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668"/>
        <w:gridCol w:w="1625"/>
        <w:gridCol w:w="1625"/>
        <w:gridCol w:w="1625"/>
        <w:gridCol w:w="1625"/>
        <w:gridCol w:w="1623"/>
        <w:gridCol w:w="2311"/>
      </w:tblGrid>
      <w:tr>
        <w:trPr>
          <w:trHeight w:val="554"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hAnsi="宋体" w:cs="宋体" w:eastAsia="宋体" w:hint="default"/>
                <w:spacing w:val="-2"/>
                <w:sz w:val="21"/>
                <w:szCs w:val="21"/>
              </w:rPr>
              <w:t>房屋及建筑物</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hAnsi="宋体" w:cs="宋体" w:eastAsia="宋体" w:hint="default"/>
                <w:spacing w:val="-2"/>
                <w:sz w:val="21"/>
                <w:szCs w:val="21"/>
              </w:rPr>
              <w:t>软件开发设备</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办公设备及其</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hAnsi="宋体" w:cs="宋体" w:eastAsia="宋体" w:hint="default"/>
                <w:spacing w:val="-2"/>
                <w:sz w:val="21"/>
                <w:szCs w:val="21"/>
              </w:rPr>
              <w:t>固定资产改良</w:t>
            </w:r>
            <w:r>
              <w:rPr>
                <w:rFonts w:ascii="宋体" w:hAnsi="宋体" w:cs="宋体" w:eastAsia="宋体" w:hint="default"/>
                <w:sz w:val="21"/>
                <w:szCs w:val="21"/>
              </w:rPr>
              <w:t> </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139,857,207.08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32,849,934.14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30,835,984.23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12,902,882.38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1"/>
                <w:szCs w:val="21"/>
              </w:rPr>
            </w:pPr>
            <w:r>
              <w:rPr>
                <w:rFonts w:ascii="Times New Roman"/>
                <w:spacing w:val="-1"/>
                <w:sz w:val="21"/>
              </w:rPr>
              <w:t>18,133,590.62</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234,579,598.45</w:t>
            </w:r>
          </w:p>
        </w:tc>
      </w:tr>
      <w:tr>
        <w:trPr>
          <w:trHeight w:val="28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9,962,775.07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23,911,509.56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4,336,842.81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982,847.18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18,396,593.52</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57,590,568.14</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1,755,200.73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8,554,534.16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3,362,972.90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982,847.18</w:t>
            </w: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14,655,554.97</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）在建工程转入</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15,356,975.40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973,869.91</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18,396,593.52</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34,727,438.83</w:t>
            </w:r>
          </w:p>
        </w:tc>
      </w:tr>
      <w:tr>
        <w:trPr>
          <w:trHeight w:val="28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5"/>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）投资性房地产投入</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8,207,574.34</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8,207,574.34</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5,927,469.42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6,628,618.39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1,228,796.26</w:t>
            </w: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13,784,884.07</w:t>
            </w:r>
          </w:p>
        </w:tc>
      </w:tr>
      <w:tr>
        <w:trPr>
          <w:trHeight w:val="28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5,927,469.42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6,628,618.39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1,228,796.26</w:t>
            </w: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13,784,884.07</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5"/>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）投资性房地产转入</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right"/>
              <w:rPr>
                <w:rFonts w:ascii="宋体" w:hAnsi="宋体" w:cs="宋体" w:eastAsia="宋体" w:hint="default"/>
                <w:sz w:val="21"/>
                <w:szCs w:val="21"/>
              </w:rPr>
            </w:pPr>
            <w:r>
              <w:rPr>
                <w:rFonts w:ascii="宋体"/>
                <w:w w:val="100"/>
                <w:sz w:val="21"/>
              </w:rPr>
              <w:t> </w:t>
            </w:r>
          </w:p>
        </w:tc>
      </w:tr>
      <w:tr>
        <w:trPr>
          <w:trHeight w:val="28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5"/>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）转至持有待售资产</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right"/>
              <w:rPr>
                <w:rFonts w:ascii="宋体" w:hAnsi="宋体" w:cs="宋体" w:eastAsia="宋体" w:hint="default"/>
                <w:sz w:val="21"/>
                <w:szCs w:val="21"/>
              </w:rPr>
            </w:pPr>
            <w:r>
              <w:rPr>
                <w:rFonts w:ascii="宋体"/>
                <w:w w:val="100"/>
                <w:sz w:val="21"/>
              </w:rPr>
              <w:t> </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149,819,982.15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50,833,974.28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28,544,208.65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12,656,933.30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36,530,184.14</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278,385,282.52</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二、累计折旧</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12,160,609.83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14,561,576.13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19,880,730.68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6,349,999.86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2,887,971.61</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55,840,888.11</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4,983,567.42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5,841,548.72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3,675,017.95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1,311,048.55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4,869,933.22</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20,681,115.86</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3,874,961.74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5,841,548.72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3,675,017.95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1,311,048.55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4,869,933.22</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19,572,510.18</w:t>
            </w:r>
          </w:p>
        </w:tc>
      </w:tr>
      <w:tr>
        <w:trPr>
          <w:trHeight w:val="28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5"/>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）投资性房地产转入</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1,108,605.68</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1,108,605.68</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959,075.50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6,332,175.32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627,262.53</w:t>
            </w: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7,918,513.35</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959,075.50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6,332,175.32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627,262.53</w:t>
            </w: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7,918,513.35</w:t>
            </w:r>
          </w:p>
        </w:tc>
      </w:tr>
      <w:tr>
        <w:trPr>
          <w:trHeight w:val="28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5"/>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）转至持有待售资产</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right"/>
              <w:rPr>
                <w:rFonts w:ascii="宋体" w:hAnsi="宋体" w:cs="宋体" w:eastAsia="宋体" w:hint="default"/>
                <w:sz w:val="21"/>
                <w:szCs w:val="21"/>
              </w:rPr>
            </w:pPr>
            <w:r>
              <w:rPr>
                <w:rFonts w:ascii="宋体"/>
                <w:w w:val="100"/>
                <w:sz w:val="21"/>
              </w:rPr>
              <w:t> </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17,144,177.25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19,444,049.35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17,223,573.31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7,033,785.88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7,757,904.83</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68,603,490.62</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00" w:bottom="280" w:left="1300" w:right="1200"/>
        </w:sectPr>
      </w:pPr>
    </w:p>
    <w:p>
      <w:pPr>
        <w:spacing w:line="240" w:lineRule="auto" w:before="5"/>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668"/>
        <w:gridCol w:w="1625"/>
        <w:gridCol w:w="1625"/>
        <w:gridCol w:w="1625"/>
        <w:gridCol w:w="1625"/>
        <w:gridCol w:w="1623"/>
        <w:gridCol w:w="2311"/>
      </w:tblGrid>
      <w:tr>
        <w:trPr>
          <w:trHeight w:val="28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181,459.94</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181,459.94</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181,459.94</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181,459.94</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）转入持有待售资产</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right"/>
              <w:rPr>
                <w:rFonts w:ascii="宋体" w:hAnsi="宋体" w:cs="宋体" w:eastAsia="宋体" w:hint="default"/>
                <w:sz w:val="21"/>
                <w:szCs w:val="21"/>
              </w:rPr>
            </w:pPr>
            <w:r>
              <w:rPr>
                <w:rFonts w:ascii="宋体"/>
                <w:w w:val="100"/>
                <w:sz w:val="21"/>
              </w:rPr>
              <w:t> </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181,459.94</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181,459.94</w:t>
            </w:r>
          </w:p>
        </w:tc>
      </w:tr>
      <w:tr>
        <w:trPr>
          <w:trHeight w:val="28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132,675,804.90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31,389,924.93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11,139,175.40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5,623,147.42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28,772,279.31</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209,600,331.96</w:t>
            </w:r>
          </w:p>
        </w:tc>
      </w:tr>
      <w:tr>
        <w:trPr>
          <w:trHeight w:val="28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127,696,597.25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18,288,358.01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10,955,253.55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6,552,882.52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15,245,619.01</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178,738,710.34</w:t>
            </w:r>
          </w:p>
        </w:tc>
      </w:tr>
    </w:tbl>
    <w:p>
      <w:pPr>
        <w:pStyle w:val="Heading3"/>
        <w:spacing w:line="272" w:lineRule="exact"/>
        <w:ind w:left="224" w:right="0"/>
        <w:jc w:val="left"/>
      </w:pPr>
      <w:r>
        <w:rPr/>
        <w:t> </w:t>
      </w:r>
    </w:p>
    <w:p>
      <w:pPr>
        <w:pStyle w:val="Heading3"/>
        <w:spacing w:line="312" w:lineRule="exact"/>
        <w:ind w:left="224" w:right="0"/>
        <w:jc w:val="left"/>
      </w:pPr>
      <w:r>
        <w:rPr/>
        <w:t> </w:t>
      </w:r>
    </w:p>
    <w:p>
      <w:pPr>
        <w:pStyle w:val="Heading4"/>
        <w:spacing w:line="240" w:lineRule="auto"/>
        <w:ind w:left="224" w:right="0"/>
        <w:jc w:val="left"/>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24" w:right="939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24" w:right="939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2" w:lineRule="auto" w:before="12"/>
        <w:ind w:left="224" w:right="939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sz w:val="24"/>
          <w:szCs w:val="24"/>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02" w:lineRule="exact" w:before="14"/>
        <w:ind w:left="224" w:right="11886" w:firstLine="0"/>
        <w:jc w:val="left"/>
        <w:rPr>
          <w:rFonts w:ascii="宋体" w:hAnsi="宋体" w:cs="宋体" w:eastAsia="宋体" w:hint="default"/>
          <w:sz w:val="24"/>
          <w:szCs w:val="24"/>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sz w:val="24"/>
          <w:szCs w:val="24"/>
        </w:rPr>
        <w:t> </w:t>
      </w:r>
      <w:r>
        <w:rPr>
          <w:rFonts w:ascii="宋体" w:hAnsi="宋体" w:cs="宋体" w:eastAsia="宋体" w:hint="default"/>
          <w:sz w:val="24"/>
          <w:szCs w:val="24"/>
        </w:rPr>
        <w:t>其他说明：</w:t>
      </w:r>
      <w:r>
        <w:rPr>
          <w:rFonts w:ascii="宋体" w:hAnsi="宋体" w:cs="宋体" w:eastAsia="宋体" w:hint="default"/>
          <w:sz w:val="24"/>
          <w:szCs w:val="24"/>
        </w:rPr>
        <w:t> </w:t>
      </w:r>
    </w:p>
    <w:p>
      <w:pPr>
        <w:pStyle w:val="BodyText"/>
        <w:spacing w:line="246" w:lineRule="exact"/>
        <w:ind w:left="224" w:right="0"/>
        <w:jc w:val="left"/>
        <w:rPr>
          <w:rFonts w:ascii="宋体" w:hAnsi="宋体" w:cs="宋体" w:eastAsia="宋体" w:hint="default"/>
          <w:sz w:val="24"/>
          <w:szCs w:val="24"/>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24" w:right="0"/>
        <w:jc w:val="left"/>
      </w:pPr>
      <w:r>
        <w:rPr/>
        <w:t> </w:t>
      </w:r>
    </w:p>
    <w:p>
      <w:pPr>
        <w:pStyle w:val="Heading4"/>
        <w:spacing w:line="240" w:lineRule="auto"/>
        <w:ind w:left="224" w:right="0"/>
        <w:jc w:val="left"/>
        <w:rPr>
          <w:rFonts w:ascii="宋体" w:hAnsi="宋体" w:cs="宋体" w:eastAsia="宋体" w:hint="default"/>
          <w:b w:val="0"/>
          <w:bCs w:val="0"/>
        </w:rPr>
      </w:pPr>
      <w:r>
        <w:rPr/>
        <w:t>固定资产清理</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56"/>
        <w:ind w:left="224" w:right="0"/>
        <w:jc w:val="left"/>
        <w:rPr>
          <w:rFonts w:ascii="宋体" w:hAnsi="宋体" w:cs="宋体" w:eastAsia="宋体" w:hint="default"/>
          <w:sz w:val="24"/>
          <w:szCs w:val="24"/>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24" w:right="0"/>
        <w:jc w:val="left"/>
      </w:pPr>
      <w:r>
        <w:rPr/>
        <w:t> </w:t>
      </w:r>
    </w:p>
    <w:p>
      <w:pPr>
        <w:pStyle w:val="Heading4"/>
        <w:spacing w:line="276" w:lineRule="auto" w:before="62"/>
        <w:ind w:left="224" w:right="11886" w:firstLine="141"/>
        <w:jc w:val="left"/>
        <w:rPr>
          <w:rFonts w:ascii="宋体" w:hAnsi="宋体" w:cs="宋体" w:eastAsia="宋体" w:hint="default"/>
          <w:b w:val="0"/>
          <w:bCs w:val="0"/>
        </w:rPr>
      </w:pPr>
      <w:r>
        <w:rPr>
          <w:rFonts w:ascii="Times New Roman" w:hAnsi="Times New Roman" w:cs="Times New Roman" w:eastAsia="Times New Roman" w:hint="default"/>
        </w:rPr>
        <w:t>21</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5"/>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57" w:footer="980" w:top="1120" w:bottom="1160" w:left="1300" w:right="1200"/>
        </w:sectPr>
      </w:pPr>
    </w:p>
    <w:p>
      <w:pPr>
        <w:pStyle w:val="BodyText"/>
        <w:spacing w:line="240" w:lineRule="auto" w:before="115"/>
        <w:ind w:left="0" w:right="118"/>
        <w:jc w:val="righ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974"/>
        <w:gridCol w:w="4575"/>
        <w:gridCol w:w="4553"/>
      </w:tblGrid>
      <w:tr>
        <w:trPr>
          <w:trHeight w:val="283"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4,153,972.29</w:t>
            </w:r>
          </w:p>
        </w:tc>
        <w:tc>
          <w:tcPr>
            <w:tcW w:w="4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
                <w:sz w:val="21"/>
              </w:rPr>
              <w:t>9,376,590.56</w:t>
            </w:r>
          </w:p>
        </w:tc>
      </w:tr>
      <w:tr>
        <w:trPr>
          <w:trHeight w:val="283"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6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4,153,972.29</w:t>
            </w:r>
          </w:p>
        </w:tc>
        <w:tc>
          <w:tcPr>
            <w:tcW w:w="4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
                <w:sz w:val="21"/>
              </w:rPr>
              <w:t>9,376,590.56</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57" w:footer="980" w:top="1120" w:bottom="1160" w:left="1300" w:right="1200"/>
        </w:sectPr>
      </w:pPr>
    </w:p>
    <w:p>
      <w:pPr>
        <w:pStyle w:val="BodyText"/>
        <w:spacing w:line="237" w:lineRule="exact"/>
        <w:ind w:left="224" w:right="0"/>
        <w:jc w:val="left"/>
        <w:rPr>
          <w:rFonts w:ascii="宋体" w:hAnsi="宋体" w:cs="宋体" w:eastAsia="宋体" w:hint="default"/>
        </w:rPr>
      </w:pPr>
      <w:r>
        <w:rPr>
          <w:rFonts w:ascii="宋体"/>
          <w:w w:val="100"/>
        </w:rPr>
        <w:t> </w:t>
      </w:r>
    </w:p>
    <w:p>
      <w:pPr>
        <w:pStyle w:val="Heading3"/>
        <w:spacing w:line="310" w:lineRule="exact"/>
        <w:ind w:left="224" w:right="0"/>
        <w:jc w:val="left"/>
      </w:pPr>
      <w:r>
        <w:rPr>
          <w:rFonts w:ascii="宋体" w:hAnsi="宋体" w:cs="宋体" w:eastAsia="宋体" w:hint="default"/>
        </w:rPr>
        <w:t>其他说明：</w:t>
      </w:r>
      <w:r>
        <w:rPr/>
        <w:t> </w:t>
      </w:r>
    </w:p>
    <w:p>
      <w:pPr>
        <w:pStyle w:val="BodyText"/>
        <w:spacing w:line="271" w:lineRule="exact" w:before="1"/>
        <w:ind w:left="224" w:right="0"/>
        <w:jc w:val="left"/>
        <w:rPr>
          <w:rFonts w:ascii="宋体" w:hAnsi="宋体" w:cs="宋体" w:eastAsia="宋体" w:hint="default"/>
          <w:sz w:val="24"/>
          <w:szCs w:val="24"/>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24" w:right="0"/>
        <w:jc w:val="left"/>
      </w:pPr>
      <w:r>
        <w:rPr/>
        <w:t> </w:t>
      </w:r>
    </w:p>
    <w:p>
      <w:pPr>
        <w:pStyle w:val="Heading4"/>
        <w:spacing w:line="290" w:lineRule="auto"/>
        <w:ind w:left="224" w:right="0"/>
        <w:jc w:val="left"/>
        <w:rPr>
          <w:rFonts w:ascii="宋体" w:hAnsi="宋体" w:cs="宋体" w:eastAsia="宋体" w:hint="default"/>
          <w:b w:val="0"/>
          <w:bCs w:val="0"/>
        </w:rPr>
      </w:pPr>
      <w:r>
        <w:rPr/>
        <w:t>在建工程</w:t>
      </w:r>
      <w:r>
        <w:rPr>
          <w:rFonts w:ascii="宋体" w:hAnsi="宋体" w:cs="宋体" w:eastAsia="宋体" w:hint="default"/>
          <w:w w:val="99"/>
        </w:rPr>
        <w:t> </w:t>
      </w: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ind w:left="2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00" w:bottom="280" w:left="1300" w:right="1200"/>
          <w:cols w:num="2" w:equalWidth="0">
            <w:col w:w="2025" w:space="9538"/>
            <w:col w:w="2777"/>
          </w:cols>
        </w:sectPr>
      </w:pPr>
    </w:p>
    <w:p>
      <w:pPr>
        <w:spacing w:line="240" w:lineRule="auto" w:before="4"/>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2384"/>
        <w:gridCol w:w="2374"/>
        <w:gridCol w:w="1330"/>
        <w:gridCol w:w="2372"/>
        <w:gridCol w:w="2086"/>
        <w:gridCol w:w="1306"/>
        <w:gridCol w:w="2086"/>
      </w:tblGrid>
      <w:tr>
        <w:trPr>
          <w:trHeight w:val="283" w:hRule="exact"/>
        </w:trPr>
        <w:tc>
          <w:tcPr>
            <w:tcW w:w="2384"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0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4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384" w:type="dxa"/>
            <w:vMerge/>
            <w:tcBorders>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1"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福州小电卫士基站建设</w:t>
            </w:r>
            <w:r>
              <w:rPr>
                <w:rFonts w:ascii="宋体" w:hAnsi="宋体" w:cs="宋体" w:eastAsia="宋体" w:hint="default"/>
                <w:sz w:val="21"/>
                <w:szCs w:val="21"/>
              </w:rPr>
              <w:t>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1,867,430.63</w:t>
            </w:r>
          </w:p>
        </w:tc>
        <w:tc>
          <w:tcPr>
            <w:tcW w:w="1330"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1,867,430.63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639,993.82</w:t>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639,993.82</w:t>
            </w:r>
          </w:p>
        </w:tc>
      </w:tr>
      <w:tr>
        <w:trPr>
          <w:trHeight w:val="283"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南威软件大厦装修工程</w:t>
            </w:r>
            <w:r>
              <w:rPr>
                <w:rFonts w:ascii="宋体" w:hAnsi="宋体" w:cs="宋体" w:eastAsia="宋体" w:hint="default"/>
                <w:sz w:val="21"/>
                <w:szCs w:val="21"/>
              </w:rPr>
              <w:t>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833,516.08</w:t>
            </w:r>
          </w:p>
        </w:tc>
        <w:tc>
          <w:tcPr>
            <w:tcW w:w="1330"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833,516.08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2,293,812.12</w:t>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2,293,812.12</w:t>
            </w:r>
          </w:p>
        </w:tc>
      </w:tr>
      <w:tr>
        <w:trPr>
          <w:trHeight w:val="555"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福州软件产业园</w:t>
            </w:r>
            <w:r>
              <w:rPr>
                <w:rFonts w:ascii="宋体" w:hAnsi="宋体" w:cs="宋体" w:eastAsia="宋体" w:hint="default"/>
                <w:spacing w:val="-49"/>
                <w:sz w:val="21"/>
                <w:szCs w:val="21"/>
              </w:rPr>
              <w:t> </w:t>
            </w:r>
            <w:r>
              <w:rPr>
                <w:rFonts w:ascii="宋体" w:hAnsi="宋体" w:cs="宋体" w:eastAsia="宋体" w:hint="default"/>
                <w:sz w:val="21"/>
                <w:szCs w:val="21"/>
              </w:rPr>
              <w:t>G</w:t>
            </w:r>
            <w:r>
              <w:rPr>
                <w:rFonts w:ascii="宋体" w:hAnsi="宋体" w:cs="宋体" w:eastAsia="宋体" w:hint="default"/>
                <w:spacing w:val="-52"/>
                <w:sz w:val="21"/>
                <w:szCs w:val="21"/>
              </w:rPr>
              <w:t> </w:t>
            </w:r>
            <w:r>
              <w:rPr>
                <w:rFonts w:ascii="宋体" w:hAnsi="宋体" w:cs="宋体" w:eastAsia="宋体" w:hint="default"/>
                <w:sz w:val="21"/>
                <w:szCs w:val="21"/>
              </w:rPr>
              <w:t>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楼</w:t>
            </w:r>
            <w:r>
              <w:rPr>
                <w:rFonts w:ascii="宋体" w:hAnsi="宋体" w:cs="宋体" w:eastAsia="宋体" w:hint="default"/>
                <w:sz w:val="21"/>
                <w:szCs w:val="21"/>
              </w:rPr>
              <w:t> </w:t>
            </w:r>
          </w:p>
        </w:tc>
        <w:tc>
          <w:tcPr>
            <w:tcW w:w="237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3,853,708.49</w:t>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3,853,708.49</w:t>
            </w:r>
          </w:p>
        </w:tc>
      </w:tr>
      <w:tr>
        <w:trPr>
          <w:trHeight w:val="283"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1,453,025.58</w:t>
            </w:r>
          </w:p>
        </w:tc>
        <w:tc>
          <w:tcPr>
            <w:tcW w:w="1330"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1,453,025.58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2,589,076.13</w:t>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2,589,076.13</w:t>
            </w:r>
          </w:p>
        </w:tc>
      </w:tr>
      <w:tr>
        <w:trPr>
          <w:trHeight w:val="283"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4"/>
                <w:szCs w:val="24"/>
              </w:rPr>
            </w:pPr>
            <w:r>
              <w:rPr>
                <w:rFonts w:ascii="宋体" w:hAnsi="宋体" w:cs="宋体" w:eastAsia="宋体" w:hint="default"/>
                <w:sz w:val="21"/>
                <w:szCs w:val="21"/>
              </w:rPr>
              <w:t>合计</w:t>
            </w:r>
            <w:r>
              <w:rPr>
                <w:rFonts w:ascii="宋体" w:hAnsi="宋体" w:cs="宋体" w:eastAsia="宋体" w:hint="default"/>
                <w:sz w:val="24"/>
                <w:szCs w:val="24"/>
              </w:rPr>
              <w:t>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32" w:right="0"/>
              <w:jc w:val="left"/>
              <w:rPr>
                <w:rFonts w:ascii="Times New Roman" w:hAnsi="Times New Roman" w:cs="Times New Roman" w:eastAsia="Times New Roman" w:hint="default"/>
                <w:sz w:val="21"/>
                <w:szCs w:val="21"/>
              </w:rPr>
            </w:pPr>
            <w:r>
              <w:rPr>
                <w:rFonts w:ascii="Times New Roman"/>
                <w:sz w:val="21"/>
              </w:rPr>
              <w:t>4,153,972.29</w:t>
            </w:r>
          </w:p>
        </w:tc>
        <w:tc>
          <w:tcPr>
            <w:tcW w:w="1330" w:type="dxa"/>
            <w:tcBorders>
              <w:top w:val="single" w:sz="4" w:space="0" w:color="000000"/>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
                <w:sz w:val="21"/>
              </w:rPr>
              <w:t>4,153,972.29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9,376,590.56</w:t>
            </w:r>
          </w:p>
        </w:tc>
        <w:tc>
          <w:tcPr>
            <w:tcW w:w="1306"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9,376,590.56</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tabs>
          <w:tab w:pos="3104" w:val="left" w:leader="none"/>
        </w:tabs>
        <w:spacing w:line="273" w:lineRule="exact"/>
        <w:ind w:left="224"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type w:val="continuous"/>
          <w:pgSz w:w="16840" w:h="11910" w:orient="landscape"/>
          <w:pgMar w:top="1500" w:bottom="280" w:left="1300" w:right="1200"/>
        </w:sectPr>
      </w:pPr>
    </w:p>
    <w:p>
      <w:pPr>
        <w:pStyle w:val="Heading4"/>
        <w:spacing w:line="290" w:lineRule="auto" w:before="115"/>
        <w:ind w:left="144"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重要在建工程项目</w:t>
      </w:r>
      <w:r>
        <w:rPr>
          <w:spacing w:val="-3"/>
          <w:w w:val="100"/>
        </w:rPr>
        <w:t>本</w:t>
      </w:r>
      <w:r>
        <w:rPr>
          <w:w w:val="100"/>
        </w:rPr>
        <w:t>期</w:t>
      </w:r>
      <w:r>
        <w:rPr>
          <w:spacing w:val="-3"/>
          <w:w w:val="100"/>
        </w:rPr>
        <w:t>变</w:t>
      </w:r>
      <w:r>
        <w:rPr>
          <w:w w:val="100"/>
        </w:rPr>
        <w:t>动情</w:t>
      </w:r>
      <w:r>
        <w:rPr>
          <w:spacing w:val="-1"/>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14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57" w:footer="980" w:top="1120" w:bottom="1160" w:left="1380" w:right="1220"/>
          <w:cols w:num="2" w:equalWidth="0">
            <w:col w:w="3630" w:space="7933"/>
            <w:col w:w="2677"/>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664"/>
        <w:gridCol w:w="1375"/>
        <w:gridCol w:w="1381"/>
        <w:gridCol w:w="1807"/>
        <w:gridCol w:w="1522"/>
        <w:gridCol w:w="1238"/>
        <w:gridCol w:w="1526"/>
        <w:gridCol w:w="668"/>
        <w:gridCol w:w="535"/>
        <w:gridCol w:w="523"/>
        <w:gridCol w:w="528"/>
        <w:gridCol w:w="526"/>
        <w:gridCol w:w="643"/>
      </w:tblGrid>
      <w:tr>
        <w:trPr>
          <w:trHeight w:val="1916"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预算数</w:t>
            </w:r>
            <w:r>
              <w:rPr>
                <w:rFonts w:ascii="宋体" w:hAnsi="宋体" w:cs="宋体" w:eastAsia="宋体" w:hint="default"/>
                <w:sz w:val="21"/>
                <w:szCs w:val="21"/>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22" w:right="42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02" w:right="156" w:hanging="212"/>
              <w:jc w:val="left"/>
              <w:rPr>
                <w:rFonts w:ascii="宋体" w:hAnsi="宋体" w:cs="宋体" w:eastAsia="宋体" w:hint="default"/>
                <w:sz w:val="21"/>
                <w:szCs w:val="21"/>
              </w:rPr>
            </w:pPr>
            <w:r>
              <w:rPr>
                <w:rFonts w:ascii="宋体" w:hAnsi="宋体" w:cs="宋体" w:eastAsia="宋体" w:hint="default"/>
                <w:sz w:val="21"/>
                <w:szCs w:val="21"/>
              </w:rPr>
              <w:t>本期转入固定</w:t>
            </w:r>
            <w:r>
              <w:rPr>
                <w:rFonts w:ascii="宋体" w:hAnsi="宋体" w:cs="宋体" w:eastAsia="宋体" w:hint="default"/>
                <w:w w:val="100"/>
                <w:sz w:val="21"/>
                <w:szCs w:val="21"/>
              </w:rPr>
              <w:t> </w:t>
            </w:r>
            <w:r>
              <w:rPr>
                <w:rFonts w:ascii="宋体" w:hAnsi="宋体" w:cs="宋体" w:eastAsia="宋体" w:hint="default"/>
                <w:sz w:val="21"/>
                <w:szCs w:val="21"/>
              </w:rPr>
              <w:t>资产金额</w:t>
            </w:r>
            <w:r>
              <w:rPr>
                <w:rFonts w:ascii="宋体" w:hAnsi="宋体" w:cs="宋体" w:eastAsia="宋体" w:hint="default"/>
                <w:sz w:val="21"/>
                <w:szCs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63" w:right="117" w:hanging="209"/>
              <w:jc w:val="left"/>
              <w:rPr>
                <w:rFonts w:ascii="宋体" w:hAnsi="宋体" w:cs="宋体" w:eastAsia="宋体" w:hint="default"/>
                <w:sz w:val="21"/>
                <w:szCs w:val="21"/>
              </w:rPr>
            </w:pPr>
            <w:r>
              <w:rPr>
                <w:rFonts w:ascii="宋体" w:hAnsi="宋体" w:cs="宋体" w:eastAsia="宋体" w:hint="default"/>
                <w:sz w:val="21"/>
                <w:szCs w:val="21"/>
              </w:rPr>
              <w:t>本期其他减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少金额</w:t>
            </w:r>
            <w:r>
              <w:rPr>
                <w:rFonts w:ascii="宋体" w:hAnsi="宋体" w:cs="宋体" w:eastAsia="宋体" w:hint="default"/>
                <w:sz w:val="21"/>
                <w:szCs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49" w:right="43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64" w:right="-39" w:firstLine="52"/>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占预</w:t>
            </w:r>
            <w:r>
              <w:rPr>
                <w:rFonts w:ascii="宋体" w:hAnsi="宋体" w:cs="宋体" w:eastAsia="宋体" w:hint="default"/>
                <w:spacing w:val="-103"/>
                <w:sz w:val="21"/>
                <w:szCs w:val="21"/>
              </w:rPr>
              <w:t> </w:t>
            </w:r>
            <w:r>
              <w:rPr>
                <w:rFonts w:ascii="宋体" w:hAnsi="宋体" w:cs="宋体" w:eastAsia="宋体" w:hint="default"/>
                <w:sz w:val="21"/>
                <w:szCs w:val="21"/>
              </w:rPr>
              <w:t>算比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2" w:right="48"/>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48" w:right="41"/>
              <w:jc w:val="both"/>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化累</w:t>
            </w:r>
            <w:r>
              <w:rPr>
                <w:rFonts w:ascii="宋体" w:hAnsi="宋体" w:cs="宋体" w:eastAsia="宋体" w:hint="default"/>
                <w:spacing w:val="-103"/>
                <w:sz w:val="21"/>
                <w:szCs w:val="21"/>
              </w:rPr>
              <w:t> </w:t>
            </w:r>
            <w:r>
              <w:rPr>
                <w:rFonts w:ascii="宋体" w:hAnsi="宋体" w:cs="宋体" w:eastAsia="宋体" w:hint="default"/>
                <w:sz w:val="21"/>
                <w:szCs w:val="21"/>
              </w:rPr>
              <w:t>计金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 w:right="0" w:firstLine="105"/>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50" w:right="43"/>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103"/>
                <w:sz w:val="21"/>
                <w:szCs w:val="21"/>
              </w:rPr>
              <w:t> </w:t>
            </w: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48" w:right="-5"/>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化率</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8" w:right="-1"/>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r>
              <w:rPr>
                <w:rFonts w:ascii="宋体" w:hAnsi="宋体" w:cs="宋体" w:eastAsia="宋体" w:hint="default"/>
                <w:sz w:val="21"/>
                <w:szCs w:val="21"/>
              </w:rPr>
              <w:t> </w:t>
            </w:r>
          </w:p>
        </w:tc>
      </w:tr>
      <w:tr>
        <w:trPr>
          <w:trHeight w:val="554"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福州小电卫士基</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站建设</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w w:val="100"/>
                <w:sz w:val="21"/>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639,993.82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
                <w:sz w:val="21"/>
              </w:rPr>
              <w:t>13,767,328.18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
                <w:sz w:val="21"/>
              </w:rPr>
              <w:t>12,229,311.90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310,579.47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1,867,430.63</w:t>
            </w:r>
          </w:p>
        </w:tc>
        <w:tc>
          <w:tcPr>
            <w:tcW w:w="66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sz w:val="24"/>
              </w:rPr>
              <w:t> </w:t>
            </w:r>
          </w:p>
        </w:tc>
        <w:tc>
          <w:tcPr>
            <w:tcW w:w="52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0"/>
                <w:sz w:val="21"/>
                <w:szCs w:val="21"/>
              </w:rPr>
              <w:t> </w:t>
            </w:r>
            <w:r>
              <w:rPr>
                <w:rFonts w:ascii="宋体" w:hAnsi="宋体" w:cs="宋体" w:eastAsia="宋体" w:hint="default"/>
                <w:sz w:val="21"/>
                <w:szCs w:val="21"/>
              </w:rPr>
              <w:t>有</w:t>
            </w:r>
          </w:p>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1"/>
                <w:szCs w:val="21"/>
              </w:rPr>
              <w:t>资金</w:t>
            </w:r>
            <w:r>
              <w:rPr>
                <w:rFonts w:ascii="宋体" w:hAnsi="宋体" w:cs="宋体" w:eastAsia="宋体" w:hint="default"/>
                <w:sz w:val="24"/>
                <w:szCs w:val="24"/>
              </w:rPr>
              <w:t> </w:t>
            </w:r>
          </w:p>
        </w:tc>
      </w:tr>
      <w:tr>
        <w:trPr>
          <w:trHeight w:val="554"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福州软件产业园</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G</w:t>
            </w:r>
            <w:r>
              <w:rPr>
                <w:rFonts w:ascii="宋体" w:hAnsi="宋体" w:cs="宋体" w:eastAsia="宋体" w:hint="default"/>
                <w:spacing w:val="-53"/>
                <w:sz w:val="21"/>
                <w:szCs w:val="21"/>
              </w:rPr>
              <w:t> </w:t>
            </w:r>
            <w:r>
              <w:rPr>
                <w:rFonts w:ascii="宋体" w:hAnsi="宋体" w:cs="宋体" w:eastAsia="宋体" w:hint="default"/>
                <w:sz w:val="21"/>
                <w:szCs w:val="21"/>
              </w:rPr>
              <w:t>区</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号楼</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6" w:right="0"/>
              <w:jc w:val="left"/>
              <w:rPr>
                <w:rFonts w:ascii="Times New Roman" w:hAnsi="Times New Roman" w:cs="Times New Roman" w:eastAsia="Times New Roman" w:hint="default"/>
                <w:sz w:val="21"/>
                <w:szCs w:val="21"/>
              </w:rPr>
            </w:pPr>
            <w:r>
              <w:rPr>
                <w:rFonts w:ascii="Times New Roman"/>
                <w:sz w:val="21"/>
              </w:rPr>
              <w:t>11,308,034.12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3,853,708.49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1"/>
              <w:jc w:val="right"/>
              <w:rPr>
                <w:rFonts w:ascii="Times New Roman" w:hAnsi="Times New Roman" w:cs="Times New Roman" w:eastAsia="Times New Roman" w:hint="default"/>
                <w:sz w:val="21"/>
                <w:szCs w:val="21"/>
              </w:rPr>
            </w:pPr>
            <w:r>
              <w:rPr>
                <w:rFonts w:ascii="Times New Roman"/>
                <w:spacing w:val="-1"/>
                <w:sz w:val="21"/>
              </w:rPr>
              <w:t>6,426,322.53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1"/>
              <w:jc w:val="right"/>
              <w:rPr>
                <w:rFonts w:ascii="Times New Roman" w:hAnsi="Times New Roman" w:cs="Times New Roman" w:eastAsia="Times New Roman" w:hint="default"/>
                <w:sz w:val="21"/>
                <w:szCs w:val="21"/>
              </w:rPr>
            </w:pPr>
            <w:r>
              <w:rPr>
                <w:rFonts w:ascii="Times New Roman"/>
                <w:spacing w:val="-1"/>
                <w:sz w:val="21"/>
              </w:rPr>
              <w:t>10,280,031.02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w w:val="100"/>
                <w:sz w:val="21"/>
              </w:rPr>
              <w:t>-</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w w:val="100"/>
                <w:sz w:val="21"/>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58" w:right="0"/>
              <w:jc w:val="left"/>
              <w:rPr>
                <w:rFonts w:ascii="Times New Roman" w:hAnsi="Times New Roman" w:cs="Times New Roman" w:eastAsia="Times New Roman" w:hint="default"/>
                <w:sz w:val="21"/>
                <w:szCs w:val="21"/>
              </w:rPr>
            </w:pPr>
            <w:r>
              <w:rPr>
                <w:rFonts w:ascii="Times New Roman"/>
                <w:sz w:val="21"/>
              </w:rPr>
              <w:t>90.91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29"/>
              <w:jc w:val="left"/>
              <w:rPr>
                <w:rFonts w:ascii="宋体" w:hAnsi="宋体" w:cs="宋体" w:eastAsia="宋体" w:hint="default"/>
                <w:sz w:val="21"/>
                <w:szCs w:val="21"/>
              </w:rPr>
            </w:pPr>
            <w:r>
              <w:rPr>
                <w:rFonts w:ascii="宋体" w:hAnsi="宋体" w:cs="宋体" w:eastAsia="宋体" w:hint="default"/>
                <w:spacing w:val="25"/>
                <w:sz w:val="21"/>
                <w:szCs w:val="21"/>
              </w:rPr>
              <w:t>已完</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 </w:t>
            </w:r>
          </w:p>
        </w:tc>
        <w:tc>
          <w:tcPr>
            <w:tcW w:w="52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0"/>
                <w:sz w:val="21"/>
                <w:szCs w:val="21"/>
              </w:rPr>
              <w:t> </w:t>
            </w:r>
            <w:r>
              <w:rPr>
                <w:rFonts w:ascii="宋体" w:hAnsi="宋体" w:cs="宋体" w:eastAsia="宋体" w:hint="default"/>
                <w:sz w:val="21"/>
                <w:szCs w:val="21"/>
              </w:rPr>
              <w:t>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r>
      <w:tr>
        <w:trPr>
          <w:trHeight w:val="554"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南威软件大厦装</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修工程</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31" w:right="0"/>
              <w:jc w:val="left"/>
              <w:rPr>
                <w:rFonts w:ascii="Times New Roman" w:hAnsi="Times New Roman" w:cs="Times New Roman" w:eastAsia="Times New Roman" w:hint="default"/>
                <w:sz w:val="21"/>
                <w:szCs w:val="21"/>
              </w:rPr>
            </w:pPr>
            <w:r>
              <w:rPr>
                <w:rFonts w:ascii="Times New Roman"/>
                <w:sz w:val="21"/>
              </w:rPr>
              <w:t>7,311,499.07</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2,293,812.12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1"/>
              <w:jc w:val="right"/>
              <w:rPr>
                <w:rFonts w:ascii="Times New Roman" w:hAnsi="Times New Roman" w:cs="Times New Roman" w:eastAsia="Times New Roman" w:hint="default"/>
                <w:sz w:val="21"/>
                <w:szCs w:val="21"/>
              </w:rPr>
            </w:pPr>
            <w:r>
              <w:rPr>
                <w:rFonts w:ascii="Times New Roman"/>
                <w:spacing w:val="-1"/>
                <w:sz w:val="21"/>
              </w:rPr>
              <w:t>5,433,702.23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1"/>
              <w:jc w:val="right"/>
              <w:rPr>
                <w:rFonts w:ascii="Times New Roman" w:hAnsi="Times New Roman" w:cs="Times New Roman" w:eastAsia="Times New Roman" w:hint="default"/>
                <w:sz w:val="21"/>
                <w:szCs w:val="21"/>
              </w:rPr>
            </w:pPr>
            <w:r>
              <w:rPr>
                <w:rFonts w:ascii="Times New Roman"/>
                <w:spacing w:val="-1"/>
                <w:sz w:val="21"/>
              </w:rPr>
              <w:t>6,893,998.27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w w:val="100"/>
                <w:sz w:val="21"/>
              </w:rPr>
              <w:t>-</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833,516.08</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58" w:right="0"/>
              <w:jc w:val="left"/>
              <w:rPr>
                <w:rFonts w:ascii="Times New Roman" w:hAnsi="Times New Roman" w:cs="Times New Roman" w:eastAsia="Times New Roman" w:hint="default"/>
                <w:sz w:val="21"/>
                <w:szCs w:val="21"/>
              </w:rPr>
            </w:pPr>
            <w:r>
              <w:rPr>
                <w:rFonts w:ascii="Times New Roman"/>
                <w:sz w:val="21"/>
              </w:rPr>
              <w:t>94.29</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6" w:right="0"/>
              <w:jc w:val="left"/>
              <w:rPr>
                <w:rFonts w:ascii="Times New Roman" w:hAnsi="Times New Roman" w:cs="Times New Roman" w:eastAsia="Times New Roman" w:hint="default"/>
                <w:sz w:val="21"/>
                <w:szCs w:val="21"/>
              </w:rPr>
            </w:pPr>
            <w:r>
              <w:rPr>
                <w:rFonts w:ascii="Times New Roman"/>
                <w:sz w:val="21"/>
              </w:rPr>
              <w:t>94.29</w:t>
            </w:r>
          </w:p>
        </w:tc>
        <w:tc>
          <w:tcPr>
            <w:tcW w:w="52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0"/>
                <w:sz w:val="21"/>
                <w:szCs w:val="21"/>
              </w:rPr>
              <w:t> </w:t>
            </w:r>
            <w:r>
              <w:rPr>
                <w:rFonts w:ascii="宋体" w:hAnsi="宋体" w:cs="宋体" w:eastAsia="宋体" w:hint="default"/>
                <w:sz w:val="21"/>
                <w:szCs w:val="21"/>
              </w:rPr>
              <w:t>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r>
      <w:tr>
        <w:trPr>
          <w:trHeight w:val="322"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宋体" w:hAnsi="宋体" w:cs="宋体" w:eastAsia="宋体" w:hint="default"/>
                <w:sz w:val="24"/>
                <w:szCs w:val="24"/>
              </w:rPr>
            </w:pPr>
            <w:r>
              <w:rPr>
                <w:rFonts w:ascii="Times New Roman"/>
                <w:sz w:val="21"/>
              </w:rPr>
              <w:t>18,619,533.19</w:t>
            </w:r>
            <w:r>
              <w:rPr>
                <w:rFonts w:ascii="宋体"/>
                <w:sz w:val="24"/>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spacing w:val="-1"/>
                <w:sz w:val="21"/>
              </w:rPr>
              <w:t>6,787,514.43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1"/>
              <w:jc w:val="right"/>
              <w:rPr>
                <w:rFonts w:ascii="Times New Roman" w:hAnsi="Times New Roman" w:cs="Times New Roman" w:eastAsia="Times New Roman" w:hint="default"/>
                <w:sz w:val="21"/>
                <w:szCs w:val="21"/>
              </w:rPr>
            </w:pPr>
            <w:r>
              <w:rPr>
                <w:rFonts w:ascii="Times New Roman"/>
                <w:spacing w:val="-1"/>
                <w:sz w:val="21"/>
              </w:rPr>
              <w:t>25,627,352.94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1"/>
              <w:jc w:val="right"/>
              <w:rPr>
                <w:rFonts w:ascii="Times New Roman" w:hAnsi="Times New Roman" w:cs="Times New Roman" w:eastAsia="Times New Roman" w:hint="default"/>
                <w:sz w:val="21"/>
                <w:szCs w:val="21"/>
              </w:rPr>
            </w:pPr>
            <w:r>
              <w:rPr>
                <w:rFonts w:ascii="Times New Roman"/>
                <w:spacing w:val="-1"/>
                <w:sz w:val="21"/>
              </w:rPr>
              <w:t>29,403,341.19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310,579.47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2,700,946.71</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82" w:right="0"/>
              <w:jc w:val="left"/>
              <w:rPr>
                <w:rFonts w:ascii="宋体" w:hAnsi="宋体" w:cs="宋体" w:eastAsia="宋体" w:hint="default"/>
                <w:sz w:val="24"/>
                <w:szCs w:val="24"/>
              </w:rPr>
            </w:pPr>
            <w:r>
              <w:rPr>
                <w:rFonts w:ascii="宋体"/>
                <w:sz w:val="24"/>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5" w:right="0"/>
              <w:jc w:val="left"/>
              <w:rPr>
                <w:rFonts w:ascii="宋体" w:hAnsi="宋体" w:cs="宋体" w:eastAsia="宋体" w:hint="default"/>
                <w:sz w:val="24"/>
                <w:szCs w:val="24"/>
              </w:rPr>
            </w:pPr>
            <w:r>
              <w:rPr>
                <w:rFonts w:ascii="宋体"/>
                <w:sz w:val="24"/>
              </w:rPr>
              <w:t>/ </w:t>
            </w:r>
          </w:p>
        </w:tc>
        <w:tc>
          <w:tcPr>
            <w:tcW w:w="52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0" w:right="0"/>
              <w:jc w:val="left"/>
              <w:rPr>
                <w:rFonts w:ascii="宋体" w:hAnsi="宋体" w:cs="宋体" w:eastAsia="宋体" w:hint="default"/>
                <w:sz w:val="24"/>
                <w:szCs w:val="24"/>
              </w:rPr>
            </w:pPr>
            <w:r>
              <w:rPr>
                <w:rFonts w:ascii="宋体"/>
                <w:sz w:val="24"/>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70" w:right="0"/>
              <w:jc w:val="left"/>
              <w:rPr>
                <w:rFonts w:ascii="宋体" w:hAnsi="宋体" w:cs="宋体" w:eastAsia="宋体" w:hint="default"/>
                <w:sz w:val="24"/>
                <w:szCs w:val="24"/>
              </w:rPr>
            </w:pPr>
            <w:r>
              <w:rPr>
                <w:rFonts w:ascii="宋体"/>
                <w:sz w:val="24"/>
              </w:rPr>
              <w:t>/ </w:t>
            </w:r>
          </w:p>
        </w:tc>
      </w:tr>
    </w:tbl>
    <w:p>
      <w:pPr>
        <w:pStyle w:val="BodyText"/>
        <w:spacing w:line="237" w:lineRule="exact"/>
        <w:ind w:left="144" w:right="0"/>
        <w:jc w:val="left"/>
        <w:rPr>
          <w:rFonts w:ascii="宋体" w:hAnsi="宋体" w:cs="宋体" w:eastAsia="宋体" w:hint="default"/>
        </w:rPr>
      </w:pPr>
      <w:r>
        <w:rPr>
          <w:rFonts w:ascii="宋体"/>
          <w:w w:val="100"/>
        </w:rPr>
        <w:t> </w:t>
      </w:r>
    </w:p>
    <w:p>
      <w:pPr>
        <w:pStyle w:val="Heading3"/>
        <w:spacing w:line="310" w:lineRule="exact"/>
        <w:ind w:left="144" w:right="0"/>
        <w:jc w:val="left"/>
      </w:pPr>
      <w:r>
        <w:rPr/>
        <w:t> </w:t>
      </w:r>
    </w:p>
    <w:p>
      <w:pPr>
        <w:pStyle w:val="Heading4"/>
        <w:spacing w:line="240" w:lineRule="auto"/>
        <w:ind w:left="144" w:right="0"/>
        <w:jc w:val="left"/>
        <w:rPr>
          <w:rFonts w:ascii="宋体" w:hAnsi="宋体" w:cs="宋体" w:eastAsia="宋体" w:hint="default"/>
          <w:b w:val="0"/>
          <w:bCs w:val="0"/>
        </w:rPr>
      </w:pPr>
      <w:r>
        <w:rPr>
          <w:rFonts w:ascii="宋体" w:hAnsi="宋体" w:cs="宋体" w:eastAsia="宋体" w:hint="default"/>
        </w:rPr>
        <w:t>(3).</w:t>
      </w:r>
      <w:r>
        <w:rPr/>
        <w:t>本期计提在建工程减值准备情况</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56"/>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0" w:lineRule="exact"/>
        <w:ind w:left="144" w:right="0"/>
        <w:jc w:val="left"/>
      </w:pPr>
      <w:r>
        <w:rPr>
          <w:rFonts w:ascii="宋体" w:hAnsi="宋体" w:cs="宋体" w:eastAsia="宋体" w:hint="default"/>
        </w:rPr>
        <w:t>其他说明</w:t>
      </w:r>
      <w:r>
        <w:rPr/>
        <w:t> </w:t>
      </w:r>
    </w:p>
    <w:p>
      <w:pPr>
        <w:pStyle w:val="BodyText"/>
        <w:spacing w:line="271" w:lineRule="exact" w:before="1"/>
        <w:ind w:left="144" w:right="0"/>
        <w:jc w:val="left"/>
        <w:rPr>
          <w:rFonts w:ascii="宋体" w:hAnsi="宋体" w:cs="宋体" w:eastAsia="宋体" w:hint="default"/>
          <w:sz w:val="24"/>
          <w:szCs w:val="24"/>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color w:val="FF0000"/>
          <w:sz w:val="24"/>
          <w:szCs w:val="24"/>
        </w:rPr>
        <w:t> </w:t>
      </w:r>
      <w:r>
        <w:rPr>
          <w:rFonts w:ascii="宋体" w:hAnsi="宋体" w:cs="宋体" w:eastAsia="宋体" w:hint="default"/>
          <w:sz w:val="24"/>
          <w:szCs w:val="24"/>
        </w:rPr>
      </w:r>
    </w:p>
    <w:p>
      <w:pPr>
        <w:pStyle w:val="Heading3"/>
        <w:spacing w:line="310" w:lineRule="exact"/>
        <w:ind w:left="144" w:right="0"/>
        <w:jc w:val="left"/>
      </w:pPr>
      <w:r>
        <w:rPr/>
        <w:t> </w:t>
      </w:r>
    </w:p>
    <w:p>
      <w:pPr>
        <w:pStyle w:val="Heading4"/>
        <w:spacing w:line="292" w:lineRule="auto" w:before="61"/>
        <w:ind w:left="144" w:right="11582"/>
        <w:jc w:val="left"/>
        <w:rPr>
          <w:rFonts w:ascii="宋体" w:hAnsi="宋体" w:cs="宋体" w:eastAsia="宋体" w:hint="default"/>
          <w:b w:val="0"/>
          <w:bCs w:val="0"/>
        </w:rPr>
      </w:pPr>
      <w:r>
        <w:rPr/>
        <w:t>工程物资</w:t>
      </w:r>
      <w:r>
        <w:rPr>
          <w:rFonts w:ascii="宋体" w:hAnsi="宋体" w:cs="宋体" w:eastAsia="宋体" w:hint="default"/>
          <w:w w:val="99"/>
        </w:rPr>
        <w:t> </w:t>
      </w:r>
      <w:r>
        <w:rPr>
          <w:rFonts w:ascii="宋体" w:hAnsi="宋体" w:cs="宋体" w:eastAsia="宋体" w:hint="default"/>
        </w:rPr>
        <w:t>(4).</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00" w:bottom="280" w:left="1380" w:right="12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before="36"/>
        <w:ind w:left="358" w:right="0"/>
        <w:jc w:val="left"/>
        <w:rPr>
          <w:rFonts w:ascii="宋体" w:hAnsi="宋体" w:cs="宋体" w:eastAsia="宋体" w:hint="default"/>
          <w:b w:val="0"/>
          <w:bCs w:val="0"/>
        </w:rPr>
      </w:pPr>
      <w:r>
        <w:rPr>
          <w:rFonts w:ascii="Times New Roman" w:hAnsi="Times New Roman" w:cs="Times New Roman" w:eastAsia="Times New Roman" w:hint="default"/>
        </w:rPr>
        <w:t>22</w:t>
      </w:r>
      <w:r>
        <w:rPr/>
        <w:t>、生产性生物资产</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40"/>
        <w:ind w:left="216" w:right="0"/>
        <w:jc w:val="left"/>
        <w:rPr>
          <w:rFonts w:ascii="宋体" w:hAnsi="宋体" w:cs="宋体" w:eastAsia="宋体" w:hint="default"/>
          <w:b w:val="0"/>
          <w:bCs w:val="0"/>
        </w:rPr>
      </w:pP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6" w:right="329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0" w:lineRule="exact"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9" w:lineRule="exact"/>
        <w:ind w:left="216" w:right="0"/>
        <w:jc w:val="left"/>
      </w:pPr>
      <w:r>
        <w:rPr>
          <w:rFonts w:ascii="宋体" w:hAnsi="宋体" w:cs="宋体" w:eastAsia="宋体" w:hint="default"/>
        </w:rPr>
        <w:t>其他说明</w:t>
      </w:r>
      <w:r>
        <w:rPr/>
        <w:t> </w:t>
      </w:r>
    </w:p>
    <w:p>
      <w:pPr>
        <w:pStyle w:val="BodyText"/>
        <w:spacing w:line="270" w:lineRule="exact" w:before="4"/>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216" w:right="0"/>
        <w:jc w:val="left"/>
      </w:pPr>
      <w:r>
        <w:rPr/>
        <w:t> </w:t>
      </w:r>
    </w:p>
    <w:p>
      <w:pPr>
        <w:pStyle w:val="Heading4"/>
        <w:spacing w:line="240" w:lineRule="auto"/>
        <w:ind w:left="22" w:right="7218"/>
        <w:jc w:val="center"/>
        <w:rPr>
          <w:rFonts w:ascii="宋体" w:hAnsi="宋体" w:cs="宋体" w:eastAsia="宋体" w:hint="default"/>
          <w:b w:val="0"/>
          <w:bCs w:val="0"/>
        </w:rPr>
      </w:pPr>
      <w:r>
        <w:rPr>
          <w:rFonts w:ascii="Times New Roman" w:hAnsi="Times New Roman" w:cs="Times New Roman" w:eastAsia="Times New Roman" w:hint="default"/>
        </w:rPr>
        <w:t>23</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40"/>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0" w:lineRule="exact"/>
        <w:ind w:left="216" w:right="0"/>
        <w:jc w:val="left"/>
      </w:pPr>
      <w:r>
        <w:rPr/>
        <w:t> </w:t>
      </w:r>
    </w:p>
    <w:p>
      <w:pPr>
        <w:pStyle w:val="Heading3"/>
        <w:spacing w:line="313" w:lineRule="exact"/>
        <w:ind w:left="216" w:right="0"/>
        <w:jc w:val="left"/>
      </w:pPr>
      <w:r>
        <w:rPr/>
        <w:t> </w:t>
      </w:r>
    </w:p>
    <w:p>
      <w:pPr>
        <w:pStyle w:val="Heading4"/>
        <w:spacing w:line="240" w:lineRule="auto" w:before="61"/>
        <w:ind w:left="130" w:right="7218"/>
        <w:jc w:val="center"/>
        <w:rPr>
          <w:b w:val="0"/>
          <w:bCs w:val="0"/>
        </w:rPr>
      </w:pPr>
      <w:r>
        <w:rPr>
          <w:rFonts w:ascii="Times New Roman" w:hAnsi="Times New Roman" w:cs="Times New Roman" w:eastAsia="Times New Roman" w:hint="default"/>
        </w:rPr>
        <w:t>24</w:t>
      </w:r>
      <w:r>
        <w:rPr/>
        <w:t>、使用权资产</w:t>
      </w:r>
      <w:r>
        <w:rPr>
          <w:b w:val="0"/>
          <w:bCs w:val="0"/>
        </w:rPr>
      </w:r>
    </w:p>
    <w:p>
      <w:pPr>
        <w:pStyle w:val="BodyText"/>
        <w:spacing w:line="273" w:lineRule="exact" w:before="4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headerReference w:type="default" r:id="rId56"/>
          <w:footerReference w:type="default" r:id="rId57"/>
          <w:pgSz w:w="11910" w:h="16840"/>
          <w:pgMar w:header="857" w:footer="979" w:top="1120" w:bottom="1160" w:left="1060" w:right="1560"/>
          <w:pgNumType w:start="165"/>
        </w:sectPr>
      </w:pPr>
    </w:p>
    <w:p>
      <w:pPr>
        <w:pStyle w:val="Heading4"/>
        <w:spacing w:line="273" w:lineRule="auto" w:before="58"/>
        <w:ind w:left="216" w:right="0" w:firstLine="142"/>
        <w:jc w:val="left"/>
        <w:rPr>
          <w:rFonts w:ascii="宋体" w:hAnsi="宋体" w:cs="宋体" w:eastAsia="宋体" w:hint="default"/>
          <w:b w:val="0"/>
          <w:bCs w:val="0"/>
        </w:rPr>
      </w:pPr>
      <w:r>
        <w:rPr>
          <w:rFonts w:ascii="Times New Roman" w:hAnsi="Times New Roman" w:cs="Times New Roman" w:eastAsia="Times New Roman" w:hint="default"/>
        </w:rPr>
        <w:t>25</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9"/>
        <w:ind w:left="216"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60" w:right="1560"/>
          <w:cols w:num="2" w:equalWidth="0">
            <w:col w:w="2123" w:space="439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41"/>
        <w:gridCol w:w="1822"/>
        <w:gridCol w:w="919"/>
        <w:gridCol w:w="878"/>
        <w:gridCol w:w="1944"/>
        <w:gridCol w:w="1945"/>
      </w:tblGrid>
      <w:tr>
        <w:trPr>
          <w:trHeight w:val="55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5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9"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6" w:right="0"/>
              <w:jc w:val="left"/>
              <w:rPr>
                <w:rFonts w:ascii="宋体" w:hAnsi="宋体" w:cs="宋体" w:eastAsia="宋体" w:hint="default"/>
                <w:sz w:val="21"/>
                <w:szCs w:val="21"/>
              </w:rPr>
            </w:pPr>
            <w:r>
              <w:rPr>
                <w:rFonts w:ascii="宋体" w:hAnsi="宋体" w:cs="宋体" w:eastAsia="宋体" w:hint="default"/>
                <w:sz w:val="21"/>
                <w:szCs w:val="21"/>
              </w:rPr>
              <w:t>专利权</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非专利</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0" w:right="0"/>
              <w:jc w:val="left"/>
              <w:rPr>
                <w:rFonts w:ascii="宋体" w:hAnsi="宋体" w:cs="宋体" w:eastAsia="宋体" w:hint="default"/>
                <w:sz w:val="21"/>
                <w:szCs w:val="21"/>
              </w:rPr>
            </w:pPr>
            <w:r>
              <w:rPr>
                <w:rFonts w:ascii="宋体" w:hAnsi="宋体" w:cs="宋体" w:eastAsia="宋体" w:hint="default"/>
                <w:sz w:val="21"/>
                <w:szCs w:val="21"/>
              </w:rPr>
              <w:t>著作权</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5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21"/>
                <w:szCs w:val="21"/>
              </w:rPr>
            </w:pPr>
            <w:r>
              <w:rPr>
                <w:rFonts w:ascii="Times New Roman"/>
                <w:spacing w:val="-1"/>
                <w:sz w:val="21"/>
              </w:rPr>
              <w:t>25,603,390.27</w:t>
            </w: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pacing w:val="-1"/>
                <w:sz w:val="21"/>
              </w:rPr>
              <w:t>232,860,850.65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8" w:right="0"/>
              <w:jc w:val="left"/>
              <w:rPr>
                <w:rFonts w:ascii="Times New Roman" w:hAnsi="Times New Roman" w:cs="Times New Roman" w:eastAsia="Times New Roman" w:hint="default"/>
                <w:sz w:val="21"/>
                <w:szCs w:val="21"/>
              </w:rPr>
            </w:pPr>
            <w:r>
              <w:rPr>
                <w:rFonts w:ascii="Times New Roman"/>
                <w:sz w:val="21"/>
              </w:rPr>
              <w:t>258,464,240.92</w:t>
            </w:r>
          </w:p>
        </w:tc>
      </w:tr>
      <w:tr>
        <w:trPr>
          <w:trHeight w:val="73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216"/>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99,031,166.93</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24" w:right="0"/>
              <w:jc w:val="left"/>
              <w:rPr>
                <w:rFonts w:ascii="Times New Roman" w:hAnsi="Times New Roman" w:cs="Times New Roman" w:eastAsia="Times New Roman" w:hint="default"/>
                <w:sz w:val="21"/>
                <w:szCs w:val="21"/>
              </w:rPr>
            </w:pPr>
            <w:r>
              <w:rPr>
                <w:rFonts w:ascii="Times New Roman"/>
                <w:sz w:val="21"/>
              </w:rPr>
              <w:t>99,031,166.93</w:t>
            </w:r>
          </w:p>
        </w:tc>
      </w:tr>
      <w:tr>
        <w:trPr>
          <w:trHeight w:val="37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1,199,844.81</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29" w:right="0"/>
              <w:jc w:val="left"/>
              <w:rPr>
                <w:rFonts w:ascii="Times New Roman" w:hAnsi="Times New Roman" w:cs="Times New Roman" w:eastAsia="Times New Roman" w:hint="default"/>
                <w:sz w:val="21"/>
                <w:szCs w:val="21"/>
              </w:rPr>
            </w:pPr>
            <w:r>
              <w:rPr>
                <w:rFonts w:ascii="Times New Roman"/>
                <w:sz w:val="21"/>
              </w:rPr>
              <w:t>1,199,844.81</w:t>
            </w:r>
          </w:p>
        </w:tc>
      </w:tr>
      <w:tr>
        <w:trPr>
          <w:trHeight w:val="37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97,831,322.12</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4" w:right="0"/>
              <w:jc w:val="left"/>
              <w:rPr>
                <w:rFonts w:ascii="Times New Roman" w:hAnsi="Times New Roman" w:cs="Times New Roman" w:eastAsia="Times New Roman" w:hint="default"/>
                <w:sz w:val="21"/>
                <w:szCs w:val="21"/>
              </w:rPr>
            </w:pPr>
            <w:r>
              <w:rPr>
                <w:rFonts w:ascii="Times New Roman"/>
                <w:sz w:val="21"/>
              </w:rPr>
              <w:t>97,831,322.12</w:t>
            </w:r>
          </w:p>
        </w:tc>
      </w:tr>
      <w:tr>
        <w:trPr>
          <w:trHeight w:val="73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27"/>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加</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5"/>
              <w:ind w:left="103" w:right="216"/>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27"/>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转至持有待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售</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37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25,603,390.27</w:t>
            </w: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331,892,017.58</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18" w:right="0"/>
              <w:jc w:val="left"/>
              <w:rPr>
                <w:rFonts w:ascii="Times New Roman" w:hAnsi="Times New Roman" w:cs="Times New Roman" w:eastAsia="Times New Roman" w:hint="default"/>
                <w:sz w:val="21"/>
                <w:szCs w:val="21"/>
              </w:rPr>
            </w:pPr>
            <w:r>
              <w:rPr>
                <w:rFonts w:ascii="Times New Roman"/>
                <w:sz w:val="21"/>
              </w:rPr>
              <w:t>357,495,407.85</w:t>
            </w:r>
          </w:p>
        </w:tc>
      </w:tr>
      <w:tr>
        <w:trPr>
          <w:trHeight w:val="37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6,403,519.52</w:t>
            </w: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111,031,645.11</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18" w:right="0"/>
              <w:jc w:val="left"/>
              <w:rPr>
                <w:rFonts w:ascii="Times New Roman" w:hAnsi="Times New Roman" w:cs="Times New Roman" w:eastAsia="Times New Roman" w:hint="default"/>
                <w:sz w:val="21"/>
                <w:szCs w:val="21"/>
              </w:rPr>
            </w:pPr>
            <w:r>
              <w:rPr>
                <w:rFonts w:ascii="Times New Roman"/>
                <w:sz w:val="21"/>
              </w:rPr>
              <w:t>117,435,164.63</w:t>
            </w:r>
          </w:p>
        </w:tc>
      </w:tr>
      <w:tr>
        <w:trPr>
          <w:trHeight w:val="732"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5"/>
              <w:ind w:left="103" w:right="216"/>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636,459.84</w:t>
            </w: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40,979,731.64</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24" w:right="0"/>
              <w:jc w:val="left"/>
              <w:rPr>
                <w:rFonts w:ascii="Times New Roman" w:hAnsi="Times New Roman" w:cs="Times New Roman" w:eastAsia="Times New Roman" w:hint="default"/>
                <w:sz w:val="21"/>
                <w:szCs w:val="21"/>
              </w:rPr>
            </w:pPr>
            <w:r>
              <w:rPr>
                <w:rFonts w:ascii="Times New Roman"/>
                <w:sz w:val="21"/>
              </w:rPr>
              <w:t>41,616,191.48</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500" w:bottom="280" w:left="1060" w:right="156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1541"/>
        <w:gridCol w:w="1822"/>
        <w:gridCol w:w="919"/>
        <w:gridCol w:w="878"/>
        <w:gridCol w:w="1944"/>
        <w:gridCol w:w="1945"/>
      </w:tblGrid>
      <w:tr>
        <w:trPr>
          <w:trHeight w:val="37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636,459.84</w:t>
            </w: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40,979,731.64</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4" w:right="0"/>
              <w:jc w:val="left"/>
              <w:rPr>
                <w:rFonts w:ascii="Times New Roman" w:hAnsi="Times New Roman" w:cs="Times New Roman" w:eastAsia="Times New Roman" w:hint="default"/>
                <w:sz w:val="21"/>
                <w:szCs w:val="21"/>
              </w:rPr>
            </w:pPr>
            <w:r>
              <w:rPr>
                <w:rFonts w:ascii="Times New Roman"/>
                <w:sz w:val="21"/>
              </w:rPr>
              <w:t>41,616,191.48</w:t>
            </w:r>
          </w:p>
        </w:tc>
      </w:tr>
      <w:tr>
        <w:trPr>
          <w:trHeight w:val="73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27"/>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企业合并增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加</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5"/>
              <w:ind w:left="103" w:right="216"/>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27"/>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转至持有待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售</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37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7,039,979.36</w:t>
            </w: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152,011,376.75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18" w:right="0"/>
              <w:jc w:val="left"/>
              <w:rPr>
                <w:rFonts w:ascii="Times New Roman" w:hAnsi="Times New Roman" w:cs="Times New Roman" w:eastAsia="Times New Roman" w:hint="default"/>
                <w:sz w:val="21"/>
                <w:szCs w:val="21"/>
              </w:rPr>
            </w:pPr>
            <w:r>
              <w:rPr>
                <w:rFonts w:ascii="Times New Roman"/>
                <w:sz w:val="21"/>
              </w:rPr>
              <w:t>159,051,356.11</w:t>
            </w:r>
          </w:p>
        </w:tc>
      </w:tr>
      <w:tr>
        <w:trPr>
          <w:trHeight w:val="37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spacing w:val="-1"/>
                <w:sz w:val="21"/>
              </w:rPr>
              <w:t>7,488,495.46</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29" w:right="0"/>
              <w:jc w:val="left"/>
              <w:rPr>
                <w:rFonts w:ascii="Times New Roman" w:hAnsi="Times New Roman" w:cs="Times New Roman" w:eastAsia="Times New Roman" w:hint="default"/>
                <w:sz w:val="21"/>
                <w:szCs w:val="21"/>
              </w:rPr>
            </w:pPr>
            <w:r>
              <w:rPr>
                <w:rFonts w:ascii="Times New Roman"/>
                <w:sz w:val="21"/>
              </w:rPr>
              <w:t>7,488,495.46</w:t>
            </w:r>
          </w:p>
        </w:tc>
      </w:tr>
      <w:tr>
        <w:trPr>
          <w:trHeight w:val="732"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5"/>
              <w:ind w:left="103" w:right="216"/>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576,699.04</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86" w:right="0"/>
              <w:jc w:val="left"/>
              <w:rPr>
                <w:rFonts w:ascii="Times New Roman" w:hAnsi="Times New Roman" w:cs="Times New Roman" w:eastAsia="Times New Roman" w:hint="default"/>
                <w:sz w:val="21"/>
                <w:szCs w:val="21"/>
              </w:rPr>
            </w:pPr>
            <w:r>
              <w:rPr>
                <w:rFonts w:ascii="Times New Roman"/>
                <w:sz w:val="21"/>
              </w:rPr>
              <w:t>576,699.04</w:t>
            </w:r>
          </w:p>
        </w:tc>
      </w:tr>
      <w:tr>
        <w:trPr>
          <w:trHeight w:val="37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pacing w:val="-1"/>
                <w:sz w:val="21"/>
              </w:rPr>
              <w:t>576,699.04</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6" w:right="0"/>
              <w:jc w:val="left"/>
              <w:rPr>
                <w:rFonts w:ascii="Times New Roman" w:hAnsi="Times New Roman" w:cs="Times New Roman" w:eastAsia="Times New Roman" w:hint="default"/>
                <w:sz w:val="21"/>
                <w:szCs w:val="21"/>
              </w:rPr>
            </w:pPr>
            <w:r>
              <w:rPr>
                <w:rFonts w:ascii="Times New Roman"/>
                <w:sz w:val="21"/>
              </w:rPr>
              <w:t>576,699.04</w:t>
            </w:r>
          </w:p>
        </w:tc>
      </w:tr>
      <w:tr>
        <w:trPr>
          <w:trHeight w:val="73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27"/>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企业合并增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加</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216"/>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8,065,194.50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29" w:right="0"/>
              <w:jc w:val="left"/>
              <w:rPr>
                <w:rFonts w:ascii="Times New Roman" w:hAnsi="Times New Roman" w:cs="Times New Roman" w:eastAsia="Times New Roman" w:hint="default"/>
                <w:sz w:val="21"/>
                <w:szCs w:val="21"/>
              </w:rPr>
            </w:pPr>
            <w:r>
              <w:rPr>
                <w:rFonts w:ascii="Times New Roman"/>
                <w:sz w:val="21"/>
              </w:rPr>
              <w:t>8,065,194.50</w:t>
            </w:r>
          </w:p>
        </w:tc>
      </w:tr>
      <w:tr>
        <w:trPr>
          <w:trHeight w:val="372"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8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216"/>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18,563,410.91</w:t>
            </w: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171,815,446.33</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18" w:right="0"/>
              <w:jc w:val="left"/>
              <w:rPr>
                <w:rFonts w:ascii="Times New Roman" w:hAnsi="Times New Roman" w:cs="Times New Roman" w:eastAsia="Times New Roman" w:hint="default"/>
                <w:sz w:val="21"/>
                <w:szCs w:val="21"/>
              </w:rPr>
            </w:pPr>
            <w:r>
              <w:rPr>
                <w:rFonts w:ascii="Times New Roman"/>
                <w:sz w:val="21"/>
              </w:rPr>
              <w:t>190,378,857.24</w:t>
            </w:r>
          </w:p>
        </w:tc>
      </w:tr>
      <w:tr>
        <w:trPr>
          <w:trHeight w:val="73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216"/>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19,199,870.75</w:t>
            </w: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114,340,710.08</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18" w:right="0"/>
              <w:jc w:val="left"/>
              <w:rPr>
                <w:rFonts w:ascii="Times New Roman" w:hAnsi="Times New Roman" w:cs="Times New Roman" w:eastAsia="Times New Roman" w:hint="default"/>
                <w:sz w:val="21"/>
                <w:szCs w:val="21"/>
              </w:rPr>
            </w:pPr>
            <w:r>
              <w:rPr>
                <w:rFonts w:ascii="Times New Roman"/>
                <w:sz w:val="21"/>
              </w:rPr>
              <w:t>133,540,580.83</w:t>
            </w:r>
          </w:p>
        </w:tc>
      </w:tr>
    </w:tbl>
    <w:p>
      <w:pPr>
        <w:pStyle w:val="BodyText"/>
        <w:spacing w:line="257" w:lineRule="exact"/>
        <w:ind w:left="216" w:right="0"/>
        <w:jc w:val="left"/>
        <w:rPr>
          <w:rFonts w:ascii="宋体" w:hAnsi="宋体" w:cs="宋体" w:eastAsia="宋体" w:hint="default"/>
          <w:sz w:val="24"/>
          <w:szCs w:val="24"/>
        </w:rPr>
      </w:pPr>
      <w:r>
        <w:rPr>
          <w:spacing w:val="-2"/>
        </w:rPr>
        <w:t>本期末通过公司内部研发形成的无形资产占无形资产余额的比例</w:t>
      </w:r>
      <w:r>
        <w:rPr>
          <w:spacing w:val="10"/>
        </w:rPr>
        <w:t> </w:t>
      </w:r>
      <w:r>
        <w:rPr>
          <w:rFonts w:ascii="Times New Roman" w:hAnsi="Times New Roman" w:cs="Times New Roman" w:eastAsia="Times New Roman" w:hint="default"/>
          <w:spacing w:val="-2"/>
        </w:rPr>
        <w:t>89.06%</w:t>
      </w:r>
      <w:r>
        <w:rPr>
          <w:rFonts w:ascii="宋体" w:hAnsi="宋体" w:cs="宋体" w:eastAsia="宋体" w:hint="default"/>
          <w:sz w:val="24"/>
          <w:szCs w:val="24"/>
        </w:rPr>
        <w:t> </w:t>
      </w:r>
    </w:p>
    <w:p>
      <w:pPr>
        <w:pStyle w:val="Heading4"/>
        <w:spacing w:line="240" w:lineRule="auto" w:before="40"/>
        <w:ind w:left="216" w:right="0"/>
        <w:jc w:val="left"/>
        <w:rPr>
          <w:rFonts w:ascii="宋体" w:hAnsi="宋体" w:cs="宋体" w:eastAsia="宋体" w:hint="default"/>
          <w:b w:val="0"/>
          <w:bCs w:val="0"/>
        </w:rPr>
      </w:pPr>
      <w:r>
        <w:rPr>
          <w:rFonts w:ascii="宋体" w:hAnsi="宋体" w:cs="宋体" w:eastAsia="宋体" w:hint="default"/>
        </w:rPr>
        <w:t>(2).</w:t>
      </w:r>
      <w:r>
        <w:rPr/>
        <w:t>未办妥产权证书的土地使用权情况</w:t>
      </w:r>
      <w:r>
        <w:rPr>
          <w:rFonts w:ascii="宋体" w:hAnsi="宋体" w:cs="宋体" w:eastAsia="宋体" w:hint="default"/>
          <w:w w:val="99"/>
        </w:rPr>
        <w:t> </w:t>
      </w:r>
      <w:r>
        <w:rPr>
          <w:rFonts w:ascii="宋体" w:hAnsi="宋体" w:cs="宋体" w:eastAsia="宋体" w:hint="default"/>
          <w:b w:val="0"/>
          <w:bCs w:val="0"/>
        </w:rPr>
      </w:r>
    </w:p>
    <w:p>
      <w:pPr>
        <w:spacing w:line="300" w:lineRule="exact" w:before="64"/>
        <w:ind w:left="216" w:right="7252" w:firstLine="0"/>
        <w:jc w:val="left"/>
        <w:rPr>
          <w:rFonts w:ascii="宋体" w:hAnsi="宋体" w:cs="宋体" w:eastAsia="宋体" w:hint="default"/>
          <w:sz w:val="24"/>
          <w:szCs w:val="24"/>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sz w:val="24"/>
          <w:szCs w:val="24"/>
        </w:rPr>
        <w:t>其他说明：</w:t>
      </w:r>
      <w:r>
        <w:rPr>
          <w:rFonts w:ascii="宋体" w:hAnsi="宋体" w:cs="宋体" w:eastAsia="宋体" w:hint="default"/>
          <w:sz w:val="24"/>
          <w:szCs w:val="24"/>
        </w:rPr>
        <w:t> </w:t>
      </w:r>
    </w:p>
    <w:p>
      <w:pPr>
        <w:pStyle w:val="BodyText"/>
        <w:spacing w:line="249" w:lineRule="exact"/>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tabs>
          <w:tab w:pos="3097" w:val="left" w:leader="none"/>
        </w:tabs>
        <w:spacing w:line="311" w:lineRule="exact"/>
        <w:ind w:left="216" w:right="0"/>
        <w:jc w:val="left"/>
      </w:pPr>
      <w:r>
        <w:rPr/>
        <w:t> </w:t>
        <w:tab/>
        <w:t> </w:t>
      </w:r>
    </w:p>
    <w:p>
      <w:pPr>
        <w:spacing w:after="0" w:line="311" w:lineRule="exact"/>
        <w:jc w:val="left"/>
        <w:sectPr>
          <w:pgSz w:w="11910" w:h="16840"/>
          <w:pgMar w:header="857" w:footer="979" w:top="1120" w:bottom="1160" w:left="1060" w:right="15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4"/>
        <w:spacing w:line="240" w:lineRule="auto" w:before="36"/>
        <w:ind w:left="365" w:right="0"/>
        <w:jc w:val="left"/>
        <w:rPr>
          <w:rFonts w:ascii="宋体" w:hAnsi="宋体" w:cs="宋体" w:eastAsia="宋体" w:hint="default"/>
          <w:b w:val="0"/>
          <w:bCs w:val="0"/>
        </w:rPr>
      </w:pPr>
      <w:r>
        <w:rPr>
          <w:rFonts w:ascii="Times New Roman" w:hAnsi="Times New Roman" w:cs="Times New Roman" w:eastAsia="Times New Roman" w:hint="default"/>
        </w:rPr>
        <w:t>26</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12"/>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022"/>
        <w:gridCol w:w="1875"/>
        <w:gridCol w:w="1726"/>
        <w:gridCol w:w="723"/>
        <w:gridCol w:w="574"/>
        <w:gridCol w:w="2018"/>
        <w:gridCol w:w="1582"/>
        <w:gridCol w:w="722"/>
        <w:gridCol w:w="1848"/>
      </w:tblGrid>
      <w:tr>
        <w:trPr>
          <w:trHeight w:val="281" w:hRule="exact"/>
        </w:trPr>
        <w:tc>
          <w:tcPr>
            <w:tcW w:w="3022" w:type="dxa"/>
            <w:vMerge w:val="restart"/>
            <w:tcBorders>
              <w:top w:val="single" w:sz="4" w:space="0" w:color="000000"/>
              <w:left w:val="single" w:sz="4" w:space="0" w:color="000000"/>
              <w:right w:val="single" w:sz="4" w:space="0" w:color="000000"/>
            </w:tcBorders>
          </w:tcPr>
          <w:p>
            <w:pPr>
              <w:pStyle w:val="TableParagraph"/>
              <w:spacing w:line="240" w:lineRule="auto" w:before="126"/>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75" w:type="dxa"/>
            <w:vMerge w:val="restart"/>
            <w:tcBorders>
              <w:top w:val="single" w:sz="4" w:space="0" w:color="000000"/>
              <w:left w:val="single" w:sz="4" w:space="0" w:color="000000"/>
              <w:right w:val="single" w:sz="4" w:space="0" w:color="000000"/>
            </w:tcBorders>
          </w:tcPr>
          <w:p>
            <w:pPr>
              <w:pStyle w:val="TableParagraph"/>
              <w:spacing w:line="274" w:lineRule="exact" w:before="16"/>
              <w:ind w:left="722" w:right="614"/>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30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5"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43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848" w:type="dxa"/>
            <w:vMerge w:val="restart"/>
            <w:tcBorders>
              <w:top w:val="single" w:sz="4" w:space="0" w:color="000000"/>
              <w:left w:val="single" w:sz="4" w:space="0" w:color="000000"/>
              <w:right w:val="single" w:sz="4" w:space="0" w:color="000000"/>
            </w:tcBorders>
          </w:tcPr>
          <w:p>
            <w:pPr>
              <w:pStyle w:val="TableParagraph"/>
              <w:spacing w:line="274" w:lineRule="exact" w:before="16"/>
              <w:ind w:left="710" w:right="60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322" w:hRule="exact"/>
        </w:trPr>
        <w:tc>
          <w:tcPr>
            <w:tcW w:w="3022" w:type="dxa"/>
            <w:vMerge/>
            <w:tcBorders>
              <w:left w:val="single" w:sz="4" w:space="0" w:color="000000"/>
              <w:bottom w:val="single" w:sz="4" w:space="0" w:color="000000"/>
              <w:right w:val="single" w:sz="4" w:space="0" w:color="000000"/>
            </w:tcBorders>
          </w:tcPr>
          <w:p>
            <w:pPr/>
          </w:p>
        </w:tc>
        <w:tc>
          <w:tcPr>
            <w:tcW w:w="1875" w:type="dxa"/>
            <w:vMerge/>
            <w:tcBorders>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0"/>
              <w:jc w:val="right"/>
              <w:rPr>
                <w:rFonts w:ascii="宋体" w:hAnsi="宋体" w:cs="宋体" w:eastAsia="宋体" w:hint="default"/>
                <w:sz w:val="21"/>
                <w:szCs w:val="21"/>
              </w:rPr>
            </w:pPr>
            <w:r>
              <w:rPr>
                <w:rFonts w:ascii="宋体" w:hAnsi="宋体" w:cs="宋体" w:eastAsia="宋体" w:hint="default"/>
                <w:spacing w:val="-2"/>
                <w:sz w:val="21"/>
                <w:szCs w:val="21"/>
              </w:rPr>
              <w:t>内部开发支出</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37"/>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1" w:right="0"/>
              <w:jc w:val="left"/>
              <w:rPr>
                <w:rFonts w:ascii="宋体" w:hAnsi="宋体" w:cs="宋体" w:eastAsia="宋体" w:hint="default"/>
                <w:sz w:val="21"/>
                <w:szCs w:val="21"/>
              </w:rPr>
            </w:pPr>
            <w:r>
              <w:rPr>
                <w:rFonts w:ascii="宋体" w:hAnsi="宋体" w:cs="宋体" w:eastAsia="宋体" w:hint="default"/>
                <w:sz w:val="21"/>
                <w:szCs w:val="21"/>
              </w:rPr>
              <w:t>确认为无形资产</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
              <w:jc w:val="right"/>
              <w:rPr>
                <w:rFonts w:ascii="宋体" w:hAnsi="宋体" w:cs="宋体" w:eastAsia="宋体" w:hint="default"/>
                <w:sz w:val="21"/>
                <w:szCs w:val="21"/>
              </w:rPr>
            </w:pPr>
            <w:r>
              <w:rPr>
                <w:rFonts w:ascii="宋体" w:hAnsi="宋体" w:cs="宋体" w:eastAsia="宋体" w:hint="default"/>
                <w:spacing w:val="-2"/>
                <w:sz w:val="21"/>
                <w:szCs w:val="21"/>
              </w:rPr>
              <w:t>转入当期损益</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57" w:right="-5"/>
              <w:jc w:val="left"/>
              <w:rPr>
                <w:rFonts w:ascii="宋体" w:hAnsi="宋体" w:cs="宋体" w:eastAsia="宋体" w:hint="default"/>
                <w:sz w:val="24"/>
                <w:szCs w:val="24"/>
              </w:rPr>
            </w:pPr>
            <w:r>
              <w:rPr>
                <w:rFonts w:ascii="宋体"/>
                <w:sz w:val="24"/>
              </w:rPr>
              <w:t>   </w:t>
            </w:r>
          </w:p>
        </w:tc>
        <w:tc>
          <w:tcPr>
            <w:tcW w:w="1848" w:type="dxa"/>
            <w:vMerge/>
            <w:tcBorders>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城市通平台建设项目</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3,310,680.72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14,207,417.18</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17,518,097.90</w:t>
            </w: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华夏匠人</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733,325.57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79,606.34</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812,931.91</w:t>
            </w:r>
          </w:p>
        </w:tc>
        <w:tc>
          <w:tcPr>
            <w:tcW w:w="158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智慧城市综合管理平台研发项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19,091,484.14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5,156,364.35</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22,954,291.99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67" w:right="0"/>
              <w:jc w:val="left"/>
              <w:rPr>
                <w:rFonts w:ascii="Times New Roman" w:hAnsi="Times New Roman" w:cs="Times New Roman" w:eastAsia="Times New Roman" w:hint="default"/>
                <w:sz w:val="21"/>
                <w:szCs w:val="21"/>
              </w:rPr>
            </w:pPr>
            <w:r>
              <w:rPr>
                <w:rFonts w:ascii="Times New Roman"/>
                <w:sz w:val="21"/>
              </w:rPr>
              <w:t>1,293,556.50</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大数据处理与开发平台</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10,431,503.15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976,425.98</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11,407,929.13</w:t>
            </w:r>
          </w:p>
        </w:tc>
        <w:tc>
          <w:tcPr>
            <w:tcW w:w="158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电子证照共享服务平台</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25,782,795.32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7,504,687.34</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33,287,482.66</w:t>
            </w:r>
          </w:p>
        </w:tc>
        <w:tc>
          <w:tcPr>
            <w:tcW w:w="158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智能型“放管服”一体化平台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建设项目</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417,297.69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22,850,613.52</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23,267,911.21</w:t>
            </w: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公共安全管理平台建设项目</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208,359.65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9,140,530.96</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9,348,890.61</w:t>
            </w:r>
          </w:p>
        </w:tc>
      </w:tr>
      <w:tr>
        <w:trPr>
          <w:trHeight w:val="28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公安大数据传输平台</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1,714,428.06</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7" w:right="0"/>
              <w:jc w:val="left"/>
              <w:rPr>
                <w:rFonts w:ascii="Times New Roman" w:hAnsi="Times New Roman" w:cs="Times New Roman" w:eastAsia="Times New Roman" w:hint="default"/>
                <w:sz w:val="21"/>
                <w:szCs w:val="21"/>
              </w:rPr>
            </w:pPr>
            <w:r>
              <w:rPr>
                <w:rFonts w:ascii="Times New Roman"/>
                <w:sz w:val="21"/>
              </w:rPr>
              <w:t>1,714,428.06</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南威大数据涉车平台</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1,811,152.09</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7" w:right="0"/>
              <w:jc w:val="left"/>
              <w:rPr>
                <w:rFonts w:ascii="Times New Roman" w:hAnsi="Times New Roman" w:cs="Times New Roman" w:eastAsia="Times New Roman" w:hint="default"/>
                <w:sz w:val="21"/>
                <w:szCs w:val="21"/>
              </w:rPr>
            </w:pPr>
            <w:r>
              <w:rPr>
                <w:rFonts w:ascii="Times New Roman"/>
                <w:sz w:val="21"/>
              </w:rPr>
              <w:t>1,811,152.09</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智慧海洋</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1,561,717.79</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7" w:right="0"/>
              <w:jc w:val="left"/>
              <w:rPr>
                <w:rFonts w:ascii="Times New Roman" w:hAnsi="Times New Roman" w:cs="Times New Roman" w:eastAsia="Times New Roman" w:hint="default"/>
                <w:sz w:val="21"/>
                <w:szCs w:val="21"/>
              </w:rPr>
            </w:pPr>
            <w:r>
              <w:rPr>
                <w:rFonts w:ascii="Times New Roman"/>
                <w:sz w:val="21"/>
              </w:rPr>
              <w:t>1,561,717.79</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智慧司法</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1,395,925.37</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7" w:right="0"/>
              <w:jc w:val="left"/>
              <w:rPr>
                <w:rFonts w:ascii="Times New Roman" w:hAnsi="Times New Roman" w:cs="Times New Roman" w:eastAsia="Times New Roman" w:hint="default"/>
                <w:sz w:val="21"/>
                <w:szCs w:val="21"/>
              </w:rPr>
            </w:pPr>
            <w:r>
              <w:rPr>
                <w:rFonts w:ascii="Times New Roman"/>
                <w:sz w:val="21"/>
              </w:rPr>
              <w:t>1,395,925.37</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安全可信协同办公系统</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2,617,625.18</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7" w:right="0"/>
              <w:jc w:val="left"/>
              <w:rPr>
                <w:rFonts w:ascii="Times New Roman" w:hAnsi="Times New Roman" w:cs="Times New Roman" w:eastAsia="Times New Roman" w:hint="default"/>
                <w:sz w:val="21"/>
                <w:szCs w:val="21"/>
              </w:rPr>
            </w:pPr>
            <w:r>
              <w:rPr>
                <w:rFonts w:ascii="Times New Roman"/>
                <w:sz w:val="21"/>
              </w:rPr>
              <w:t>2,617,625.18</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AI</w:t>
            </w:r>
            <w:r>
              <w:rPr>
                <w:rFonts w:ascii="宋体" w:hAnsi="宋体" w:cs="宋体" w:eastAsia="宋体" w:hint="default"/>
                <w:spacing w:val="-55"/>
                <w:sz w:val="21"/>
                <w:szCs w:val="21"/>
              </w:rPr>
              <w:t> </w:t>
            </w:r>
            <w:r>
              <w:rPr>
                <w:rFonts w:ascii="宋体" w:hAnsi="宋体" w:cs="宋体" w:eastAsia="宋体" w:hint="default"/>
                <w:sz w:val="21"/>
                <w:szCs w:val="21"/>
              </w:rPr>
              <w:t>政务智能审批平台暨政务服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务中台</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4,735,950.82</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4,606,380.10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129,570.72</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w:t>
            </w:r>
            <w:r>
              <w:rPr>
                <w:rFonts w:ascii="宋体" w:hAnsi="宋体" w:cs="宋体" w:eastAsia="宋体" w:hint="default"/>
                <w:sz w:val="21"/>
                <w:szCs w:val="21"/>
              </w:rPr>
              <w:t>+</w:t>
            </w:r>
            <w:r>
              <w:rPr>
                <w:rFonts w:ascii="宋体" w:hAnsi="宋体" w:cs="宋体" w:eastAsia="宋体" w:hint="default"/>
                <w:sz w:val="21"/>
                <w:szCs w:val="21"/>
              </w:rPr>
              <w:t>监管”系统</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11,709,461.27</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11,450,543.07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258,918.20</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蜻蜓云智慧停车管理平台</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388,116.17</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388,116.17</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小电卫士电动车智能防盗平台</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398,099.97</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398,099.97</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红点智慧社区云平台</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617,679.64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366,015.72</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834,561.38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149,133.98</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公安资产管理平台</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2,039,311.93</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2,006,519.93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32,792.00</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跨网数据交换平台</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1,525,327.59</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1,513,288.59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12,039.00</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智能辅助办案系统</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1,218,338.54</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94,990.63</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1,123,347.91</w:t>
            </w:r>
          </w:p>
        </w:tc>
      </w:tr>
      <w:tr>
        <w:trPr>
          <w:trHeight w:val="28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网链智慧社区协同管理平台</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1,969,623.96</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1,879,064.98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90,558.98</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8"/>
          <w:footerReference w:type="default" r:id="rId59"/>
          <w:pgSz w:w="16840" w:h="11910" w:orient="landscape"/>
          <w:pgMar w:header="857" w:footer="980" w:top="1120" w:bottom="1160" w:left="1300" w:right="1220"/>
          <w:pgNumType w:start="167"/>
        </w:sectPr>
      </w:pPr>
    </w:p>
    <w:p>
      <w:pPr>
        <w:spacing w:line="240" w:lineRule="auto" w:before="5"/>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022"/>
        <w:gridCol w:w="1875"/>
        <w:gridCol w:w="1726"/>
        <w:gridCol w:w="723"/>
        <w:gridCol w:w="574"/>
        <w:gridCol w:w="2018"/>
        <w:gridCol w:w="1582"/>
        <w:gridCol w:w="722"/>
        <w:gridCol w:w="1848"/>
      </w:tblGrid>
      <w:tr>
        <w:trPr>
          <w:trHeight w:val="28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网链城市电摩综合治理系统</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1,628,998.05</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1,535,485.89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93,512.16</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蜻蜓停车数据应用交易平台</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1,680,168.00</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1,583,809.22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96,358.78</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太极云软智慧政务</w:t>
            </w:r>
            <w:r>
              <w:rPr>
                <w:rFonts w:ascii="宋体" w:hAnsi="宋体" w:cs="宋体" w:eastAsia="宋体" w:hint="default"/>
                <w:sz w:val="21"/>
                <w:szCs w:val="21"/>
              </w:rPr>
              <w:t>"</w:t>
            </w:r>
            <w:r>
              <w:rPr>
                <w:rFonts w:ascii="宋体" w:hAnsi="宋体" w:cs="宋体" w:eastAsia="宋体" w:hint="default"/>
                <w:sz w:val="21"/>
                <w:szCs w:val="21"/>
              </w:rPr>
              <w:t>秒批秒办</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支撑系统</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296,787.09</w:t>
            </w:r>
          </w:p>
        </w:tc>
        <w:tc>
          <w:tcPr>
            <w:tcW w:w="1726"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296,787.09</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工程建设项目审批管理系统</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1,730,888.98</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1,730,888.98</w:t>
            </w:r>
          </w:p>
        </w:tc>
        <w:tc>
          <w:tcPr>
            <w:tcW w:w="158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智能服务自助终端及管控云平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台</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2,228,144.29</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2,228,144.29</w:t>
            </w:r>
          </w:p>
        </w:tc>
        <w:tc>
          <w:tcPr>
            <w:tcW w:w="158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窗口多功能输入仪及窗口互动</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平台</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V1.3</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2,300,412.60</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2,300,412.60</w:t>
            </w:r>
          </w:p>
        </w:tc>
      </w:tr>
      <w:tr>
        <w:trPr>
          <w:trHeight w:val="284"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1,594,717.05</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1,594,717.05</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60,889,912.97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104,530,069.10</w:t>
            </w:r>
          </w:p>
        </w:tc>
        <w:tc>
          <w:tcPr>
            <w:tcW w:w="72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97,831,322.12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14,029,999.72</w:t>
            </w:r>
          </w:p>
        </w:tc>
        <w:tc>
          <w:tcPr>
            <w:tcW w:w="72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53,558,660.23</w:t>
            </w:r>
          </w:p>
        </w:tc>
      </w:tr>
    </w:tbl>
    <w:p>
      <w:pPr>
        <w:pStyle w:val="BodyText"/>
        <w:spacing w:line="237" w:lineRule="exact"/>
        <w:ind w:left="224" w:right="0"/>
        <w:jc w:val="left"/>
        <w:rPr>
          <w:rFonts w:ascii="宋体" w:hAnsi="宋体" w:cs="宋体" w:eastAsia="宋体" w:hint="default"/>
        </w:rPr>
      </w:pPr>
      <w:r>
        <w:rPr>
          <w:rFonts w:ascii="宋体"/>
          <w:w w:val="100"/>
        </w:rPr>
        <w:t> </w:t>
      </w:r>
    </w:p>
    <w:p>
      <w:pPr>
        <w:pStyle w:val="Heading3"/>
        <w:spacing w:line="312" w:lineRule="exact" w:before="27"/>
        <w:ind w:left="224" w:right="13064"/>
        <w:jc w:val="left"/>
      </w:pPr>
      <w:r>
        <w:rPr>
          <w:rFonts w:ascii="宋体" w:hAnsi="宋体" w:cs="宋体" w:eastAsia="宋体" w:hint="default"/>
        </w:rPr>
        <w:t>其他说明</w:t>
      </w:r>
      <w:r>
        <w:rPr/>
        <w:t> </w:t>
      </w:r>
      <w:r>
        <w:rPr>
          <w:rFonts w:ascii="宋体" w:hAnsi="宋体" w:cs="宋体" w:eastAsia="宋体" w:hint="default"/>
        </w:rPr>
        <w:t>无</w:t>
      </w:r>
      <w:r>
        <w:rPr/>
        <w:t> </w:t>
      </w:r>
    </w:p>
    <w:p>
      <w:pPr>
        <w:spacing w:after="0" w:line="312" w:lineRule="exact"/>
        <w:jc w:val="left"/>
        <w:sectPr>
          <w:pgSz w:w="16840" w:h="11910" w:orient="landscape"/>
          <w:pgMar w:header="857" w:footer="980" w:top="1120" w:bottom="1160" w:left="1300" w:right="12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before="36"/>
        <w:ind w:left="358" w:right="0"/>
        <w:jc w:val="left"/>
        <w:rPr>
          <w:rFonts w:ascii="宋体" w:hAnsi="宋体" w:cs="宋体" w:eastAsia="宋体" w:hint="default"/>
          <w:b w:val="0"/>
          <w:bCs w:val="0"/>
        </w:rPr>
      </w:pPr>
      <w:r>
        <w:rPr>
          <w:rFonts w:ascii="Times New Roman" w:hAnsi="Times New Roman" w:cs="Times New Roman" w:eastAsia="Times New Roman" w:hint="default"/>
        </w:rPr>
        <w:t>27</w:t>
      </w:r>
      <w:r>
        <w:rPr/>
        <w:t>、商誉</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headerReference w:type="default" r:id="rId60"/>
          <w:footerReference w:type="default" r:id="rId61"/>
          <w:pgSz w:w="11910" w:h="16840"/>
          <w:pgMar w:header="857" w:footer="979" w:top="1120" w:bottom="1160" w:left="1060" w:right="1560"/>
          <w:pgNumType w:start="169"/>
        </w:sectPr>
      </w:pPr>
    </w:p>
    <w:p>
      <w:pPr>
        <w:pStyle w:val="Heading4"/>
        <w:spacing w:line="240" w:lineRule="auto" w:before="40"/>
        <w:ind w:left="216"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2"/>
        </w:rPr>
        <w:t> </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25"/>
          <w:szCs w:val="25"/>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60" w:right="1560"/>
          <w:cols w:num="2" w:equalWidth="0">
            <w:col w:w="2015" w:space="450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37"/>
        <w:gridCol w:w="1693"/>
        <w:gridCol w:w="1164"/>
        <w:gridCol w:w="874"/>
        <w:gridCol w:w="1034"/>
        <w:gridCol w:w="708"/>
        <w:gridCol w:w="1640"/>
      </w:tblGrid>
      <w:tr>
        <w:trPr>
          <w:trHeight w:val="293" w:hRule="exact"/>
        </w:trPr>
        <w:tc>
          <w:tcPr>
            <w:tcW w:w="1937" w:type="dxa"/>
            <w:vMerge w:val="restart"/>
            <w:tcBorders>
              <w:top w:val="single" w:sz="4" w:space="0" w:color="000000"/>
              <w:left w:val="single" w:sz="4" w:space="0" w:color="000000"/>
              <w:right w:val="single" w:sz="4" w:space="0" w:color="000000"/>
            </w:tcBorders>
          </w:tcPr>
          <w:p>
            <w:pPr>
              <w:pStyle w:val="TableParagraph"/>
              <w:spacing w:line="272" w:lineRule="exact" w:before="140"/>
              <w:ind w:left="228" w:right="120" w:hanging="106"/>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r>
              <w:rPr>
                <w:rFonts w:ascii="宋体" w:hAnsi="宋体" w:cs="宋体" w:eastAsia="宋体" w:hint="default"/>
                <w:sz w:val="21"/>
                <w:szCs w:val="21"/>
              </w:rPr>
              <w:t> </w:t>
            </w:r>
          </w:p>
        </w:tc>
        <w:tc>
          <w:tcPr>
            <w:tcW w:w="169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92"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937" w:type="dxa"/>
            <w:vMerge/>
            <w:tcBorders>
              <w:left w:val="single" w:sz="4" w:space="0" w:color="000000"/>
              <w:bottom w:val="single" w:sz="4" w:space="0" w:color="000000"/>
              <w:right w:val="single" w:sz="4" w:space="0" w:color="000000"/>
            </w:tcBorders>
          </w:tcPr>
          <w:p>
            <w:pPr/>
          </w:p>
        </w:tc>
        <w:tc>
          <w:tcPr>
            <w:tcW w:w="1693" w:type="dxa"/>
            <w:vMerge/>
            <w:tcBorders>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形成的</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1"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0"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40" w:type="dxa"/>
            <w:vMerge/>
            <w:tcBorders>
              <w:left w:val="single" w:sz="4" w:space="0" w:color="000000"/>
              <w:bottom w:val="single" w:sz="4" w:space="0" w:color="000000"/>
              <w:right w:val="single" w:sz="4" w:space="0" w:color="000000"/>
            </w:tcBorders>
          </w:tcPr>
          <w:p>
            <w:pPr/>
          </w:p>
        </w:tc>
      </w:tr>
      <w:tr>
        <w:trPr>
          <w:trHeight w:val="55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深圳太极云软技术</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178,550,549.69</w:t>
            </w:r>
          </w:p>
        </w:tc>
        <w:tc>
          <w:tcPr>
            <w:tcW w:w="116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178,550,549.69</w:t>
            </w:r>
          </w:p>
        </w:tc>
      </w:tr>
      <w:tr>
        <w:trPr>
          <w:trHeight w:val="307"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spacing w:val="-1"/>
                <w:sz w:val="21"/>
              </w:rPr>
              <w:t>178,550,549.69</w:t>
            </w:r>
          </w:p>
        </w:tc>
        <w:tc>
          <w:tcPr>
            <w:tcW w:w="116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spacing w:val="-1"/>
                <w:sz w:val="21"/>
              </w:rPr>
              <w:t>178,550,549.69</w:t>
            </w:r>
          </w:p>
        </w:tc>
      </w:tr>
    </w:tbl>
    <w:p>
      <w:pPr>
        <w:pStyle w:val="Heading3"/>
        <w:spacing w:line="274" w:lineRule="exact"/>
        <w:ind w:left="216" w:right="0"/>
        <w:jc w:val="left"/>
      </w:pPr>
      <w:r>
        <w:rPr/>
        <w:t> </w:t>
      </w:r>
    </w:p>
    <w:p>
      <w:pPr>
        <w:pStyle w:val="Heading4"/>
        <w:spacing w:line="240" w:lineRule="auto"/>
        <w:ind w:left="216"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2"/>
        </w:rPr>
        <w:t> </w:t>
      </w:r>
      <w:r>
        <w:rPr/>
        <w:t>商誉减值准备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216" w:right="0"/>
        <w:jc w:val="left"/>
        <w:rPr>
          <w:rFonts w:ascii="宋体" w:hAnsi="宋体" w:cs="宋体" w:eastAsia="宋体" w:hint="default"/>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19"/>
        </w:rPr>
        <w:t> </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0"/>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44"/>
        <w:gridCol w:w="1561"/>
        <w:gridCol w:w="1560"/>
        <w:gridCol w:w="1558"/>
        <w:gridCol w:w="2269"/>
      </w:tblGrid>
      <w:tr>
        <w:trPr>
          <w:trHeight w:val="109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91" w:right="177" w:hanging="212"/>
              <w:jc w:val="left"/>
              <w:rPr>
                <w:rFonts w:ascii="宋体" w:hAnsi="宋体" w:cs="宋体" w:eastAsia="宋体" w:hint="default"/>
                <w:sz w:val="21"/>
                <w:szCs w:val="21"/>
              </w:rPr>
            </w:pPr>
            <w:r>
              <w:rPr>
                <w:rFonts w:ascii="宋体" w:hAnsi="宋体" w:cs="宋体" w:eastAsia="宋体" w:hint="default"/>
                <w:sz w:val="21"/>
                <w:szCs w:val="21"/>
              </w:rPr>
              <w:t>资产组或资产组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组合的构成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3" w:right="142"/>
              <w:jc w:val="center"/>
              <w:rPr>
                <w:rFonts w:ascii="宋体" w:hAnsi="宋体" w:cs="宋体" w:eastAsia="宋体" w:hint="default"/>
                <w:sz w:val="21"/>
                <w:szCs w:val="21"/>
              </w:rPr>
            </w:pPr>
            <w:r>
              <w:rPr>
                <w:rFonts w:ascii="宋体" w:hAnsi="宋体" w:cs="宋体" w:eastAsia="宋体" w:hint="default"/>
                <w:spacing w:val="-1"/>
                <w:sz w:val="21"/>
                <w:szCs w:val="21"/>
              </w:rPr>
              <w:t>资产组或资产</w:t>
            </w:r>
            <w:r>
              <w:rPr>
                <w:rFonts w:ascii="宋体" w:hAnsi="宋体" w:cs="宋体" w:eastAsia="宋体" w:hint="default"/>
                <w:w w:val="100"/>
                <w:sz w:val="21"/>
                <w:szCs w:val="21"/>
              </w:rPr>
              <w:t> </w:t>
            </w:r>
            <w:r>
              <w:rPr>
                <w:rFonts w:ascii="宋体" w:hAnsi="宋体" w:cs="宋体" w:eastAsia="宋体" w:hint="default"/>
                <w:spacing w:val="-1"/>
                <w:sz w:val="21"/>
                <w:szCs w:val="21"/>
              </w:rPr>
              <w:t>组组合的账面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1" w:right="144"/>
              <w:jc w:val="center"/>
              <w:rPr>
                <w:rFonts w:ascii="宋体" w:hAnsi="宋体" w:cs="宋体" w:eastAsia="宋体" w:hint="default"/>
                <w:sz w:val="21"/>
                <w:szCs w:val="21"/>
              </w:rPr>
            </w:pPr>
            <w:r>
              <w:rPr>
                <w:rFonts w:ascii="宋体" w:hAnsi="宋体" w:cs="宋体" w:eastAsia="宋体" w:hint="default"/>
                <w:spacing w:val="-1"/>
                <w:sz w:val="21"/>
                <w:szCs w:val="21"/>
              </w:rPr>
              <w:t>分摊至本资产</w:t>
            </w:r>
            <w:r>
              <w:rPr>
                <w:rFonts w:ascii="宋体" w:hAnsi="宋体" w:cs="宋体" w:eastAsia="宋体" w:hint="default"/>
                <w:w w:val="100"/>
                <w:sz w:val="21"/>
                <w:szCs w:val="21"/>
              </w:rPr>
              <w:t> </w:t>
            </w:r>
            <w:r>
              <w:rPr>
                <w:rFonts w:ascii="宋体" w:hAnsi="宋体" w:cs="宋体" w:eastAsia="宋体" w:hint="default"/>
                <w:spacing w:val="-1"/>
                <w:sz w:val="21"/>
                <w:szCs w:val="21"/>
              </w:rPr>
              <w:t>组的商誉账面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hanging="53"/>
              <w:jc w:val="left"/>
              <w:rPr>
                <w:rFonts w:ascii="宋体" w:hAnsi="宋体" w:cs="宋体" w:eastAsia="宋体" w:hint="default"/>
                <w:sz w:val="21"/>
                <w:szCs w:val="21"/>
              </w:rPr>
            </w:pPr>
            <w:r>
              <w:rPr>
                <w:rFonts w:ascii="宋体" w:hAnsi="宋体" w:cs="宋体" w:eastAsia="宋体" w:hint="default"/>
                <w:sz w:val="21"/>
                <w:szCs w:val="21"/>
              </w:rPr>
              <w:t>包含商誉的资</w:t>
            </w:r>
          </w:p>
          <w:p>
            <w:pPr>
              <w:pStyle w:val="TableParagraph"/>
              <w:spacing w:line="272" w:lineRule="exact" w:before="27"/>
              <w:ind w:left="561" w:right="194" w:hanging="368"/>
              <w:jc w:val="left"/>
              <w:rPr>
                <w:rFonts w:ascii="宋体" w:hAnsi="宋体" w:cs="宋体" w:eastAsia="宋体" w:hint="default"/>
                <w:sz w:val="21"/>
                <w:szCs w:val="21"/>
              </w:rPr>
            </w:pPr>
            <w:r>
              <w:rPr>
                <w:rFonts w:ascii="宋体" w:hAnsi="宋体" w:cs="宋体" w:eastAsia="宋体" w:hint="default"/>
                <w:sz w:val="21"/>
                <w:szCs w:val="21"/>
              </w:rPr>
              <w:t>产 </w:t>
            </w:r>
            <w:r>
              <w:rPr>
                <w:rFonts w:ascii="宋体" w:hAnsi="宋体" w:cs="宋体" w:eastAsia="宋体" w:hint="default"/>
                <w:sz w:val="21"/>
                <w:szCs w:val="21"/>
              </w:rPr>
            </w:r>
            <w:r>
              <w:rPr>
                <w:rFonts w:ascii="宋体" w:hAnsi="宋体" w:cs="宋体" w:eastAsia="宋体" w:hint="default"/>
                <w:sz w:val="21"/>
                <w:szCs w:val="21"/>
              </w:rPr>
              <w:t>组的账面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center"/>
              <w:rPr>
                <w:rFonts w:ascii="宋体" w:hAnsi="宋体" w:cs="宋体" w:eastAsia="宋体" w:hint="default"/>
                <w:sz w:val="21"/>
                <w:szCs w:val="21"/>
              </w:rPr>
            </w:pPr>
            <w:r>
              <w:rPr>
                <w:rFonts w:ascii="宋体" w:hAnsi="宋体" w:cs="宋体" w:eastAsia="宋体" w:hint="default"/>
                <w:sz w:val="21"/>
                <w:szCs w:val="21"/>
              </w:rPr>
              <w:t>资产组是否与购买日、</w:t>
            </w:r>
          </w:p>
          <w:p>
            <w:pPr>
              <w:pStyle w:val="TableParagraph"/>
              <w:spacing w:line="237" w:lineRule="auto" w:before="2"/>
              <w:ind w:left="132" w:right="128" w:hanging="3"/>
              <w:jc w:val="center"/>
              <w:rPr>
                <w:rFonts w:ascii="宋体" w:hAnsi="宋体" w:cs="宋体" w:eastAsia="宋体" w:hint="default"/>
                <w:sz w:val="21"/>
                <w:szCs w:val="21"/>
              </w:rPr>
            </w:pPr>
            <w:r>
              <w:rPr>
                <w:rFonts w:ascii="宋体" w:hAnsi="宋体" w:cs="宋体" w:eastAsia="宋体" w:hint="default"/>
                <w:sz w:val="21"/>
                <w:szCs w:val="21"/>
              </w:rPr>
              <w:t>以前年度商誉减值测</w:t>
            </w:r>
            <w:r>
              <w:rPr>
                <w:rFonts w:ascii="宋体" w:hAnsi="宋体" w:cs="宋体" w:eastAsia="宋体" w:hint="default"/>
                <w:w w:val="100"/>
                <w:sz w:val="21"/>
                <w:szCs w:val="21"/>
              </w:rPr>
              <w:t> </w:t>
            </w:r>
            <w:r>
              <w:rPr>
                <w:rFonts w:ascii="宋体" w:hAnsi="宋体" w:cs="宋体" w:eastAsia="宋体" w:hint="default"/>
                <w:sz w:val="21"/>
                <w:szCs w:val="21"/>
              </w:rPr>
              <w:t>试时所确定</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的资产组</w:t>
            </w:r>
            <w:r>
              <w:rPr>
                <w:rFonts w:ascii="宋体" w:hAnsi="宋体" w:cs="宋体" w:eastAsia="宋体" w:hint="default"/>
                <w:w w:val="100"/>
                <w:sz w:val="21"/>
                <w:szCs w:val="21"/>
              </w:rPr>
              <w:t> </w:t>
            </w:r>
            <w:r>
              <w:rPr>
                <w:rFonts w:ascii="宋体" w:hAnsi="宋体" w:cs="宋体" w:eastAsia="宋体" w:hint="default"/>
                <w:sz w:val="21"/>
                <w:szCs w:val="21"/>
              </w:rPr>
              <w:t>一致</w:t>
            </w:r>
            <w:r>
              <w:rPr>
                <w:rFonts w:ascii="宋体" w:hAnsi="宋体" w:cs="宋体" w:eastAsia="宋体" w:hint="default"/>
                <w:sz w:val="21"/>
                <w:szCs w:val="21"/>
              </w:rPr>
              <w:t> </w:t>
            </w:r>
          </w:p>
        </w:tc>
      </w:tr>
      <w:tr>
        <w:trPr>
          <w:trHeight w:val="5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与商誉相关的长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期资产及存货</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0" w:right="0"/>
              <w:jc w:val="left"/>
              <w:rPr>
                <w:rFonts w:ascii="Times New Roman" w:hAnsi="Times New Roman" w:cs="Times New Roman" w:eastAsia="Times New Roman" w:hint="default"/>
                <w:sz w:val="21"/>
                <w:szCs w:val="21"/>
              </w:rPr>
            </w:pPr>
            <w:r>
              <w:rPr>
                <w:rFonts w:ascii="Times New Roman"/>
                <w:sz w:val="21"/>
              </w:rPr>
              <w:t>61,945,334.43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2" w:right="0"/>
              <w:jc w:val="left"/>
              <w:rPr>
                <w:rFonts w:ascii="Times New Roman" w:hAnsi="Times New Roman" w:cs="Times New Roman" w:eastAsia="Times New Roman" w:hint="default"/>
                <w:sz w:val="21"/>
                <w:szCs w:val="21"/>
              </w:rPr>
            </w:pPr>
            <w:r>
              <w:rPr>
                <w:rFonts w:ascii="Times New Roman"/>
                <w:sz w:val="21"/>
              </w:rPr>
              <w:t>292,705,819.17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1" w:right="0"/>
              <w:jc w:val="left"/>
              <w:rPr>
                <w:rFonts w:ascii="Times New Roman" w:hAnsi="Times New Roman" w:cs="Times New Roman" w:eastAsia="Times New Roman" w:hint="default"/>
                <w:sz w:val="21"/>
                <w:szCs w:val="21"/>
              </w:rPr>
            </w:pPr>
            <w:r>
              <w:rPr>
                <w:rFonts w:ascii="Times New Roman"/>
                <w:sz w:val="21"/>
              </w:rPr>
              <w:t>354,651,153.60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74" w:lineRule="exact" w:before="82"/>
        <w:ind w:left="642" w:right="216" w:hanging="426"/>
        <w:jc w:val="left"/>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说明商誉减值测试过程、关键参数（例如预计未来现金流量现值时的预测期增长率、稳定期</w:t>
      </w:r>
      <w:r>
        <w:rPr>
          <w:w w:val="100"/>
        </w:rPr>
        <w:t> </w:t>
      </w: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307" w:lineRule="auto" w:before="31"/>
        <w:ind w:left="697" w:right="0" w:hanging="48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公司在进行减值测试时，将商誉的账面价值分摊至相关的资产组。测试结果表明包含分摊的</w:t>
      </w:r>
    </w:p>
    <w:p>
      <w:pPr>
        <w:pStyle w:val="BodyText"/>
        <w:spacing w:line="309" w:lineRule="auto" w:before="26"/>
        <w:ind w:left="216" w:right="231"/>
        <w:jc w:val="both"/>
        <w:rPr>
          <w:rFonts w:ascii="宋体" w:hAnsi="宋体" w:cs="宋体" w:eastAsia="宋体" w:hint="default"/>
        </w:rPr>
      </w:pPr>
      <w:r>
        <w:rPr>
          <w:spacing w:val="-2"/>
        </w:rPr>
        <w:t>商誉的资产组的可收回金额低于其账面价值的，确认相应的减值损失。其资产组包括存货、固定</w:t>
      </w:r>
      <w:r>
        <w:rPr>
          <w:spacing w:val="-25"/>
        </w:rPr>
        <w:t> </w:t>
      </w:r>
      <w:r>
        <w:rPr>
          <w:spacing w:val="-25"/>
        </w:rPr>
      </w:r>
      <w:r>
        <w:rPr>
          <w:spacing w:val="-2"/>
        </w:rPr>
        <w:t>资产、无形资产等。包含分摊的商誉的资产组可收回金额按照预计未来现金流量的现值计算，其</w:t>
      </w:r>
      <w:r>
        <w:rPr>
          <w:spacing w:val="-25"/>
        </w:rPr>
        <w:t> </w:t>
      </w:r>
      <w:r>
        <w:rPr>
          <w:spacing w:val="-25"/>
        </w:rPr>
      </w:r>
      <w:r>
        <w:rPr/>
        <w:t>预计现金流量根据公</w:t>
      </w:r>
      <w:r>
        <w:rPr>
          <w:spacing w:val="14"/>
        </w:rPr>
        <w:t> </w:t>
      </w:r>
      <w:r>
        <w:rPr>
          <w:rFonts w:ascii="宋体" w:hAnsi="宋体" w:cs="宋体" w:eastAsia="宋体" w:hint="default"/>
          <w:spacing w:val="14"/>
        </w:rPr>
      </w:r>
      <w:r>
        <w:rPr/>
        <w:t>司提供的未来</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5"/>
        </w:rPr>
        <w:t>年的经营预算为基础，预测期以后的现金流量保持稳定，现</w:t>
      </w:r>
      <w:r>
        <w:rPr>
          <w:spacing w:val="-103"/>
        </w:rPr>
        <w:t> </w:t>
      </w:r>
      <w:r>
        <w:rPr>
          <w:spacing w:val="-103"/>
        </w:rPr>
      </w:r>
      <w:r>
        <w:rPr/>
        <w:t>金流量预测使用的税前折现率为企业的加权平均资本成本。</w:t>
      </w:r>
      <w:r>
        <w:rPr>
          <w:rFonts w:ascii="宋体" w:hAnsi="宋体" w:cs="宋体" w:eastAsia="宋体" w:hint="default"/>
        </w:rPr>
        <w:t> </w:t>
      </w:r>
    </w:p>
    <w:p>
      <w:pPr>
        <w:pStyle w:val="BodyText"/>
        <w:spacing w:line="240" w:lineRule="auto" w:before="24"/>
        <w:ind w:left="216" w:right="0"/>
        <w:jc w:val="left"/>
        <w:rPr>
          <w:rFonts w:ascii="宋体" w:hAnsi="宋体" w:cs="宋体" w:eastAsia="宋体" w:hint="default"/>
        </w:rPr>
      </w:pPr>
      <w:r>
        <w:rPr>
          <w:rFonts w:ascii="宋体" w:hAnsi="宋体" w:cs="宋体" w:eastAsia="宋体" w:hint="default"/>
          <w:w w:val="100"/>
        </w:rPr>
        <w:t>   </w:t>
      </w:r>
      <w:r>
        <w:rPr/>
        <w:t>本公司采用未来现金流量折现方法的主要假设：</w:t>
      </w:r>
      <w:r>
        <w:rPr>
          <w:rFonts w:ascii="宋体" w:hAnsi="宋体" w:cs="宋体" w:eastAsia="宋体" w:hint="default"/>
        </w:rPr>
        <w:t> </w:t>
      </w:r>
    </w:p>
    <w:p>
      <w:pPr>
        <w:pStyle w:val="Heading3"/>
        <w:spacing w:line="240" w:lineRule="auto" w:before="2"/>
        <w:ind w:left="216" w:right="0"/>
        <w:jc w:val="left"/>
      </w:pPr>
      <w:r>
        <w:rPr/>
        <w:t>    </w:t>
      </w:r>
    </w:p>
    <w:p>
      <w:pPr>
        <w:spacing w:line="240" w:lineRule="auto" w:before="13"/>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60"/>
        <w:gridCol w:w="980"/>
        <w:gridCol w:w="977"/>
        <w:gridCol w:w="980"/>
        <w:gridCol w:w="977"/>
        <w:gridCol w:w="979"/>
        <w:gridCol w:w="1093"/>
      </w:tblGrid>
      <w:tr>
        <w:trPr>
          <w:trHeight w:val="348" w:hRule="exact"/>
        </w:trPr>
        <w:tc>
          <w:tcPr>
            <w:tcW w:w="2660" w:type="dxa"/>
            <w:vMerge w:val="restart"/>
            <w:tcBorders>
              <w:top w:val="single" w:sz="4" w:space="0" w:color="000000"/>
              <w:left w:val="single" w:sz="4" w:space="0" w:color="000000"/>
              <w:right w:val="single" w:sz="4" w:space="0" w:color="000000"/>
            </w:tcBorders>
          </w:tcPr>
          <w:p>
            <w:pPr>
              <w:pStyle w:val="TableParagraph"/>
              <w:spacing w:line="240" w:lineRule="auto" w:before="124"/>
              <w:ind w:left="103" w:right="862"/>
              <w:jc w:val="left"/>
              <w:rPr>
                <w:rFonts w:ascii="宋体" w:hAnsi="宋体" w:cs="宋体" w:eastAsia="宋体" w:hint="default"/>
                <w:sz w:val="21"/>
                <w:szCs w:val="21"/>
              </w:rPr>
            </w:pPr>
            <w:r>
              <w:rPr>
                <w:rFonts w:ascii="宋体" w:hAnsi="宋体" w:cs="宋体" w:eastAsia="宋体" w:hint="default"/>
                <w:sz w:val="21"/>
                <w:szCs w:val="21"/>
              </w:rPr>
              <w:t>被投资单位名称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或形成商誉的事项</w:t>
            </w:r>
          </w:p>
        </w:tc>
        <w:tc>
          <w:tcPr>
            <w:tcW w:w="29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0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526" w:hRule="exact"/>
        </w:trPr>
        <w:tc>
          <w:tcPr>
            <w:tcW w:w="2660" w:type="dxa"/>
            <w:vMerge/>
            <w:tcBorders>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增长率</w:t>
            </w:r>
          </w:p>
          <w:p>
            <w:pPr>
              <w:pStyle w:val="TableParagraph"/>
              <w:spacing w:line="240" w:lineRule="auto" w:before="24"/>
              <w:ind w:left="552" w:right="0"/>
              <w:jc w:val="left"/>
              <w:rPr>
                <w:rFonts w:ascii="Times New Roman" w:hAnsi="Times New Roman" w:cs="Times New Roman" w:eastAsia="Times New Roman" w:hint="default"/>
                <w:sz w:val="21"/>
                <w:szCs w:val="21"/>
              </w:rPr>
            </w:pPr>
            <w:r>
              <w:rPr>
                <w:rFonts w:ascii="Times New Roman"/>
                <w:sz w:val="21"/>
              </w:rPr>
              <w:t>(%)</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24"/>
              <w:ind w:left="549" w:right="0"/>
              <w:jc w:val="left"/>
              <w:rPr>
                <w:rFonts w:ascii="Times New Roman" w:hAnsi="Times New Roman" w:cs="Times New Roman" w:eastAsia="Times New Roman" w:hint="default"/>
                <w:sz w:val="21"/>
                <w:szCs w:val="21"/>
              </w:rPr>
            </w:pPr>
            <w:r>
              <w:rPr>
                <w:rFonts w:ascii="Times New Roman"/>
                <w:sz w:val="21"/>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折现率</w:t>
            </w:r>
          </w:p>
          <w:p>
            <w:pPr>
              <w:pStyle w:val="TableParagraph"/>
              <w:spacing w:line="240" w:lineRule="auto" w:before="24"/>
              <w:ind w:left="551" w:right="0"/>
              <w:jc w:val="left"/>
              <w:rPr>
                <w:rFonts w:ascii="Times New Roman" w:hAnsi="Times New Roman" w:cs="Times New Roman" w:eastAsia="Times New Roman" w:hint="default"/>
                <w:sz w:val="21"/>
                <w:szCs w:val="21"/>
              </w:rPr>
            </w:pPr>
            <w:r>
              <w:rPr>
                <w:rFonts w:ascii="Times New Roman"/>
                <w:sz w:val="21"/>
              </w:rPr>
              <w:t>(%)</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增长率</w:t>
            </w:r>
          </w:p>
          <w:p>
            <w:pPr>
              <w:pStyle w:val="TableParagraph"/>
              <w:spacing w:line="240" w:lineRule="auto" w:before="24"/>
              <w:ind w:left="551" w:right="0"/>
              <w:jc w:val="left"/>
              <w:rPr>
                <w:rFonts w:ascii="Times New Roman" w:hAnsi="Times New Roman" w:cs="Times New Roman" w:eastAsia="Times New Roman" w:hint="default"/>
                <w:sz w:val="21"/>
                <w:szCs w:val="21"/>
              </w:rPr>
            </w:pPr>
            <w:r>
              <w:rPr>
                <w:rFonts w:ascii="Times New Roman"/>
                <w:sz w:val="21"/>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24"/>
              <w:ind w:left="551" w:right="0"/>
              <w:jc w:val="left"/>
              <w:rPr>
                <w:rFonts w:ascii="Times New Roman" w:hAnsi="Times New Roman" w:cs="Times New Roman" w:eastAsia="Times New Roman" w:hint="default"/>
                <w:sz w:val="21"/>
                <w:szCs w:val="21"/>
              </w:rPr>
            </w:pPr>
            <w:r>
              <w:rPr>
                <w:rFonts w:ascii="Times New Roman"/>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8" w:right="0"/>
              <w:jc w:val="left"/>
              <w:rPr>
                <w:rFonts w:ascii="宋体" w:hAnsi="宋体" w:cs="宋体" w:eastAsia="宋体" w:hint="default"/>
                <w:sz w:val="21"/>
                <w:szCs w:val="21"/>
              </w:rPr>
            </w:pPr>
            <w:r>
              <w:rPr>
                <w:rFonts w:ascii="宋体" w:hAnsi="宋体" w:cs="宋体" w:eastAsia="宋体" w:hint="default"/>
                <w:sz w:val="21"/>
                <w:szCs w:val="21"/>
              </w:rPr>
              <w:t>折现率</w:t>
            </w:r>
          </w:p>
          <w:p>
            <w:pPr>
              <w:pStyle w:val="TableParagraph"/>
              <w:spacing w:line="240" w:lineRule="auto" w:before="24"/>
              <w:ind w:left="665" w:right="0"/>
              <w:jc w:val="left"/>
              <w:rPr>
                <w:rFonts w:ascii="Times New Roman" w:hAnsi="Times New Roman" w:cs="Times New Roman" w:eastAsia="Times New Roman" w:hint="default"/>
                <w:sz w:val="21"/>
                <w:szCs w:val="21"/>
              </w:rPr>
            </w:pPr>
            <w:r>
              <w:rPr>
                <w:rFonts w:ascii="Times New Roman"/>
                <w:sz w:val="21"/>
              </w:rPr>
              <w:t>(%)</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深圳太极云软技术有限公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24" w:right="0"/>
              <w:jc w:val="left"/>
              <w:rPr>
                <w:rFonts w:ascii="Times New Roman" w:hAnsi="Times New Roman" w:cs="Times New Roman" w:eastAsia="Times New Roman" w:hint="default"/>
                <w:sz w:val="21"/>
                <w:szCs w:val="21"/>
              </w:rPr>
            </w:pPr>
            <w:r>
              <w:rPr>
                <w:rFonts w:ascii="Times New Roman"/>
                <w:sz w:val="21"/>
              </w:rPr>
              <w:t>6.60%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91" w:right="0"/>
              <w:jc w:val="left"/>
              <w:rPr>
                <w:rFonts w:ascii="Times New Roman" w:hAnsi="Times New Roman" w:cs="Times New Roman" w:eastAsia="Times New Roman" w:hint="default"/>
                <w:sz w:val="21"/>
                <w:szCs w:val="21"/>
              </w:rPr>
            </w:pPr>
            <w:r>
              <w:rPr>
                <w:rFonts w:ascii="Times New Roman"/>
                <w:sz w:val="21"/>
              </w:rPr>
              <w:t>46.84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93" w:right="0"/>
              <w:jc w:val="left"/>
              <w:rPr>
                <w:rFonts w:ascii="Times New Roman" w:hAnsi="Times New Roman" w:cs="Times New Roman" w:eastAsia="Times New Roman" w:hint="default"/>
                <w:sz w:val="21"/>
                <w:szCs w:val="21"/>
              </w:rPr>
            </w:pPr>
            <w:r>
              <w:rPr>
                <w:rFonts w:ascii="Times New Roman"/>
                <w:sz w:val="21"/>
              </w:rPr>
              <w:t>15.22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23" w:right="0"/>
              <w:jc w:val="left"/>
              <w:rPr>
                <w:rFonts w:ascii="Times New Roman" w:hAnsi="Times New Roman" w:cs="Times New Roman" w:eastAsia="Times New Roman" w:hint="default"/>
                <w:sz w:val="21"/>
                <w:szCs w:val="21"/>
              </w:rPr>
            </w:pPr>
            <w:r>
              <w:rPr>
                <w:rFonts w:ascii="Times New Roman"/>
                <w:sz w:val="21"/>
              </w:rPr>
              <w:t>9.60%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8" w:right="0"/>
              <w:jc w:val="left"/>
              <w:rPr>
                <w:rFonts w:ascii="Times New Roman" w:hAnsi="Times New Roman" w:cs="Times New Roman" w:eastAsia="Times New Roman" w:hint="default"/>
                <w:sz w:val="21"/>
                <w:szCs w:val="21"/>
              </w:rPr>
            </w:pPr>
            <w:r>
              <w:rPr>
                <w:rFonts w:ascii="Times New Roman"/>
                <w:sz w:val="21"/>
              </w:rPr>
              <w:t>47.19%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06" w:right="0"/>
              <w:jc w:val="left"/>
              <w:rPr>
                <w:rFonts w:ascii="Times New Roman" w:hAnsi="Times New Roman" w:cs="Times New Roman" w:eastAsia="Times New Roman" w:hint="default"/>
                <w:sz w:val="21"/>
                <w:szCs w:val="21"/>
              </w:rPr>
            </w:pPr>
            <w:r>
              <w:rPr>
                <w:rFonts w:ascii="Times New Roman"/>
                <w:sz w:val="21"/>
              </w:rPr>
              <w:t>15.22</w:t>
            </w:r>
          </w:p>
        </w:tc>
      </w:tr>
    </w:tbl>
    <w:p>
      <w:pPr>
        <w:pStyle w:val="BodyText"/>
        <w:spacing w:line="297" w:lineRule="auto" w:before="42"/>
        <w:ind w:left="216" w:right="224"/>
        <w:jc w:val="left"/>
        <w:rPr>
          <w:rFonts w:ascii="宋体" w:hAnsi="宋体" w:cs="宋体" w:eastAsia="宋体" w:hint="default"/>
        </w:rPr>
      </w:pPr>
      <w:r>
        <w:rPr>
          <w:rFonts w:ascii="宋体" w:hAnsi="宋体" w:cs="宋体" w:eastAsia="宋体" w:hint="default"/>
          <w:sz w:val="24"/>
          <w:szCs w:val="24"/>
        </w:rPr>
        <w:t>  </w:t>
      </w:r>
      <w:r>
        <w:rPr>
          <w:rFonts w:ascii="宋体" w:hAnsi="宋体" w:cs="宋体" w:eastAsia="宋体" w:hint="default"/>
          <w:w w:val="100"/>
        </w:rPr>
        <w:t> </w:t>
      </w:r>
      <w:r>
        <w:rPr/>
        <w:t>根据公司聘请的北京亚超资产评估有限公司出具的《评估报告》（北京亚超评报字（</w:t>
      </w:r>
      <w:r>
        <w:rPr>
          <w:rFonts w:ascii="Times New Roman" w:hAnsi="Times New Roman" w:cs="Times New Roman" w:eastAsia="Times New Roman" w:hint="default"/>
        </w:rPr>
        <w:t>2020</w:t>
      </w:r>
      <w:r>
        <w:rPr/>
        <w:t>）</w:t>
      </w:r>
      <w:r>
        <w:rPr>
          <w:w w:val="100"/>
        </w:rPr>
        <w:t> </w:t>
      </w:r>
      <w:r>
        <w:rPr/>
        <w:t>第</w:t>
      </w:r>
      <w:r>
        <w:rPr>
          <w:spacing w:val="-48"/>
        </w:rPr>
        <w:t> </w:t>
      </w:r>
      <w:r>
        <w:rPr>
          <w:rFonts w:ascii="Times New Roman" w:hAnsi="Times New Roman" w:cs="Times New Roman" w:eastAsia="Times New Roman" w:hint="default"/>
        </w:rPr>
        <w:t>A061</w:t>
      </w:r>
      <w:r>
        <w:rPr>
          <w:rFonts w:ascii="Times New Roman" w:hAnsi="Times New Roman" w:cs="Times New Roman" w:eastAsia="Times New Roman" w:hint="default"/>
          <w:spacing w:val="1"/>
        </w:rPr>
        <w:t> </w:t>
      </w:r>
      <w:r>
        <w:rPr>
          <w:spacing w:val="-3"/>
        </w:rPr>
        <w:t>号），深圳太极云软技术有限公司商誉所在资产组于</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日的可收回金额大</w:t>
      </w:r>
      <w:r>
        <w:rPr>
          <w:spacing w:val="-103"/>
        </w:rPr>
        <w:t> </w:t>
      </w:r>
      <w:r>
        <w:rPr>
          <w:spacing w:val="-103"/>
        </w:rPr>
      </w:r>
      <w:r>
        <w:rPr/>
        <w:t>于账面价值，未发生商誉减值。</w:t>
      </w:r>
      <w:r>
        <w:rPr>
          <w:rFonts w:ascii="宋体" w:hAnsi="宋体" w:cs="宋体" w:eastAsia="宋体" w:hint="default"/>
        </w:rPr>
        <w:t> </w:t>
      </w:r>
    </w:p>
    <w:p>
      <w:pPr>
        <w:spacing w:after="0" w:line="297" w:lineRule="auto"/>
        <w:jc w:val="left"/>
        <w:rPr>
          <w:rFonts w:ascii="宋体" w:hAnsi="宋体" w:cs="宋体" w:eastAsia="宋体" w:hint="default"/>
        </w:rPr>
        <w:sectPr>
          <w:type w:val="continuous"/>
          <w:pgSz w:w="11910" w:h="16840"/>
          <w:pgMar w:top="1500" w:bottom="280" w:left="1060" w:right="1560"/>
        </w:sectPr>
      </w:pPr>
    </w:p>
    <w:p>
      <w:pPr>
        <w:spacing w:line="240" w:lineRule="auto" w:before="6"/>
        <w:rPr>
          <w:rFonts w:ascii="宋体" w:hAnsi="宋体" w:cs="宋体" w:eastAsia="宋体" w:hint="default"/>
          <w:sz w:val="18"/>
          <w:szCs w:val="18"/>
        </w:rPr>
      </w:pPr>
    </w:p>
    <w:p>
      <w:pPr>
        <w:pStyle w:val="Heading4"/>
        <w:spacing w:line="240" w:lineRule="auto" w:before="36"/>
        <w:ind w:left="216" w:right="0"/>
        <w:jc w:val="left"/>
        <w:rPr>
          <w:rFonts w:ascii="宋体" w:hAnsi="宋体" w:cs="宋体" w:eastAsia="宋体" w:hint="default"/>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24"/>
        </w:rPr>
        <w:t> </w:t>
      </w:r>
      <w:r>
        <w:rPr/>
        <w:t>商誉减值测试的影响</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41"/>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6" w:right="0"/>
        <w:jc w:val="left"/>
      </w:pPr>
      <w:r>
        <w:rPr/>
        <w:t> </w:t>
      </w:r>
    </w:p>
    <w:p>
      <w:pPr>
        <w:pStyle w:val="BodyText"/>
        <w:spacing w:line="273" w:lineRule="exact" w:before="4"/>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6" w:right="0"/>
        <w:jc w:val="left"/>
      </w:pPr>
      <w:r>
        <w:rPr/>
        <w:t> </w:t>
      </w:r>
    </w:p>
    <w:p>
      <w:pPr>
        <w:spacing w:after="0" w:line="310" w:lineRule="exact"/>
        <w:jc w:val="left"/>
        <w:sectPr>
          <w:pgSz w:w="11910" w:h="16840"/>
          <w:pgMar w:header="857" w:footer="979" w:top="1120" w:bottom="1160" w:left="1060" w:right="1560"/>
        </w:sectPr>
      </w:pPr>
    </w:p>
    <w:p>
      <w:pPr>
        <w:pStyle w:val="Heading4"/>
        <w:spacing w:line="240" w:lineRule="auto" w:before="61"/>
        <w:ind w:left="358" w:right="0"/>
        <w:jc w:val="left"/>
        <w:rPr>
          <w:rFonts w:ascii="宋体" w:hAnsi="宋体" w:cs="宋体" w:eastAsia="宋体" w:hint="default"/>
          <w:b w:val="0"/>
          <w:bCs w:val="0"/>
        </w:rPr>
      </w:pPr>
      <w:r>
        <w:rPr>
          <w:rFonts w:ascii="Times New Roman" w:hAnsi="Times New Roman" w:cs="Times New Roman" w:eastAsia="Times New Roman" w:hint="default"/>
        </w:rPr>
        <w:t>28</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26"/>
          <w:szCs w:val="26"/>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60" w:right="1560"/>
          <w:cols w:num="2" w:equalWidth="0">
            <w:col w:w="2152" w:space="437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49"/>
        <w:gridCol w:w="1700"/>
        <w:gridCol w:w="1697"/>
        <w:gridCol w:w="1397"/>
        <w:gridCol w:w="1418"/>
        <w:gridCol w:w="1489"/>
      </w:tblGrid>
      <w:tr>
        <w:trPr>
          <w:trHeight w:val="55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本期摊销金</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其他减少金</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1,362,216.04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8,228,603.31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2,245,275.03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7,345,544.32</w:t>
            </w:r>
          </w:p>
        </w:tc>
      </w:tr>
      <w:tr>
        <w:trPr>
          <w:trHeight w:val="28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277,913.27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355,355.89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161,977.79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471,291.37</w:t>
            </w: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1,640,129.31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8,583,959.20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2,407,252.82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7,816,835.69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060" w:right="1560"/>
        </w:sectPr>
      </w:pPr>
    </w:p>
    <w:p>
      <w:pPr>
        <w:pStyle w:val="Heading3"/>
        <w:spacing w:line="273" w:lineRule="exact"/>
        <w:ind w:left="216" w:right="0"/>
        <w:jc w:val="left"/>
      </w:pPr>
      <w:r>
        <w:rPr>
          <w:rFonts w:ascii="宋体" w:hAnsi="宋体" w:cs="宋体" w:eastAsia="宋体" w:hint="default"/>
        </w:rPr>
        <w:t>其他说明：</w:t>
      </w:r>
      <w:r>
        <w:rPr/>
        <w:t> </w:t>
      </w:r>
    </w:p>
    <w:p>
      <w:pPr>
        <w:pStyle w:val="Heading3"/>
        <w:spacing w:line="313" w:lineRule="exact"/>
        <w:ind w:left="216" w:right="0"/>
        <w:jc w:val="left"/>
      </w:pPr>
      <w:r>
        <w:rPr>
          <w:rFonts w:ascii="宋体" w:hAnsi="宋体" w:cs="宋体" w:eastAsia="宋体" w:hint="default"/>
        </w:rPr>
        <w:t>无</w:t>
      </w:r>
      <w:r>
        <w:rPr/>
        <w:t> </w:t>
      </w:r>
    </w:p>
    <w:p>
      <w:pPr>
        <w:pStyle w:val="Heading4"/>
        <w:spacing w:line="240" w:lineRule="auto" w:before="61"/>
        <w:ind w:left="216" w:right="0"/>
        <w:jc w:val="left"/>
        <w:rPr>
          <w:rFonts w:ascii="宋体" w:hAnsi="宋体" w:cs="宋体" w:eastAsia="宋体" w:hint="default"/>
          <w:b w:val="0"/>
          <w:bCs w:val="0"/>
        </w:rPr>
      </w:pPr>
      <w:r>
        <w:rPr>
          <w:rFonts w:ascii="Times New Roman" w:hAnsi="Times New Roman" w:cs="Times New Roman" w:eastAsia="Times New Roman"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43"/>
        <w:ind w:left="216"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2"/>
        </w:rPr>
        <w:t> </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3991" w:space="2531"/>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68"/>
        <w:gridCol w:w="1755"/>
        <w:gridCol w:w="1628"/>
        <w:gridCol w:w="1814"/>
        <w:gridCol w:w="1688"/>
      </w:tblGrid>
      <w:tr>
        <w:trPr>
          <w:trHeight w:val="295" w:hRule="exact"/>
        </w:trPr>
        <w:tc>
          <w:tcPr>
            <w:tcW w:w="216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168" w:type="dxa"/>
            <w:vMerge/>
            <w:tcBorders>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76,994,894.04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10,674,384.11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64,758,002.60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9,150,501.28</w:t>
            </w:r>
          </w:p>
        </w:tc>
      </w:tr>
      <w:tr>
        <w:trPr>
          <w:trHeight w:val="296"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30,638,433.27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3,474,156.50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10,797,537.39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2,087,780.65</w:t>
            </w:r>
          </w:p>
        </w:tc>
      </w:tr>
      <w:tr>
        <w:trPr>
          <w:trHeight w:val="295"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43,167,502.40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6,577,745.37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32,382,268.51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4,998,871.13</w:t>
            </w:r>
          </w:p>
        </w:tc>
      </w:tr>
      <w:tr>
        <w:trPr>
          <w:trHeight w:val="295"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13,493,622.20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2,024,043.33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833,852.66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125,077.90</w:t>
            </w:r>
          </w:p>
        </w:tc>
      </w:tr>
      <w:tr>
        <w:trPr>
          <w:trHeight w:val="295"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15,971,061.54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3,516,066.71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18,374,850.77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2,979,584.21</w:t>
            </w:r>
          </w:p>
        </w:tc>
      </w:tr>
      <w:tr>
        <w:trPr>
          <w:trHeight w:val="295"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sz w:val="21"/>
                <w:szCs w:val="21"/>
              </w:rPr>
              <w:t> </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2,717,855.56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386,035.59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1,005,079.85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158,522.52</w:t>
            </w:r>
          </w:p>
        </w:tc>
      </w:tr>
      <w:tr>
        <w:trPr>
          <w:trHeight w:val="295"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5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184,564.48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46,141.13</w:t>
            </w:r>
          </w:p>
        </w:tc>
      </w:tr>
      <w:tr>
        <w:trPr>
          <w:trHeight w:val="295"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182,983,369.01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26,652,431.61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128,336,156.26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19,546,478.82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2"/>
        </w:rPr>
        <w:t> </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0"/>
          <w:szCs w:val="20"/>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60" w:right="1560"/>
          <w:cols w:num="2" w:equalWidth="0">
            <w:col w:w="3281" w:space="3241"/>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31"/>
        <w:gridCol w:w="1553"/>
        <w:gridCol w:w="1824"/>
        <w:gridCol w:w="1819"/>
        <w:gridCol w:w="1822"/>
      </w:tblGrid>
      <w:tr>
        <w:trPr>
          <w:trHeight w:val="370" w:hRule="exact"/>
        </w:trPr>
        <w:tc>
          <w:tcPr>
            <w:tcW w:w="203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770"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730" w:hRule="exact"/>
        </w:trPr>
        <w:tc>
          <w:tcPr>
            <w:tcW w:w="2031" w:type="dxa"/>
            <w:vMerge/>
            <w:tcBorders>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561" w:right="137" w:hanging="420"/>
              <w:jc w:val="left"/>
              <w:rPr>
                <w:rFonts w:ascii="宋体" w:hAnsi="宋体" w:cs="宋体" w:eastAsia="宋体" w:hint="default"/>
                <w:sz w:val="21"/>
                <w:szCs w:val="21"/>
              </w:rPr>
            </w:pPr>
            <w:r>
              <w:rPr>
                <w:rFonts w:ascii="宋体" w:hAnsi="宋体" w:cs="宋体" w:eastAsia="宋体" w:hint="default"/>
                <w:sz w:val="21"/>
                <w:szCs w:val="21"/>
              </w:rPr>
              <w:t>应纳税暂时性</w:t>
            </w:r>
            <w:r>
              <w:rPr>
                <w:rFonts w:ascii="宋体" w:hAnsi="宋体" w:cs="宋体" w:eastAsia="宋体" w:hint="default"/>
                <w:w w:val="100"/>
                <w:sz w:val="21"/>
                <w:szCs w:val="21"/>
              </w:rPr>
              <w:t> </w:t>
            </w:r>
            <w:r>
              <w:rPr>
                <w:rFonts w:ascii="宋体" w:hAnsi="宋体" w:cs="宋体" w:eastAsia="宋体" w:hint="default"/>
                <w:sz w:val="21"/>
                <w:szCs w:val="21"/>
              </w:rPr>
              <w:t>差异</w:t>
            </w:r>
            <w:r>
              <w:rPr>
                <w:rFonts w:ascii="宋体" w:hAnsi="宋体" w:cs="宋体" w:eastAsia="宋体" w:hint="default"/>
                <w:sz w:val="21"/>
                <w:szCs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696" w:right="276" w:hanging="317"/>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w w:val="100"/>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796" w:right="165" w:hanging="629"/>
              <w:jc w:val="left"/>
              <w:rPr>
                <w:rFonts w:ascii="宋体" w:hAnsi="宋体" w:cs="宋体" w:eastAsia="宋体" w:hint="default"/>
                <w:sz w:val="21"/>
                <w:szCs w:val="21"/>
              </w:rPr>
            </w:pPr>
            <w:r>
              <w:rPr>
                <w:rFonts w:ascii="宋体" w:hAnsi="宋体" w:cs="宋体" w:eastAsia="宋体" w:hint="default"/>
                <w:sz w:val="21"/>
                <w:szCs w:val="21"/>
              </w:rPr>
              <w:t>应纳税暂时性差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异</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696" w:right="275" w:hanging="318"/>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w w:val="100"/>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730"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33"/>
              <w:jc w:val="left"/>
              <w:rPr>
                <w:rFonts w:ascii="宋体" w:hAnsi="宋体" w:cs="宋体" w:eastAsia="宋体" w:hint="default"/>
                <w:sz w:val="21"/>
                <w:szCs w:val="21"/>
              </w:rPr>
            </w:pPr>
            <w:r>
              <w:rPr>
                <w:rFonts w:ascii="宋体" w:hAnsi="宋体" w:cs="宋体" w:eastAsia="宋体" w:hint="default"/>
                <w:sz w:val="21"/>
                <w:szCs w:val="21"/>
              </w:rPr>
              <w:t>非同一控制企业合</w:t>
            </w:r>
            <w:r>
              <w:rPr>
                <w:rFonts w:ascii="宋体" w:hAnsi="宋体" w:cs="宋体" w:eastAsia="宋体" w:hint="default"/>
                <w:w w:val="100"/>
                <w:sz w:val="21"/>
                <w:szCs w:val="21"/>
              </w:rPr>
              <w:t> </w:t>
            </w:r>
            <w:r>
              <w:rPr>
                <w:rFonts w:ascii="宋体" w:hAnsi="宋体" w:cs="宋体" w:eastAsia="宋体" w:hint="default"/>
                <w:sz w:val="21"/>
                <w:szCs w:val="21"/>
              </w:rPr>
              <w:t>并资产评估增值</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11,943,582.90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1,194,358.29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17,436,134.74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1,743,613.48</w:t>
            </w:r>
          </w:p>
        </w:tc>
      </w:tr>
      <w:tr>
        <w:trPr>
          <w:trHeight w:val="370"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分期收款业务</w:t>
            </w:r>
            <w:r>
              <w:rPr>
                <w:rFonts w:ascii="宋体" w:hAnsi="宋体" w:cs="宋体" w:eastAsia="宋体" w:hint="default"/>
                <w:sz w:val="24"/>
                <w:szCs w:val="24"/>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150,001,407.17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26,889,988.26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77,103,338.99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14,713,168.93</w:t>
            </w:r>
          </w:p>
        </w:tc>
      </w:tr>
      <w:tr>
        <w:trPr>
          <w:trHeight w:val="370"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4"/>
                <w:szCs w:val="24"/>
              </w:rPr>
            </w:pPr>
            <w:r>
              <w:rPr>
                <w:rFonts w:ascii="宋体" w:hAnsi="宋体" w:cs="宋体" w:eastAsia="宋体" w:hint="default"/>
                <w:sz w:val="21"/>
                <w:szCs w:val="21"/>
              </w:rPr>
              <w:t>固定资产加速折旧</w:t>
            </w:r>
            <w:r>
              <w:rPr>
                <w:rFonts w:ascii="宋体" w:hAnsi="宋体" w:cs="宋体" w:eastAsia="宋体" w:hint="default"/>
                <w:sz w:val="24"/>
                <w:szCs w:val="24"/>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1,846,750.53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277,012.58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2,477,611.15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375,000.66</w:t>
            </w:r>
          </w:p>
        </w:tc>
      </w:tr>
      <w:tr>
        <w:trPr>
          <w:trHeight w:val="372"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70"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163,791,740.60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28,361,359.13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97,017,084.88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16,831,783.07</w:t>
            </w:r>
          </w:p>
        </w:tc>
      </w:tr>
    </w:tbl>
    <w:p>
      <w:pPr>
        <w:pStyle w:val="BodyText"/>
        <w:spacing w:line="241" w:lineRule="exact"/>
        <w:ind w:left="21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500" w:bottom="280" w:left="1060" w:right="1560"/>
        </w:sect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20" w:bottom="1160" w:left="1060" w:right="1560"/>
        </w:sectPr>
      </w:pPr>
    </w:p>
    <w:p>
      <w:pPr>
        <w:pStyle w:val="Heading4"/>
        <w:spacing w:line="240" w:lineRule="auto" w:before="36"/>
        <w:ind w:left="216" w:right="0"/>
        <w:jc w:val="left"/>
        <w:rPr>
          <w:rFonts w:ascii="宋体" w:hAnsi="宋体" w:cs="宋体" w:eastAsia="宋体" w:hint="default"/>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1"/>
        </w:rPr>
        <w:t> </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1"/>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rFonts w:ascii="宋体" w:hAnsi="宋体" w:cs="宋体" w:eastAsia="宋体" w:hint="default"/>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2"/>
        </w:rPr>
        <w:t> </w:t>
      </w:r>
      <w:r>
        <w:rPr/>
        <w:t>未确认递延所得税资产明细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60" w:right="1560"/>
          <w:cols w:num="2" w:equalWidth="0">
            <w:col w:w="4757" w:space="176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4,613,447.22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2,217,562.87</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88,347,071.72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72,182,686.49</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14,760,492.51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17,174,715.95</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107,721,011.45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91,574,965.31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060" w:right="1560"/>
        </w:sectPr>
      </w:pPr>
    </w:p>
    <w:p>
      <w:pPr>
        <w:pStyle w:val="Heading3"/>
        <w:spacing w:line="274" w:lineRule="exact"/>
        <w:ind w:left="216" w:right="0"/>
        <w:jc w:val="left"/>
      </w:pPr>
      <w:r>
        <w:rPr/>
        <w:t> </w:t>
      </w:r>
    </w:p>
    <w:p>
      <w:pPr>
        <w:pStyle w:val="Heading4"/>
        <w:spacing w:line="240" w:lineRule="auto" w:before="62"/>
        <w:ind w:left="216" w:right="0"/>
        <w:jc w:val="left"/>
        <w:rPr>
          <w:rFonts w:ascii="宋体" w:hAnsi="宋体" w:cs="宋体" w:eastAsia="宋体" w:hint="default"/>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20"/>
        </w:rPr>
        <w:t> </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60" w:right="1560"/>
          <w:cols w:num="2" w:equalWidth="0">
            <w:col w:w="5811" w:space="656"/>
            <w:col w:w="2823"/>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37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7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w w:val="100"/>
                <w:sz w:val="21"/>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1,035,705.44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5,136,044.02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5,438,865.58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17,721,589.04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18,763,189.49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23,599,830.69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26,239,054.76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20,179,002.91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20,705,871.22</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21,710,605.06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w w:val="100"/>
                <w:sz w:val="21"/>
              </w:rPr>
              <w:t>-</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88,347,071.72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72,182,686.49</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37" w:lineRule="exact"/>
        <w:ind w:left="216" w:right="0"/>
        <w:jc w:val="left"/>
        <w:rPr>
          <w:rFonts w:ascii="宋体" w:hAnsi="宋体" w:cs="宋体" w:eastAsia="宋体" w:hint="default"/>
        </w:rPr>
      </w:pPr>
      <w:r>
        <w:rPr>
          <w:rFonts w:ascii="宋体"/>
          <w:w w:val="100"/>
        </w:rPr>
        <w:t> </w:t>
      </w:r>
    </w:p>
    <w:p>
      <w:pPr>
        <w:pStyle w:val="Heading3"/>
        <w:spacing w:line="310" w:lineRule="exact" w:before="28"/>
        <w:ind w:left="216" w:right="0"/>
        <w:jc w:val="left"/>
      </w:pPr>
      <w:r>
        <w:rPr/>
        <w:t>  </w:t>
      </w:r>
      <w:r>
        <w:rPr>
          <w:rFonts w:ascii="宋体" w:hAnsi="宋体" w:cs="宋体" w:eastAsia="宋体" w:hint="default"/>
        </w:rPr>
        <w:t>其他说明：</w:t>
      </w:r>
      <w:r>
        <w:rPr/>
        <w:t> </w:t>
      </w:r>
    </w:p>
    <w:p>
      <w:pPr>
        <w:pStyle w:val="BodyText"/>
        <w:spacing w:line="246" w:lineRule="exact"/>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216" w:right="0"/>
        <w:jc w:val="left"/>
      </w:pPr>
      <w:r>
        <w:rPr/>
        <w:t> </w:t>
      </w:r>
    </w:p>
    <w:p>
      <w:pPr>
        <w:spacing w:after="0" w:line="309" w:lineRule="exact"/>
        <w:jc w:val="left"/>
        <w:sectPr>
          <w:type w:val="continuous"/>
          <w:pgSz w:w="11910" w:h="16840"/>
          <w:pgMar w:top="1500" w:bottom="280" w:left="1060" w:right="1560"/>
        </w:sectPr>
      </w:pPr>
    </w:p>
    <w:p>
      <w:pPr>
        <w:pStyle w:val="Heading4"/>
        <w:spacing w:line="240" w:lineRule="auto"/>
        <w:ind w:left="358" w:right="-5"/>
        <w:jc w:val="left"/>
        <w:rPr>
          <w:b w:val="0"/>
          <w:bCs w:val="0"/>
        </w:rPr>
      </w:pPr>
      <w:r>
        <w:rPr>
          <w:rFonts w:ascii="Times New Roman" w:hAnsi="Times New Roman" w:cs="Times New Roman" w:eastAsia="Times New Roman" w:hint="default"/>
          <w:spacing w:val="-1"/>
        </w:rPr>
        <w:t>30</w:t>
      </w:r>
      <w:r>
        <w:rPr>
          <w:spacing w:val="-1"/>
        </w:rPr>
        <w:t>、其他非流动资产</w:t>
      </w:r>
      <w:r>
        <w:rPr>
          <w:b w:val="0"/>
          <w:bCs w:val="0"/>
          <w:spacing w:val="-1"/>
        </w:rPr>
      </w:r>
    </w:p>
    <w:p>
      <w:pPr>
        <w:pStyle w:val="BodyText"/>
        <w:spacing w:line="240" w:lineRule="auto" w:before="43"/>
        <w:ind w:left="216" w:right="-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27"/>
          <w:szCs w:val="27"/>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60" w:right="1560"/>
          <w:cols w:num="2" w:equalWidth="0">
            <w:col w:w="2260" w:space="4262"/>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319"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16" w:right="0"/>
              <w:jc w:val="left"/>
              <w:rPr>
                <w:rFonts w:ascii="宋体" w:hAnsi="宋体" w:cs="宋体" w:eastAsia="宋体" w:hint="default"/>
                <w:sz w:val="24"/>
                <w:szCs w:val="24"/>
              </w:rPr>
            </w:pPr>
            <w:r>
              <w:rPr>
                <w:rFonts w:ascii="宋体" w:hAnsi="宋体" w:cs="宋体" w:eastAsia="宋体" w:hint="default"/>
                <w:sz w:val="21"/>
                <w:szCs w:val="21"/>
              </w:rPr>
              <w:t>期末余额</w:t>
            </w:r>
            <w:r>
              <w:rPr>
                <w:rFonts w:ascii="宋体" w:hAnsi="宋体" w:cs="宋体" w:eastAsia="宋体" w:hint="default"/>
                <w:sz w:val="24"/>
                <w:szCs w:val="24"/>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5"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企业人才住房</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3,838,390.00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3,838,390.00</w:t>
            </w:r>
          </w:p>
        </w:tc>
      </w:tr>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预付研发及无形资产款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1,586,206.89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3,597,606.89</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预付购买固定资产款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450,322.82</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9" w:right="0"/>
              <w:jc w:val="center"/>
              <w:rPr>
                <w:rFonts w:ascii="宋体" w:hAnsi="宋体" w:cs="宋体" w:eastAsia="宋体" w:hint="default"/>
                <w:sz w:val="24"/>
                <w:szCs w:val="24"/>
              </w:rPr>
            </w:pPr>
            <w:r>
              <w:rPr>
                <w:rFonts w:ascii="宋体" w:hAnsi="宋体" w:cs="宋体" w:eastAsia="宋体" w:hint="default"/>
                <w:sz w:val="21"/>
                <w:szCs w:val="21"/>
              </w:rPr>
              <w:t>合计</w:t>
            </w:r>
            <w:r>
              <w:rPr>
                <w:rFonts w:ascii="宋体" w:hAnsi="宋体" w:cs="宋体" w:eastAsia="宋体" w:hint="default"/>
                <w:sz w:val="24"/>
                <w:szCs w:val="24"/>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5,874,919.71</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7,435,996.89</w:t>
            </w:r>
          </w:p>
        </w:tc>
      </w:tr>
    </w:tbl>
    <w:p>
      <w:pPr>
        <w:pStyle w:val="BodyText"/>
        <w:spacing w:line="237" w:lineRule="exact"/>
        <w:ind w:left="216" w:right="0"/>
        <w:jc w:val="left"/>
        <w:rPr>
          <w:rFonts w:ascii="宋体" w:hAnsi="宋体" w:cs="宋体" w:eastAsia="宋体" w:hint="default"/>
        </w:rPr>
      </w:pPr>
      <w:r>
        <w:rPr>
          <w:rFonts w:ascii="宋体"/>
          <w:w w:val="100"/>
        </w:rPr>
        <w:t> </w:t>
      </w:r>
    </w:p>
    <w:p>
      <w:pPr>
        <w:pStyle w:val="Heading3"/>
        <w:spacing w:line="310" w:lineRule="exact"/>
        <w:ind w:left="216" w:right="0"/>
        <w:jc w:val="left"/>
      </w:pPr>
      <w:r>
        <w:rPr>
          <w:rFonts w:ascii="宋体" w:hAnsi="宋体" w:cs="宋体" w:eastAsia="宋体" w:hint="default"/>
        </w:rPr>
        <w:t>其他说明：</w:t>
      </w:r>
      <w:r>
        <w:rPr/>
        <w:t> </w:t>
      </w:r>
    </w:p>
    <w:p>
      <w:pPr>
        <w:pStyle w:val="BodyText"/>
        <w:spacing w:line="297" w:lineRule="auto" w:before="78"/>
        <w:ind w:left="216" w:right="128" w:firstLine="48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spacing w:val="-6"/>
        </w:rPr>
        <w:t>日，根据《福田区企业人才住房配售管理办法》、《福田区</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年度企业人</w:t>
      </w:r>
      <w:r>
        <w:rPr>
          <w:w w:val="100"/>
        </w:rPr>
        <w:t> </w:t>
      </w:r>
      <w:r>
        <w:rPr/>
        <w:t>才住房配售方案》，公司之子公司深圳太极云软技术有限公司（以下简称</w:t>
      </w:r>
      <w:r>
        <w:rPr>
          <w:rFonts w:ascii="Times New Roman" w:hAnsi="Times New Roman" w:cs="Times New Roman" w:eastAsia="Times New Roman" w:hint="default"/>
        </w:rPr>
        <w:t>“</w:t>
      </w:r>
      <w:r>
        <w:rPr/>
        <w:t>太极云软</w:t>
      </w:r>
      <w:r>
        <w:rPr>
          <w:rFonts w:ascii="Times New Roman" w:hAnsi="Times New Roman" w:cs="Times New Roman" w:eastAsia="Times New Roman" w:hint="default"/>
        </w:rPr>
        <w:t>”</w:t>
      </w:r>
      <w:r>
        <w:rPr/>
        <w:t>）与深圳市</w:t>
      </w:r>
      <w:r>
        <w:rPr>
          <w:w w:val="100"/>
        </w:rPr>
        <w:t> </w:t>
      </w:r>
      <w:r>
        <w:rPr/>
        <w:t>福田区住房和建设局签订</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年度企业人才住房预购协议书，取得</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套企业人才住房的购买权，</w:t>
      </w:r>
    </w:p>
    <w:p>
      <w:pPr>
        <w:pStyle w:val="BodyText"/>
        <w:spacing w:line="297" w:lineRule="auto" w:before="13"/>
        <w:ind w:left="216" w:right="0"/>
        <w:jc w:val="left"/>
      </w:pPr>
      <w:r>
        <w:rPr/>
        <w:t>其中</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套人才住房已于</w:t>
      </w:r>
      <w:r>
        <w:rPr>
          <w:spacing w:val="-53"/>
        </w:rPr>
        <w:t> </w:t>
      </w:r>
      <w:r>
        <w:rPr>
          <w:rFonts w:ascii="Times New Roman" w:hAnsi="Times New Roman" w:cs="Times New Roman" w:eastAsia="Times New Roman" w:hint="default"/>
        </w:rPr>
        <w:t>2015 </w:t>
      </w:r>
      <w:r>
        <w:rPr/>
        <w:t>年</w:t>
      </w:r>
      <w:r>
        <w:rPr>
          <w:spacing w:val="-55"/>
        </w:rPr>
        <w:t> </w:t>
      </w:r>
      <w:r>
        <w:rPr>
          <w:rFonts w:ascii="Times New Roman" w:hAnsi="Times New Roman" w:cs="Times New Roman" w:eastAsia="Times New Roman" w:hint="default"/>
        </w:rPr>
        <w:t>4 </w:t>
      </w:r>
      <w:r>
        <w:rPr/>
        <w:t>月</w:t>
      </w:r>
      <w:r>
        <w:rPr>
          <w:spacing w:val="-53"/>
        </w:rPr>
        <w:t> </w:t>
      </w:r>
      <w:r>
        <w:rPr>
          <w:rFonts w:ascii="Times New Roman" w:hAnsi="Times New Roman" w:cs="Times New Roman" w:eastAsia="Times New Roman" w:hint="default"/>
        </w:rPr>
        <w:t>21 </w:t>
      </w:r>
      <w:r>
        <w:rPr/>
        <w:t>日签订购买合同，其余</w:t>
      </w:r>
      <w:r>
        <w:rPr>
          <w:spacing w:val="-53"/>
        </w:rPr>
        <w:t> </w:t>
      </w:r>
      <w:r>
        <w:rPr>
          <w:rFonts w:ascii="Times New Roman" w:hAnsi="Times New Roman" w:cs="Times New Roman" w:eastAsia="Times New Roman" w:hint="default"/>
        </w:rPr>
        <w:t>7 </w:t>
      </w:r>
      <w:r>
        <w:rPr/>
        <w:t>套人才住房于</w:t>
      </w:r>
      <w:r>
        <w:rPr>
          <w:spacing w:val="-53"/>
        </w:rPr>
        <w:t> </w:t>
      </w:r>
      <w:r>
        <w:rPr>
          <w:rFonts w:ascii="Times New Roman" w:hAnsi="Times New Roman" w:cs="Times New Roman" w:eastAsia="Times New Roman" w:hint="default"/>
        </w:rPr>
        <w:t>2016 </w:t>
      </w:r>
      <w:r>
        <w:rPr/>
        <w:t>年</w:t>
      </w:r>
      <w:r>
        <w:rPr>
          <w:spacing w:val="-54"/>
        </w:rPr>
        <w:t> </w:t>
      </w:r>
      <w:r>
        <w:rPr>
          <w:rFonts w:ascii="Times New Roman" w:hAnsi="Times New Roman" w:cs="Times New Roman" w:eastAsia="Times New Roman" w:hint="default"/>
        </w:rPr>
        <w:t>5 </w:t>
      </w:r>
      <w:r>
        <w:rPr/>
        <w:t>月</w:t>
      </w:r>
      <w:r>
        <w:rPr>
          <w:spacing w:val="-55"/>
        </w:rPr>
        <w:t> </w:t>
      </w:r>
      <w:r>
        <w:rPr>
          <w:rFonts w:ascii="Times New Roman" w:hAnsi="Times New Roman" w:cs="Times New Roman" w:eastAsia="Times New Roman" w:hint="default"/>
        </w:rPr>
        <w:t>26 </w:t>
      </w:r>
      <w:r>
        <w:rPr/>
        <w:t>日</w:t>
      </w:r>
      <w:r>
        <w:rPr>
          <w:w w:val="100"/>
        </w:rPr>
        <w:t> </w:t>
      </w:r>
      <w:r>
        <w:rPr>
          <w:spacing w:val="-2"/>
        </w:rPr>
        <w:t>签订购买合同。该住房产权性质为企业人才住房，产权属太极云软所有，无产权证，只能出租给</w:t>
      </w:r>
    </w:p>
    <w:p>
      <w:pPr>
        <w:spacing w:after="0" w:line="297" w:lineRule="auto"/>
        <w:jc w:val="left"/>
        <w:sectPr>
          <w:type w:val="continuous"/>
          <w:pgSz w:w="11910" w:h="16840"/>
          <w:pgMar w:top="1500" w:bottom="280" w:left="1060" w:right="1560"/>
        </w:sectPr>
      </w:pPr>
    </w:p>
    <w:p>
      <w:pPr>
        <w:spacing w:line="240" w:lineRule="auto" w:before="4"/>
        <w:rPr>
          <w:rFonts w:ascii="宋体" w:hAnsi="宋体" w:cs="宋体" w:eastAsia="宋体" w:hint="default"/>
          <w:sz w:val="24"/>
          <w:szCs w:val="24"/>
        </w:rPr>
      </w:pPr>
    </w:p>
    <w:p>
      <w:pPr>
        <w:pStyle w:val="BodyText"/>
        <w:spacing w:line="304" w:lineRule="auto" w:before="36"/>
        <w:ind w:left="236" w:right="229"/>
        <w:jc w:val="both"/>
      </w:pPr>
      <w:r>
        <w:rPr>
          <w:spacing w:val="-2"/>
        </w:rPr>
        <w:t>符合条件的员工居住，不能出售给单位员工，不能进行抵押和产权转让。根据《福田区企业人才</w:t>
      </w:r>
      <w:r>
        <w:rPr>
          <w:spacing w:val="-25"/>
        </w:rPr>
        <w:t> </w:t>
      </w:r>
      <w:r>
        <w:rPr>
          <w:spacing w:val="-25"/>
        </w:rPr>
      </w:r>
      <w:r>
        <w:rPr>
          <w:spacing w:val="-2"/>
        </w:rPr>
        <w:t>住房配售管理办法》，人才住房涉及申请回购和强制回购的，福田区住建局按照以下价格进行回</w:t>
      </w:r>
      <w:r>
        <w:rPr>
          <w:spacing w:val="-25"/>
        </w:rPr>
        <w:t> </w:t>
      </w:r>
      <w:r>
        <w:rPr>
          <w:spacing w:val="-25"/>
        </w:rPr>
      </w:r>
      <w:r>
        <w:rPr/>
        <w:t>购：回购价格在购房合同签订之日起</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年内（含</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年）为原合同购房价；</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年后，回购价格</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3"/>
        </w:rPr>
        <w:t>原购房价</w:t>
      </w:r>
      <w:r>
        <w:rPr>
          <w:rFonts w:ascii="Times New Roman" w:hAnsi="Times New Roman" w:cs="Times New Roman" w:eastAsia="Times New Roman" w:hint="default"/>
          <w:spacing w:val="-3"/>
        </w:rPr>
        <w:t>×[1-</w:t>
      </w:r>
      <w:r>
        <w:rPr>
          <w:spacing w:val="-3"/>
        </w:rPr>
        <w:t>折旧系数</w:t>
      </w:r>
      <w:r>
        <w:rPr>
          <w:rFonts w:ascii="Times New Roman" w:hAnsi="Times New Roman" w:cs="Times New Roman" w:eastAsia="Times New Roman" w:hint="default"/>
          <w:spacing w:val="-3"/>
        </w:rPr>
        <w:t>×</w:t>
      </w:r>
      <w:r>
        <w:rPr>
          <w:spacing w:val="-3"/>
        </w:rPr>
        <w:t>（购房年限</w:t>
      </w:r>
      <w:r>
        <w:rPr>
          <w:rFonts w:ascii="Times New Roman" w:hAnsi="Times New Roman" w:cs="Times New Roman" w:eastAsia="Times New Roman" w:hint="default"/>
          <w:spacing w:val="-3"/>
        </w:rPr>
        <w:t>-10</w:t>
      </w:r>
      <w:r>
        <w:rPr>
          <w:spacing w:val="-3"/>
        </w:rPr>
        <w:t>）</w:t>
      </w:r>
      <w:r>
        <w:rPr>
          <w:rFonts w:ascii="Times New Roman" w:hAnsi="Times New Roman" w:cs="Times New Roman" w:eastAsia="Times New Roman" w:hint="default"/>
          <w:spacing w:val="-3"/>
        </w:rPr>
        <w:t>]</w:t>
      </w:r>
      <w:r>
        <w:rPr>
          <w:spacing w:val="-3"/>
        </w:rPr>
        <w:t>。折旧系数按照每年折旧率 </w:t>
      </w:r>
      <w:r>
        <w:rPr>
          <w:rFonts w:ascii="Times New Roman" w:hAnsi="Times New Roman" w:cs="Times New Roman" w:eastAsia="Times New Roman" w:hint="default"/>
          <w:spacing w:val="-3"/>
        </w:rPr>
        <w:t>1.4%</w:t>
      </w:r>
      <w:r>
        <w:rPr>
          <w:spacing w:val="-3"/>
        </w:rPr>
        <w:t>计算，购房年限为自合</w:t>
      </w:r>
      <w:r>
        <w:rPr>
          <w:spacing w:val="-68"/>
        </w:rPr>
        <w:t> </w:t>
      </w:r>
      <w:r>
        <w:rPr>
          <w:spacing w:val="-68"/>
        </w:rPr>
      </w:r>
      <w:r>
        <w:rPr/>
        <w:t>同签订之日起直至回购当年。</w:t>
      </w:r>
    </w:p>
    <w:p>
      <w:pPr>
        <w:pStyle w:val="Heading3"/>
        <w:spacing w:line="260" w:lineRule="exact"/>
        <w:ind w:right="0"/>
        <w:jc w:val="both"/>
      </w:pPr>
      <w:r>
        <w:rPr/>
        <w:t> </w:t>
      </w:r>
    </w:p>
    <w:p>
      <w:pPr>
        <w:pStyle w:val="Heading4"/>
        <w:spacing w:line="273" w:lineRule="auto"/>
        <w:ind w:left="236" w:right="6055"/>
        <w:jc w:val="left"/>
        <w:rPr>
          <w:rFonts w:ascii="宋体" w:hAnsi="宋体" w:cs="宋体" w:eastAsia="宋体" w:hint="default"/>
          <w:b w:val="0"/>
          <w:bCs w:val="0"/>
        </w:rPr>
      </w:pPr>
      <w:r>
        <w:rPr>
          <w:rFonts w:ascii="Times New Roman" w:hAnsi="Times New Roman" w:cs="Times New Roman" w:eastAsia="Times New Roman" w:hint="default"/>
        </w:rPr>
        <w:t>31</w:t>
      </w:r>
      <w:r>
        <w:rPr/>
        <w:t>、</w:t>
      </w:r>
      <w:r>
        <w:rPr>
          <w:spacing w:val="-23"/>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9"/>
        <w:ind w:left="2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871"/>
        <w:gridCol w:w="3005"/>
        <w:gridCol w:w="3020"/>
      </w:tblGrid>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02"/>
              <w:jc w:val="right"/>
              <w:rPr>
                <w:rFonts w:ascii="Times New Roman" w:hAnsi="Times New Roman" w:cs="Times New Roman" w:eastAsia="Times New Roman" w:hint="default"/>
                <w:sz w:val="21"/>
                <w:szCs w:val="21"/>
              </w:rPr>
            </w:pPr>
            <w:r>
              <w:rPr>
                <w:rFonts w:ascii="Times New Roman"/>
                <w:spacing w:val="-1"/>
                <w:sz w:val="21"/>
              </w:rPr>
              <w:t>19,500,000.00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02"/>
              <w:jc w:val="right"/>
              <w:rPr>
                <w:rFonts w:ascii="Times New Roman" w:hAnsi="Times New Roman" w:cs="Times New Roman" w:eastAsia="Times New Roman" w:hint="default"/>
                <w:sz w:val="21"/>
                <w:szCs w:val="21"/>
              </w:rPr>
            </w:pPr>
            <w:r>
              <w:rPr>
                <w:rFonts w:ascii="Times New Roman"/>
                <w:spacing w:val="-1"/>
                <w:sz w:val="21"/>
              </w:rPr>
              <w:t>32,200,000.00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未到期应付利息</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32,734.25</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58,187.27</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19,532,734.25</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32,258,187.27</w:t>
            </w:r>
          </w:p>
        </w:tc>
      </w:tr>
    </w:tbl>
    <w:p>
      <w:pPr>
        <w:spacing w:after="0" w:line="235" w:lineRule="exact"/>
        <w:jc w:val="right"/>
        <w:rPr>
          <w:rFonts w:ascii="Times New Roman" w:hAnsi="Times New Roman" w:cs="Times New Roman" w:eastAsia="Times New Roman" w:hint="default"/>
          <w:sz w:val="21"/>
          <w:szCs w:val="21"/>
        </w:rPr>
        <w:sectPr>
          <w:pgSz w:w="11910" w:h="16840"/>
          <w:pgMar w:header="857" w:footer="979" w:top="1120" w:bottom="1160" w:left="1040" w:right="1560"/>
        </w:sectPr>
      </w:pPr>
    </w:p>
    <w:p>
      <w:pPr>
        <w:pStyle w:val="BodyText"/>
        <w:spacing w:line="237" w:lineRule="exact"/>
        <w:ind w:left="236" w:right="0"/>
        <w:jc w:val="left"/>
        <w:rPr>
          <w:rFonts w:ascii="宋体" w:hAnsi="宋体" w:cs="宋体" w:eastAsia="宋体" w:hint="default"/>
        </w:rPr>
      </w:pPr>
      <w:r>
        <w:rPr/>
        <w:t>短期借款分类的说明：</w:t>
      </w:r>
      <w:r>
        <w:rPr>
          <w:rFonts w:ascii="宋体" w:hAnsi="宋体" w:cs="宋体" w:eastAsia="宋体" w:hint="default"/>
        </w:rPr>
        <w:t> </w:t>
      </w:r>
    </w:p>
    <w:p>
      <w:pPr>
        <w:pStyle w:val="Heading3"/>
        <w:spacing w:line="308" w:lineRule="exact"/>
        <w:ind w:right="0"/>
        <w:jc w:val="left"/>
      </w:pPr>
      <w:r>
        <w:rPr>
          <w:rFonts w:ascii="宋体" w:hAnsi="宋体" w:cs="宋体" w:eastAsia="宋体" w:hint="default"/>
        </w:rPr>
        <w:t>无</w:t>
      </w:r>
      <w:r>
        <w:rPr/>
        <w:t> </w:t>
      </w:r>
    </w:p>
    <w:p>
      <w:pPr>
        <w:pStyle w:val="Heading3"/>
        <w:spacing w:line="312" w:lineRule="exact"/>
        <w:ind w:right="0"/>
        <w:jc w:val="left"/>
      </w:pPr>
      <w:r>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已</w:t>
      </w:r>
      <w:r>
        <w:rPr>
          <w:spacing w:val="-3"/>
          <w:w w:val="100"/>
        </w:rPr>
        <w:t>逾</w:t>
      </w:r>
      <w:r>
        <w:rPr>
          <w:w w:val="100"/>
        </w:rPr>
        <w:t>期</w:t>
      </w:r>
      <w:r>
        <w:rPr>
          <w:spacing w:val="-3"/>
          <w:w w:val="100"/>
        </w:rPr>
        <w:t>未</w:t>
      </w:r>
      <w:r>
        <w:rPr>
          <w:w w:val="100"/>
        </w:rPr>
        <w:t>偿</w:t>
      </w:r>
      <w:r>
        <w:rPr>
          <w:spacing w:val="-3"/>
          <w:w w:val="100"/>
        </w:rPr>
        <w:t>还</w:t>
      </w:r>
      <w:r>
        <w:rPr>
          <w:w w:val="100"/>
        </w:rPr>
        <w:t>的短</w:t>
      </w:r>
      <w:r>
        <w:rPr>
          <w:spacing w:val="-3"/>
          <w:w w:val="100"/>
        </w:rPr>
        <w:t>期</w:t>
      </w:r>
      <w:r>
        <w:rPr>
          <w:w w:val="100"/>
        </w:rPr>
        <w:t>借</w:t>
      </w:r>
      <w:r>
        <w:rPr>
          <w:spacing w:val="-3"/>
          <w:w w:val="100"/>
        </w:rPr>
        <w:t>款</w:t>
      </w:r>
      <w:r>
        <w:rPr>
          <w:w w:val="100"/>
        </w:rPr>
        <w:t>情</w:t>
      </w:r>
      <w:r>
        <w:rPr>
          <w:spacing w:val="-3"/>
          <w:w w:val="100"/>
        </w:rPr>
        <w:t>况</w:t>
      </w:r>
      <w:r>
        <w:rPr>
          <w:w w:val="100"/>
        </w:rPr>
        <w:t>如</w:t>
      </w:r>
      <w:r>
        <w:rPr>
          <w:spacing w:val="-3"/>
          <w:w w:val="100"/>
        </w:rPr>
        <w:t>下：</w:t>
      </w:r>
      <w:r>
        <w:rPr>
          <w:rFonts w:ascii="宋体" w:hAnsi="宋体" w:cs="宋体" w:eastAsia="宋体" w:hint="default"/>
          <w:w w:val="100"/>
        </w:rPr>
        <w:t> </w:t>
      </w:r>
    </w:p>
    <w:p>
      <w:pPr>
        <w:spacing w:line="232" w:lineRule="auto" w:before="3"/>
        <w:ind w:left="236" w:right="2004" w:firstLine="0"/>
        <w:jc w:val="left"/>
        <w:rPr>
          <w:rFonts w:ascii="宋体" w:hAnsi="宋体" w:cs="宋体" w:eastAsia="宋体" w:hint="default"/>
          <w:sz w:val="24"/>
          <w:szCs w:val="24"/>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sz w:val="24"/>
          <w:szCs w:val="24"/>
        </w:rPr>
        <w:t>其他说明</w:t>
      </w:r>
      <w:r>
        <w:rPr>
          <w:rFonts w:ascii="宋体" w:hAnsi="宋体" w:cs="宋体" w:eastAsia="宋体" w:hint="default"/>
          <w:sz w:val="24"/>
          <w:szCs w:val="24"/>
        </w:rPr>
        <w:t> </w:t>
      </w:r>
    </w:p>
    <w:p>
      <w:pPr>
        <w:pStyle w:val="BodyText"/>
        <w:spacing w:line="271" w:lineRule="exact" w:before="3"/>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right="0"/>
        <w:jc w:val="left"/>
      </w:pPr>
      <w:r>
        <w:rPr/>
        <w:t> </w:t>
      </w:r>
    </w:p>
    <w:p>
      <w:pPr>
        <w:pStyle w:val="Heading4"/>
        <w:spacing w:line="240" w:lineRule="auto" w:before="61"/>
        <w:ind w:left="236" w:right="0"/>
        <w:jc w:val="left"/>
        <w:rPr>
          <w:b w:val="0"/>
          <w:bCs w:val="0"/>
        </w:rPr>
      </w:pPr>
      <w:r>
        <w:rPr>
          <w:rFonts w:ascii="Times New Roman" w:hAnsi="Times New Roman" w:cs="Times New Roman" w:eastAsia="Times New Roman" w:hint="default"/>
        </w:rPr>
        <w:t>32</w:t>
      </w:r>
      <w:r>
        <w:rPr/>
        <w:t>、</w:t>
      </w:r>
      <w:r>
        <w:rPr>
          <w:spacing w:val="-20"/>
        </w:rPr>
        <w:t> </w:t>
      </w:r>
      <w:r>
        <w:rPr/>
        <w:t>交易性金融负债</w:t>
      </w:r>
      <w:r>
        <w:rPr>
          <w:b w:val="0"/>
          <w:bCs w:val="0"/>
        </w:rPr>
      </w:r>
    </w:p>
    <w:p>
      <w:pPr>
        <w:pStyle w:val="BodyText"/>
        <w:spacing w:line="240" w:lineRule="auto" w:before="43"/>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4755" w:space="1767"/>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82"/>
        <w:gridCol w:w="1565"/>
        <w:gridCol w:w="1563"/>
        <w:gridCol w:w="1560"/>
        <w:gridCol w:w="1393"/>
      </w:tblGrid>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6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43" w:right="0"/>
              <w:jc w:val="left"/>
              <w:rPr>
                <w:rFonts w:ascii="Times New Roman" w:hAnsi="Times New Roman" w:cs="Times New Roman" w:eastAsia="Times New Roman" w:hint="default"/>
                <w:sz w:val="21"/>
                <w:szCs w:val="21"/>
              </w:rPr>
            </w:pPr>
            <w:r>
              <w:rPr>
                <w:rFonts w:ascii="Times New Roman"/>
                <w:sz w:val="21"/>
              </w:rPr>
              <w:t>3,000,000.00</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40" w:right="0"/>
              <w:jc w:val="left"/>
              <w:rPr>
                <w:rFonts w:ascii="Times New Roman" w:hAnsi="Times New Roman" w:cs="Times New Roman" w:eastAsia="Times New Roman" w:hint="default"/>
                <w:sz w:val="21"/>
                <w:szCs w:val="21"/>
              </w:rPr>
            </w:pPr>
            <w:r>
              <w:rPr>
                <w:rFonts w:ascii="Times New Roman"/>
                <w:sz w:val="21"/>
              </w:rPr>
              <w:t>3,000,000.00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c>
          <w:tcPr>
            <w:tcW w:w="6080" w:type="dxa"/>
            <w:gridSpan w:val="4"/>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43" w:right="0"/>
              <w:jc w:val="left"/>
              <w:rPr>
                <w:rFonts w:ascii="Times New Roman" w:hAnsi="Times New Roman" w:cs="Times New Roman" w:eastAsia="Times New Roman" w:hint="default"/>
                <w:sz w:val="21"/>
                <w:szCs w:val="21"/>
              </w:rPr>
            </w:pPr>
            <w:r>
              <w:rPr>
                <w:rFonts w:ascii="Times New Roman"/>
                <w:sz w:val="21"/>
              </w:rPr>
              <w:t>3,000,000.00</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40" w:right="0"/>
              <w:jc w:val="left"/>
              <w:rPr>
                <w:rFonts w:ascii="Times New Roman" w:hAnsi="Times New Roman" w:cs="Times New Roman" w:eastAsia="Times New Roman" w:hint="default"/>
                <w:sz w:val="21"/>
                <w:szCs w:val="21"/>
              </w:rPr>
            </w:pPr>
            <w:r>
              <w:rPr>
                <w:rFonts w:ascii="Times New Roman"/>
                <w:sz w:val="21"/>
              </w:rPr>
              <w:t>3,000,000.00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6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3" w:right="0"/>
              <w:jc w:val="left"/>
              <w:rPr>
                <w:rFonts w:ascii="Times New Roman" w:hAnsi="Times New Roman" w:cs="Times New Roman" w:eastAsia="Times New Roman" w:hint="default"/>
                <w:sz w:val="21"/>
                <w:szCs w:val="21"/>
              </w:rPr>
            </w:pPr>
            <w:r>
              <w:rPr>
                <w:rFonts w:ascii="Times New Roman"/>
                <w:sz w:val="21"/>
              </w:rPr>
              <w:t>3,000,000.00</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Times New Roman" w:hAnsi="Times New Roman" w:cs="Times New Roman" w:eastAsia="Times New Roman" w:hint="default"/>
                <w:sz w:val="21"/>
                <w:szCs w:val="21"/>
              </w:rPr>
            </w:pPr>
            <w:r>
              <w:rPr>
                <w:rFonts w:ascii="Times New Roman"/>
                <w:sz w:val="21"/>
              </w:rPr>
              <w:t>3,000,000.00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right="0"/>
        <w:jc w:val="left"/>
      </w:pPr>
      <w:r>
        <w:rPr/>
        <w:t> </w:t>
      </w:r>
    </w:p>
    <w:p>
      <w:pPr>
        <w:pStyle w:val="Heading4"/>
        <w:spacing w:line="240" w:lineRule="auto"/>
        <w:ind w:left="360" w:right="7217"/>
        <w:jc w:val="center"/>
        <w:rPr>
          <w:b w:val="0"/>
          <w:bCs w:val="0"/>
        </w:rPr>
      </w:pPr>
      <w:r>
        <w:rPr>
          <w:rFonts w:ascii="Times New Roman" w:hAnsi="Times New Roman" w:cs="Times New Roman" w:eastAsia="Times New Roman" w:hint="default"/>
        </w:rPr>
        <w:t>33</w:t>
      </w:r>
      <w:r>
        <w:rPr/>
        <w:t>、衍生金融负债</w:t>
      </w:r>
      <w:r>
        <w:rPr>
          <w:b w:val="0"/>
          <w:bCs w:val="0"/>
        </w:rPr>
      </w:r>
    </w:p>
    <w:p>
      <w:pPr>
        <w:pStyle w:val="BodyText"/>
        <w:spacing w:line="271" w:lineRule="exact" w:before="40"/>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right="0"/>
        <w:jc w:val="left"/>
      </w:pPr>
      <w:r>
        <w:rPr/>
        <w:t> </w:t>
      </w:r>
    </w:p>
    <w:p>
      <w:pPr>
        <w:spacing w:after="0" w:line="310" w:lineRule="exact"/>
        <w:jc w:val="left"/>
        <w:sectPr>
          <w:type w:val="continuous"/>
          <w:pgSz w:w="11910" w:h="16840"/>
          <w:pgMar w:top="1500" w:bottom="280" w:left="1040" w:right="1560"/>
        </w:sectPr>
      </w:pPr>
    </w:p>
    <w:p>
      <w:pPr>
        <w:pStyle w:val="Heading4"/>
        <w:spacing w:line="276" w:lineRule="auto" w:before="61"/>
        <w:ind w:left="236" w:right="0" w:firstLine="142"/>
        <w:jc w:val="left"/>
        <w:rPr>
          <w:rFonts w:ascii="宋体" w:hAnsi="宋体" w:cs="宋体" w:eastAsia="宋体" w:hint="default"/>
          <w:b w:val="0"/>
          <w:bCs w:val="0"/>
        </w:rPr>
      </w:pPr>
      <w:r>
        <w:rPr>
          <w:rFonts w:ascii="Times New Roman" w:hAnsi="Times New Roman" w:cs="Times New Roman" w:eastAsia="Times New Roman" w:hint="default"/>
        </w:rPr>
        <w:t>34</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5"/>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40" w:right="1560"/>
          <w:cols w:num="2" w:equalWidth="0">
            <w:col w:w="2035" w:space="4487"/>
            <w:col w:w="2788"/>
          </w:cols>
        </w:sectPr>
      </w:pPr>
    </w:p>
    <w:p>
      <w:pPr>
        <w:spacing w:line="240" w:lineRule="auto" w:before="11"/>
        <w:rPr>
          <w:rFonts w:ascii="宋体" w:hAnsi="宋体" w:cs="宋体" w:eastAsia="宋体" w:hint="default"/>
          <w:sz w:val="23"/>
          <w:szCs w:val="23"/>
        </w:rPr>
      </w:pPr>
    </w:p>
    <w:tbl>
      <w:tblPr>
        <w:tblW w:w="0" w:type="auto"/>
        <w:jc w:val="left"/>
        <w:tblInd w:w="178"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0"/>
              <w:jc w:val="right"/>
              <w:rPr>
                <w:rFonts w:ascii="宋体" w:hAnsi="宋体" w:cs="宋体" w:eastAsia="宋体" w:hint="default"/>
                <w:sz w:val="21"/>
                <w:szCs w:val="21"/>
              </w:rPr>
            </w:pPr>
            <w:r>
              <w:rPr>
                <w:rFonts w:ascii="宋体" w:hAnsi="宋体" w:cs="宋体" w:eastAsia="宋体" w:hint="default"/>
                <w:spacing w:val="-2"/>
                <w:sz w:val="21"/>
                <w:szCs w:val="21"/>
              </w:rPr>
              <w:t>种类</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商业承兑汇票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银行承兑汇票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1"/>
              <w:jc w:val="right"/>
              <w:rPr>
                <w:rFonts w:ascii="Times New Roman" w:hAnsi="Times New Roman" w:cs="Times New Roman" w:eastAsia="Times New Roman" w:hint="default"/>
                <w:sz w:val="21"/>
                <w:szCs w:val="21"/>
              </w:rPr>
            </w:pPr>
            <w:r>
              <w:rPr>
                <w:rFonts w:ascii="Times New Roman"/>
                <w:spacing w:val="-1"/>
                <w:sz w:val="21"/>
              </w:rPr>
              <w:t>95,100,582.60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116,825,048.45</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95,100,582.60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116,825,048.45</w:t>
            </w:r>
          </w:p>
        </w:tc>
      </w:tr>
    </w:tbl>
    <w:p>
      <w:pPr>
        <w:pStyle w:val="BodyText"/>
        <w:spacing w:line="237" w:lineRule="exact"/>
        <w:ind w:left="216" w:right="0"/>
        <w:jc w:val="left"/>
        <w:rPr>
          <w:rFonts w:ascii="宋体" w:hAnsi="宋体" w:cs="宋体" w:eastAsia="宋体" w:hint="default"/>
        </w:rPr>
      </w:pPr>
      <w:r>
        <w:rPr/>
        <w:t>本期末已到期未支付的应付票据总额为 </w:t>
      </w:r>
      <w:r>
        <w:rPr>
          <w:rFonts w:ascii="宋体" w:hAnsi="宋体" w:cs="宋体" w:eastAsia="宋体" w:hint="default"/>
          <w:spacing w:val="-3"/>
        </w:rPr>
        <w:t>0</w:t>
      </w:r>
      <w:r>
        <w:rPr>
          <w:rFonts w:ascii="宋体" w:hAnsi="宋体" w:cs="宋体" w:eastAsia="宋体" w:hint="default"/>
          <w:spacing w:val="-49"/>
        </w:rPr>
        <w:t> </w:t>
      </w:r>
      <w:r>
        <w:rPr>
          <w:spacing w:val="-3"/>
        </w:rPr>
        <w:t>元。</w:t>
      </w:r>
      <w:r>
        <w:rPr>
          <w:rFonts w:ascii="宋体" w:hAnsi="宋体" w:cs="宋体" w:eastAsia="宋体" w:hint="default"/>
        </w:rPr>
        <w:t> </w:t>
      </w:r>
    </w:p>
    <w:p>
      <w:pPr>
        <w:pStyle w:val="Heading3"/>
        <w:spacing w:line="310" w:lineRule="exact"/>
        <w:ind w:left="216" w:right="0"/>
        <w:jc w:val="left"/>
      </w:pPr>
      <w:r>
        <w:rPr/>
        <w:t> </w:t>
      </w:r>
    </w:p>
    <w:p>
      <w:pPr>
        <w:spacing w:after="0" w:line="310" w:lineRule="exact"/>
        <w:jc w:val="left"/>
        <w:sectPr>
          <w:pgSz w:w="11910" w:h="16840"/>
          <w:pgMar w:header="857" w:footer="979" w:top="1120" w:bottom="1160" w:left="1060" w:right="1560"/>
        </w:sectPr>
      </w:pPr>
    </w:p>
    <w:p>
      <w:pPr>
        <w:pStyle w:val="Heading4"/>
        <w:spacing w:line="276" w:lineRule="auto" w:before="61"/>
        <w:ind w:left="216" w:right="0" w:firstLine="142"/>
        <w:jc w:val="left"/>
        <w:rPr>
          <w:rFonts w:ascii="宋体" w:hAnsi="宋体" w:cs="宋体" w:eastAsia="宋体" w:hint="default"/>
          <w:b w:val="0"/>
          <w:bCs w:val="0"/>
        </w:rPr>
      </w:pPr>
      <w:r>
        <w:rPr>
          <w:rFonts w:ascii="Times New Roman" w:hAnsi="Times New Roman" w:cs="Times New Roman" w:eastAsia="Times New Roman" w:hint="default"/>
        </w:rPr>
        <w:t>35</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5"/>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2015" w:space="450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应付货款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437,376,155.76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360,160,671.2</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应付固定资产款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863,949.57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1,052,046.18</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438,240,105.33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361,212,717.38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060" w:right="1560"/>
        </w:sectPr>
      </w:pPr>
    </w:p>
    <w:p>
      <w:pPr>
        <w:pStyle w:val="Heading2"/>
        <w:spacing w:line="274" w:lineRule="exact"/>
        <w:ind w:left="216"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4"/>
          <w:szCs w:val="24"/>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60" w:right="1560"/>
          <w:cols w:num="2" w:equalWidth="0">
            <w:col w:w="3494" w:space="3028"/>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4"/>
        <w:gridCol w:w="2828"/>
        <w:gridCol w:w="2938"/>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供应商一</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21,260,781.88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未到合同约定付款期限</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供应商二</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15,244,202.59</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未到合同约定付款期限</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供应商三</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8,984,752.99</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未到合同约定付款期限</w:t>
            </w:r>
            <w:r>
              <w:rPr>
                <w:rFonts w:ascii="宋体" w:hAnsi="宋体" w:cs="宋体" w:eastAsia="宋体" w:hint="default"/>
                <w:sz w:val="21"/>
                <w:szCs w:val="21"/>
              </w:rPr>
              <w:t> </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供应商四</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6,621,956.60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未到合同约定付款期限</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供应商五</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6,498,381.94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未到合同约定付款期限</w:t>
            </w:r>
            <w:r>
              <w:rPr>
                <w:rFonts w:ascii="宋体" w:hAnsi="宋体" w:cs="宋体" w:eastAsia="宋体" w:hint="default"/>
                <w:sz w:val="21"/>
                <w:szCs w:val="21"/>
              </w:rPr>
              <w:t> </w:t>
            </w:r>
          </w:p>
        </w:tc>
      </w:tr>
      <w:tr>
        <w:trPr>
          <w:trHeight w:val="28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供应商六</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5,261,646.06</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未到合同约定付款期限</w:t>
            </w:r>
            <w:r>
              <w:rPr>
                <w:rFonts w:ascii="宋体" w:hAnsi="宋体" w:cs="宋体" w:eastAsia="宋体" w:hint="default"/>
                <w:sz w:val="21"/>
                <w:szCs w:val="21"/>
              </w:rPr>
              <w:t> </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供应商七</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5,166,437.04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未到合同约定付款期限</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69,038,159.1</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r>
    </w:tbl>
    <w:p>
      <w:pPr>
        <w:pStyle w:val="BodyText"/>
        <w:spacing w:line="237" w:lineRule="exact"/>
        <w:ind w:left="216" w:right="0"/>
        <w:jc w:val="left"/>
        <w:rPr>
          <w:rFonts w:ascii="宋体" w:hAnsi="宋体" w:cs="宋体" w:eastAsia="宋体" w:hint="default"/>
        </w:rPr>
      </w:pPr>
      <w:r>
        <w:rPr>
          <w:rFonts w:ascii="宋体"/>
          <w:w w:val="100"/>
        </w:rPr>
        <w:t> </w:t>
      </w:r>
    </w:p>
    <w:p>
      <w:pPr>
        <w:pStyle w:val="Heading3"/>
        <w:spacing w:line="310" w:lineRule="exact"/>
        <w:ind w:left="216" w:right="0"/>
        <w:jc w:val="left"/>
      </w:pPr>
      <w:r>
        <w:rPr>
          <w:rFonts w:ascii="宋体" w:hAnsi="宋体" w:cs="宋体" w:eastAsia="宋体" w:hint="default"/>
        </w:rPr>
        <w:t>其他说明</w:t>
      </w:r>
      <w:r>
        <w:rPr/>
        <w:t> </w:t>
      </w:r>
    </w:p>
    <w:p>
      <w:pPr>
        <w:pStyle w:val="BodyText"/>
        <w:spacing w:line="271" w:lineRule="exact" w:before="1"/>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6" w:right="0"/>
        <w:jc w:val="left"/>
      </w:pPr>
      <w:r>
        <w:rPr/>
        <w:t> </w:t>
      </w:r>
    </w:p>
    <w:p>
      <w:pPr>
        <w:spacing w:after="0" w:line="310" w:lineRule="exact"/>
        <w:jc w:val="left"/>
        <w:sectPr>
          <w:type w:val="continuous"/>
          <w:pgSz w:w="11910" w:h="16840"/>
          <w:pgMar w:top="1500" w:bottom="280" w:left="1060" w:right="1560"/>
        </w:sectPr>
      </w:pPr>
    </w:p>
    <w:p>
      <w:pPr>
        <w:pStyle w:val="Heading4"/>
        <w:spacing w:line="240" w:lineRule="auto" w:before="61"/>
        <w:ind w:left="393" w:right="629"/>
        <w:jc w:val="center"/>
        <w:rPr>
          <w:rFonts w:ascii="宋体" w:hAnsi="宋体" w:cs="宋体" w:eastAsia="宋体" w:hint="default"/>
          <w:b w:val="0"/>
          <w:bCs w:val="0"/>
        </w:rPr>
      </w:pPr>
      <w:r>
        <w:rPr>
          <w:rFonts w:ascii="Times New Roman" w:hAnsi="Times New Roman" w:cs="Times New Roman" w:eastAsia="Times New Roman" w:hint="default"/>
        </w:rPr>
        <w:t>36</w:t>
      </w:r>
      <w:r>
        <w:rPr/>
        <w:t>、预收款项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43"/>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2327" w:space="419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109,408,791.82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201,682,479.1</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57,968,128.43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18,210,940.32</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2,325,927.19</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19,924,475.54</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5,877,484.13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8,424,231.53</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175,580,331.57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248,242,126.49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3595" w:space="29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89"/>
        <w:gridCol w:w="3012"/>
        <w:gridCol w:w="3049"/>
      </w:tblGrid>
      <w:tr>
        <w:trPr>
          <w:trHeight w:val="32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9"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9" w:right="0"/>
              <w:jc w:val="left"/>
              <w:rPr>
                <w:rFonts w:ascii="宋体" w:hAnsi="宋体" w:cs="宋体" w:eastAsia="宋体" w:hint="default"/>
                <w:sz w:val="24"/>
                <w:szCs w:val="24"/>
              </w:rPr>
            </w:pPr>
            <w:r>
              <w:rPr>
                <w:rFonts w:ascii="宋体" w:hAnsi="宋体" w:cs="宋体" w:eastAsia="宋体" w:hint="default"/>
                <w:sz w:val="24"/>
                <w:szCs w:val="24"/>
              </w:rPr>
              <w:t>未偿还或结转的原因</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type w:val="continuous"/>
          <w:pgSz w:w="11910" w:h="16840"/>
          <w:pgMar w:top="1500" w:bottom="280" w:left="1060" w:right="156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2989"/>
        <w:gridCol w:w="3012"/>
        <w:gridCol w:w="3049"/>
      </w:tblGrid>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客户一</w:t>
            </w:r>
            <w:r>
              <w:rPr>
                <w:rFonts w:ascii="宋体" w:hAnsi="宋体" w:cs="宋体" w:eastAsia="宋体" w:hint="default"/>
                <w:sz w:val="21"/>
                <w:szCs w:val="21"/>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27,927,900.00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项目未验收</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客户二</w:t>
            </w:r>
            <w:r>
              <w:rPr>
                <w:rFonts w:ascii="宋体" w:hAnsi="宋体" w:cs="宋体" w:eastAsia="宋体" w:hint="default"/>
                <w:sz w:val="21"/>
                <w:szCs w:val="21"/>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10,116,102.99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项目未验收</w:t>
            </w:r>
          </w:p>
        </w:tc>
      </w:tr>
      <w:tr>
        <w:trPr>
          <w:trHeight w:val="32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9" w:right="0"/>
              <w:jc w:val="center"/>
              <w:rPr>
                <w:rFonts w:ascii="宋体" w:hAnsi="宋体" w:cs="宋体" w:eastAsia="宋体" w:hint="default"/>
                <w:sz w:val="24"/>
                <w:szCs w:val="24"/>
              </w:rPr>
            </w:pPr>
            <w:r>
              <w:rPr>
                <w:rFonts w:ascii="宋体" w:hAnsi="宋体" w:cs="宋体" w:eastAsia="宋体" w:hint="default"/>
                <w:sz w:val="21"/>
                <w:szCs w:val="21"/>
              </w:rPr>
              <w:t>合计</w:t>
            </w:r>
            <w:r>
              <w:rPr>
                <w:rFonts w:ascii="宋体" w:hAnsi="宋体" w:cs="宋体" w:eastAsia="宋体" w:hint="default"/>
                <w:sz w:val="24"/>
                <w:szCs w:val="24"/>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38,044,002.99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sz w:val="24"/>
              </w:rPr>
              <w:t>/ </w:t>
            </w:r>
          </w:p>
        </w:tc>
      </w:tr>
    </w:tbl>
    <w:p>
      <w:pPr>
        <w:pStyle w:val="Heading3"/>
        <w:spacing w:line="274" w:lineRule="exact"/>
        <w:ind w:left="216" w:right="0"/>
        <w:jc w:val="left"/>
      </w:pPr>
      <w:r>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725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t>其他说明</w:t>
      </w:r>
      <w:r>
        <w:rPr>
          <w:rFonts w:ascii="宋体" w:hAnsi="宋体" w:cs="宋体" w:eastAsia="宋体" w:hint="default"/>
        </w:rPr>
        <w:t> </w:t>
      </w:r>
    </w:p>
    <w:p>
      <w:pPr>
        <w:pStyle w:val="BodyText"/>
        <w:spacing w:line="267" w:lineRule="exact"/>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6" w:right="0"/>
        <w:jc w:val="left"/>
      </w:pPr>
      <w:r>
        <w:rPr/>
        <w:t> </w:t>
      </w:r>
    </w:p>
    <w:p>
      <w:pPr>
        <w:spacing w:after="0" w:line="310" w:lineRule="exact"/>
        <w:jc w:val="left"/>
        <w:sectPr>
          <w:pgSz w:w="11910" w:h="16840"/>
          <w:pgMar w:header="857" w:footer="979" w:top="1120" w:bottom="1160" w:left="1060" w:right="1560"/>
        </w:sectPr>
      </w:pPr>
    </w:p>
    <w:p>
      <w:pPr>
        <w:pStyle w:val="Heading4"/>
        <w:spacing w:line="273" w:lineRule="auto"/>
        <w:ind w:left="216" w:right="0" w:firstLine="142"/>
        <w:jc w:val="left"/>
        <w:rPr>
          <w:rFonts w:ascii="宋体" w:hAnsi="宋体" w:cs="宋体" w:eastAsia="宋体" w:hint="default"/>
          <w:b w:val="0"/>
          <w:bCs w:val="0"/>
        </w:rPr>
      </w:pPr>
      <w:r>
        <w:rPr>
          <w:rFonts w:ascii="Times New Roman" w:hAnsi="Times New Roman" w:cs="Times New Roman" w:eastAsia="Times New Roman" w:hint="default"/>
        </w:rPr>
        <w:t>37</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9"/>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2435" w:space="408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02"/>
        <w:gridCol w:w="1611"/>
        <w:gridCol w:w="1608"/>
        <w:gridCol w:w="1610"/>
        <w:gridCol w:w="1618"/>
      </w:tblGrid>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7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54,757,927.58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2" w:right="0"/>
              <w:jc w:val="left"/>
              <w:rPr>
                <w:rFonts w:ascii="Times New Roman" w:hAnsi="Times New Roman" w:cs="Times New Roman" w:eastAsia="Times New Roman" w:hint="default"/>
                <w:sz w:val="21"/>
                <w:szCs w:val="21"/>
              </w:rPr>
            </w:pPr>
            <w:r>
              <w:rPr>
                <w:rFonts w:ascii="Times New Roman"/>
                <w:sz w:val="21"/>
              </w:rPr>
              <w:t>332,597,113.38</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4" w:right="0"/>
              <w:jc w:val="left"/>
              <w:rPr>
                <w:rFonts w:ascii="Times New Roman" w:hAnsi="Times New Roman" w:cs="Times New Roman" w:eastAsia="Times New Roman" w:hint="default"/>
                <w:sz w:val="21"/>
                <w:szCs w:val="21"/>
              </w:rPr>
            </w:pPr>
            <w:r>
              <w:rPr>
                <w:rFonts w:ascii="Times New Roman"/>
                <w:sz w:val="21"/>
              </w:rPr>
              <w:t>324,985,880.68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7" w:right="0"/>
              <w:jc w:val="left"/>
              <w:rPr>
                <w:rFonts w:ascii="Times New Roman" w:hAnsi="Times New Roman" w:cs="Times New Roman" w:eastAsia="Times New Roman" w:hint="default"/>
                <w:sz w:val="21"/>
                <w:szCs w:val="21"/>
              </w:rPr>
            </w:pPr>
            <w:r>
              <w:rPr>
                <w:rFonts w:ascii="Times New Roman"/>
                <w:sz w:val="21"/>
              </w:rPr>
              <w:t>62,369,160.28</w:t>
            </w:r>
          </w:p>
        </w:tc>
      </w:tr>
      <w:tr>
        <w:trPr>
          <w:trHeight w:val="55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90,888.98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7" w:right="0"/>
              <w:jc w:val="left"/>
              <w:rPr>
                <w:rFonts w:ascii="Times New Roman" w:hAnsi="Times New Roman" w:cs="Times New Roman" w:eastAsia="Times New Roman" w:hint="default"/>
                <w:sz w:val="21"/>
                <w:szCs w:val="21"/>
              </w:rPr>
            </w:pPr>
            <w:r>
              <w:rPr>
                <w:rFonts w:ascii="Times New Roman"/>
                <w:sz w:val="21"/>
              </w:rPr>
              <w:t>13,292,466.51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90" w:right="0"/>
              <w:jc w:val="left"/>
              <w:rPr>
                <w:rFonts w:ascii="Times New Roman" w:hAnsi="Times New Roman" w:cs="Times New Roman" w:eastAsia="Times New Roman" w:hint="default"/>
                <w:sz w:val="21"/>
                <w:szCs w:val="21"/>
              </w:rPr>
            </w:pPr>
            <w:r>
              <w:rPr>
                <w:rFonts w:ascii="Times New Roman"/>
                <w:sz w:val="21"/>
              </w:rPr>
              <w:t>13,250,535.47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59" w:right="0"/>
              <w:jc w:val="left"/>
              <w:rPr>
                <w:rFonts w:ascii="Times New Roman" w:hAnsi="Times New Roman" w:cs="Times New Roman" w:eastAsia="Times New Roman" w:hint="default"/>
                <w:sz w:val="21"/>
                <w:szCs w:val="21"/>
              </w:rPr>
            </w:pPr>
            <w:r>
              <w:rPr>
                <w:rFonts w:ascii="Times New Roman"/>
                <w:sz w:val="21"/>
              </w:rPr>
              <w:t>132,820.02</w:t>
            </w: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282,800.00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9" w:right="0"/>
              <w:jc w:val="left"/>
              <w:rPr>
                <w:rFonts w:ascii="Times New Roman" w:hAnsi="Times New Roman" w:cs="Times New Roman" w:eastAsia="Times New Roman" w:hint="default"/>
                <w:sz w:val="21"/>
                <w:szCs w:val="21"/>
              </w:rPr>
            </w:pPr>
            <w:r>
              <w:rPr>
                <w:rFonts w:ascii="Times New Roman"/>
                <w:sz w:val="21"/>
              </w:rPr>
              <w:t>352,864.00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1" w:right="0"/>
              <w:jc w:val="left"/>
              <w:rPr>
                <w:rFonts w:ascii="Times New Roman" w:hAnsi="Times New Roman" w:cs="Times New Roman" w:eastAsia="Times New Roman" w:hint="default"/>
                <w:sz w:val="21"/>
                <w:szCs w:val="21"/>
              </w:rPr>
            </w:pPr>
            <w:r>
              <w:rPr>
                <w:rFonts w:ascii="Times New Roman"/>
                <w:sz w:val="21"/>
              </w:rPr>
              <w:t>635,664.00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宋体" w:hAnsi="宋体" w:cs="宋体" w:eastAsia="宋体" w:hint="default"/>
                <w:sz w:val="24"/>
                <w:szCs w:val="24"/>
              </w:rPr>
            </w:pPr>
            <w:r>
              <w:rPr>
                <w:rFonts w:ascii="宋体"/>
                <w:sz w:val="24"/>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宋体" w:hAnsi="宋体" w:cs="宋体" w:eastAsia="宋体" w:hint="default"/>
                <w:sz w:val="24"/>
                <w:szCs w:val="24"/>
              </w:rPr>
            </w:pPr>
            <w:r>
              <w:rPr>
                <w:rFonts w:ascii="宋体"/>
                <w:sz w:val="24"/>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宋体" w:hAnsi="宋体" w:cs="宋体" w:eastAsia="宋体" w:hint="default"/>
                <w:sz w:val="24"/>
                <w:szCs w:val="24"/>
              </w:rPr>
            </w:pPr>
            <w:r>
              <w:rPr>
                <w:rFonts w:ascii="宋体"/>
                <w:sz w:val="24"/>
              </w:rPr>
              <w:t> </w:t>
            </w:r>
          </w:p>
        </w:tc>
      </w:tr>
      <w:tr>
        <w:trPr>
          <w:trHeight w:val="281"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55,131,616.56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Times New Roman" w:hAnsi="Times New Roman" w:cs="Times New Roman" w:eastAsia="Times New Roman" w:hint="default"/>
                <w:sz w:val="21"/>
                <w:szCs w:val="21"/>
              </w:rPr>
            </w:pPr>
            <w:r>
              <w:rPr>
                <w:rFonts w:ascii="Times New Roman"/>
                <w:sz w:val="21"/>
              </w:rPr>
              <w:t>346,242,443.89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4" w:right="0"/>
              <w:jc w:val="left"/>
              <w:rPr>
                <w:rFonts w:ascii="Times New Roman" w:hAnsi="Times New Roman" w:cs="Times New Roman" w:eastAsia="Times New Roman" w:hint="default"/>
                <w:sz w:val="21"/>
                <w:szCs w:val="21"/>
              </w:rPr>
            </w:pPr>
            <w:r>
              <w:rPr>
                <w:rFonts w:ascii="Times New Roman"/>
                <w:sz w:val="21"/>
              </w:rPr>
              <w:t>338,872,080.15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7" w:right="0"/>
              <w:jc w:val="left"/>
              <w:rPr>
                <w:rFonts w:ascii="Times New Roman" w:hAnsi="Times New Roman" w:cs="Times New Roman" w:eastAsia="Times New Roman" w:hint="default"/>
                <w:sz w:val="21"/>
                <w:szCs w:val="21"/>
              </w:rPr>
            </w:pPr>
            <w:r>
              <w:rPr>
                <w:rFonts w:ascii="Times New Roman"/>
                <w:sz w:val="21"/>
              </w:rPr>
              <w:t>62,501,980.30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500" w:bottom="2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2013" w:space="4615"/>
            <w:col w:w="2662"/>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54,335,795.59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308,921,972.92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301,384,587.53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61,873,180.98</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8,635.00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5,071,198.22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5,079,833.22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99,037.70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7,970,166.11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7,922,037.13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147,166.68</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91,151.56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7,116,165.51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7,072,474.22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134,842.85</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3,278.54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267,868.77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267,381.26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3,766.05</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4,607.60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586,131.83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582,181.65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8,557.78</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42,207.31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7,921,541.46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7,915,496.91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48,251.86</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272,251.98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2,712,234.67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2,683,925.89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300,560.76</w:t>
            </w: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54,757,927.58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332,597,113.38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324,985,880.68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62,369,160.28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060" w:right="1560"/>
        </w:sectPr>
      </w:pPr>
    </w:p>
    <w:p>
      <w:pPr>
        <w:pStyle w:val="Heading3"/>
        <w:spacing w:line="274" w:lineRule="exact"/>
        <w:ind w:left="216" w:right="0"/>
        <w:jc w:val="left"/>
      </w:pPr>
      <w:r>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2435" w:space="4087"/>
            <w:col w:w="276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5"/>
        <w:gridCol w:w="1625"/>
        <w:gridCol w:w="1608"/>
        <w:gridCol w:w="1639"/>
        <w:gridCol w:w="1592"/>
      </w:tblGrid>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25"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86,205.15</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12,858,799.81</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12,818,954.35</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126,050.61</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4,683.83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433,666.70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431,581.12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6,769.41</w:t>
            </w:r>
          </w:p>
        </w:tc>
      </w:tr>
      <w:tr>
        <w:trPr>
          <w:trHeight w:val="286"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625"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00" w:bottom="280" w:left="1060" w:right="1560"/>
        </w:sectPr>
      </w:pPr>
    </w:p>
    <w:p>
      <w:pPr>
        <w:spacing w:line="240" w:lineRule="auto" w:before="11"/>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2585"/>
        <w:gridCol w:w="1625"/>
        <w:gridCol w:w="1608"/>
        <w:gridCol w:w="1639"/>
        <w:gridCol w:w="1592"/>
      </w:tblGrid>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left="670" w:right="0"/>
              <w:jc w:val="left"/>
              <w:rPr>
                <w:rFonts w:ascii="Times New Roman" w:hAnsi="Times New Roman" w:cs="Times New Roman" w:eastAsia="Times New Roman" w:hint="default"/>
                <w:sz w:val="21"/>
                <w:szCs w:val="21"/>
              </w:rPr>
            </w:pPr>
            <w:r>
              <w:rPr>
                <w:rFonts w:ascii="Times New Roman"/>
                <w:sz w:val="21"/>
              </w:rPr>
              <w:t>90,888.98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85" w:right="0"/>
              <w:jc w:val="left"/>
              <w:rPr>
                <w:rFonts w:ascii="Times New Roman" w:hAnsi="Times New Roman" w:cs="Times New Roman" w:eastAsia="Times New Roman" w:hint="default"/>
                <w:sz w:val="21"/>
                <w:szCs w:val="21"/>
              </w:rPr>
            </w:pPr>
            <w:r>
              <w:rPr>
                <w:rFonts w:ascii="Times New Roman"/>
                <w:sz w:val="21"/>
              </w:rPr>
              <w:t>13,292,466.51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19" w:right="0"/>
              <w:jc w:val="left"/>
              <w:rPr>
                <w:rFonts w:ascii="Times New Roman" w:hAnsi="Times New Roman" w:cs="Times New Roman" w:eastAsia="Times New Roman" w:hint="default"/>
                <w:sz w:val="21"/>
                <w:szCs w:val="21"/>
              </w:rPr>
            </w:pPr>
            <w:r>
              <w:rPr>
                <w:rFonts w:ascii="Times New Roman"/>
                <w:sz w:val="21"/>
              </w:rPr>
              <w:t>13,250,535.47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33" w:right="0"/>
              <w:jc w:val="left"/>
              <w:rPr>
                <w:rFonts w:ascii="Times New Roman" w:hAnsi="Times New Roman" w:cs="Times New Roman" w:eastAsia="Times New Roman" w:hint="default"/>
                <w:sz w:val="21"/>
                <w:szCs w:val="21"/>
              </w:rPr>
            </w:pPr>
            <w:r>
              <w:rPr>
                <w:rFonts w:ascii="Times New Roman"/>
                <w:sz w:val="21"/>
              </w:rPr>
              <w:t>132,820.02</w:t>
            </w:r>
          </w:p>
        </w:tc>
      </w:tr>
    </w:tbl>
    <w:p>
      <w:pPr>
        <w:pStyle w:val="Heading3"/>
        <w:spacing w:line="274" w:lineRule="exact"/>
        <w:ind w:left="216" w:right="0"/>
        <w:jc w:val="left"/>
      </w:pPr>
      <w:r>
        <w:rPr/>
        <w:t> </w:t>
      </w:r>
    </w:p>
    <w:p>
      <w:pPr>
        <w:pStyle w:val="BodyText"/>
        <w:spacing w:line="273" w:lineRule="exact" w:before="4"/>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6" w:right="0"/>
        <w:jc w:val="left"/>
      </w:pPr>
      <w:r>
        <w:rPr/>
        <w:t> </w:t>
      </w:r>
    </w:p>
    <w:p>
      <w:pPr>
        <w:spacing w:after="0" w:line="310" w:lineRule="exact"/>
        <w:jc w:val="left"/>
        <w:sectPr>
          <w:pgSz w:w="11910" w:h="16840"/>
          <w:pgMar w:header="857" w:footer="979" w:top="1120" w:bottom="1160" w:left="1060" w:right="1560"/>
        </w:sectPr>
      </w:pPr>
    </w:p>
    <w:p>
      <w:pPr>
        <w:pStyle w:val="Heading4"/>
        <w:spacing w:line="240" w:lineRule="auto" w:before="61"/>
        <w:ind w:left="171" w:right="86"/>
        <w:jc w:val="center"/>
        <w:rPr>
          <w:rFonts w:ascii="宋体" w:hAnsi="宋体" w:cs="宋体" w:eastAsia="宋体" w:hint="default"/>
          <w:b w:val="0"/>
          <w:bCs w:val="0"/>
        </w:rPr>
      </w:pPr>
      <w:r>
        <w:rPr>
          <w:rFonts w:ascii="Times New Roman" w:hAnsi="Times New Roman" w:cs="Times New Roman" w:eastAsia="Times New Roman" w:hint="default"/>
        </w:rPr>
        <w:t>38</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302" w:right="86"/>
        <w:jc w:val="center"/>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26"/>
          <w:szCs w:val="26"/>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112,765,859.01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72,322,868.04</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14,299,249.15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16,825,315.04</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613,978.08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466,760.02</w:t>
            </w: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473,566.21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830,449.27</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243,184.97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164,609.65</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340,107.52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609,365.54</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92,851.35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102,687.50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2,211.61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2,764.52</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149,908.70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193,112.02</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128,980,916.60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91,517,931.60</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69"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09" w:lineRule="exact"/>
        <w:ind w:left="216" w:right="0"/>
        <w:jc w:val="left"/>
      </w:pPr>
      <w:r>
        <w:rPr>
          <w:rFonts w:ascii="宋体" w:hAnsi="宋体" w:cs="宋体" w:eastAsia="宋体" w:hint="default"/>
        </w:rPr>
        <w:t>无</w:t>
      </w:r>
      <w:r>
        <w:rPr/>
        <w:t> </w:t>
      </w:r>
    </w:p>
    <w:p>
      <w:pPr>
        <w:pStyle w:val="Heading3"/>
        <w:spacing w:line="313" w:lineRule="exact"/>
        <w:ind w:left="216" w:right="0"/>
        <w:jc w:val="left"/>
      </w:pPr>
      <w:r>
        <w:rPr/>
        <w:t> </w:t>
      </w:r>
    </w:p>
    <w:p>
      <w:pPr>
        <w:spacing w:after="0" w:line="313" w:lineRule="exact"/>
        <w:jc w:val="left"/>
        <w:sectPr>
          <w:type w:val="continuous"/>
          <w:pgSz w:w="11910" w:h="16840"/>
          <w:pgMar w:top="1500" w:bottom="280" w:left="1060" w:right="1560"/>
        </w:sectPr>
      </w:pPr>
    </w:p>
    <w:p>
      <w:pPr>
        <w:pStyle w:val="Heading4"/>
        <w:spacing w:line="276" w:lineRule="auto" w:before="61"/>
        <w:ind w:left="216" w:right="149" w:firstLine="142"/>
        <w:jc w:val="left"/>
        <w:rPr>
          <w:rFonts w:ascii="宋体" w:hAnsi="宋体" w:cs="宋体" w:eastAsia="宋体" w:hint="default"/>
          <w:b w:val="0"/>
          <w:bCs w:val="0"/>
        </w:rPr>
      </w:pPr>
      <w:r>
        <w:rPr>
          <w:rFonts w:ascii="Times New Roman" w:hAnsi="Times New Roman" w:cs="Times New Roman" w:eastAsia="Times New Roman" w:hint="default"/>
        </w:rPr>
        <w:t>39</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5"/>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31,128,729.77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34,355,407.95</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31,128,729.77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34,355,407.95</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3"/>
        <w:ind w:left="216"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56"/>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6" w:right="0"/>
        <w:jc w:val="left"/>
      </w:pPr>
      <w:r>
        <w:rPr/>
        <w:t> </w:t>
      </w:r>
    </w:p>
    <w:p>
      <w:pPr>
        <w:pStyle w:val="Heading4"/>
        <w:spacing w:line="290" w:lineRule="auto"/>
        <w:ind w:left="216" w:right="7674"/>
        <w:jc w:val="left"/>
        <w:rPr>
          <w:rFonts w:ascii="宋体" w:hAnsi="宋体" w:cs="宋体" w:eastAsia="宋体" w:hint="default"/>
          <w:b w:val="0"/>
          <w:bCs w:val="0"/>
        </w:rPr>
      </w:pPr>
      <w:r>
        <w:rPr/>
        <w:t>应付股利</w:t>
      </w:r>
      <w:r>
        <w:rPr>
          <w:rFonts w:ascii="宋体" w:hAnsi="宋体" w:cs="宋体" w:eastAsia="宋体" w:hint="default"/>
          <w:w w:val="99"/>
        </w:rPr>
        <w:t> </w:t>
      </w:r>
      <w:r>
        <w:rPr>
          <w:rFonts w:ascii="宋体" w:hAnsi="宋体" w:cs="宋体" w:eastAsia="宋体" w:hint="default"/>
        </w:rPr>
        <w:t>(2).</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14"/>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216" w:right="0"/>
        <w:jc w:val="left"/>
      </w:pPr>
      <w:r>
        <w:rPr/>
        <w:t> </w:t>
      </w:r>
    </w:p>
    <w:p>
      <w:pPr>
        <w:spacing w:after="0" w:line="309" w:lineRule="exact"/>
        <w:jc w:val="left"/>
        <w:sectPr>
          <w:type w:val="continuous"/>
          <w:pgSz w:w="11910" w:h="16840"/>
          <w:pgMar w:top="1500" w:bottom="280" w:left="1060" w:right="1560"/>
        </w:sect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979" w:top="1120" w:bottom="1160" w:left="1060" w:right="1560"/>
        </w:sectPr>
      </w:pPr>
    </w:p>
    <w:p>
      <w:pPr>
        <w:pStyle w:val="Heading4"/>
        <w:spacing w:line="240" w:lineRule="auto" w:before="36"/>
        <w:ind w:left="216" w:right="0"/>
        <w:jc w:val="left"/>
        <w:rPr>
          <w:rFonts w:ascii="宋体" w:hAnsi="宋体" w:cs="宋体" w:eastAsia="宋体" w:hint="default"/>
          <w:b w:val="0"/>
          <w:bCs w:val="0"/>
        </w:rPr>
      </w:pPr>
      <w:r>
        <w:rPr/>
        <w:t>其他应付款</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3382" w:space="3141"/>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应付限制性股票回购义务款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14,170,319.79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15,732,668.62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3,199,645.63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4,897,172.88</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13,758,764.35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13,725,566.45</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31,128,729.77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34,355,407.95</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500" w:bottom="2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1"/>
          <w:szCs w:val="21"/>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60" w:right="1560"/>
          <w:cols w:num="2" w:equalWidth="0">
            <w:col w:w="3806" w:space="2716"/>
            <w:col w:w="2768"/>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0"/>
        <w:gridCol w:w="2612"/>
        <w:gridCol w:w="3529"/>
      </w:tblGrid>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4"/>
                <w:szCs w:val="24"/>
              </w:rPr>
            </w:pPr>
            <w:r>
              <w:rPr>
                <w:rFonts w:ascii="宋体" w:hAnsi="宋体" w:cs="宋体" w:eastAsia="宋体" w:hint="default"/>
                <w:sz w:val="21"/>
                <w:szCs w:val="21"/>
              </w:rPr>
              <w:t>其他应付客户一</w:t>
            </w:r>
            <w:r>
              <w:rPr>
                <w:rFonts w:ascii="宋体" w:hAnsi="宋体" w:cs="宋体" w:eastAsia="宋体" w:hint="default"/>
                <w:sz w:val="24"/>
                <w:szCs w:val="24"/>
              </w:rPr>
              <w:t> </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88" w:right="0"/>
              <w:jc w:val="left"/>
              <w:rPr>
                <w:rFonts w:ascii="Times New Roman" w:hAnsi="Times New Roman" w:cs="Times New Roman" w:eastAsia="Times New Roman" w:hint="default"/>
                <w:sz w:val="21"/>
                <w:szCs w:val="21"/>
              </w:rPr>
            </w:pPr>
            <w:r>
              <w:rPr>
                <w:rFonts w:ascii="Times New Roman"/>
                <w:sz w:val="21"/>
              </w:rPr>
              <w:t>14,170,319.79</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限制性股票回购义务款未到回购期</w:t>
            </w:r>
            <w:r>
              <w:rPr>
                <w:rFonts w:ascii="宋体" w:hAnsi="宋体" w:cs="宋体" w:eastAsia="宋体" w:hint="default"/>
                <w:sz w:val="21"/>
                <w:szCs w:val="21"/>
              </w:rPr>
              <w:t> </w:t>
            </w:r>
          </w:p>
        </w:tc>
      </w:tr>
      <w:tr>
        <w:trPr>
          <w:trHeight w:val="32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4"/>
                <w:szCs w:val="24"/>
              </w:rPr>
            </w:pPr>
            <w:r>
              <w:rPr>
                <w:rFonts w:ascii="宋体" w:hAnsi="宋体" w:cs="宋体" w:eastAsia="宋体" w:hint="default"/>
                <w:sz w:val="21"/>
                <w:szCs w:val="21"/>
              </w:rPr>
              <w:t>合计</w:t>
            </w:r>
            <w:r>
              <w:rPr>
                <w:rFonts w:ascii="宋体" w:hAnsi="宋体" w:cs="宋体" w:eastAsia="宋体" w:hint="default"/>
                <w:sz w:val="24"/>
                <w:szCs w:val="24"/>
              </w:rPr>
              <w:t> </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88" w:right="-15"/>
              <w:jc w:val="left"/>
              <w:rPr>
                <w:rFonts w:ascii="宋体" w:hAnsi="宋体" w:cs="宋体" w:eastAsia="宋体" w:hint="default"/>
                <w:sz w:val="24"/>
                <w:szCs w:val="24"/>
              </w:rPr>
            </w:pPr>
            <w:r>
              <w:rPr>
                <w:rFonts w:ascii="Times New Roman"/>
                <w:sz w:val="21"/>
              </w:rPr>
              <w:t>14,170,319.79</w:t>
            </w:r>
            <w:r>
              <w:rPr>
                <w:rFonts w:ascii="宋体"/>
                <w:sz w:val="24"/>
              </w:rPr>
              <w:t> </w:t>
            </w:r>
          </w:p>
        </w:tc>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9" w:right="0"/>
              <w:jc w:val="center"/>
              <w:rPr>
                <w:rFonts w:ascii="宋体" w:hAnsi="宋体" w:cs="宋体" w:eastAsia="宋体" w:hint="default"/>
                <w:sz w:val="24"/>
                <w:szCs w:val="24"/>
              </w:rPr>
            </w:pPr>
            <w:r>
              <w:rPr>
                <w:rFonts w:ascii="宋体"/>
                <w:sz w:val="24"/>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1"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6" w:right="0"/>
        <w:jc w:val="left"/>
      </w:pPr>
      <w:r>
        <w:rPr/>
        <w:t> </w:t>
      </w:r>
    </w:p>
    <w:p>
      <w:pPr>
        <w:pStyle w:val="Heading4"/>
        <w:spacing w:line="240" w:lineRule="auto"/>
        <w:ind w:left="341" w:right="7218"/>
        <w:jc w:val="center"/>
        <w:rPr>
          <w:b w:val="0"/>
          <w:bCs w:val="0"/>
        </w:rPr>
      </w:pPr>
      <w:r>
        <w:rPr>
          <w:rFonts w:ascii="Times New Roman" w:hAnsi="Times New Roman" w:cs="Times New Roman" w:eastAsia="Times New Roman" w:hint="default"/>
        </w:rPr>
        <w:t>40</w:t>
      </w:r>
      <w:r>
        <w:rPr/>
        <w:t>、持有待售负债</w:t>
      </w:r>
      <w:r>
        <w:rPr>
          <w:b w:val="0"/>
          <w:bCs w:val="0"/>
        </w:rPr>
      </w:r>
    </w:p>
    <w:p>
      <w:pPr>
        <w:pStyle w:val="BodyText"/>
        <w:spacing w:line="271" w:lineRule="exact" w:before="40"/>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6" w:right="0"/>
        <w:jc w:val="left"/>
      </w:pPr>
      <w:r>
        <w:rPr/>
        <w:t> </w:t>
      </w:r>
    </w:p>
    <w:p>
      <w:pPr>
        <w:spacing w:after="0" w:line="310" w:lineRule="exact"/>
        <w:jc w:val="left"/>
        <w:sectPr>
          <w:type w:val="continuous"/>
          <w:pgSz w:w="11910" w:h="16840"/>
          <w:pgMar w:top="1500" w:bottom="280" w:left="1060" w:right="1560"/>
        </w:sectPr>
      </w:pPr>
    </w:p>
    <w:p>
      <w:pPr>
        <w:pStyle w:val="Heading4"/>
        <w:spacing w:line="240" w:lineRule="auto" w:before="61"/>
        <w:ind w:left="358" w:right="0"/>
        <w:jc w:val="left"/>
        <w:rPr>
          <w:rFonts w:ascii="宋体" w:hAnsi="宋体" w:cs="宋体" w:eastAsia="宋体" w:hint="default"/>
          <w:b w:val="0"/>
          <w:bCs w:val="0"/>
        </w:rPr>
      </w:pPr>
      <w:r>
        <w:rPr>
          <w:rFonts w:ascii="Times New Roman" w:hAnsi="Times New Roman" w:cs="Times New Roman" w:eastAsia="Times New Roman" w:hint="default"/>
        </w:rPr>
        <w:t>41</w:t>
      </w:r>
      <w:r>
        <w:rPr/>
        <w:t>、</w:t>
      </w:r>
      <w:r>
        <w:rPr>
          <w:rFonts w:ascii="宋体" w:hAnsi="宋体" w:cs="宋体" w:eastAsia="宋体" w:hint="default"/>
        </w:rPr>
        <w:t>1</w:t>
      </w:r>
      <w:r>
        <w:rPr>
          <w:rFonts w:ascii="宋体" w:hAnsi="宋体" w:cs="宋体" w:eastAsia="宋体" w:hint="default"/>
          <w:spacing w:val="-52"/>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3"/>
        <w:rPr>
          <w:rFonts w:ascii="宋体" w:hAnsi="宋体" w:cs="宋体" w:eastAsia="宋体" w:hint="default"/>
          <w:sz w:val="26"/>
          <w:szCs w:val="26"/>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60" w:right="1560"/>
          <w:cols w:num="2" w:equalWidth="0">
            <w:col w:w="3156" w:space="336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98"/>
        <w:gridCol w:w="3459"/>
        <w:gridCol w:w="2893"/>
      </w:tblGrid>
      <w:tr>
        <w:trPr>
          <w:trHeight w:val="281"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年内到期的长期应付款</w:t>
            </w:r>
            <w:r>
              <w:rPr>
                <w:rFonts w:ascii="宋体" w:hAnsi="宋体" w:cs="宋体" w:eastAsia="宋体" w:hint="default"/>
                <w:sz w:val="21"/>
                <w:szCs w:val="21"/>
              </w:rPr>
              <w:t> </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139,369,118.54</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55,823,267.50</w:t>
            </w:r>
          </w:p>
        </w:tc>
      </w:tr>
      <w:tr>
        <w:trPr>
          <w:trHeight w:val="322"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139,369,118.54</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55,823,267.50</w:t>
            </w:r>
          </w:p>
        </w:tc>
      </w:tr>
    </w:tbl>
    <w:p>
      <w:pPr>
        <w:pStyle w:val="Heading3"/>
        <w:spacing w:line="240" w:lineRule="auto" w:before="19"/>
        <w:ind w:left="216" w:right="0"/>
        <w:jc w:val="left"/>
      </w:pPr>
      <w:r>
        <w:rPr>
          <w:rFonts w:ascii="宋体" w:hAnsi="宋体" w:cs="宋体" w:eastAsia="宋体" w:hint="default"/>
        </w:rPr>
        <w:t>其他说明：</w:t>
      </w:r>
      <w:r>
        <w:rPr/>
        <w:t> </w:t>
      </w:r>
    </w:p>
    <w:p>
      <w:pPr>
        <w:pStyle w:val="BodyText"/>
        <w:spacing w:line="240" w:lineRule="auto" w:before="64"/>
        <w:ind w:left="697" w:right="0"/>
        <w:jc w:val="left"/>
        <w:rPr>
          <w:rFonts w:ascii="Times New Roman" w:hAnsi="Times New Roman" w:cs="Times New Roman" w:eastAsia="Times New Roman" w:hint="default"/>
        </w:rPr>
      </w:pPr>
      <w:r>
        <w:rPr/>
        <w:t>一年内到期的非流动负债具体情况详见注释</w:t>
      </w:r>
      <w:r>
        <w:rPr>
          <w:spacing w:val="-53"/>
        </w:rPr>
        <w:t> </w:t>
      </w:r>
      <w:r>
        <w:rPr>
          <w:rFonts w:ascii="Times New Roman" w:hAnsi="Times New Roman" w:cs="Times New Roman" w:eastAsia="Times New Roman" w:hint="default"/>
          <w:spacing w:val="-3"/>
        </w:rPr>
        <w:t>46</w:t>
      </w:r>
      <w:r>
        <w:rPr>
          <w:rFonts w:ascii="Times New Roman" w:hAnsi="Times New Roman" w:cs="Times New Roman" w:eastAsia="Times New Roman" w:hint="default"/>
        </w:rPr>
      </w:r>
    </w:p>
    <w:p>
      <w:pPr>
        <w:spacing w:line="276" w:lineRule="auto" w:before="40"/>
        <w:ind w:left="216" w:right="5782" w:firstLine="14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39" w:lineRule="exact"/>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0"/>
        <w:jc w:val="left"/>
        <w:rPr>
          <w:rFonts w:ascii="宋体" w:hAnsi="宋体" w:cs="宋体" w:eastAsia="宋体" w:hint="default"/>
        </w:rPr>
      </w:pPr>
      <w:r>
        <w:rPr>
          <w:rFonts w:ascii="宋体" w:hAnsi="宋体" w:cs="宋体" w:eastAsia="宋体" w:hint="default"/>
          <w:w w:val="100"/>
        </w:rPr>
        <w:t>  </w:t>
      </w:r>
      <w:r>
        <w:rPr>
          <w:w w:val="100"/>
        </w:rPr>
        <w:t>短期</w:t>
      </w:r>
      <w:r>
        <w:rPr>
          <w:spacing w:val="-3"/>
          <w:w w:val="100"/>
        </w:rPr>
        <w:t>应</w:t>
      </w:r>
      <w:r>
        <w:rPr>
          <w:w w:val="100"/>
        </w:rPr>
        <w:t>付</w:t>
      </w:r>
      <w:r>
        <w:rPr>
          <w:spacing w:val="-3"/>
          <w:w w:val="100"/>
        </w:rPr>
        <w:t>债</w:t>
      </w:r>
      <w:r>
        <w:rPr>
          <w:w w:val="100"/>
        </w:rPr>
        <w:t>券</w:t>
      </w:r>
      <w:r>
        <w:rPr>
          <w:spacing w:val="-3"/>
          <w:w w:val="100"/>
        </w:rPr>
        <w:t>的</w:t>
      </w:r>
      <w:r>
        <w:rPr>
          <w:w w:val="100"/>
        </w:rPr>
        <w:t>增</w:t>
      </w:r>
      <w:r>
        <w:rPr>
          <w:spacing w:val="-3"/>
          <w:w w:val="100"/>
        </w:rPr>
        <w:t>减</w:t>
      </w:r>
      <w:r>
        <w:rPr>
          <w:w w:val="100"/>
        </w:rPr>
        <w:t>变</w:t>
      </w:r>
      <w:r>
        <w:rPr>
          <w:spacing w:val="-3"/>
          <w:w w:val="100"/>
        </w:rPr>
        <w:t>动</w:t>
      </w:r>
      <w:r>
        <w:rPr>
          <w:w w:val="100"/>
        </w:rPr>
        <w:t>：</w:t>
      </w:r>
      <w:r>
        <w:rPr>
          <w:rFonts w:ascii="宋体" w:hAnsi="宋体" w:cs="宋体" w:eastAsia="宋体" w:hint="default"/>
          <w:w w:val="100"/>
        </w:rPr>
        <w:t> </w:t>
      </w:r>
    </w:p>
    <w:p>
      <w:pPr>
        <w:pStyle w:val="BodyText"/>
        <w:spacing w:line="248"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90" w:lineRule="auto"/>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4"/>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40" w:lineRule="auto" w:before="50"/>
        <w:ind w:left="216" w:right="0"/>
        <w:jc w:val="left"/>
      </w:pPr>
      <w:r>
        <w:rPr/>
        <w:t> </w:t>
      </w:r>
    </w:p>
    <w:p>
      <w:pPr>
        <w:pStyle w:val="Heading4"/>
        <w:spacing w:line="276" w:lineRule="auto"/>
        <w:ind w:left="216" w:right="7238" w:firstLine="142"/>
        <w:jc w:val="left"/>
        <w:rPr>
          <w:rFonts w:ascii="宋体" w:hAnsi="宋体" w:cs="宋体" w:eastAsia="宋体" w:hint="default"/>
          <w:b w:val="0"/>
          <w:bCs w:val="0"/>
        </w:rPr>
      </w:pPr>
      <w:r>
        <w:rPr>
          <w:rFonts w:ascii="Times New Roman" w:hAnsi="Times New Roman" w:cs="Times New Roman" w:eastAsia="Times New Roman" w:hint="default"/>
        </w:rPr>
        <w:t>43</w:t>
      </w:r>
      <w:r>
        <w:rPr/>
        <w:t>、长期借款</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2"/>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25"/>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0" w:lineRule="exact"/>
        <w:ind w:left="216" w:right="0"/>
        <w:jc w:val="left"/>
      </w:pPr>
      <w:r>
        <w:rPr/>
        <w:t> </w:t>
      </w:r>
    </w:p>
    <w:p>
      <w:pPr>
        <w:spacing w:after="0" w:line="310" w:lineRule="exact"/>
        <w:jc w:val="left"/>
        <w:sectPr>
          <w:type w:val="continuous"/>
          <w:pgSz w:w="11910" w:h="16840"/>
          <w:pgMar w:top="1500" w:bottom="280" w:left="1060" w:right="1560"/>
        </w:sectPr>
      </w:pPr>
    </w:p>
    <w:p>
      <w:pPr>
        <w:spacing w:line="240" w:lineRule="auto" w:before="6"/>
        <w:rPr>
          <w:rFonts w:ascii="宋体" w:hAnsi="宋体" w:cs="宋体" w:eastAsia="宋体" w:hint="default"/>
          <w:sz w:val="18"/>
          <w:szCs w:val="18"/>
        </w:rPr>
      </w:pPr>
    </w:p>
    <w:p>
      <w:pPr>
        <w:pStyle w:val="BodyText"/>
        <w:spacing w:line="273" w:lineRule="exact" w:before="36"/>
        <w:ind w:left="136" w:right="0"/>
        <w:jc w:val="left"/>
        <w:rPr>
          <w:rFonts w:ascii="宋体" w:hAnsi="宋体" w:cs="宋体" w:eastAsia="宋体" w:hint="default"/>
        </w:rPr>
      </w:pPr>
      <w:r>
        <w:rPr/>
        <w:t>其他说明，包括利率区间：</w:t>
      </w:r>
      <w:r>
        <w:rPr>
          <w:rFonts w:ascii="宋体" w:hAnsi="宋体" w:cs="宋体" w:eastAsia="宋体" w:hint="default"/>
        </w:rPr>
        <w:t> </w:t>
      </w:r>
    </w:p>
    <w:p>
      <w:pPr>
        <w:pStyle w:val="BodyText"/>
        <w:spacing w:line="269" w:lineRule="exact"/>
        <w:ind w:left="1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tabs>
          <w:tab w:pos="3017" w:val="left" w:leader="none"/>
        </w:tabs>
        <w:spacing w:line="310" w:lineRule="exact"/>
        <w:ind w:left="136" w:right="0"/>
        <w:jc w:val="left"/>
      </w:pPr>
      <w:r>
        <w:rPr/>
        <w:t> </w:t>
        <w:tab/>
        <w:t> </w:t>
      </w:r>
    </w:p>
    <w:p>
      <w:pPr>
        <w:spacing w:after="0" w:line="310" w:lineRule="exact"/>
        <w:jc w:val="left"/>
        <w:sectPr>
          <w:pgSz w:w="11910" w:h="16840"/>
          <w:pgMar w:header="857" w:footer="979" w:top="1120" w:bottom="1160" w:left="1140" w:right="1660"/>
        </w:sect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9"/>
          <w:szCs w:val="19"/>
        </w:rPr>
      </w:pPr>
    </w:p>
    <w:p>
      <w:pPr>
        <w:pStyle w:val="Heading4"/>
        <w:spacing w:line="240" w:lineRule="auto" w:before="0"/>
        <w:ind w:left="365" w:right="0"/>
        <w:jc w:val="left"/>
        <w:rPr>
          <w:rFonts w:ascii="宋体" w:hAnsi="宋体" w:cs="宋体" w:eastAsia="宋体" w:hint="default"/>
          <w:b w:val="0"/>
          <w:bCs w:val="0"/>
        </w:rPr>
      </w:pPr>
      <w:r>
        <w:rPr/>
        <w:pict>
          <v:group style="position:absolute;margin-left:74.760002pt;margin-top:-24.596315pt;width:695.65pt;height:.1pt;mso-position-horizontal-relative:page;mso-position-vertical-relative:paragraph;z-index:1432" coordorigin="1495,-492" coordsize="13913,2">
            <v:shape style="position:absolute;left:1495;top:-492;width:13913;height:2" coordorigin="1495,-492" coordsize="13913,0" path="m1495,-492l15408,-492e" filled="false" stroked="true" strokeweight=".72pt" strokecolor="#000000">
              <v:path arrowok="t"/>
            </v:shape>
            <w10:wrap type="none"/>
          </v:group>
        </w:pict>
      </w:r>
      <w:r>
        <w:rPr/>
        <w:pict>
          <v:shape style="position:absolute;margin-left:209.699997pt;margin-top:-37.796314pt;width:51.594pt;height:9.2pt;mso-position-horizontal-relative:page;mso-position-vertical-relative:paragraph;z-index:-1169992" type="#_x0000_t75" stroked="false">
            <v:imagedata r:id="rId18" o:title=""/>
          </v:shape>
        </w:pict>
      </w:r>
      <w:r>
        <w:rPr>
          <w:rFonts w:ascii="Times New Roman" w:hAnsi="Times New Roman" w:cs="Times New Roman" w:eastAsia="Times New Roman" w:hint="default"/>
        </w:rPr>
        <w:t>44</w:t>
      </w:r>
      <w:r>
        <w:rPr/>
        <w:t>、应付债券</w:t>
      </w:r>
      <w:r>
        <w:rPr>
          <w:rFonts w:ascii="宋体" w:hAnsi="宋体" w:cs="宋体" w:eastAsia="宋体" w:hint="default"/>
          <w:w w:val="99"/>
        </w:rPr>
        <w:t> </w:t>
      </w:r>
      <w:r>
        <w:rPr>
          <w:rFonts w:ascii="宋体" w:hAnsi="宋体" w:cs="宋体" w:eastAsia="宋体" w:hint="default"/>
          <w:b w:val="0"/>
          <w:bCs w:val="0"/>
        </w:rPr>
      </w:r>
    </w:p>
    <w:p>
      <w:pPr>
        <w:spacing w:before="45"/>
        <w:ind w:left="1392" w:right="0" w:firstLine="0"/>
        <w:jc w:val="left"/>
        <w:rPr>
          <w:rFonts w:ascii="宋体" w:hAnsi="宋体" w:cs="宋体" w:eastAsia="宋体" w:hint="default"/>
          <w:sz w:val="18"/>
          <w:szCs w:val="18"/>
        </w:rPr>
      </w:pPr>
      <w:r>
        <w:rPr/>
        <w:br w:type="column"/>
      </w:r>
      <w:r>
        <w:rPr>
          <w:rFonts w:ascii="宋体" w:hAnsi="宋体" w:cs="宋体" w:eastAsia="宋体" w:hint="default"/>
          <w:spacing w:val="1"/>
          <w:sz w:val="18"/>
          <w:szCs w:val="18"/>
        </w:rPr>
        <w:t> </w:t>
      </w:r>
      <w:r>
        <w:rPr>
          <w:rFonts w:ascii="宋体" w:hAnsi="宋体" w:cs="宋体" w:eastAsia="宋体" w:hint="default"/>
          <w:sz w:val="18"/>
          <w:szCs w:val="18"/>
        </w:rPr>
        <w:t>南威软件股份有限公司</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2"/>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w:t>
      </w:r>
      <w:r>
        <w:rPr>
          <w:rFonts w:ascii="宋体" w:hAnsi="宋体" w:cs="宋体" w:eastAsia="宋体" w:hint="default"/>
          <w:spacing w:val="-3"/>
          <w:sz w:val="18"/>
          <w:szCs w:val="18"/>
        </w:rPr>
        <w:t>告</w:t>
      </w:r>
      <w:r>
        <w:rPr>
          <w:rFonts w:ascii="宋体" w:hAnsi="宋体" w:cs="宋体" w:eastAsia="宋体" w:hint="default"/>
          <w:sz w:val="18"/>
          <w:szCs w:val="18"/>
        </w:rPr>
        <w:t>全文</w:t>
      </w:r>
    </w:p>
    <w:p>
      <w:pPr>
        <w:spacing w:after="0"/>
        <w:jc w:val="left"/>
        <w:rPr>
          <w:rFonts w:ascii="宋体" w:hAnsi="宋体" w:cs="宋体" w:eastAsia="宋体" w:hint="default"/>
          <w:sz w:val="18"/>
          <w:szCs w:val="18"/>
        </w:rPr>
        <w:sectPr>
          <w:headerReference w:type="default" r:id="rId62"/>
          <w:footerReference w:type="default" r:id="rId63"/>
          <w:pgSz w:w="16840" w:h="11910" w:orient="landscape"/>
          <w:pgMar w:header="0" w:footer="0" w:top="780" w:bottom="280" w:left="1300" w:right="1200"/>
          <w:cols w:num="2" w:equalWidth="0">
            <w:col w:w="1737" w:space="791"/>
            <w:col w:w="11812"/>
          </w:cols>
        </w:sectPr>
      </w:pPr>
    </w:p>
    <w:p>
      <w:pPr>
        <w:pStyle w:val="Heading4"/>
        <w:spacing w:line="240" w:lineRule="auto" w:before="43"/>
        <w:ind w:left="224" w:right="0"/>
        <w:jc w:val="left"/>
        <w:rPr>
          <w:rFonts w:ascii="宋体" w:hAnsi="宋体" w:cs="宋体" w:eastAsia="宋体" w:hint="default"/>
          <w:b w:val="0"/>
          <w:bCs w:val="0"/>
        </w:rPr>
      </w:pP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spacing w:line="240" w:lineRule="auto"/>
        <w:ind w:left="224"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500" w:bottom="280" w:left="1300" w:right="1200"/>
          <w:cols w:num="2" w:equalWidth="0">
            <w:col w:w="2011" w:space="9552"/>
            <w:col w:w="277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755"/>
        <w:gridCol w:w="4791"/>
        <w:gridCol w:w="4556"/>
      </w:tblGrid>
      <w:tr>
        <w:trPr>
          <w:trHeight w:val="283" w:hRule="exact"/>
        </w:trPr>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5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可转换公司债券</w:t>
            </w:r>
            <w:r>
              <w:rPr>
                <w:rFonts w:ascii="宋体" w:hAnsi="宋体" w:cs="宋体" w:eastAsia="宋体" w:hint="default"/>
                <w:sz w:val="21"/>
                <w:szCs w:val="21"/>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485,788,885.59</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1" w:hRule="exact"/>
        </w:trPr>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5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485,788,885.59</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500" w:bottom="280" w:left="1300" w:right="1200"/>
        </w:sectPr>
      </w:pPr>
    </w:p>
    <w:p>
      <w:pPr>
        <w:pStyle w:val="BodyText"/>
        <w:spacing w:line="241" w:lineRule="exact"/>
        <w:ind w:left="224" w:right="0"/>
        <w:jc w:val="left"/>
        <w:rPr>
          <w:rFonts w:ascii="宋体" w:hAnsi="宋体" w:cs="宋体" w:eastAsia="宋体" w:hint="default"/>
        </w:rPr>
      </w:pPr>
      <w:r>
        <w:rPr>
          <w:rFonts w:ascii="宋体"/>
          <w:w w:val="100"/>
        </w:rPr>
        <w:t> </w:t>
      </w:r>
    </w:p>
    <w:p>
      <w:pPr>
        <w:pStyle w:val="Heading4"/>
        <w:spacing w:line="240" w:lineRule="auto" w:before="58"/>
        <w:ind w:left="224" w:right="0"/>
        <w:jc w:val="left"/>
        <w:rPr>
          <w:rFonts w:ascii="宋体" w:hAnsi="宋体" w:cs="宋体" w:eastAsia="宋体" w:hint="default"/>
          <w:b w:val="0"/>
          <w:bCs w:val="0"/>
        </w:rPr>
      </w:pPr>
      <w:r>
        <w:rPr>
          <w:rFonts w:ascii="宋体" w:hAnsi="宋体" w:cs="宋体" w:eastAsia="宋体" w:hint="default"/>
          <w:w w:val="99"/>
        </w:rPr>
        <w:t>(2)</w:t>
      </w:r>
      <w:r>
        <w:rPr>
          <w:rFonts w:ascii="宋体" w:hAnsi="宋体" w:cs="宋体" w:eastAsia="宋体" w:hint="default"/>
          <w:spacing w:val="5"/>
          <w:w w:val="99"/>
        </w:rPr>
        <w:t>.</w:t>
      </w:r>
      <w:r>
        <w:rPr>
          <w:w w:val="100"/>
        </w:rPr>
        <w:t>应付债券的增减变</w:t>
      </w:r>
      <w:r>
        <w:rPr>
          <w:spacing w:val="-1"/>
          <w:w w:val="100"/>
        </w:rPr>
        <w:t>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2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00" w:bottom="280" w:left="1300" w:right="1200"/>
          <w:cols w:num="2" w:equalWidth="0">
            <w:col w:w="8453" w:space="3110"/>
            <w:col w:w="277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77"/>
        <w:gridCol w:w="1589"/>
        <w:gridCol w:w="1191"/>
        <w:gridCol w:w="538"/>
        <w:gridCol w:w="1589"/>
        <w:gridCol w:w="574"/>
        <w:gridCol w:w="1589"/>
        <w:gridCol w:w="1589"/>
        <w:gridCol w:w="1731"/>
        <w:gridCol w:w="430"/>
        <w:gridCol w:w="1706"/>
      </w:tblGrid>
      <w:tr>
        <w:trPr>
          <w:trHeight w:val="125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542" w:right="422"/>
              <w:jc w:val="left"/>
              <w:rPr>
                <w:rFonts w:ascii="宋体" w:hAnsi="宋体" w:cs="宋体" w:eastAsia="宋体" w:hint="default"/>
                <w:sz w:val="24"/>
                <w:szCs w:val="24"/>
              </w:rPr>
            </w:pPr>
            <w:r>
              <w:rPr>
                <w:rFonts w:ascii="宋体" w:hAnsi="宋体" w:cs="宋体" w:eastAsia="宋体" w:hint="default"/>
                <w:sz w:val="24"/>
                <w:szCs w:val="24"/>
              </w:rPr>
              <w:t>债券</w:t>
            </w:r>
            <w:r>
              <w:rPr>
                <w:rFonts w:ascii="宋体" w:hAnsi="宋体" w:cs="宋体" w:eastAsia="宋体" w:hint="default"/>
                <w:sz w:val="24"/>
                <w:szCs w:val="24"/>
              </w:rPr>
              <w:t> </w:t>
            </w:r>
            <w:r>
              <w:rPr>
                <w:rFonts w:ascii="宋体" w:hAnsi="宋体" w:cs="宋体" w:eastAsia="宋体" w:hint="default"/>
                <w:sz w:val="24"/>
                <w:szCs w:val="24"/>
              </w:rPr>
              <w:t>名称</w:t>
            </w:r>
            <w:r>
              <w:rPr>
                <w:rFonts w:ascii="宋体" w:hAnsi="宋体" w:cs="宋体" w:eastAsia="宋体" w:hint="default"/>
                <w:sz w:val="24"/>
                <w:szCs w:val="24"/>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549" w:right="0"/>
              <w:jc w:val="left"/>
              <w:rPr>
                <w:rFonts w:ascii="宋体" w:hAnsi="宋体" w:cs="宋体" w:eastAsia="宋体" w:hint="default"/>
                <w:sz w:val="24"/>
                <w:szCs w:val="24"/>
              </w:rPr>
            </w:pPr>
            <w:r>
              <w:rPr>
                <w:rFonts w:ascii="宋体" w:hAnsi="宋体" w:cs="宋体" w:eastAsia="宋体" w:hint="default"/>
                <w:sz w:val="24"/>
                <w:szCs w:val="24"/>
              </w:rPr>
              <w:t>面值</w:t>
            </w:r>
            <w:r>
              <w:rPr>
                <w:rFonts w:ascii="宋体" w:hAnsi="宋体" w:cs="宋体" w:eastAsia="宋体" w:hint="default"/>
                <w:sz w:val="24"/>
                <w:szCs w:val="24"/>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350" w:right="228"/>
              <w:jc w:val="left"/>
              <w:rPr>
                <w:rFonts w:ascii="宋体" w:hAnsi="宋体" w:cs="宋体" w:eastAsia="宋体" w:hint="default"/>
                <w:sz w:val="24"/>
                <w:szCs w:val="24"/>
              </w:rPr>
            </w:pPr>
            <w:r>
              <w:rPr>
                <w:rFonts w:ascii="宋体" w:hAnsi="宋体" w:cs="宋体" w:eastAsia="宋体" w:hint="default"/>
                <w:sz w:val="24"/>
                <w:szCs w:val="24"/>
              </w:rPr>
              <w:t>发行</w:t>
            </w:r>
            <w:r>
              <w:rPr>
                <w:rFonts w:ascii="宋体" w:hAnsi="宋体" w:cs="宋体" w:eastAsia="宋体" w:hint="default"/>
                <w:sz w:val="24"/>
                <w:szCs w:val="24"/>
              </w:rPr>
              <w:t> </w:t>
            </w:r>
            <w:r>
              <w:rPr>
                <w:rFonts w:ascii="宋体" w:hAnsi="宋体" w:cs="宋体" w:eastAsia="宋体" w:hint="default"/>
                <w:sz w:val="24"/>
                <w:szCs w:val="24"/>
              </w:rPr>
              <w:t>日期</w:t>
            </w:r>
            <w:r>
              <w:rPr>
                <w:rFonts w:ascii="宋体" w:hAnsi="宋体" w:cs="宋体" w:eastAsia="宋体" w:hint="default"/>
                <w:sz w:val="24"/>
                <w:szCs w:val="24"/>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3" w:right="0"/>
              <w:jc w:val="left"/>
              <w:rPr>
                <w:rFonts w:ascii="宋体" w:hAnsi="宋体" w:cs="宋体" w:eastAsia="宋体" w:hint="default"/>
                <w:sz w:val="24"/>
                <w:szCs w:val="24"/>
              </w:rPr>
            </w:pPr>
            <w:r>
              <w:rPr>
                <w:rFonts w:ascii="宋体" w:hAnsi="宋体" w:cs="宋体" w:eastAsia="宋体" w:hint="default"/>
                <w:sz w:val="24"/>
                <w:szCs w:val="24"/>
              </w:rPr>
              <w:t>债</w:t>
            </w:r>
          </w:p>
          <w:p>
            <w:pPr>
              <w:pStyle w:val="TableParagraph"/>
              <w:spacing w:line="237" w:lineRule="auto" w:before="1"/>
              <w:ind w:left="143" w:right="23"/>
              <w:jc w:val="left"/>
              <w:rPr>
                <w:rFonts w:ascii="宋体" w:hAnsi="宋体" w:cs="宋体" w:eastAsia="宋体" w:hint="default"/>
                <w:sz w:val="24"/>
                <w:szCs w:val="24"/>
              </w:rPr>
            </w:pPr>
            <w:r>
              <w:rPr>
                <w:rFonts w:ascii="宋体" w:hAnsi="宋体" w:cs="宋体" w:eastAsia="宋体" w:hint="default"/>
                <w:sz w:val="24"/>
                <w:szCs w:val="24"/>
              </w:rPr>
              <w:t>券</w:t>
            </w:r>
            <w:r>
              <w:rPr>
                <w:rFonts w:ascii="宋体" w:hAnsi="宋体" w:cs="宋体" w:eastAsia="宋体" w:hint="default"/>
                <w:sz w:val="24"/>
                <w:szCs w:val="24"/>
              </w:rPr>
              <w:t> </w:t>
            </w:r>
            <w:r>
              <w:rPr>
                <w:rFonts w:ascii="宋体" w:hAnsi="宋体" w:cs="宋体" w:eastAsia="宋体" w:hint="default"/>
                <w:sz w:val="24"/>
                <w:szCs w:val="24"/>
              </w:rPr>
              <w:t>期 限</w:t>
            </w:r>
            <w:r>
              <w:rPr>
                <w:rFonts w:ascii="宋体" w:hAnsi="宋体" w:cs="宋体" w:eastAsia="宋体" w:hint="default"/>
                <w:sz w:val="24"/>
                <w:szCs w:val="24"/>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551" w:right="425"/>
              <w:jc w:val="left"/>
              <w:rPr>
                <w:rFonts w:ascii="宋体" w:hAnsi="宋体" w:cs="宋体" w:eastAsia="宋体" w:hint="default"/>
                <w:sz w:val="24"/>
                <w:szCs w:val="24"/>
              </w:rPr>
            </w:pPr>
            <w:r>
              <w:rPr>
                <w:rFonts w:ascii="宋体" w:hAnsi="宋体" w:cs="宋体" w:eastAsia="宋体" w:hint="default"/>
                <w:sz w:val="24"/>
                <w:szCs w:val="24"/>
              </w:rPr>
              <w:t>发行</w:t>
            </w:r>
            <w:r>
              <w:rPr>
                <w:rFonts w:ascii="宋体" w:hAnsi="宋体" w:cs="宋体" w:eastAsia="宋体" w:hint="default"/>
                <w:sz w:val="24"/>
                <w:szCs w:val="24"/>
              </w:rPr>
              <w:t> </w:t>
            </w:r>
            <w:r>
              <w:rPr>
                <w:rFonts w:ascii="宋体" w:hAnsi="宋体" w:cs="宋体" w:eastAsia="宋体" w:hint="default"/>
                <w:sz w:val="24"/>
                <w:szCs w:val="24"/>
              </w:rPr>
              <w:t>金额</w:t>
            </w:r>
            <w:r>
              <w:rPr>
                <w:rFonts w:ascii="宋体" w:hAnsi="宋体" w:cs="宋体" w:eastAsia="宋体" w:hint="default"/>
                <w:sz w:val="24"/>
                <w:szCs w:val="24"/>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0" w:right="0"/>
              <w:jc w:val="left"/>
              <w:rPr>
                <w:rFonts w:ascii="宋体" w:hAnsi="宋体" w:cs="宋体" w:eastAsia="宋体" w:hint="default"/>
                <w:sz w:val="24"/>
                <w:szCs w:val="24"/>
              </w:rPr>
            </w:pPr>
            <w:r>
              <w:rPr>
                <w:rFonts w:ascii="宋体" w:hAnsi="宋体" w:cs="宋体" w:eastAsia="宋体" w:hint="default"/>
                <w:sz w:val="24"/>
                <w:szCs w:val="24"/>
              </w:rPr>
              <w:t>期</w:t>
            </w:r>
          </w:p>
          <w:p>
            <w:pPr>
              <w:pStyle w:val="TableParagraph"/>
              <w:spacing w:line="237" w:lineRule="auto" w:before="1"/>
              <w:ind w:left="160" w:right="41"/>
              <w:jc w:val="left"/>
              <w:rPr>
                <w:rFonts w:ascii="宋体" w:hAnsi="宋体" w:cs="宋体" w:eastAsia="宋体" w:hint="default"/>
                <w:sz w:val="24"/>
                <w:szCs w:val="24"/>
              </w:rPr>
            </w:pPr>
            <w:r>
              <w:rPr>
                <w:rFonts w:ascii="宋体" w:hAnsi="宋体" w:cs="宋体" w:eastAsia="宋体" w:hint="default"/>
                <w:sz w:val="24"/>
                <w:szCs w:val="24"/>
              </w:rPr>
              <w:t>初</w:t>
            </w:r>
            <w:r>
              <w:rPr>
                <w:rFonts w:ascii="宋体" w:hAnsi="宋体" w:cs="宋体" w:eastAsia="宋体" w:hint="default"/>
                <w:sz w:val="24"/>
                <w:szCs w:val="24"/>
              </w:rPr>
              <w:t> </w:t>
            </w:r>
            <w:r>
              <w:rPr>
                <w:rFonts w:ascii="宋体" w:hAnsi="宋体" w:cs="宋体" w:eastAsia="宋体" w:hint="default"/>
                <w:sz w:val="24"/>
                <w:szCs w:val="24"/>
              </w:rPr>
              <w:t>余 额</w:t>
            </w:r>
            <w:r>
              <w:rPr>
                <w:rFonts w:ascii="宋体" w:hAnsi="宋体" w:cs="宋体" w:eastAsia="宋体" w:hint="default"/>
                <w:sz w:val="24"/>
                <w:szCs w:val="24"/>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552" w:right="425"/>
              <w:jc w:val="left"/>
              <w:rPr>
                <w:rFonts w:ascii="宋体" w:hAnsi="宋体" w:cs="宋体" w:eastAsia="宋体" w:hint="default"/>
                <w:sz w:val="24"/>
                <w:szCs w:val="24"/>
              </w:rPr>
            </w:pPr>
            <w:r>
              <w:rPr>
                <w:rFonts w:ascii="宋体" w:hAnsi="宋体" w:cs="宋体" w:eastAsia="宋体" w:hint="default"/>
                <w:sz w:val="24"/>
                <w:szCs w:val="24"/>
              </w:rPr>
              <w:t>本期</w:t>
            </w:r>
            <w:r>
              <w:rPr>
                <w:rFonts w:ascii="宋体" w:hAnsi="宋体" w:cs="宋体" w:eastAsia="宋体" w:hint="default"/>
                <w:sz w:val="24"/>
                <w:szCs w:val="24"/>
              </w:rPr>
              <w:t> </w:t>
            </w:r>
            <w:r>
              <w:rPr>
                <w:rFonts w:ascii="宋体" w:hAnsi="宋体" w:cs="宋体" w:eastAsia="宋体" w:hint="default"/>
                <w:sz w:val="24"/>
                <w:szCs w:val="24"/>
              </w:rPr>
              <w:t>发行</w:t>
            </w:r>
            <w:r>
              <w:rPr>
                <w:rFonts w:ascii="宋体" w:hAnsi="宋体" w:cs="宋体" w:eastAsia="宋体" w:hint="default"/>
                <w:sz w:val="24"/>
                <w:szCs w:val="24"/>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552" w:right="185" w:hanging="360"/>
              <w:jc w:val="left"/>
              <w:rPr>
                <w:rFonts w:ascii="宋体" w:hAnsi="宋体" w:cs="宋体" w:eastAsia="宋体" w:hint="default"/>
                <w:sz w:val="24"/>
                <w:szCs w:val="24"/>
              </w:rPr>
            </w:pPr>
            <w:r>
              <w:rPr>
                <w:rFonts w:ascii="宋体" w:hAnsi="宋体" w:cs="宋体" w:eastAsia="宋体" w:hint="default"/>
                <w:sz w:val="24"/>
                <w:szCs w:val="24"/>
              </w:rPr>
              <w:t>按面值计提 利息</w:t>
            </w:r>
            <w:r>
              <w:rPr>
                <w:rFonts w:ascii="宋体" w:hAnsi="宋体" w:cs="宋体" w:eastAsia="宋体" w:hint="default"/>
                <w:sz w:val="24"/>
                <w:szCs w:val="24"/>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39"/>
              <w:jc w:val="right"/>
              <w:rPr>
                <w:rFonts w:ascii="宋体" w:hAnsi="宋体" w:cs="宋体" w:eastAsia="宋体" w:hint="default"/>
                <w:sz w:val="24"/>
                <w:szCs w:val="24"/>
              </w:rPr>
            </w:pPr>
            <w:r>
              <w:rPr>
                <w:rFonts w:ascii="宋体" w:hAnsi="宋体" w:cs="宋体" w:eastAsia="宋体" w:hint="default"/>
                <w:sz w:val="24"/>
                <w:szCs w:val="24"/>
              </w:rPr>
              <w:t>溢折价摊销</w:t>
            </w:r>
            <w:r>
              <w:rPr>
                <w:rFonts w:ascii="宋体" w:hAnsi="宋体" w:cs="宋体" w:eastAsia="宋体" w:hint="default"/>
                <w:sz w:val="24"/>
                <w:szCs w:val="24"/>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49"/>
              <w:jc w:val="left"/>
              <w:rPr>
                <w:rFonts w:ascii="宋体" w:hAnsi="宋体" w:cs="宋体" w:eastAsia="宋体" w:hint="default"/>
                <w:sz w:val="24"/>
                <w:szCs w:val="24"/>
              </w:rPr>
            </w:pPr>
            <w:r>
              <w:rPr>
                <w:rFonts w:ascii="宋体" w:hAnsi="宋体" w:cs="宋体" w:eastAsia="宋体" w:hint="default"/>
                <w:sz w:val="24"/>
                <w:szCs w:val="24"/>
              </w:rPr>
              <w:t>本</w:t>
            </w:r>
          </w:p>
          <w:p>
            <w:pPr>
              <w:pStyle w:val="TableParagraph"/>
              <w:spacing w:line="237" w:lineRule="auto" w:before="1"/>
              <w:ind w:left="108" w:right="-49"/>
              <w:jc w:val="left"/>
              <w:rPr>
                <w:rFonts w:ascii="宋体" w:hAnsi="宋体" w:cs="宋体" w:eastAsia="宋体" w:hint="default"/>
                <w:sz w:val="24"/>
                <w:szCs w:val="24"/>
              </w:rPr>
            </w:pPr>
            <w:r>
              <w:rPr>
                <w:rFonts w:ascii="宋体" w:hAnsi="宋体" w:cs="宋体" w:eastAsia="宋体" w:hint="default"/>
                <w:sz w:val="24"/>
                <w:szCs w:val="24"/>
              </w:rPr>
              <w:t>期</w:t>
            </w:r>
            <w:r>
              <w:rPr>
                <w:rFonts w:ascii="宋体" w:hAnsi="宋体" w:cs="宋体" w:eastAsia="宋体" w:hint="default"/>
                <w:sz w:val="24"/>
                <w:szCs w:val="24"/>
              </w:rPr>
              <w:t> </w:t>
            </w:r>
            <w:r>
              <w:rPr>
                <w:rFonts w:ascii="宋体" w:hAnsi="宋体" w:cs="宋体" w:eastAsia="宋体" w:hint="default"/>
                <w:sz w:val="24"/>
                <w:szCs w:val="24"/>
              </w:rPr>
              <w:t>偿 还</w:t>
            </w:r>
            <w:r>
              <w:rPr>
                <w:rFonts w:ascii="宋体" w:hAnsi="宋体" w:cs="宋体" w:eastAsia="宋体" w:hint="default"/>
                <w:sz w:val="24"/>
                <w:szCs w:val="24"/>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607" w:right="487"/>
              <w:jc w:val="left"/>
              <w:rPr>
                <w:rFonts w:ascii="宋体" w:hAnsi="宋体" w:cs="宋体" w:eastAsia="宋体" w:hint="default"/>
                <w:sz w:val="24"/>
                <w:szCs w:val="24"/>
              </w:rPr>
            </w:pPr>
            <w:r>
              <w:rPr>
                <w:rFonts w:ascii="宋体" w:hAnsi="宋体" w:cs="宋体" w:eastAsia="宋体" w:hint="default"/>
                <w:sz w:val="24"/>
                <w:szCs w:val="24"/>
              </w:rPr>
              <w:t>期末</w:t>
            </w:r>
            <w:r>
              <w:rPr>
                <w:rFonts w:ascii="宋体" w:hAnsi="宋体" w:cs="宋体" w:eastAsia="宋体" w:hint="default"/>
                <w:sz w:val="24"/>
                <w:szCs w:val="24"/>
              </w:rPr>
              <w:t> </w:t>
            </w:r>
            <w:r>
              <w:rPr>
                <w:rFonts w:ascii="宋体" w:hAnsi="宋体" w:cs="宋体" w:eastAsia="宋体" w:hint="default"/>
                <w:sz w:val="24"/>
                <w:szCs w:val="24"/>
              </w:rPr>
              <w:t>余额</w:t>
            </w:r>
            <w:r>
              <w:rPr>
                <w:rFonts w:ascii="宋体" w:hAnsi="宋体" w:cs="宋体" w:eastAsia="宋体" w:hint="default"/>
                <w:sz w:val="24"/>
                <w:szCs w:val="24"/>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南威转债</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3" w:right="0"/>
              <w:jc w:val="left"/>
              <w:rPr>
                <w:rFonts w:ascii="Times New Roman" w:hAnsi="Times New Roman" w:cs="Times New Roman" w:eastAsia="Times New Roman" w:hint="default"/>
                <w:sz w:val="21"/>
                <w:szCs w:val="21"/>
              </w:rPr>
            </w:pPr>
            <w:r>
              <w:rPr>
                <w:rFonts w:ascii="Times New Roman"/>
                <w:sz w:val="21"/>
              </w:rPr>
              <w:t>100.00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6" w:right="0"/>
              <w:jc w:val="center"/>
              <w:rPr>
                <w:rFonts w:ascii="Times New Roman" w:hAnsi="Times New Roman" w:cs="Times New Roman" w:eastAsia="Times New Roman" w:hint="default"/>
                <w:sz w:val="21"/>
                <w:szCs w:val="21"/>
              </w:rPr>
            </w:pPr>
            <w:r>
              <w:rPr>
                <w:rFonts w:ascii="Times New Roman"/>
                <w:sz w:val="21"/>
              </w:rPr>
              <w:t>2019-7-15</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1" w:right="0"/>
              <w:jc w:val="left"/>
              <w:rPr>
                <w:rFonts w:ascii="Times New Roman" w:hAnsi="Times New Roman" w:cs="Times New Roman" w:eastAsia="Times New Roman" w:hint="default"/>
                <w:sz w:val="21"/>
                <w:szCs w:val="21"/>
              </w:rPr>
            </w:pPr>
            <w:r>
              <w:rPr>
                <w:rFonts w:ascii="Times New Roman"/>
                <w:w w:val="100"/>
                <w:sz w:val="21"/>
              </w:rPr>
              <w:t>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660,000,000.00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 w:right="0"/>
              <w:jc w:val="center"/>
              <w:rPr>
                <w:rFonts w:ascii="Times New Roman" w:hAnsi="Times New Roman" w:cs="Times New Roman" w:eastAsia="Times New Roman" w:hint="default"/>
                <w:sz w:val="21"/>
                <w:szCs w:val="21"/>
              </w:rPr>
            </w:pPr>
            <w:r>
              <w:rPr>
                <w:rFonts w:ascii="Times New Roman"/>
                <w:sz w:val="21"/>
              </w:rPr>
              <w:t>660,000,000.00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1,475,833.33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-175,686,947.74</w:t>
            </w:r>
          </w:p>
        </w:tc>
        <w:tc>
          <w:tcPr>
            <w:tcW w:w="430"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485,788,885.59</w:t>
            </w:r>
          </w:p>
        </w:tc>
      </w:tr>
      <w:tr>
        <w:trPr>
          <w:trHeight w:val="322"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42"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sz w:val="24"/>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sz w:val="24"/>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3" w:right="0"/>
              <w:jc w:val="left"/>
              <w:rPr>
                <w:rFonts w:ascii="宋体" w:hAnsi="宋体" w:cs="宋体" w:eastAsia="宋体" w:hint="default"/>
                <w:sz w:val="24"/>
                <w:szCs w:val="24"/>
              </w:rPr>
            </w:pPr>
            <w:r>
              <w:rPr>
                <w:rFonts w:ascii="宋体"/>
                <w:sz w:val="24"/>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7" w:right="0"/>
              <w:jc w:val="center"/>
              <w:rPr>
                <w:rFonts w:ascii="Times New Roman" w:hAnsi="Times New Roman" w:cs="Times New Roman" w:eastAsia="Times New Roman" w:hint="default"/>
                <w:sz w:val="21"/>
                <w:szCs w:val="21"/>
              </w:rPr>
            </w:pPr>
            <w:r>
              <w:rPr>
                <w:rFonts w:ascii="Times New Roman"/>
                <w:sz w:val="21"/>
              </w:rPr>
              <w:t>660,000,000.00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7" w:right="0"/>
              <w:jc w:val="center"/>
              <w:rPr>
                <w:rFonts w:ascii="Times New Roman" w:hAnsi="Times New Roman" w:cs="Times New Roman" w:eastAsia="Times New Roman" w:hint="default"/>
                <w:sz w:val="21"/>
                <w:szCs w:val="21"/>
              </w:rPr>
            </w:pPr>
            <w:r>
              <w:rPr>
                <w:rFonts w:ascii="Times New Roman"/>
                <w:sz w:val="21"/>
              </w:rPr>
              <w:t>660,000,000.00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1,475,833.33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pacing w:val="-1"/>
                <w:sz w:val="21"/>
              </w:rPr>
              <w:t>-175,686,947.74</w:t>
            </w:r>
          </w:p>
        </w:tc>
        <w:tc>
          <w:tcPr>
            <w:tcW w:w="430"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485,788,885.59</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4"/>
        <w:spacing w:line="240" w:lineRule="auto" w:before="56"/>
        <w:ind w:left="224" w:right="0"/>
        <w:jc w:val="left"/>
        <w:rPr>
          <w:rFonts w:ascii="宋体" w:hAnsi="宋体" w:cs="宋体" w:eastAsia="宋体" w:hint="default"/>
          <w:b w:val="0"/>
          <w:bCs w:val="0"/>
        </w:rPr>
      </w:pPr>
      <w:bookmarkStart w:name="OLE_LINK16" w:id="14"/>
      <w:bookmarkEnd w:id="14"/>
      <w:r>
        <w:rPr>
          <w:b w:val="0"/>
          <w:bCs w:val="0"/>
        </w:rPr>
      </w:r>
      <w:bookmarkStart w:name="OLE_LINK18" w:id="15"/>
      <w:bookmarkEnd w:id="15"/>
      <w:r>
        <w:rPr>
          <w:b w:val="0"/>
          <w:bCs w:val="0"/>
        </w:rPr>
      </w:r>
      <w:r>
        <w:rPr>
          <w:rFonts w:ascii="宋体" w:hAnsi="宋体" w:cs="宋体" w:eastAsia="宋体" w:hint="default"/>
        </w:rPr>
        <w:t>(3).</w:t>
      </w:r>
      <w:r>
        <w:rPr/>
        <w:t>可转换公司债券的转股条件、转股时间说明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4" w:right="0"/>
        <w:jc w:val="left"/>
        <w:rPr>
          <w:rFonts w:ascii="宋体" w:hAnsi="宋体" w:cs="宋体" w:eastAsia="宋体" w:hint="default"/>
          <w:sz w:val="24"/>
          <w:szCs w:val="24"/>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before="133"/>
        <w:ind w:left="704" w:right="0"/>
        <w:jc w:val="left"/>
      </w:pPr>
      <w:r>
        <w:rPr/>
        <w:t>根据有关规定和《南威软件股份有限公司公开发行可转换公司债券募集说明书》，公司发行的</w:t>
      </w:r>
      <w:r>
        <w:rPr>
          <w:rFonts w:ascii="Times New Roman" w:hAnsi="Times New Roman" w:cs="Times New Roman" w:eastAsia="Times New Roman" w:hint="default"/>
        </w:rPr>
        <w:t>“</w:t>
      </w:r>
      <w:r>
        <w:rPr/>
        <w:t>南威转债</w:t>
      </w:r>
      <w:r>
        <w:rPr>
          <w:rFonts w:ascii="Times New Roman" w:hAnsi="Times New Roman" w:cs="Times New Roman" w:eastAsia="Times New Roman" w:hint="default"/>
        </w:rPr>
        <w:t>”</w:t>
      </w:r>
      <w:r>
        <w:rPr/>
        <w:t>自发行结束之日（</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日）起</w:t>
      </w:r>
    </w:p>
    <w:p>
      <w:pPr>
        <w:pStyle w:val="BodyText"/>
        <w:spacing w:line="240" w:lineRule="auto" w:before="69"/>
        <w:ind w:left="224" w:right="0"/>
        <w:jc w:val="left"/>
      </w:pPr>
      <w:r>
        <w:rPr/>
        <w:t>满六个月后的第一个交易日，即</w:t>
      </w:r>
      <w:r>
        <w:rPr>
          <w:spacing w:val="-53"/>
        </w:rPr>
        <w:t> </w:t>
      </w:r>
      <w:r>
        <w:rPr>
          <w:rFonts w:ascii="Times New Roman" w:hAnsi="Times New Roman" w:cs="Times New Roman" w:eastAsia="Times New Roman" w:hint="default"/>
        </w:rPr>
        <w:t>2020 </w:t>
      </w:r>
      <w:r>
        <w:rPr/>
        <w:t>年</w:t>
      </w:r>
      <w:r>
        <w:rPr>
          <w:spacing w:val="-54"/>
        </w:rPr>
        <w:t> </w:t>
      </w:r>
      <w:r>
        <w:rPr>
          <w:rFonts w:ascii="Times New Roman" w:hAnsi="Times New Roman" w:cs="Times New Roman" w:eastAsia="Times New Roman" w:hint="default"/>
        </w:rPr>
        <w:t>1 </w:t>
      </w:r>
      <w:r>
        <w:rPr/>
        <w:t>月</w:t>
      </w:r>
      <w:r>
        <w:rPr>
          <w:spacing w:val="-55"/>
        </w:rPr>
        <w:t> </w:t>
      </w:r>
      <w:r>
        <w:rPr>
          <w:rFonts w:ascii="Times New Roman" w:hAnsi="Times New Roman" w:cs="Times New Roman" w:eastAsia="Times New Roman" w:hint="default"/>
        </w:rPr>
        <w:t>20 </w:t>
      </w:r>
      <w:r>
        <w:rPr/>
        <w:t>日起可转换为公司股份。</w:t>
      </w:r>
    </w:p>
    <w:p>
      <w:pPr>
        <w:pStyle w:val="BodyText"/>
        <w:spacing w:line="240" w:lineRule="auto" w:before="129"/>
        <w:ind w:left="644" w:right="0"/>
        <w:jc w:val="left"/>
      </w:pPr>
      <w:r>
        <w:rPr/>
        <w:t>持有人可在转股期间内（</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日至</w:t>
      </w:r>
      <w:r>
        <w:rPr>
          <w:spacing w:val="-54"/>
        </w:rPr>
        <w:t> </w:t>
      </w:r>
      <w:r>
        <w:rPr>
          <w:rFonts w:ascii="Times New Roman" w:hAnsi="Times New Roman" w:cs="Times New Roman" w:eastAsia="Times New Roman" w:hint="default"/>
        </w:rPr>
        <w:t>2025</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日）在上海证券交易所交易日的正常交易时间申报转股，初始转股价格</w:t>
      </w:r>
      <w:r>
        <w:rPr>
          <w:spacing w:val="-54"/>
        </w:rPr>
        <w:t> </w:t>
      </w:r>
      <w:r>
        <w:rPr>
          <w:rFonts w:ascii="Times New Roman" w:hAnsi="Times New Roman" w:cs="Times New Roman" w:eastAsia="Times New Roman" w:hint="default"/>
        </w:rPr>
        <w:t>10.13</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w:t>
      </w:r>
    </w:p>
    <w:p>
      <w:pPr>
        <w:pStyle w:val="BodyText"/>
        <w:spacing w:line="240" w:lineRule="auto" w:before="70"/>
        <w:ind w:left="224" w:right="0"/>
        <w:jc w:val="left"/>
        <w:rPr>
          <w:rFonts w:ascii="宋体" w:hAnsi="宋体" w:cs="宋体" w:eastAsia="宋体" w:hint="default"/>
          <w:sz w:val="24"/>
          <w:szCs w:val="24"/>
        </w:rPr>
      </w:pPr>
      <w:r>
        <w:rPr/>
        <w:t>最新转股价格为</w:t>
      </w:r>
      <w:r>
        <w:rPr>
          <w:spacing w:val="-55"/>
        </w:rPr>
        <w:t> </w:t>
      </w:r>
      <w:r>
        <w:rPr>
          <w:rFonts w:ascii="Times New Roman" w:hAnsi="Times New Roman" w:cs="Times New Roman" w:eastAsia="Times New Roman" w:hint="default"/>
        </w:rPr>
        <w:t>10.13</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76"/>
        <w:ind w:left="6802" w:right="6817" w:firstLine="0"/>
        <w:jc w:val="center"/>
        <w:rPr>
          <w:rFonts w:ascii="Times New Roman" w:hAnsi="Times New Roman" w:cs="Times New Roman" w:eastAsia="Times New Roman" w:hint="default"/>
          <w:sz w:val="18"/>
          <w:szCs w:val="18"/>
        </w:rPr>
      </w:pPr>
      <w:r>
        <w:rPr>
          <w:rFonts w:ascii="Times New Roman"/>
          <w:b/>
          <w:sz w:val="18"/>
        </w:rPr>
        <w:t>178 </w:t>
      </w:r>
      <w:r>
        <w:rPr>
          <w:rFonts w:ascii="Times New Roman"/>
          <w:sz w:val="18"/>
        </w:rPr>
        <w:t>/</w:t>
      </w:r>
      <w:r>
        <w:rPr>
          <w:rFonts w:ascii="Times New Roman"/>
          <w:spacing w:val="-2"/>
          <w:sz w:val="18"/>
        </w:rPr>
        <w:t> </w:t>
      </w:r>
      <w:r>
        <w:rPr>
          <w:rFonts w:ascii="Times New Roman"/>
          <w:b/>
          <w:sz w:val="18"/>
        </w:rPr>
        <w:t>237</w:t>
      </w:r>
      <w:r>
        <w:rPr>
          <w:rFonts w:ascii="Times New Roman"/>
          <w:sz w:val="18"/>
        </w:rPr>
      </w:r>
    </w:p>
    <w:p>
      <w:pPr>
        <w:spacing w:after="0"/>
        <w:jc w:val="center"/>
        <w:rPr>
          <w:rFonts w:ascii="Times New Roman" w:hAnsi="Times New Roman" w:cs="Times New Roman" w:eastAsia="Times New Roman" w:hint="default"/>
          <w:sz w:val="18"/>
          <w:szCs w:val="18"/>
        </w:rPr>
        <w:sectPr>
          <w:type w:val="continuous"/>
          <w:pgSz w:w="16840" w:h="11910" w:orient="landscape"/>
          <w:pgMar w:top="1500" w:bottom="280" w:left="1300" w:right="1200"/>
        </w:sectPr>
      </w:pPr>
    </w:p>
    <w:p>
      <w:pPr>
        <w:spacing w:line="240" w:lineRule="auto" w:before="4"/>
        <w:rPr>
          <w:rFonts w:ascii="Times New Roman" w:hAnsi="Times New Roman" w:cs="Times New Roman" w:eastAsia="Times New Roman" w:hint="default"/>
          <w:b/>
          <w:bCs/>
          <w:sz w:val="21"/>
          <w:szCs w:val="21"/>
        </w:rPr>
      </w:pPr>
    </w:p>
    <w:p>
      <w:pPr>
        <w:pStyle w:val="Heading3"/>
        <w:spacing w:line="240" w:lineRule="auto" w:before="26"/>
        <w:ind w:left="136" w:right="0"/>
        <w:jc w:val="left"/>
      </w:pPr>
      <w:r>
        <w:rPr/>
        <w:t> </w:t>
      </w:r>
    </w:p>
    <w:p>
      <w:pPr>
        <w:spacing w:line="290" w:lineRule="auto" w:before="64"/>
        <w:ind w:left="136"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r>
        <w:rPr>
          <w:rFonts w:ascii="宋体" w:hAnsi="宋体" w:cs="宋体" w:eastAsia="宋体" w:hint="default"/>
          <w:sz w:val="21"/>
          <w:szCs w:val="21"/>
        </w:rPr>
        <w:t> </w:t>
      </w:r>
    </w:p>
    <w:p>
      <w:pPr>
        <w:pStyle w:val="BodyText"/>
        <w:spacing w:line="225" w:lineRule="exact"/>
        <w:ind w:left="1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136" w:right="0"/>
        <w:jc w:val="left"/>
      </w:pPr>
      <w:r>
        <w:rPr/>
        <w:t> </w:t>
      </w:r>
    </w:p>
    <w:p>
      <w:pPr>
        <w:pStyle w:val="BodyText"/>
        <w:spacing w:line="273" w:lineRule="exact" w:before="4"/>
        <w:ind w:left="136" w:right="0"/>
        <w:jc w:val="left"/>
        <w:rPr>
          <w:rFonts w:ascii="宋体" w:hAnsi="宋体" w:cs="宋体" w:eastAsia="宋体" w:hint="default"/>
        </w:rPr>
      </w:pPr>
      <w:r>
        <w:rPr/>
        <w:t>期末发行在外的优先股、永续债等金融工具变动情况表</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90" w:lineRule="auto"/>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金</w:t>
      </w:r>
      <w:r>
        <w:rPr>
          <w:w w:val="100"/>
        </w:rPr>
        <w:t>融</w:t>
      </w:r>
      <w:r>
        <w:rPr>
          <w:spacing w:val="-3"/>
          <w:w w:val="100"/>
        </w:rPr>
        <w:t>工</w:t>
      </w:r>
      <w:r>
        <w:rPr>
          <w:w w:val="100"/>
        </w:rPr>
        <w:t>具</w:t>
      </w:r>
      <w:r>
        <w:rPr>
          <w:spacing w:val="-3"/>
          <w:w w:val="100"/>
        </w:rPr>
        <w:t>划</w:t>
      </w:r>
      <w:r>
        <w:rPr>
          <w:w w:val="100"/>
        </w:rPr>
        <w:t>分</w:t>
      </w:r>
      <w:r>
        <w:rPr>
          <w:spacing w:val="-3"/>
          <w:w w:val="100"/>
        </w:rPr>
        <w:t>为</w:t>
      </w:r>
      <w:r>
        <w:rPr>
          <w:w w:val="100"/>
        </w:rPr>
        <w:t>金</w:t>
      </w:r>
      <w:r>
        <w:rPr>
          <w:spacing w:val="-3"/>
          <w:w w:val="100"/>
        </w:rPr>
        <w:t>融</w:t>
      </w:r>
      <w:r>
        <w:rPr>
          <w:w w:val="100"/>
        </w:rPr>
        <w:t>负债</w:t>
      </w:r>
      <w:r>
        <w:rPr>
          <w:spacing w:val="-3"/>
          <w:w w:val="100"/>
        </w:rPr>
        <w:t>的</w:t>
      </w:r>
      <w:r>
        <w:rPr>
          <w:w w:val="100"/>
        </w:rPr>
        <w:t>依</w:t>
      </w:r>
      <w:r>
        <w:rPr>
          <w:spacing w:val="-3"/>
          <w:w w:val="100"/>
        </w:rPr>
        <w:t>据</w:t>
      </w:r>
      <w:r>
        <w:rPr>
          <w:w w:val="100"/>
        </w:rPr>
        <w:t>说</w:t>
      </w:r>
      <w:r>
        <w:rPr>
          <w:spacing w:val="-3"/>
          <w:w w:val="100"/>
        </w:rPr>
        <w:t>明</w:t>
      </w:r>
      <w:r>
        <w:rPr>
          <w:spacing w:val="-2"/>
          <w:w w:val="100"/>
        </w:rPr>
        <w:t>：</w:t>
      </w:r>
      <w:r>
        <w:rPr>
          <w:rFonts w:ascii="宋体" w:hAnsi="宋体" w:cs="宋体" w:eastAsia="宋体" w:hint="default"/>
          <w:w w:val="100"/>
        </w:rPr>
        <w:t> </w:t>
      </w:r>
    </w:p>
    <w:p>
      <w:pPr>
        <w:pStyle w:val="BodyText"/>
        <w:spacing w:line="240" w:lineRule="auto" w:before="14"/>
        <w:ind w:left="1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40" w:lineRule="auto" w:before="50"/>
        <w:ind w:left="136" w:right="0"/>
        <w:jc w:val="left"/>
      </w:pPr>
      <w:r>
        <w:rPr/>
        <w:t> </w:t>
      </w:r>
    </w:p>
    <w:p>
      <w:pPr>
        <w:pStyle w:val="BodyText"/>
        <w:spacing w:line="240" w:lineRule="auto" w:before="64"/>
        <w:ind w:left="1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64"/>
          <w:pgSz w:w="11910" w:h="16840"/>
          <w:pgMar w:footer="979" w:header="0" w:top="1120" w:bottom="1160" w:left="1140" w:right="1660"/>
          <w:pgNumType w:start="179"/>
        </w:sectPr>
      </w:pPr>
    </w:p>
    <w:p>
      <w:pPr>
        <w:spacing w:line="240" w:lineRule="auto" w:before="6"/>
        <w:rPr>
          <w:rFonts w:ascii="宋体" w:hAnsi="宋体" w:cs="宋体" w:eastAsia="宋体" w:hint="default"/>
          <w:sz w:val="18"/>
          <w:szCs w:val="18"/>
        </w:rPr>
      </w:pPr>
    </w:p>
    <w:p>
      <w:pPr>
        <w:pStyle w:val="Heading4"/>
        <w:spacing w:line="240" w:lineRule="auto" w:before="36"/>
        <w:ind w:left="378" w:right="0"/>
        <w:jc w:val="left"/>
        <w:rPr>
          <w:b w:val="0"/>
          <w:bCs w:val="0"/>
        </w:rPr>
      </w:pPr>
      <w:r>
        <w:rPr>
          <w:rFonts w:ascii="Times New Roman" w:hAnsi="Times New Roman" w:cs="Times New Roman" w:eastAsia="Times New Roman" w:hint="default"/>
        </w:rPr>
        <w:t>45</w:t>
      </w:r>
      <w:r>
        <w:rPr/>
        <w:t>、租赁负债</w:t>
      </w:r>
      <w:r>
        <w:rPr>
          <w:b w:val="0"/>
          <w:bCs w:val="0"/>
        </w:rPr>
      </w:r>
    </w:p>
    <w:p>
      <w:pPr>
        <w:pStyle w:val="BodyText"/>
        <w:spacing w:line="271" w:lineRule="exact" w:before="41"/>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0" w:lineRule="exact"/>
        <w:ind w:right="0"/>
        <w:jc w:val="left"/>
      </w:pPr>
      <w:r>
        <w:rPr/>
        <w:t> </w:t>
      </w:r>
    </w:p>
    <w:p>
      <w:pPr>
        <w:spacing w:after="0" w:line="310" w:lineRule="exact"/>
        <w:jc w:val="left"/>
        <w:sectPr>
          <w:pgSz w:w="11910" w:h="16840"/>
          <w:pgMar w:header="0" w:footer="979" w:top="1120" w:bottom="1160" w:left="1040" w:right="1560"/>
        </w:sectPr>
      </w:pPr>
    </w:p>
    <w:p>
      <w:pPr>
        <w:pStyle w:val="Heading4"/>
        <w:spacing w:line="273" w:lineRule="auto"/>
        <w:ind w:left="236" w:right="0" w:firstLine="142"/>
        <w:jc w:val="left"/>
        <w:rPr>
          <w:rFonts w:ascii="宋体" w:hAnsi="宋体" w:cs="宋体" w:eastAsia="宋体" w:hint="default"/>
          <w:b w:val="0"/>
          <w:bCs w:val="0"/>
        </w:rPr>
      </w:pPr>
      <w:r>
        <w:rPr>
          <w:rFonts w:ascii="Times New Roman" w:hAnsi="Times New Roman" w:cs="Times New Roman" w:eastAsia="Times New Roman" w:hint="default"/>
        </w:rPr>
        <w:t>46</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9"/>
        <w:ind w:left="236" w:right="15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84,169,802.50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209,824,635.34</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84,169,802.50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209,824,635.34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0" w:lineRule="exact"/>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right="0"/>
        <w:jc w:val="left"/>
      </w:pPr>
      <w:r>
        <w:rPr/>
        <w:t> </w:t>
      </w:r>
    </w:p>
    <w:p>
      <w:pPr>
        <w:pStyle w:val="Heading4"/>
        <w:spacing w:line="290" w:lineRule="auto"/>
        <w:ind w:left="236" w:right="0"/>
        <w:jc w:val="left"/>
        <w:rPr>
          <w:rFonts w:ascii="宋体" w:hAnsi="宋体" w:cs="宋体" w:eastAsia="宋体" w:hint="default"/>
          <w:b w:val="0"/>
          <w:bCs w:val="0"/>
        </w:rPr>
      </w:pPr>
      <w:r>
        <w:rPr/>
        <w:t>长期应付款</w:t>
      </w:r>
      <w:r>
        <w:rPr>
          <w:rFonts w:ascii="宋体" w:hAnsi="宋体" w:cs="宋体" w:eastAsia="宋体" w:hint="default"/>
          <w:w w:val="99"/>
        </w:rPr>
        <w:t> </w:t>
      </w: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3301" w:space="3221"/>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0"/>
        <w:gridCol w:w="2926"/>
        <w:gridCol w:w="2926"/>
      </w:tblGrid>
      <w:tr>
        <w:trPr>
          <w:trHeight w:val="317"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应付收购太极云软技术有份有限</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公司款项</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114,967,492.50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98" w:right="0"/>
              <w:jc w:val="left"/>
              <w:rPr>
                <w:rFonts w:ascii="Times New Roman" w:hAnsi="Times New Roman" w:cs="Times New Roman" w:eastAsia="Times New Roman" w:hint="default"/>
                <w:sz w:val="21"/>
                <w:szCs w:val="21"/>
              </w:rPr>
            </w:pPr>
            <w:r>
              <w:rPr>
                <w:rFonts w:ascii="Times New Roman"/>
                <w:sz w:val="21"/>
              </w:rPr>
              <w:t>84,169,802.50</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sz w:val="21"/>
                <w:szCs w:val="21"/>
              </w:rPr>
              <w:t>附回售选择权金融工具摊余成本</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94,857,142.84</w:t>
            </w:r>
          </w:p>
        </w:tc>
        <w:tc>
          <w:tcPr>
            <w:tcW w:w="29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33"/>
        <w:ind w:left="717" w:right="0"/>
        <w:jc w:val="left"/>
      </w:pPr>
      <w:r>
        <w:rPr/>
        <w:t>（</w:t>
      </w:r>
      <w:r>
        <w:rPr>
          <w:rFonts w:ascii="Times New Roman" w:hAnsi="Times New Roman" w:cs="Times New Roman" w:eastAsia="Times New Roman" w:hint="default"/>
        </w:rPr>
        <w:t>1</w:t>
      </w:r>
      <w:r>
        <w:rPr/>
        <w:t>）应付收购深圳太极云软技术有限公司款项</w:t>
      </w:r>
    </w:p>
    <w:p>
      <w:pPr>
        <w:pStyle w:val="BodyText"/>
        <w:spacing w:line="302" w:lineRule="auto" w:before="69"/>
        <w:ind w:left="236" w:right="228"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日和</w:t>
      </w:r>
      <w:r>
        <w:rPr>
          <w:spacing w:val="-53"/>
        </w:rPr>
        <w:t> </w:t>
      </w:r>
      <w:r>
        <w:rPr>
          <w:rFonts w:ascii="Times New Roman" w:hAnsi="Times New Roman" w:cs="Times New Roman" w:eastAsia="Times New Roman" w:hint="default"/>
        </w:rPr>
        <w:t>2018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4"/>
        </w:rPr>
        <w:t>日，公司与深圳太极云软技术有限公司的</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名股东分别签</w:t>
      </w:r>
      <w:r>
        <w:rPr>
          <w:w w:val="100"/>
        </w:rPr>
        <w:t> </w:t>
      </w:r>
      <w:r>
        <w:rPr>
          <w:spacing w:val="-2"/>
        </w:rPr>
        <w:t>署了《资产购买框架协议》、《盈利预测》及《资产购买框架协议之补充协议》。参考评估机构</w:t>
      </w:r>
      <w:r>
        <w:rPr>
          <w:spacing w:val="-25"/>
        </w:rPr>
        <w:t> </w:t>
      </w:r>
      <w:r>
        <w:rPr>
          <w:spacing w:val="-25"/>
        </w:rPr>
      </w:r>
      <w:r>
        <w:rPr>
          <w:spacing w:val="-8"/>
          <w:w w:val="100"/>
        </w:rPr>
        <w:t>出具的资产评估报告，并经交易各方协商一致，太极云软</w:t>
      </w:r>
      <w:r>
        <w:rPr>
          <w:spacing w:val="-50"/>
          <w:w w:val="100"/>
        </w:rPr>
        <w:t> </w:t>
      </w:r>
      <w:r>
        <w:rPr>
          <w:rFonts w:ascii="Times New Roman" w:hAnsi="Times New Roman" w:cs="Times New Roman" w:eastAsia="Times New Roman" w:hint="default"/>
          <w:spacing w:val="-2"/>
          <w:w w:val="100"/>
        </w:rPr>
        <w:t>100%</w:t>
      </w:r>
      <w:r>
        <w:rPr>
          <w:spacing w:val="-2"/>
          <w:w w:val="100"/>
        </w:rPr>
        <w:t>股份对应交易作价为</w:t>
      </w:r>
      <w:r>
        <w:rPr>
          <w:spacing w:val="-50"/>
          <w:w w:val="100"/>
        </w:rPr>
        <w:t> </w:t>
      </w:r>
      <w:r>
        <w:rPr>
          <w:rFonts w:ascii="Times New Roman" w:hAnsi="Times New Roman" w:cs="Times New Roman" w:eastAsia="Times New Roman" w:hint="default"/>
          <w:spacing w:val="-1"/>
          <w:w w:val="100"/>
        </w:rPr>
        <w:t>35,000</w:t>
      </w:r>
      <w:r>
        <w:rPr>
          <w:rFonts w:ascii="Times New Roman" w:hAnsi="Times New Roman" w:cs="Times New Roman" w:eastAsia="Times New Roman" w:hint="default"/>
          <w:spacing w:val="1"/>
          <w:w w:val="100"/>
        </w:rPr>
        <w:t> </w:t>
      </w:r>
      <w:r>
        <w:rPr>
          <w:spacing w:val="-1"/>
          <w:w w:val="100"/>
        </w:rPr>
        <w:t>万元，</w:t>
      </w:r>
      <w:r>
        <w:rPr>
          <w:w w:val="100"/>
        </w:rPr>
        <w:t> </w:t>
      </w:r>
      <w:r>
        <w:rPr>
          <w:spacing w:val="-3"/>
        </w:rPr>
        <w:t>标的资产（即太极云软</w:t>
      </w:r>
      <w:r>
        <w:rPr>
          <w:spacing w:val="-43"/>
        </w:rPr>
        <w:t> </w:t>
      </w:r>
      <w:r>
        <w:rPr>
          <w:rFonts w:ascii="Times New Roman" w:hAnsi="Times New Roman" w:cs="Times New Roman" w:eastAsia="Times New Roman" w:hint="default"/>
          <w:spacing w:val="-3"/>
        </w:rPr>
        <w:t>61%</w:t>
      </w:r>
      <w:r>
        <w:rPr>
          <w:spacing w:val="-3"/>
        </w:rPr>
        <w:t>股份）的交易价格为</w:t>
      </w:r>
      <w:r>
        <w:rPr>
          <w:spacing w:val="-42"/>
        </w:rPr>
        <w:t> </w:t>
      </w:r>
      <w:r>
        <w:rPr>
          <w:rFonts w:ascii="Times New Roman" w:hAnsi="Times New Roman" w:cs="Times New Roman" w:eastAsia="Times New Roman" w:hint="default"/>
        </w:rPr>
        <w:t>213,488,450.00</w:t>
      </w:r>
      <w:r>
        <w:rPr>
          <w:rFonts w:ascii="Times New Roman" w:hAnsi="Times New Roman" w:cs="Times New Roman" w:eastAsia="Times New Roman" w:hint="default"/>
          <w:spacing w:val="7"/>
        </w:rPr>
        <w:t> </w:t>
      </w:r>
      <w:r>
        <w:rPr>
          <w:spacing w:val="-4"/>
        </w:rPr>
        <w:t>元。根据协议规定，截至</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p>
    <w:p>
      <w:pPr>
        <w:pStyle w:val="BodyText"/>
        <w:spacing w:line="297" w:lineRule="auto" w:before="9"/>
        <w:ind w:left="236"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日，公司已支付股权收购款</w:t>
      </w:r>
      <w:r>
        <w:rPr>
          <w:spacing w:val="-54"/>
        </w:rPr>
        <w:t> </w:t>
      </w:r>
      <w:r>
        <w:rPr>
          <w:rFonts w:ascii="Times New Roman" w:hAnsi="Times New Roman" w:cs="Times New Roman" w:eastAsia="Times New Roman" w:hint="default"/>
        </w:rPr>
        <w:t>98,520,957.50</w:t>
      </w:r>
      <w:r>
        <w:rPr>
          <w:rFonts w:ascii="Times New Roman" w:hAnsi="Times New Roman" w:cs="Times New Roman" w:eastAsia="Times New Roman" w:hint="default"/>
          <w:spacing w:val="-5"/>
        </w:rPr>
        <w:t> </w:t>
      </w:r>
      <w:r>
        <w:rPr/>
        <w:t>元，剩余收购款项共计</w:t>
      </w:r>
      <w:r>
        <w:rPr>
          <w:spacing w:val="-55"/>
        </w:rPr>
        <w:t> </w:t>
      </w:r>
      <w:r>
        <w:rPr>
          <w:rFonts w:ascii="Times New Roman" w:hAnsi="Times New Roman" w:cs="Times New Roman" w:eastAsia="Times New Roman" w:hint="default"/>
        </w:rPr>
        <w:t>114,967,492.50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具体</w:t>
      </w:r>
      <w:r>
        <w:rPr>
          <w:w w:val="100"/>
        </w:rPr>
        <w:t> </w:t>
      </w:r>
      <w:r>
        <w:rPr/>
        <w:t>情况如下表：</w:t>
      </w:r>
    </w:p>
    <w:tbl>
      <w:tblPr>
        <w:tblW w:w="0" w:type="auto"/>
        <w:jc w:val="left"/>
        <w:tblInd w:w="123" w:type="dxa"/>
        <w:tblLayout w:type="fixed"/>
        <w:tblCellMar>
          <w:top w:w="0" w:type="dxa"/>
          <w:left w:w="0" w:type="dxa"/>
          <w:bottom w:w="0" w:type="dxa"/>
          <w:right w:w="0" w:type="dxa"/>
        </w:tblCellMar>
        <w:tblLook w:val="01E0"/>
      </w:tblPr>
      <w:tblGrid>
        <w:gridCol w:w="3116"/>
        <w:gridCol w:w="2571"/>
        <w:gridCol w:w="3099"/>
      </w:tblGrid>
      <w:tr>
        <w:trPr>
          <w:trHeight w:val="35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收购总价款</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213,488,450.00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213,488,450.00</w:t>
            </w:r>
          </w:p>
        </w:tc>
      </w:tr>
      <w:tr>
        <w:trPr>
          <w:trHeight w:val="35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减：已支付款项</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98,520,957.50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42,697,690.00</w:t>
            </w:r>
          </w:p>
        </w:tc>
      </w:tr>
      <w:tr>
        <w:trPr>
          <w:trHeight w:val="349"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尚未支付款项</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114,967,492.50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170,790,760.00</w:t>
            </w:r>
          </w:p>
        </w:tc>
      </w:tr>
      <w:tr>
        <w:trPr>
          <w:trHeight w:val="35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减：一年内到期的非流动负债</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30,797,690.00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55,823,267.50</w:t>
            </w:r>
          </w:p>
        </w:tc>
      </w:tr>
      <w:tr>
        <w:trPr>
          <w:trHeight w:val="35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长期应付款余额</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84,169,802.50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114,967,492.50</w:t>
            </w:r>
          </w:p>
        </w:tc>
      </w:tr>
    </w:tbl>
    <w:p>
      <w:pPr>
        <w:spacing w:line="240" w:lineRule="auto" w:before="5"/>
        <w:rPr>
          <w:rFonts w:ascii="宋体" w:hAnsi="宋体" w:cs="宋体" w:eastAsia="宋体" w:hint="default"/>
          <w:sz w:val="27"/>
          <w:szCs w:val="27"/>
        </w:rPr>
      </w:pPr>
    </w:p>
    <w:p>
      <w:pPr>
        <w:pStyle w:val="BodyText"/>
        <w:spacing w:line="297" w:lineRule="auto" w:before="36"/>
        <w:ind w:left="657" w:right="0"/>
        <w:jc w:val="left"/>
      </w:pPr>
      <w:r>
        <w:rPr/>
        <w:t>（</w:t>
      </w:r>
      <w:r>
        <w:rPr>
          <w:rFonts w:ascii="Times New Roman" w:hAnsi="Times New Roman" w:cs="Times New Roman" w:eastAsia="Times New Roman" w:hint="default"/>
        </w:rPr>
        <w:t>2</w:t>
      </w:r>
      <w:r>
        <w:rPr/>
        <w:t>）附回售选择权金融工具摊余成本</w:t>
      </w:r>
      <w:r>
        <w:rPr>
          <w:w w:val="100"/>
        </w:rPr>
        <w:t> </w:t>
      </w:r>
      <w:r>
        <w:rPr>
          <w:spacing w:val="-2"/>
        </w:rPr>
        <w:t>根据公司战略部署，公司全资子公司福建南威软件有限公司（以下简称“福建南威”）以增</w:t>
      </w:r>
    </w:p>
    <w:p>
      <w:pPr>
        <w:pStyle w:val="BodyText"/>
        <w:spacing w:line="314" w:lineRule="auto" w:before="34"/>
        <w:ind w:left="236" w:right="230"/>
        <w:jc w:val="left"/>
      </w:pPr>
      <w:r>
        <w:rPr>
          <w:spacing w:val="-13"/>
          <w:w w:val="100"/>
        </w:rPr>
        <w:t>资扩股方式引入战略投资者福建省电子信息（集团）有限责任公司（以下简称“电子信息集团”），</w:t>
      </w:r>
      <w:r>
        <w:rPr>
          <w:spacing w:val="-104"/>
          <w:w w:val="100"/>
        </w:rPr>
        <w:t> </w:t>
      </w:r>
      <w:r>
        <w:rPr/>
        <w:t>福建省电子信息集团将以</w:t>
      </w:r>
      <w:r>
        <w:rPr>
          <w:spacing w:val="-45"/>
        </w:rPr>
        <w:t> </w:t>
      </w:r>
      <w:r>
        <w:rPr>
          <w:rFonts w:ascii="Times New Roman" w:hAnsi="Times New Roman" w:cs="Times New Roman" w:eastAsia="Times New Roman" w:hint="default"/>
        </w:rPr>
        <w:t>8,000</w:t>
      </w:r>
      <w:r>
        <w:rPr>
          <w:rFonts w:ascii="Times New Roman" w:hAnsi="Times New Roman" w:cs="Times New Roman" w:eastAsia="Times New Roman" w:hint="default"/>
          <w:spacing w:val="8"/>
        </w:rPr>
        <w:t> </w:t>
      </w:r>
      <w:r>
        <w:rPr>
          <w:spacing w:val="-5"/>
        </w:rPr>
        <w:t>万元（人民币，下同）认购福建南威新增注册资本</w:t>
      </w:r>
      <w:r>
        <w:rPr>
          <w:spacing w:val="-43"/>
        </w:rPr>
        <w:t> </w:t>
      </w:r>
      <w:r>
        <w:rPr>
          <w:rFonts w:ascii="Times New Roman" w:hAnsi="Times New Roman" w:cs="Times New Roman" w:eastAsia="Times New Roman" w:hint="default"/>
        </w:rPr>
        <w:t>2,500</w:t>
      </w:r>
      <w:r>
        <w:rPr>
          <w:rFonts w:ascii="Times New Roman" w:hAnsi="Times New Roman" w:cs="Times New Roman" w:eastAsia="Times New Roman" w:hint="default"/>
          <w:spacing w:val="8"/>
        </w:rPr>
        <w:t> </w:t>
      </w:r>
      <w:r>
        <w:rPr>
          <w:spacing w:val="-7"/>
        </w:rPr>
        <w:t>万元，取</w:t>
      </w:r>
    </w:p>
    <w:p>
      <w:pPr>
        <w:spacing w:after="0" w:line="314" w:lineRule="auto"/>
        <w:jc w:val="left"/>
        <w:sectPr>
          <w:type w:val="continuous"/>
          <w:pgSz w:w="11910" w:h="16840"/>
          <w:pgMar w:top="1500" w:bottom="280" w:left="1040" w:right="1560"/>
        </w:sectPr>
      </w:pPr>
    </w:p>
    <w:p>
      <w:pPr>
        <w:spacing w:line="240" w:lineRule="auto" w:before="4"/>
        <w:rPr>
          <w:rFonts w:ascii="宋体" w:hAnsi="宋体" w:cs="宋体" w:eastAsia="宋体" w:hint="default"/>
          <w:sz w:val="24"/>
          <w:szCs w:val="24"/>
        </w:rPr>
      </w:pPr>
    </w:p>
    <w:p>
      <w:pPr>
        <w:pStyle w:val="BodyText"/>
        <w:spacing w:line="240" w:lineRule="auto" w:before="36"/>
        <w:ind w:left="236" w:right="0"/>
        <w:jc w:val="both"/>
        <w:rPr>
          <w:rFonts w:ascii="Times New Roman" w:hAnsi="Times New Roman" w:cs="Times New Roman" w:eastAsia="Times New Roman" w:hint="default"/>
        </w:rPr>
      </w:pPr>
      <w:r>
        <w:rPr/>
        <w:t>得福建南威 </w:t>
      </w:r>
      <w:r>
        <w:rPr>
          <w:rFonts w:ascii="Times New Roman" w:hAnsi="Times New Roman" w:cs="Times New Roman" w:eastAsia="Times New Roman" w:hint="default"/>
        </w:rPr>
        <w:t>20%</w:t>
      </w:r>
      <w:r>
        <w:rPr/>
        <w:t>的股权。福建南威增资扩股及股权变动相关事项已完成，并于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w:t>
      </w:r>
      <w:r>
        <w:rPr>
          <w:spacing w:val="-66"/>
        </w:rPr>
        <w:t> </w:t>
      </w:r>
      <w:r>
        <w:rPr>
          <w:rFonts w:ascii="Times New Roman" w:hAnsi="Times New Roman" w:cs="Times New Roman" w:eastAsia="Times New Roman" w:hint="default"/>
        </w:rPr>
        <w:t>12</w:t>
      </w:r>
    </w:p>
    <w:p>
      <w:pPr>
        <w:pStyle w:val="BodyText"/>
        <w:spacing w:line="314" w:lineRule="auto" w:before="69"/>
        <w:ind w:left="657" w:right="0" w:hanging="421"/>
        <w:jc w:val="left"/>
      </w:pPr>
      <w:r>
        <w:rPr/>
        <w:t>日完成工商变更手续。</w:t>
      </w:r>
      <w:r>
        <w:rPr>
          <w:w w:val="100"/>
        </w:rPr>
        <w:t> </w:t>
      </w:r>
      <w:r>
        <w:rPr>
          <w:spacing w:val="-2"/>
        </w:rPr>
        <w:t>根据公司、福建南威及电子信息集团签署的《福建南威软件有限公司增资扩股协议》及《福</w:t>
      </w:r>
    </w:p>
    <w:p>
      <w:pPr>
        <w:pStyle w:val="BodyText"/>
        <w:spacing w:line="309" w:lineRule="auto" w:before="20"/>
        <w:ind w:left="236" w:right="228"/>
        <w:jc w:val="both"/>
      </w:pPr>
      <w:r>
        <w:rPr>
          <w:spacing w:val="-3"/>
        </w:rPr>
        <w:t>建南威软件有限公司增资扩股协议之补充协议》</w:t>
      </w:r>
      <w:r>
        <w:rPr>
          <w:rFonts w:ascii="Times New Roman" w:hAnsi="Times New Roman" w:cs="Times New Roman" w:eastAsia="Times New Roman" w:hint="default"/>
          <w:spacing w:val="-3"/>
        </w:rPr>
        <w:t>,</w:t>
      </w:r>
      <w:r>
        <w:rPr>
          <w:spacing w:val="-3"/>
        </w:rPr>
        <w:t>在福建南威业绩对赌期结束后，电子信息集团有</w:t>
      </w:r>
      <w:r>
        <w:rPr>
          <w:spacing w:val="-25"/>
        </w:rPr>
        <w:t> </w:t>
      </w:r>
      <w:r>
        <w:rPr>
          <w:spacing w:val="-25"/>
        </w:rPr>
      </w:r>
      <w:r>
        <w:rPr>
          <w:spacing w:val="-1"/>
        </w:rPr>
        <w:t>权要求南威软件在约定的时间内回购其所持有的福建南威全部股权，回购方式为支付现金或发行</w:t>
      </w:r>
      <w:r>
        <w:rPr>
          <w:spacing w:val="-55"/>
        </w:rPr>
        <w:t> </w:t>
      </w:r>
      <w:r>
        <w:rPr>
          <w:spacing w:val="-55"/>
        </w:rPr>
      </w:r>
      <w:r>
        <w:rPr>
          <w:spacing w:val="-3"/>
        </w:rPr>
        <w:t>股份，回购的对价按照协议约定条款并视福建南威</w:t>
      </w:r>
      <w:r>
        <w:rPr>
          <w:spacing w:val="-3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9"/>
        </w:rPr>
        <w:t> </w:t>
      </w:r>
      <w:r>
        <w:rPr>
          <w:spacing w:val="-5"/>
        </w:rPr>
        <w:t>年业绩实现情况确定。因此，电子信息集</w:t>
      </w:r>
      <w:r>
        <w:rPr>
          <w:spacing w:val="-94"/>
        </w:rPr>
        <w:t> </w:t>
      </w:r>
      <w:r>
        <w:rPr>
          <w:spacing w:val="-94"/>
        </w:rPr>
      </w:r>
      <w:r>
        <w:rPr>
          <w:spacing w:val="-1"/>
        </w:rPr>
        <w:t>团对福建南威的投资具有回售选择权及结算选择权，同时嵌入衍生工具，即本投资为一项附可回</w:t>
      </w:r>
      <w:r>
        <w:rPr>
          <w:spacing w:val="-55"/>
        </w:rPr>
        <w:t> </w:t>
      </w:r>
      <w:r>
        <w:rPr>
          <w:spacing w:val="-55"/>
        </w:rPr>
      </w:r>
      <w:r>
        <w:rPr>
          <w:spacing w:val="-1"/>
        </w:rPr>
        <w:t>售的嵌入衍生工具的金融负债。公司将未来回购支付的基础金额现值确认为一项金融负债并按摊</w:t>
      </w:r>
      <w:r>
        <w:rPr>
          <w:spacing w:val="-55"/>
        </w:rPr>
        <w:t> </w:t>
      </w:r>
      <w:r>
        <w:rPr>
          <w:spacing w:val="-55"/>
        </w:rPr>
      </w:r>
      <w:r>
        <w:rPr>
          <w:spacing w:val="-1"/>
        </w:rPr>
        <w:t>余成本进行后续计量，将预计回购支付的超额金额现值确认为以公允价值计量且其变动计入当期</w:t>
      </w:r>
      <w:r>
        <w:rPr>
          <w:spacing w:val="-55"/>
        </w:rPr>
        <w:t> </w:t>
      </w:r>
      <w:r>
        <w:rPr>
          <w:spacing w:val="-55"/>
        </w:rPr>
      </w:r>
      <w:r>
        <w:rPr/>
        <w:t>损益的金融负债。截至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日，该回购支付基础金额现值为</w:t>
      </w:r>
      <w:r>
        <w:rPr>
          <w:spacing w:val="-45"/>
        </w:rPr>
        <w:t> </w:t>
      </w:r>
      <w:r>
        <w:rPr>
          <w:rFonts w:ascii="Times New Roman" w:hAnsi="Times New Roman" w:cs="Times New Roman" w:eastAsia="Times New Roman" w:hint="default"/>
        </w:rPr>
        <w:t>80,000,000.00</w:t>
      </w:r>
      <w:r>
        <w:rPr>
          <w:rFonts w:ascii="Times New Roman" w:hAnsi="Times New Roman" w:cs="Times New Roman" w:eastAsia="Times New Roman" w:hint="default"/>
          <w:spacing w:val="5"/>
        </w:rPr>
        <w:t> </w:t>
      </w:r>
      <w:r>
        <w:rPr/>
        <w:t>元，摊余</w:t>
      </w:r>
    </w:p>
    <w:p>
      <w:pPr>
        <w:pStyle w:val="BodyText"/>
        <w:spacing w:line="297" w:lineRule="auto" w:before="2"/>
        <w:ind w:left="236" w:right="0"/>
        <w:jc w:val="left"/>
      </w:pPr>
      <w:r>
        <w:rPr/>
        <w:t>成本为</w:t>
      </w:r>
      <w:r>
        <w:rPr>
          <w:spacing w:val="-40"/>
        </w:rPr>
        <w:t> </w:t>
      </w:r>
      <w:r>
        <w:rPr>
          <w:rFonts w:ascii="Times New Roman" w:hAnsi="Times New Roman" w:cs="Times New Roman" w:eastAsia="Times New Roman" w:hint="default"/>
        </w:rPr>
        <w:t>108,571,428.54</w:t>
      </w:r>
      <w:r>
        <w:rPr>
          <w:rFonts w:ascii="Times New Roman" w:hAnsi="Times New Roman" w:cs="Times New Roman" w:eastAsia="Times New Roman" w:hint="default"/>
          <w:spacing w:val="12"/>
        </w:rPr>
        <w:t> </w:t>
      </w:r>
      <w:r>
        <w:rPr>
          <w:spacing w:val="-3"/>
        </w:rPr>
        <w:t>元。由于电子信息集团回售选择权的时间为</w:t>
      </w:r>
      <w:r>
        <w:rPr>
          <w:spacing w:val="-4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9"/>
        </w:rPr>
        <w:t> </w:t>
      </w:r>
      <w:r>
        <w:rPr>
          <w:spacing w:val="-4"/>
        </w:rPr>
        <w:t>年，因此公司将该附回售</w:t>
      </w:r>
      <w:r>
        <w:rPr>
          <w:spacing w:val="-101"/>
        </w:rPr>
        <w:t> </w:t>
      </w:r>
      <w:r>
        <w:rPr>
          <w:spacing w:val="-101"/>
        </w:rPr>
      </w:r>
      <w:r>
        <w:rPr/>
        <w:t>选择权金融工具摊余成本列入一年内的非流动负债。</w:t>
      </w:r>
    </w:p>
    <w:p>
      <w:pPr>
        <w:pStyle w:val="Heading3"/>
        <w:spacing w:line="266" w:lineRule="exact"/>
        <w:ind w:right="0"/>
        <w:jc w:val="both"/>
      </w:pPr>
      <w:r>
        <w:rPr/>
        <w:t> </w:t>
      </w:r>
    </w:p>
    <w:p>
      <w:pPr>
        <w:pStyle w:val="Heading4"/>
        <w:spacing w:line="290" w:lineRule="auto"/>
        <w:ind w:left="236" w:right="6055"/>
        <w:jc w:val="left"/>
        <w:rPr>
          <w:rFonts w:ascii="宋体" w:hAnsi="宋体" w:cs="宋体" w:eastAsia="宋体" w:hint="default"/>
          <w:b w:val="0"/>
          <w:bCs w:val="0"/>
        </w:rPr>
      </w:pPr>
      <w:r>
        <w:rPr/>
        <w:t>专项应付款</w:t>
      </w:r>
      <w:r>
        <w:rPr>
          <w:rFonts w:ascii="宋体" w:hAnsi="宋体" w:cs="宋体" w:eastAsia="宋体" w:hint="default"/>
          <w:w w:val="99"/>
        </w:rPr>
        <w:t> </w:t>
      </w:r>
      <w:r>
        <w:rPr>
          <w:rFonts w:ascii="宋体" w:hAnsi="宋体" w:cs="宋体" w:eastAsia="宋体" w:hint="default"/>
        </w:rPr>
        <w:t>(2).</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14"/>
        <w:ind w:left="236" w:right="0"/>
        <w:jc w:val="both"/>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right="0"/>
        <w:jc w:val="both"/>
      </w:pPr>
      <w:r>
        <w:rPr/>
        <w:t> </w:t>
      </w:r>
    </w:p>
    <w:p>
      <w:pPr>
        <w:pStyle w:val="Heading4"/>
        <w:spacing w:line="240" w:lineRule="auto"/>
        <w:ind w:left="378" w:right="0"/>
        <w:jc w:val="left"/>
        <w:rPr>
          <w:b w:val="0"/>
          <w:bCs w:val="0"/>
        </w:rPr>
      </w:pPr>
      <w:r>
        <w:rPr>
          <w:rFonts w:ascii="Times New Roman" w:hAnsi="Times New Roman" w:cs="Times New Roman" w:eastAsia="Times New Roman" w:hint="default"/>
        </w:rPr>
        <w:t>47</w:t>
      </w:r>
      <w:r>
        <w:rPr/>
        <w:t>、长期应付职工薪酬</w:t>
      </w:r>
      <w:r>
        <w:rPr>
          <w:b w:val="0"/>
          <w:bCs w:val="0"/>
        </w:rPr>
      </w:r>
    </w:p>
    <w:p>
      <w:pPr>
        <w:pStyle w:val="BodyText"/>
        <w:spacing w:line="271" w:lineRule="exact" w:before="40"/>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right="0"/>
        <w:jc w:val="left"/>
      </w:pPr>
      <w:r>
        <w:rPr/>
        <w:t> </w:t>
      </w:r>
    </w:p>
    <w:p>
      <w:pPr>
        <w:pStyle w:val="Heading4"/>
        <w:spacing w:line="240" w:lineRule="auto" w:before="61"/>
        <w:ind w:left="42" w:right="7218"/>
        <w:jc w:val="center"/>
        <w:rPr>
          <w:rFonts w:ascii="宋体" w:hAnsi="宋体" w:cs="宋体" w:eastAsia="宋体" w:hint="default"/>
          <w:b w:val="0"/>
          <w:bCs w:val="0"/>
        </w:rPr>
      </w:pPr>
      <w:r>
        <w:rPr>
          <w:rFonts w:ascii="Times New Roman" w:hAnsi="Times New Roman" w:cs="Times New Roman" w:eastAsia="Times New Roman" w:hint="default"/>
        </w:rPr>
        <w:t>48</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4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9" w:lineRule="exact"/>
        <w:ind w:right="0"/>
        <w:jc w:val="left"/>
      </w:pPr>
      <w:r>
        <w:rPr/>
        <w:t> </w:t>
      </w:r>
    </w:p>
    <w:p>
      <w:pPr>
        <w:spacing w:after="0" w:line="309" w:lineRule="exact"/>
        <w:jc w:val="left"/>
        <w:sectPr>
          <w:pgSz w:w="11910" w:h="16840"/>
          <w:pgMar w:header="0" w:footer="979" w:top="1120" w:bottom="1160" w:left="1040" w:right="1560"/>
        </w:sectPr>
      </w:pPr>
    </w:p>
    <w:p>
      <w:pPr>
        <w:spacing w:line="276" w:lineRule="auto" w:before="64"/>
        <w:ind w:left="236" w:right="0" w:firstLine="14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40"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2129" w:space="4393"/>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69"/>
        <w:gridCol w:w="1700"/>
        <w:gridCol w:w="1474"/>
        <w:gridCol w:w="1409"/>
        <w:gridCol w:w="1474"/>
        <w:gridCol w:w="1537"/>
      </w:tblGrid>
      <w:tr>
        <w:trPr>
          <w:trHeight w:val="34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1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0"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9" w:right="0"/>
              <w:jc w:val="left"/>
              <w:rPr>
                <w:rFonts w:ascii="Times New Roman" w:hAnsi="Times New Roman" w:cs="Times New Roman" w:eastAsia="Times New Roman" w:hint="default"/>
                <w:sz w:val="21"/>
                <w:szCs w:val="21"/>
              </w:rPr>
            </w:pPr>
            <w:r>
              <w:rPr>
                <w:rFonts w:ascii="Times New Roman"/>
                <w:sz w:val="21"/>
              </w:rPr>
              <w:t>4,023,852.66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 w:right="0"/>
              <w:jc w:val="center"/>
              <w:rPr>
                <w:rFonts w:ascii="Times New Roman" w:hAnsi="Times New Roman" w:cs="Times New Roman" w:eastAsia="Times New Roman" w:hint="default"/>
                <w:sz w:val="21"/>
                <w:szCs w:val="21"/>
              </w:rPr>
            </w:pPr>
            <w:r>
              <w:rPr>
                <w:rFonts w:ascii="Times New Roman"/>
                <w:sz w:val="21"/>
              </w:rPr>
              <w:t>16,342,680.00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 w:right="0"/>
              <w:jc w:val="center"/>
              <w:rPr>
                <w:rFonts w:ascii="Times New Roman" w:hAnsi="Times New Roman" w:cs="Times New Roman" w:eastAsia="Times New Roman" w:hint="default"/>
                <w:sz w:val="21"/>
                <w:szCs w:val="21"/>
              </w:rPr>
            </w:pPr>
            <w:r>
              <w:rPr>
                <w:rFonts w:ascii="Times New Roman"/>
                <w:sz w:val="21"/>
              </w:rPr>
              <w:t>4,012,910.44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 w:right="0"/>
              <w:jc w:val="center"/>
              <w:rPr>
                <w:rFonts w:ascii="Times New Roman" w:hAnsi="Times New Roman" w:cs="Times New Roman" w:eastAsia="Times New Roman" w:hint="default"/>
                <w:sz w:val="21"/>
                <w:szCs w:val="21"/>
              </w:rPr>
            </w:pPr>
            <w:r>
              <w:rPr>
                <w:rFonts w:ascii="Times New Roman"/>
                <w:sz w:val="21"/>
              </w:rPr>
              <w:t>16,353,622.22</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政府拨款</w:t>
            </w:r>
            <w:r>
              <w:rPr>
                <w:rFonts w:ascii="宋体" w:hAnsi="宋体" w:cs="宋体" w:eastAsia="宋体" w:hint="default"/>
                <w:sz w:val="21"/>
                <w:szCs w:val="21"/>
              </w:rPr>
              <w:t> </w:t>
            </w:r>
          </w:p>
        </w:tc>
      </w:tr>
      <w:tr>
        <w:trPr>
          <w:trHeight w:val="28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9" w:right="0"/>
              <w:jc w:val="left"/>
              <w:rPr>
                <w:rFonts w:ascii="Times New Roman" w:hAnsi="Times New Roman" w:cs="Times New Roman" w:eastAsia="Times New Roman" w:hint="default"/>
                <w:sz w:val="21"/>
                <w:szCs w:val="21"/>
              </w:rPr>
            </w:pPr>
            <w:r>
              <w:rPr>
                <w:rFonts w:ascii="Times New Roman"/>
                <w:sz w:val="21"/>
              </w:rPr>
              <w:t>4,023,852.66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 w:right="0"/>
              <w:jc w:val="center"/>
              <w:rPr>
                <w:rFonts w:ascii="Times New Roman" w:hAnsi="Times New Roman" w:cs="Times New Roman" w:eastAsia="Times New Roman" w:hint="default"/>
                <w:sz w:val="21"/>
                <w:szCs w:val="21"/>
              </w:rPr>
            </w:pPr>
            <w:r>
              <w:rPr>
                <w:rFonts w:ascii="Times New Roman"/>
                <w:sz w:val="21"/>
              </w:rPr>
              <w:t>16,342,680.00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3" w:right="0"/>
              <w:jc w:val="center"/>
              <w:rPr>
                <w:rFonts w:ascii="Times New Roman" w:hAnsi="Times New Roman" w:cs="Times New Roman" w:eastAsia="Times New Roman" w:hint="default"/>
                <w:sz w:val="21"/>
                <w:szCs w:val="21"/>
              </w:rPr>
            </w:pPr>
            <w:r>
              <w:rPr>
                <w:rFonts w:ascii="Times New Roman"/>
                <w:sz w:val="21"/>
              </w:rPr>
              <w:t>4,012,910.44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 w:right="0"/>
              <w:jc w:val="center"/>
              <w:rPr>
                <w:rFonts w:ascii="Times New Roman" w:hAnsi="Times New Roman" w:cs="Times New Roman" w:eastAsia="Times New Roman" w:hint="default"/>
                <w:sz w:val="21"/>
                <w:szCs w:val="21"/>
              </w:rPr>
            </w:pPr>
            <w:r>
              <w:rPr>
                <w:rFonts w:ascii="Times New Roman"/>
                <w:sz w:val="21"/>
              </w:rPr>
              <w:t>16,353,622.22</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sz w:val="21"/>
              </w:rPr>
              <w:t>/ </w:t>
            </w:r>
          </w:p>
        </w:tc>
      </w:tr>
    </w:tbl>
    <w:p>
      <w:pPr>
        <w:pStyle w:val="Heading3"/>
        <w:spacing w:line="274" w:lineRule="exact"/>
        <w:ind w:right="0"/>
        <w:jc w:val="left"/>
      </w:pPr>
      <w:r>
        <w:rPr/>
        <w:t> </w:t>
      </w:r>
    </w:p>
    <w:p>
      <w:pPr>
        <w:spacing w:after="0" w:line="274" w:lineRule="exact"/>
        <w:jc w:val="left"/>
        <w:sectPr>
          <w:type w:val="continuous"/>
          <w:pgSz w:w="11910" w:h="16840"/>
          <w:pgMar w:top="1500" w:bottom="280" w:left="1040" w:right="1560"/>
        </w:sectPr>
      </w:pPr>
    </w:p>
    <w:p>
      <w:pPr>
        <w:spacing w:line="240" w:lineRule="auto" w:before="6"/>
        <w:rPr>
          <w:rFonts w:ascii="宋体" w:hAnsi="宋体" w:cs="宋体" w:eastAsia="宋体" w:hint="default"/>
          <w:sz w:val="34"/>
          <w:szCs w:val="34"/>
        </w:rPr>
      </w:pPr>
    </w:p>
    <w:p>
      <w:pPr>
        <w:pStyle w:val="Heading3"/>
        <w:spacing w:line="240" w:lineRule="auto"/>
        <w:ind w:left="384" w:right="0"/>
        <w:jc w:val="left"/>
      </w:pPr>
      <w:r>
        <w:rPr/>
        <w:pict>
          <v:group style="position:absolute;margin-left:74.760002pt;margin-top:-5.804353pt;width:695.65pt;height:.1pt;mso-position-horizontal-relative:page;mso-position-vertical-relative:paragraph;z-index:1480" coordorigin="1495,-116" coordsize="13913,2">
            <v:shape style="position:absolute;left:1495;top:-116;width:13913;height:2" coordorigin="1495,-116" coordsize="13913,0" path="m1495,-116l15408,-116e" filled="false" stroked="true" strokeweight=".72pt" strokecolor="#000000">
              <v:path arrowok="t"/>
            </v:shape>
            <w10:wrap type="none"/>
          </v:group>
        </w:pict>
      </w:r>
      <w:r>
        <w:rPr/>
        <w:pict>
          <v:shape style="position:absolute;margin-left:209.699997pt;margin-top:-19.004353pt;width:51.594pt;height:9.2pt;mso-position-horizontal-relative:page;mso-position-vertical-relative:paragraph;z-index:-1169944" type="#_x0000_t75" stroked="false">
            <v:imagedata r:id="rId18" o:title=""/>
          </v:shape>
        </w:pict>
      </w:r>
      <w:r>
        <w:rPr/>
        <w:t> </w:t>
      </w:r>
    </w:p>
    <w:p>
      <w:pPr>
        <w:pStyle w:val="BodyText"/>
        <w:spacing w:line="240" w:lineRule="auto" w:before="61"/>
        <w:ind w:left="384" w:right="0"/>
        <w:jc w:val="left"/>
        <w:rPr>
          <w:rFonts w:ascii="宋体" w:hAnsi="宋体" w:cs="宋体" w:eastAsia="宋体" w:hint="default"/>
        </w:rPr>
      </w:pPr>
      <w:r>
        <w:rPr/>
        <w:t>涉及政府补助的项目：</w:t>
      </w:r>
      <w:r>
        <w:rPr>
          <w:rFonts w:ascii="宋体" w:hAnsi="宋体" w:cs="宋体" w:eastAsia="宋体" w:hint="default"/>
        </w:rPr>
        <w:t> </w:t>
      </w:r>
    </w:p>
    <w:p>
      <w:pPr>
        <w:pStyle w:val="BodyText"/>
        <w:spacing w:line="240" w:lineRule="auto" w:before="58"/>
        <w:ind w:left="384" w:right="0"/>
        <w:jc w:val="left"/>
        <w:rPr>
          <w:rFonts w:ascii="宋体" w:hAnsi="宋体" w:cs="宋体" w:eastAsia="宋体" w:hint="default"/>
          <w:sz w:val="24"/>
          <w:szCs w:val="24"/>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before="45"/>
        <w:ind w:left="1410" w:right="0" w:firstLine="0"/>
        <w:jc w:val="left"/>
        <w:rPr>
          <w:rFonts w:ascii="宋体" w:hAnsi="宋体" w:cs="宋体" w:eastAsia="宋体" w:hint="default"/>
          <w:sz w:val="18"/>
          <w:szCs w:val="18"/>
        </w:rPr>
      </w:pPr>
      <w:r>
        <w:rPr/>
        <w:br w:type="column"/>
      </w:r>
      <w:r>
        <w:rPr>
          <w:rFonts w:ascii="宋体" w:hAnsi="宋体" w:cs="宋体" w:eastAsia="宋体" w:hint="default"/>
          <w:spacing w:val="1"/>
          <w:sz w:val="18"/>
          <w:szCs w:val="18"/>
        </w:rPr>
        <w:t> </w:t>
      </w:r>
      <w:r>
        <w:rPr>
          <w:rFonts w:ascii="宋体" w:hAnsi="宋体" w:cs="宋体" w:eastAsia="宋体" w:hint="default"/>
          <w:sz w:val="18"/>
          <w:szCs w:val="18"/>
        </w:rPr>
        <w:t>南威软件股份有限公司</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2"/>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w:t>
      </w:r>
      <w:r>
        <w:rPr>
          <w:rFonts w:ascii="宋体" w:hAnsi="宋体" w:cs="宋体" w:eastAsia="宋体" w:hint="default"/>
          <w:spacing w:val="-3"/>
          <w:sz w:val="18"/>
          <w:szCs w:val="18"/>
        </w:rPr>
        <w:t>告</w:t>
      </w:r>
      <w:r>
        <w:rPr>
          <w:rFonts w:ascii="宋体" w:hAnsi="宋体" w:cs="宋体" w:eastAsia="宋体" w:hint="default"/>
          <w:sz w:val="18"/>
          <w:szCs w:val="18"/>
        </w:rPr>
        <w:t>全文</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left="308"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headerReference w:type="default" r:id="rId65"/>
          <w:footerReference w:type="default" r:id="rId66"/>
          <w:pgSz w:w="16840" w:h="11910" w:orient="landscape"/>
          <w:pgMar w:header="0" w:footer="0" w:top="780" w:bottom="280" w:left="1140" w:right="1040"/>
          <w:cols w:num="3" w:equalWidth="0">
            <w:col w:w="2591" w:space="79"/>
            <w:col w:w="8929" w:space="40"/>
            <w:col w:w="3021"/>
          </w:cols>
        </w:sectPr>
      </w:pP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295"/>
        <w:gridCol w:w="1430"/>
        <w:gridCol w:w="1433"/>
        <w:gridCol w:w="1601"/>
        <w:gridCol w:w="1560"/>
        <w:gridCol w:w="838"/>
        <w:gridCol w:w="1848"/>
        <w:gridCol w:w="1411"/>
      </w:tblGrid>
      <w:tr>
        <w:trPr>
          <w:trHeight w:val="554"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负债项目</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助金额</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外收入金额</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本期计入其他</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收益金额</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3" w:lineRule="exact"/>
              <w:ind w:left="2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hanging="53"/>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视频图像分布式联网与智能化应用平台</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229,166.67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110,000.00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119,166.67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1"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智慧社区服务管理平台</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211,352.66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72,463.76</w:t>
            </w:r>
          </w:p>
        </w:tc>
        <w:tc>
          <w:tcPr>
            <w:tcW w:w="8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138,888.90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4"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智慧公安感知大数据平台</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393,333.33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400,000.00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166,666.67</w:t>
            </w:r>
          </w:p>
        </w:tc>
        <w:tc>
          <w:tcPr>
            <w:tcW w:w="8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626,666.66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1"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智能交通大数据</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3,000,000.00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3,000,000.00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left"/>
              <w:rPr>
                <w:rFonts w:ascii="宋体" w:hAnsi="宋体" w:cs="宋体" w:eastAsia="宋体" w:hint="default"/>
                <w:sz w:val="21"/>
                <w:szCs w:val="21"/>
              </w:rPr>
            </w:pPr>
            <w:r>
              <w:rPr>
                <w:rFonts w:ascii="宋体" w:hAnsi="宋体" w:cs="宋体" w:eastAsia="宋体" w:hint="default"/>
                <w:sz w:val="21"/>
                <w:szCs w:val="21"/>
              </w:rPr>
              <w:t>公安反恐综合研判平台</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150,000.00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150,000.00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国家企业技术中心</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2,500,000.00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tc>
        <w:tc>
          <w:tcPr>
            <w:tcW w:w="8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2,500,000.00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1"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“蜻蜓停车”城市级智慧停车平台</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10,000,000.00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w:t>
            </w:r>
          </w:p>
        </w:tc>
        <w:tc>
          <w:tcPr>
            <w:tcW w:w="8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10,000,000.00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3"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left"/>
              <w:rPr>
                <w:rFonts w:ascii="宋体" w:hAnsi="宋体" w:cs="宋体" w:eastAsia="宋体" w:hint="default"/>
                <w:sz w:val="21"/>
                <w:szCs w:val="21"/>
              </w:rPr>
            </w:pPr>
            <w:r>
              <w:rPr>
                <w:rFonts w:ascii="宋体" w:hAnsi="宋体" w:cs="宋体" w:eastAsia="宋体" w:hint="default"/>
                <w:sz w:val="21"/>
                <w:szCs w:val="21"/>
              </w:rPr>
              <w:t>智慧边检一体化平台</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70,000.00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46,666.67</w:t>
            </w:r>
          </w:p>
        </w:tc>
        <w:tc>
          <w:tcPr>
            <w:tcW w:w="8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23,333.33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3"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新型智慧城市技术标准体系与标准服务平台</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102,680.00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17,113.33</w:t>
            </w:r>
          </w:p>
        </w:tc>
        <w:tc>
          <w:tcPr>
            <w:tcW w:w="8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85,566.67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1"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蜻蜓云智慧停车管理平台</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50,000.00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20,833.34</w:t>
            </w:r>
          </w:p>
        </w:tc>
        <w:tc>
          <w:tcPr>
            <w:tcW w:w="8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29,166.66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3"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left"/>
              <w:rPr>
                <w:rFonts w:ascii="宋体" w:hAnsi="宋体" w:cs="宋体" w:eastAsia="宋体" w:hint="default"/>
                <w:sz w:val="21"/>
                <w:szCs w:val="21"/>
              </w:rPr>
            </w:pPr>
            <w:r>
              <w:rPr>
                <w:rFonts w:ascii="宋体" w:hAnsi="宋体" w:cs="宋体" w:eastAsia="宋体" w:hint="default"/>
                <w:sz w:val="21"/>
                <w:szCs w:val="21"/>
              </w:rPr>
              <w:t>小电卫士电动车智能防盗平台</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70,000.00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29,166.67</w:t>
            </w:r>
          </w:p>
        </w:tc>
        <w:tc>
          <w:tcPr>
            <w:tcW w:w="8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40,833.33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4"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智慧云族云服务平台项目政府补助</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400,000.00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554"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广东省战略性新兴发展专项资金</w:t>
            </w:r>
            <w:r>
              <w:rPr>
                <w:rFonts w:ascii="宋体" w:hAnsi="宋体" w:cs="宋体" w:eastAsia="宋体" w:hint="default"/>
                <w:sz w:val="21"/>
                <w:szCs w:val="21"/>
              </w:rPr>
              <w:t>-</w:t>
            </w:r>
            <w:r>
              <w:rPr>
                <w:rFonts w:ascii="宋体" w:hAnsi="宋体" w:cs="宋体" w:eastAsia="宋体" w:hint="default"/>
                <w:sz w:val="21"/>
                <w:szCs w:val="21"/>
              </w:rPr>
              <w:t>云</w:t>
            </w:r>
            <w:r>
              <w:rPr>
                <w:rFonts w:ascii="宋体" w:hAnsi="宋体" w:cs="宋体" w:eastAsia="宋体" w:hint="default"/>
                <w:sz w:val="21"/>
                <w:szCs w:val="21"/>
              </w:rPr>
              <w:t>+</w:t>
            </w:r>
            <w:r>
              <w:rPr>
                <w:rFonts w:ascii="宋体" w:hAnsi="宋体" w:cs="宋体" w:eastAsia="宋体" w:hint="default"/>
                <w:sz w:val="21"/>
                <w:szCs w:val="21"/>
              </w:rPr>
              <w:t>端技术</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支撑与服务平台</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1,400,000.00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w w:val="100"/>
                <w:sz w:val="21"/>
              </w:rPr>
              <w:t>-</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w w:val="100"/>
                <w:sz w:val="21"/>
              </w:rPr>
              <w:t>-</w:t>
            </w:r>
          </w:p>
        </w:tc>
        <w:tc>
          <w:tcPr>
            <w:tcW w:w="8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1,400,000.00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554"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太极云软统一受理平台软件应用示范项目专</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项资金</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490,000.00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w w:val="100"/>
                <w:sz w:val="21"/>
              </w:rPr>
              <w:t>-</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w w:val="100"/>
                <w:sz w:val="21"/>
              </w:rPr>
              <w:t>-</w:t>
            </w:r>
          </w:p>
        </w:tc>
        <w:tc>
          <w:tcPr>
            <w:tcW w:w="8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490,000.00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3"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VEEKEE</w:t>
            </w:r>
            <w:r>
              <w:rPr>
                <w:rFonts w:ascii="宋体" w:hAnsi="宋体" w:cs="宋体" w:eastAsia="宋体" w:hint="default"/>
                <w:spacing w:val="-57"/>
                <w:sz w:val="21"/>
                <w:szCs w:val="21"/>
              </w:rPr>
              <w:t> </w:t>
            </w:r>
            <w:r>
              <w:rPr>
                <w:rFonts w:ascii="宋体" w:hAnsi="宋体" w:cs="宋体" w:eastAsia="宋体" w:hint="default"/>
                <w:sz w:val="21"/>
                <w:szCs w:val="21"/>
              </w:rPr>
              <w:t>云服务中间件平台</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w:t>
            </w:r>
          </w:p>
        </w:tc>
        <w:tc>
          <w:tcPr>
            <w:tcW w:w="8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1"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云与端互动中间件平台</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700,000.00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w:t>
            </w:r>
          </w:p>
        </w:tc>
        <w:tc>
          <w:tcPr>
            <w:tcW w:w="8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700,000.00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3"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4,023,852.66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16,342,680.00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4,012,910.44</w:t>
            </w:r>
          </w:p>
        </w:tc>
        <w:tc>
          <w:tcPr>
            <w:tcW w:w="838"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16,353,622.22</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36"/>
        <w:ind w:left="384" w:right="0"/>
        <w:jc w:val="left"/>
        <w:rPr>
          <w:rFonts w:ascii="宋体" w:hAnsi="宋体" w:cs="宋体" w:eastAsia="宋体" w:hint="default"/>
        </w:rPr>
      </w:pPr>
      <w:bookmarkStart w:name="OLE_LINK84" w:id="16"/>
      <w:bookmarkEnd w:id="16"/>
      <w:r>
        <w:rPr/>
      </w:r>
      <w:bookmarkStart w:name="OLE_LINK85" w:id="17"/>
      <w:bookmarkEnd w:id="17"/>
      <w:r>
        <w:rPr/>
      </w:r>
      <w:r>
        <w:rPr/>
        <w:t>其他说明：</w:t>
      </w:r>
      <w:r>
        <w:rPr>
          <w:rFonts w:ascii="宋体" w:hAnsi="宋体" w:cs="宋体" w:eastAsia="宋体" w:hint="default"/>
        </w:rPr>
        <w:t> </w:t>
      </w:r>
    </w:p>
    <w:p>
      <w:pPr>
        <w:pStyle w:val="BodyText"/>
        <w:spacing w:line="240" w:lineRule="auto" w:before="56"/>
        <w:ind w:left="384" w:right="0"/>
        <w:jc w:val="left"/>
        <w:rPr>
          <w:rFonts w:ascii="宋体" w:hAnsi="宋体" w:cs="宋体" w:eastAsia="宋体" w:hint="default"/>
          <w:sz w:val="24"/>
          <w:szCs w:val="24"/>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76"/>
        <w:ind w:left="6962" w:right="6977" w:firstLine="0"/>
        <w:jc w:val="center"/>
        <w:rPr>
          <w:rFonts w:ascii="Times New Roman" w:hAnsi="Times New Roman" w:cs="Times New Roman" w:eastAsia="Times New Roman" w:hint="default"/>
          <w:sz w:val="18"/>
          <w:szCs w:val="18"/>
        </w:rPr>
      </w:pPr>
      <w:r>
        <w:rPr>
          <w:rFonts w:ascii="Times New Roman"/>
          <w:b/>
          <w:sz w:val="18"/>
        </w:rPr>
        <w:t>182 </w:t>
      </w:r>
      <w:r>
        <w:rPr>
          <w:rFonts w:ascii="Times New Roman"/>
          <w:sz w:val="18"/>
        </w:rPr>
        <w:t>/</w:t>
      </w:r>
      <w:r>
        <w:rPr>
          <w:rFonts w:ascii="Times New Roman"/>
          <w:spacing w:val="-2"/>
          <w:sz w:val="18"/>
        </w:rPr>
        <w:t> </w:t>
      </w:r>
      <w:r>
        <w:rPr>
          <w:rFonts w:ascii="Times New Roman"/>
          <w:b/>
          <w:sz w:val="18"/>
        </w:rPr>
        <w:t>237</w:t>
      </w:r>
      <w:r>
        <w:rPr>
          <w:rFonts w:ascii="Times New Roman"/>
          <w:sz w:val="18"/>
        </w:rPr>
      </w:r>
    </w:p>
    <w:p>
      <w:pPr>
        <w:spacing w:after="0"/>
        <w:jc w:val="center"/>
        <w:rPr>
          <w:rFonts w:ascii="Times New Roman" w:hAnsi="Times New Roman" w:cs="Times New Roman" w:eastAsia="Times New Roman" w:hint="default"/>
          <w:sz w:val="18"/>
          <w:szCs w:val="18"/>
        </w:rPr>
        <w:sectPr>
          <w:type w:val="continuous"/>
          <w:pgSz w:w="16840" w:h="11910" w:orient="landscape"/>
          <w:pgMar w:top="1500" w:bottom="280" w:left="1140" w:right="1040"/>
        </w:sect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pStyle w:val="Heading4"/>
        <w:spacing w:line="240" w:lineRule="auto" w:before="190"/>
        <w:ind w:left="378" w:right="0"/>
        <w:jc w:val="left"/>
        <w:rPr>
          <w:rFonts w:ascii="宋体" w:hAnsi="宋体" w:cs="宋体" w:eastAsia="宋体" w:hint="default"/>
          <w:b w:val="0"/>
          <w:bCs w:val="0"/>
        </w:rPr>
      </w:pPr>
      <w:r>
        <w:rPr>
          <w:rFonts w:ascii="Times New Roman" w:hAnsi="Times New Roman" w:cs="Times New Roman" w:eastAsia="Times New Roman" w:hint="default"/>
        </w:rPr>
        <w:t>50</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40"/>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0" w:lineRule="exact"/>
        <w:ind w:right="0"/>
        <w:jc w:val="left"/>
      </w:pPr>
      <w:r>
        <w:rPr/>
        <w:t> </w:t>
      </w:r>
    </w:p>
    <w:p>
      <w:pPr>
        <w:spacing w:after="0" w:line="310" w:lineRule="exact"/>
        <w:jc w:val="left"/>
        <w:sectPr>
          <w:footerReference w:type="default" r:id="rId67"/>
          <w:pgSz w:w="11910" w:h="16840"/>
          <w:pgMar w:footer="979" w:header="0" w:top="1120" w:bottom="1160" w:left="1040" w:right="1560"/>
          <w:pgNumType w:start="183"/>
        </w:sectPr>
      </w:pPr>
    </w:p>
    <w:p>
      <w:pPr>
        <w:pStyle w:val="Heading4"/>
        <w:spacing w:line="240" w:lineRule="auto" w:before="61"/>
        <w:ind w:left="378" w:right="150"/>
        <w:jc w:val="left"/>
        <w:rPr>
          <w:rFonts w:ascii="宋体" w:hAnsi="宋体" w:cs="宋体" w:eastAsia="宋体" w:hint="default"/>
          <w:b w:val="0"/>
          <w:bCs w:val="0"/>
        </w:rPr>
      </w:pPr>
      <w:r>
        <w:rPr>
          <w:rFonts w:ascii="Times New Roman" w:hAnsi="Times New Roman" w:cs="Times New Roman" w:eastAsia="Times New Roman" w:hint="default"/>
        </w:rPr>
        <w:t>51</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36" w:right="15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145"/>
        <w:gridCol w:w="1587"/>
        <w:gridCol w:w="857"/>
        <w:gridCol w:w="427"/>
        <w:gridCol w:w="749"/>
        <w:gridCol w:w="1284"/>
        <w:gridCol w:w="1375"/>
        <w:gridCol w:w="1625"/>
      </w:tblGrid>
      <w:tr>
        <w:trPr>
          <w:trHeight w:val="281" w:hRule="exact"/>
        </w:trPr>
        <w:tc>
          <w:tcPr>
            <w:tcW w:w="1145"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5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6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8" w:hRule="exact"/>
        </w:trPr>
        <w:tc>
          <w:tcPr>
            <w:tcW w:w="1145" w:type="dxa"/>
            <w:vMerge/>
            <w:tcBorders>
              <w:left w:val="single" w:sz="4" w:space="0" w:color="000000"/>
              <w:bottom w:val="single" w:sz="4" w:space="0" w:color="000000"/>
              <w:right w:val="single" w:sz="4" w:space="0" w:color="000000"/>
            </w:tcBorders>
          </w:tcPr>
          <w:p>
            <w:pPr/>
          </w:p>
        </w:tc>
        <w:tc>
          <w:tcPr>
            <w:tcW w:w="1587" w:type="dxa"/>
            <w:vMerge/>
            <w:tcBorders>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108"/>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40" w:lineRule="auto"/>
              <w:ind w:left="155" w:right="55" w:firstLine="2"/>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转股</w:t>
            </w:r>
            <w:r>
              <w:rPr>
                <w:rFonts w:ascii="宋体" w:hAnsi="宋体" w:cs="宋体" w:eastAsia="宋体" w:hint="default"/>
                <w:sz w:val="21"/>
                <w:szCs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25" w:type="dxa"/>
            <w:vMerge/>
            <w:tcBorders>
              <w:left w:val="single" w:sz="4" w:space="0" w:color="000000"/>
              <w:bottom w:val="single" w:sz="4" w:space="0" w:color="000000"/>
              <w:right w:val="single" w:sz="4" w:space="0" w:color="000000"/>
            </w:tcBorders>
          </w:tcPr>
          <w:p>
            <w:pPr/>
          </w:p>
        </w:tc>
      </w:tr>
      <w:tr>
        <w:trPr>
          <w:trHeight w:val="283"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股份总数</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8" w:right="0"/>
              <w:jc w:val="left"/>
              <w:rPr>
                <w:rFonts w:ascii="Times New Roman" w:hAnsi="Times New Roman" w:cs="Times New Roman" w:eastAsia="Times New Roman" w:hint="default"/>
                <w:sz w:val="21"/>
                <w:szCs w:val="21"/>
              </w:rPr>
            </w:pPr>
            <w:r>
              <w:rPr>
                <w:rFonts w:ascii="Times New Roman"/>
                <w:sz w:val="21"/>
              </w:rPr>
              <w:t>526,684,472.00</w:t>
            </w:r>
          </w:p>
        </w:tc>
        <w:tc>
          <w:tcPr>
            <w:tcW w:w="85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 w:right="0"/>
              <w:jc w:val="center"/>
              <w:rPr>
                <w:rFonts w:ascii="Times New Roman" w:hAnsi="Times New Roman" w:cs="Times New Roman" w:eastAsia="Times New Roman" w:hint="default"/>
                <w:sz w:val="21"/>
                <w:szCs w:val="21"/>
              </w:rPr>
            </w:pPr>
            <w:r>
              <w:rPr>
                <w:rFonts w:ascii="Times New Roman"/>
                <w:sz w:val="21"/>
              </w:rPr>
              <w:t>-196,560.00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1" w:right="0"/>
              <w:jc w:val="center"/>
              <w:rPr>
                <w:rFonts w:ascii="Times New Roman" w:hAnsi="Times New Roman" w:cs="Times New Roman" w:eastAsia="Times New Roman" w:hint="default"/>
                <w:sz w:val="21"/>
                <w:szCs w:val="21"/>
              </w:rPr>
            </w:pPr>
            <w:r>
              <w:rPr>
                <w:rFonts w:ascii="Times New Roman"/>
                <w:sz w:val="21"/>
              </w:rPr>
              <w:t>-196,560.00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9" w:right="0"/>
              <w:jc w:val="left"/>
              <w:rPr>
                <w:rFonts w:ascii="Times New Roman" w:hAnsi="Times New Roman" w:cs="Times New Roman" w:eastAsia="Times New Roman" w:hint="default"/>
                <w:sz w:val="21"/>
                <w:szCs w:val="21"/>
              </w:rPr>
            </w:pPr>
            <w:r>
              <w:rPr>
                <w:rFonts w:ascii="Times New Roman"/>
                <w:sz w:val="21"/>
              </w:rPr>
              <w:t>526,487,912.00</w:t>
            </w:r>
          </w:p>
        </w:tc>
      </w:tr>
    </w:tbl>
    <w:p>
      <w:pPr>
        <w:pStyle w:val="BodyText"/>
        <w:spacing w:line="240" w:lineRule="auto" w:before="2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33"/>
        <w:ind w:left="717" w:right="0"/>
        <w:jc w:val="left"/>
      </w:pPr>
      <w:r>
        <w:rPr>
          <w:rFonts w:ascii="Times New Roman" w:hAnsi="Times New Roman" w:cs="Times New Roman" w:eastAsia="Times New Roman" w:hint="default"/>
        </w:rPr>
        <w:t>2019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日，公司完成股权激励计划首次授予及预留部分限制性股票回购注销工作，</w:t>
      </w:r>
    </w:p>
    <w:p>
      <w:pPr>
        <w:pStyle w:val="BodyText"/>
        <w:spacing w:line="240" w:lineRule="auto" w:before="69"/>
        <w:ind w:left="236" w:right="0"/>
        <w:jc w:val="left"/>
      </w:pPr>
      <w:r>
        <w:rPr/>
        <w:t>董事会根据股东大会的授权对不符合解锁条件的</w:t>
      </w:r>
      <w:r>
        <w:rPr>
          <w:spacing w:val="-64"/>
        </w:rPr>
        <w:t> </w:t>
      </w:r>
      <w:r>
        <w:rPr>
          <w:rFonts w:ascii="Times New Roman" w:hAnsi="Times New Roman" w:cs="Times New Roman" w:eastAsia="Times New Roman" w:hint="default"/>
        </w:rPr>
        <w:t>15</w:t>
      </w:r>
      <w:r>
        <w:rPr>
          <w:rFonts w:ascii="Times New Roman" w:hAnsi="Times New Roman" w:cs="Times New Roman" w:eastAsia="Times New Roman" w:hint="default"/>
          <w:spacing w:val="-14"/>
        </w:rPr>
        <w:t> </w:t>
      </w:r>
      <w:r>
        <w:rPr/>
        <w:t>名激励对象合计持有的</w:t>
      </w:r>
      <w:r>
        <w:rPr>
          <w:spacing w:val="-64"/>
        </w:rPr>
        <w:t> </w:t>
      </w:r>
      <w:r>
        <w:rPr>
          <w:rFonts w:ascii="Times New Roman" w:hAnsi="Times New Roman" w:cs="Times New Roman" w:eastAsia="Times New Roman" w:hint="default"/>
        </w:rPr>
        <w:t>196,560</w:t>
      </w:r>
      <w:r>
        <w:rPr>
          <w:rFonts w:ascii="Times New Roman" w:hAnsi="Times New Roman" w:cs="Times New Roman" w:eastAsia="Times New Roman" w:hint="default"/>
          <w:spacing w:val="-14"/>
        </w:rPr>
        <w:t> </w:t>
      </w:r>
      <w:r>
        <w:rPr/>
        <w:t>股已获授但尚</w:t>
      </w:r>
    </w:p>
    <w:p>
      <w:pPr>
        <w:pStyle w:val="BodyText"/>
        <w:spacing w:line="240" w:lineRule="auto" w:before="69"/>
        <w:ind w:left="236" w:right="0"/>
        <w:jc w:val="left"/>
        <w:rPr>
          <w:rFonts w:ascii="Times New Roman" w:hAnsi="Times New Roman" w:cs="Times New Roman" w:eastAsia="Times New Roman" w:hint="default"/>
        </w:rPr>
      </w:pPr>
      <w:r>
        <w:rPr>
          <w:w w:val="100"/>
        </w:rPr>
        <w:t>未解</w:t>
      </w:r>
      <w:r>
        <w:rPr>
          <w:spacing w:val="-3"/>
          <w:w w:val="100"/>
        </w:rPr>
        <w:t>锁</w:t>
      </w:r>
      <w:r>
        <w:rPr>
          <w:w w:val="100"/>
        </w:rPr>
        <w:t>的</w:t>
      </w:r>
      <w:r>
        <w:rPr>
          <w:spacing w:val="-3"/>
          <w:w w:val="100"/>
        </w:rPr>
        <w:t>限</w:t>
      </w:r>
      <w:r>
        <w:rPr>
          <w:w w:val="100"/>
        </w:rPr>
        <w:t>制</w:t>
      </w:r>
      <w:r>
        <w:rPr>
          <w:spacing w:val="-3"/>
          <w:w w:val="100"/>
        </w:rPr>
        <w:t>性</w:t>
      </w:r>
      <w:r>
        <w:rPr>
          <w:w w:val="100"/>
        </w:rPr>
        <w:t>股</w:t>
      </w:r>
      <w:r>
        <w:rPr>
          <w:spacing w:val="-3"/>
          <w:w w:val="100"/>
        </w:rPr>
        <w:t>票</w:t>
      </w:r>
      <w:r>
        <w:rPr>
          <w:w w:val="100"/>
        </w:rPr>
        <w:t>进</w:t>
      </w:r>
      <w:r>
        <w:rPr>
          <w:spacing w:val="-3"/>
          <w:w w:val="100"/>
        </w:rPr>
        <w:t>行</w:t>
      </w:r>
      <w:r>
        <w:rPr>
          <w:w w:val="100"/>
        </w:rPr>
        <w:t>回购</w:t>
      </w:r>
      <w:r>
        <w:rPr>
          <w:spacing w:val="-3"/>
          <w:w w:val="100"/>
        </w:rPr>
        <w:t>注销</w:t>
      </w:r>
      <w:r>
        <w:rPr>
          <w:spacing w:val="-92"/>
          <w:w w:val="100"/>
        </w:rPr>
        <w:t>。</w:t>
      </w:r>
      <w:r>
        <w:rPr>
          <w:spacing w:val="-3"/>
          <w:w w:val="100"/>
        </w:rPr>
        <w:t>本</w:t>
      </w:r>
      <w:r>
        <w:rPr>
          <w:w w:val="100"/>
        </w:rPr>
        <w:t>次</w:t>
      </w:r>
      <w:r>
        <w:rPr>
          <w:spacing w:val="-3"/>
          <w:w w:val="100"/>
        </w:rPr>
        <w:t>回</w:t>
      </w:r>
      <w:r>
        <w:rPr>
          <w:w w:val="100"/>
        </w:rPr>
        <w:t>购</w:t>
      </w:r>
      <w:r>
        <w:rPr>
          <w:spacing w:val="-3"/>
          <w:w w:val="100"/>
        </w:rPr>
        <w:t>注</w:t>
      </w:r>
      <w:r>
        <w:rPr>
          <w:w w:val="100"/>
        </w:rPr>
        <w:t>销</w:t>
      </w:r>
      <w:r>
        <w:rPr>
          <w:spacing w:val="-3"/>
          <w:w w:val="100"/>
        </w:rPr>
        <w:t>完</w:t>
      </w:r>
      <w:r>
        <w:rPr>
          <w:w w:val="100"/>
        </w:rPr>
        <w:t>成后</w:t>
      </w:r>
      <w:r>
        <w:rPr>
          <w:spacing w:val="-3"/>
          <w:w w:val="100"/>
        </w:rPr>
        <w:t>公</w:t>
      </w:r>
      <w:r>
        <w:rPr>
          <w:w w:val="100"/>
        </w:rPr>
        <w:t>司</w:t>
      </w:r>
      <w:r>
        <w:rPr>
          <w:spacing w:val="-3"/>
          <w:w w:val="100"/>
        </w:rPr>
        <w:t>注</w:t>
      </w:r>
      <w:r>
        <w:rPr>
          <w:w w:val="100"/>
        </w:rPr>
        <w:t>册</w:t>
      </w:r>
      <w:r>
        <w:rPr>
          <w:spacing w:val="-3"/>
          <w:w w:val="100"/>
        </w:rPr>
        <w:t>资</w:t>
      </w:r>
      <w:r>
        <w:rPr>
          <w:w w:val="100"/>
        </w:rPr>
        <w:t>本</w:t>
      </w:r>
      <w:r>
        <w:rPr>
          <w:spacing w:val="-3"/>
          <w:w w:val="100"/>
        </w:rPr>
        <w:t>及</w:t>
      </w:r>
      <w:r>
        <w:rPr>
          <w:w w:val="100"/>
        </w:rPr>
        <w:t>股</w:t>
      </w:r>
      <w:r>
        <w:rPr>
          <w:spacing w:val="-3"/>
          <w:w w:val="100"/>
        </w:rPr>
        <w:t>本</w:t>
      </w:r>
      <w:r>
        <w:rPr>
          <w:w w:val="100"/>
        </w:rPr>
        <w:t>均为</w:t>
      </w:r>
      <w:r>
        <w:rPr>
          <w:spacing w:val="-53"/>
        </w:rPr>
        <w:t> </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26,4</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7,9</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p>
    <w:p>
      <w:pPr>
        <w:spacing w:before="69"/>
        <w:ind w:left="236" w:right="0" w:firstLine="0"/>
        <w:jc w:val="left"/>
        <w:rPr>
          <w:rFonts w:ascii="宋体" w:hAnsi="宋体" w:cs="宋体" w:eastAsia="宋体" w:hint="default"/>
          <w:sz w:val="24"/>
          <w:szCs w:val="24"/>
        </w:rPr>
      </w:pPr>
      <w:r>
        <w:rPr>
          <w:rFonts w:ascii="宋体" w:hAnsi="宋体" w:cs="宋体" w:eastAsia="宋体" w:hint="default"/>
          <w:sz w:val="21"/>
          <w:szCs w:val="21"/>
        </w:rPr>
        <w:t>元。</w:t>
      </w:r>
      <w:r>
        <w:rPr>
          <w:rFonts w:ascii="宋体" w:hAnsi="宋体" w:cs="宋体" w:eastAsia="宋体" w:hint="default"/>
          <w:sz w:val="24"/>
          <w:szCs w:val="24"/>
        </w:rPr>
        <w:t> </w:t>
      </w:r>
    </w:p>
    <w:p>
      <w:pPr>
        <w:pStyle w:val="Heading3"/>
        <w:spacing w:line="240" w:lineRule="auto" w:before="2"/>
        <w:ind w:right="0"/>
        <w:jc w:val="left"/>
      </w:pPr>
      <w:r>
        <w:rPr/>
        <w:t> </w:t>
      </w:r>
    </w:p>
    <w:p>
      <w:pPr>
        <w:pStyle w:val="Heading4"/>
        <w:spacing w:line="273" w:lineRule="auto"/>
        <w:ind w:left="236" w:right="1568" w:firstLine="142"/>
        <w:jc w:val="left"/>
        <w:rPr>
          <w:rFonts w:ascii="宋体" w:hAnsi="宋体" w:cs="宋体" w:eastAsia="宋体" w:hint="default"/>
          <w:b w:val="0"/>
          <w:bCs w:val="0"/>
        </w:rPr>
      </w:pPr>
      <w:r>
        <w:rPr>
          <w:rFonts w:ascii="Times New Roman" w:hAnsi="Times New Roman" w:cs="Times New Roman" w:eastAsia="Times New Roman" w:hint="default"/>
        </w:rPr>
        <w:t>52</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2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2"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期末发行在外的优</w:t>
      </w:r>
      <w:r>
        <w:rPr>
          <w:spacing w:val="-3"/>
          <w:w w:val="100"/>
        </w:rPr>
        <w:t>先</w:t>
      </w:r>
      <w:r>
        <w:rPr>
          <w:w w:val="100"/>
        </w:rPr>
        <w:t>股</w:t>
      </w:r>
      <w:r>
        <w:rPr>
          <w:spacing w:val="-3"/>
          <w:w w:val="100"/>
        </w:rPr>
        <w:t>、</w:t>
      </w:r>
      <w:r>
        <w:rPr>
          <w:w w:val="100"/>
        </w:rPr>
        <w:t>永续债等金融工具</w:t>
      </w:r>
      <w:r>
        <w:rPr>
          <w:spacing w:val="-3"/>
          <w:w w:val="100"/>
        </w:rPr>
        <w:t>变</w:t>
      </w:r>
      <w:r>
        <w:rPr>
          <w:w w:val="100"/>
        </w:rPr>
        <w:t>动</w:t>
      </w:r>
      <w:r>
        <w:rPr>
          <w:spacing w:val="-3"/>
          <w:w w:val="100"/>
        </w:rPr>
        <w:t>情</w:t>
      </w:r>
      <w:r>
        <w:rPr>
          <w:w w:val="100"/>
        </w:rPr>
        <w:t>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164"/>
        <w:gridCol w:w="497"/>
        <w:gridCol w:w="521"/>
        <w:gridCol w:w="1364"/>
        <w:gridCol w:w="1582"/>
        <w:gridCol w:w="466"/>
        <w:gridCol w:w="526"/>
        <w:gridCol w:w="1363"/>
        <w:gridCol w:w="1580"/>
      </w:tblGrid>
      <w:tr>
        <w:trPr>
          <w:trHeight w:val="554" w:hRule="exact"/>
        </w:trPr>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37" w:lineRule="auto"/>
              <w:ind w:left="156" w:right="153"/>
              <w:jc w:val="center"/>
              <w:rPr>
                <w:rFonts w:ascii="宋体" w:hAnsi="宋体" w:cs="宋体" w:eastAsia="宋体" w:hint="default"/>
                <w:sz w:val="21"/>
                <w:szCs w:val="21"/>
              </w:rPr>
            </w:pPr>
            <w:r>
              <w:rPr>
                <w:rFonts w:ascii="宋体" w:hAnsi="宋体" w:cs="宋体" w:eastAsia="宋体" w:hint="default"/>
                <w:sz w:val="21"/>
                <w:szCs w:val="21"/>
              </w:rPr>
              <w:t>发行在外</w:t>
            </w:r>
            <w:r>
              <w:rPr>
                <w:rFonts w:ascii="宋体" w:hAnsi="宋体" w:cs="宋体" w:eastAsia="宋体" w:hint="default"/>
                <w:w w:val="100"/>
                <w:sz w:val="21"/>
                <w:szCs w:val="21"/>
              </w:rPr>
              <w:t> </w:t>
            </w:r>
            <w:r>
              <w:rPr>
                <w:rFonts w:ascii="宋体" w:hAnsi="宋体" w:cs="宋体" w:eastAsia="宋体" w:hint="default"/>
                <w:sz w:val="21"/>
                <w:szCs w:val="21"/>
              </w:rPr>
              <w:t>的金融工</w:t>
            </w:r>
            <w:r>
              <w:rPr>
                <w:rFonts w:ascii="宋体" w:hAnsi="宋体" w:cs="宋体" w:eastAsia="宋体" w:hint="default"/>
                <w:w w:val="100"/>
                <w:sz w:val="21"/>
                <w:szCs w:val="21"/>
              </w:rPr>
              <w:t> </w:t>
            </w:r>
            <w:r>
              <w:rPr>
                <w:rFonts w:ascii="宋体" w:hAnsi="宋体" w:cs="宋体" w:eastAsia="宋体" w:hint="default"/>
                <w:sz w:val="21"/>
                <w:szCs w:val="21"/>
              </w:rPr>
              <w:t>具</w:t>
            </w:r>
            <w:r>
              <w:rPr>
                <w:rFonts w:ascii="宋体" w:hAnsi="宋体" w:cs="宋体" w:eastAsia="宋体" w:hint="default"/>
                <w:sz w:val="21"/>
                <w:szCs w:val="21"/>
              </w:rPr>
              <w:t> </w:t>
            </w:r>
          </w:p>
        </w:tc>
        <w:tc>
          <w:tcPr>
            <w:tcW w:w="10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92" w:right="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z w:val="21"/>
                <w:szCs w:val="21"/>
              </w:rPr>
              <w:t> </w:t>
            </w:r>
          </w:p>
        </w:tc>
        <w:tc>
          <w:tcPr>
            <w:tcW w:w="2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4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本期减</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z w:val="21"/>
                <w:szCs w:val="21"/>
              </w:rPr>
              <w:t> </w:t>
            </w:r>
          </w:p>
        </w:tc>
        <w:tc>
          <w:tcPr>
            <w:tcW w:w="2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97" w:right="0"/>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z w:val="21"/>
                <w:szCs w:val="21"/>
              </w:rPr>
              <w:t> </w:t>
            </w:r>
          </w:p>
        </w:tc>
      </w:tr>
      <w:tr>
        <w:trPr>
          <w:trHeight w:val="1102" w:hRule="exact"/>
        </w:trPr>
        <w:tc>
          <w:tcPr>
            <w:tcW w:w="1164" w:type="dxa"/>
            <w:vMerge/>
            <w:tcBorders>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6" w:right="31"/>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148" w:right="149"/>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p>
          <w:p>
            <w:pPr>
              <w:pStyle w:val="TableParagraph"/>
              <w:spacing w:line="272" w:lineRule="exact" w:before="1"/>
              <w:ind w:left="148" w:right="43"/>
              <w:jc w:val="left"/>
              <w:rPr>
                <w:rFonts w:ascii="宋体" w:hAnsi="宋体" w:cs="宋体" w:eastAsia="宋体" w:hint="default"/>
                <w:sz w:val="21"/>
                <w:szCs w:val="21"/>
              </w:rPr>
            </w:pP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9" w:right="17"/>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151" w:right="151"/>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p>
          <w:p>
            <w:pPr>
              <w:pStyle w:val="TableParagraph"/>
              <w:spacing w:line="272" w:lineRule="exact" w:before="1"/>
              <w:ind w:left="151" w:right="47"/>
              <w:jc w:val="left"/>
              <w:rPr>
                <w:rFonts w:ascii="宋体" w:hAnsi="宋体" w:cs="宋体" w:eastAsia="宋体" w:hint="default"/>
                <w:sz w:val="21"/>
                <w:szCs w:val="21"/>
              </w:rPr>
            </w:pP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8" w:right="202"/>
              <w:jc w:val="left"/>
              <w:rPr>
                <w:rFonts w:ascii="宋体" w:hAnsi="宋体" w:cs="宋体" w:eastAsia="宋体" w:hint="default"/>
                <w:sz w:val="21"/>
                <w:szCs w:val="21"/>
              </w:rPr>
            </w:pPr>
            <w:r>
              <w:rPr>
                <w:rFonts w:ascii="宋体" w:hAnsi="宋体" w:cs="宋体" w:eastAsia="宋体" w:hint="default"/>
                <w:sz w:val="21"/>
                <w:szCs w:val="21"/>
              </w:rPr>
              <w:t>可转换公</w:t>
            </w:r>
            <w:r>
              <w:rPr>
                <w:rFonts w:ascii="宋体" w:hAnsi="宋体" w:cs="宋体" w:eastAsia="宋体" w:hint="default"/>
                <w:w w:val="100"/>
                <w:sz w:val="21"/>
                <w:szCs w:val="21"/>
              </w:rPr>
              <w:t> </w:t>
            </w:r>
            <w:r>
              <w:rPr>
                <w:rFonts w:ascii="宋体" w:hAnsi="宋体" w:cs="宋体" w:eastAsia="宋体" w:hint="default"/>
                <w:sz w:val="21"/>
                <w:szCs w:val="21"/>
              </w:rPr>
              <w:t>司债券</w:t>
            </w:r>
            <w:r>
              <w:rPr>
                <w:rFonts w:ascii="宋体" w:hAnsi="宋体" w:cs="宋体" w:eastAsia="宋体" w:hint="default"/>
                <w:sz w:val="21"/>
                <w:szCs w:val="21"/>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right"/>
              <w:rPr>
                <w:rFonts w:ascii="宋体" w:hAnsi="宋体" w:cs="宋体" w:eastAsia="宋体" w:hint="default"/>
                <w:sz w:val="21"/>
                <w:szCs w:val="21"/>
              </w:rPr>
            </w:pPr>
            <w:r>
              <w:rPr>
                <w:rFonts w:ascii="宋体"/>
                <w:w w:val="100"/>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7" w:right="0"/>
              <w:jc w:val="center"/>
              <w:rPr>
                <w:rFonts w:ascii="Times New Roman" w:hAnsi="Times New Roman" w:cs="Times New Roman" w:eastAsia="Times New Roman" w:hint="default"/>
                <w:sz w:val="21"/>
                <w:szCs w:val="21"/>
              </w:rPr>
            </w:pPr>
            <w:r>
              <w:rPr>
                <w:rFonts w:ascii="Times New Roman"/>
                <w:sz w:val="21"/>
              </w:rPr>
              <w:t>6,600,000.00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0" w:right="0"/>
              <w:jc w:val="center"/>
              <w:rPr>
                <w:rFonts w:ascii="Times New Roman" w:hAnsi="Times New Roman" w:cs="Times New Roman" w:eastAsia="Times New Roman" w:hint="default"/>
                <w:sz w:val="21"/>
                <w:szCs w:val="21"/>
              </w:rPr>
            </w:pPr>
            <w:r>
              <w:rPr>
                <w:rFonts w:ascii="Times New Roman"/>
                <w:sz w:val="21"/>
              </w:rPr>
              <w:t>180,222,023.21</w:t>
            </w:r>
          </w:p>
        </w:tc>
        <w:tc>
          <w:tcPr>
            <w:tcW w:w="466"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3" w:right="0"/>
              <w:jc w:val="center"/>
              <w:rPr>
                <w:rFonts w:ascii="Times New Roman" w:hAnsi="Times New Roman" w:cs="Times New Roman" w:eastAsia="Times New Roman" w:hint="default"/>
                <w:sz w:val="21"/>
                <w:szCs w:val="21"/>
              </w:rPr>
            </w:pPr>
            <w:r>
              <w:rPr>
                <w:rFonts w:ascii="Times New Roman"/>
                <w:sz w:val="21"/>
              </w:rPr>
              <w:t>6,600,000.00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7" w:right="0"/>
              <w:jc w:val="center"/>
              <w:rPr>
                <w:rFonts w:ascii="Times New Roman" w:hAnsi="Times New Roman" w:cs="Times New Roman" w:eastAsia="Times New Roman" w:hint="default"/>
                <w:sz w:val="21"/>
                <w:szCs w:val="21"/>
              </w:rPr>
            </w:pPr>
            <w:r>
              <w:rPr>
                <w:rFonts w:ascii="Times New Roman"/>
                <w:sz w:val="21"/>
              </w:rPr>
              <w:t>180,222,023.21</w:t>
            </w:r>
          </w:p>
        </w:tc>
      </w:tr>
      <w:tr>
        <w:trPr>
          <w:trHeight w:val="350"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6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right"/>
              <w:rPr>
                <w:rFonts w:ascii="宋体" w:hAnsi="宋体" w:cs="宋体" w:eastAsia="宋体" w:hint="default"/>
                <w:sz w:val="21"/>
                <w:szCs w:val="21"/>
              </w:rPr>
            </w:pPr>
            <w:r>
              <w:rPr>
                <w:rFonts w:ascii="宋体"/>
                <w:w w:val="100"/>
                <w:sz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7" w:right="0"/>
              <w:jc w:val="center"/>
              <w:rPr>
                <w:rFonts w:ascii="Times New Roman" w:hAnsi="Times New Roman" w:cs="Times New Roman" w:eastAsia="Times New Roman" w:hint="default"/>
                <w:sz w:val="21"/>
                <w:szCs w:val="21"/>
              </w:rPr>
            </w:pPr>
            <w:r>
              <w:rPr>
                <w:rFonts w:ascii="Times New Roman"/>
                <w:sz w:val="21"/>
              </w:rPr>
              <w:t>6,600,000.00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 w:right="0"/>
              <w:jc w:val="center"/>
              <w:rPr>
                <w:rFonts w:ascii="Times New Roman" w:hAnsi="Times New Roman" w:cs="Times New Roman" w:eastAsia="Times New Roman" w:hint="default"/>
                <w:sz w:val="21"/>
                <w:szCs w:val="21"/>
              </w:rPr>
            </w:pPr>
            <w:r>
              <w:rPr>
                <w:rFonts w:ascii="Times New Roman"/>
                <w:sz w:val="21"/>
              </w:rPr>
              <w:t>180,222,023.21</w:t>
            </w:r>
          </w:p>
        </w:tc>
        <w:tc>
          <w:tcPr>
            <w:tcW w:w="466"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3" w:right="0"/>
              <w:jc w:val="center"/>
              <w:rPr>
                <w:rFonts w:ascii="Times New Roman" w:hAnsi="Times New Roman" w:cs="Times New Roman" w:eastAsia="Times New Roman" w:hint="default"/>
                <w:sz w:val="21"/>
                <w:szCs w:val="21"/>
              </w:rPr>
            </w:pPr>
            <w:r>
              <w:rPr>
                <w:rFonts w:ascii="Times New Roman"/>
                <w:sz w:val="21"/>
              </w:rPr>
              <w:t>6,600,000.00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7" w:right="0"/>
              <w:jc w:val="center"/>
              <w:rPr>
                <w:rFonts w:ascii="Times New Roman" w:hAnsi="Times New Roman" w:cs="Times New Roman" w:eastAsia="Times New Roman" w:hint="default"/>
                <w:sz w:val="21"/>
                <w:szCs w:val="21"/>
              </w:rPr>
            </w:pPr>
            <w:r>
              <w:rPr>
                <w:rFonts w:ascii="Times New Roman"/>
                <w:sz w:val="21"/>
              </w:rPr>
              <w:t>180,222,023.21</w:t>
            </w:r>
          </w:p>
        </w:tc>
      </w:tr>
    </w:tbl>
    <w:p>
      <w:pPr>
        <w:pStyle w:val="BodyText"/>
        <w:spacing w:line="272" w:lineRule="exact"/>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权</w:t>
      </w:r>
      <w:r>
        <w:rPr>
          <w:w w:val="100"/>
        </w:rPr>
        <w:t>益</w:t>
      </w:r>
      <w:r>
        <w:rPr>
          <w:spacing w:val="-3"/>
          <w:w w:val="100"/>
        </w:rPr>
        <w:t>工</w:t>
      </w:r>
      <w:r>
        <w:rPr>
          <w:w w:val="100"/>
        </w:rPr>
        <w:t>具</w:t>
      </w:r>
      <w:r>
        <w:rPr>
          <w:spacing w:val="-3"/>
          <w:w w:val="100"/>
        </w:rPr>
        <w:t>本</w:t>
      </w:r>
      <w:r>
        <w:rPr>
          <w:w w:val="100"/>
        </w:rPr>
        <w:t>期</w:t>
      </w:r>
      <w:r>
        <w:rPr>
          <w:spacing w:val="-3"/>
          <w:w w:val="100"/>
        </w:rPr>
        <w:t>增</w:t>
      </w:r>
      <w:r>
        <w:rPr>
          <w:w w:val="100"/>
        </w:rPr>
        <w:t>减</w:t>
      </w:r>
      <w:r>
        <w:rPr>
          <w:spacing w:val="-3"/>
          <w:w w:val="100"/>
        </w:rPr>
        <w:t>变</w:t>
      </w:r>
      <w:r>
        <w:rPr>
          <w:w w:val="100"/>
        </w:rPr>
        <w:t>动情</w:t>
      </w:r>
      <w:r>
        <w:rPr>
          <w:spacing w:val="-3"/>
          <w:w w:val="100"/>
        </w:rPr>
        <w:t>况</w:t>
      </w:r>
      <w:r>
        <w:rPr>
          <w:w w:val="100"/>
        </w:rPr>
        <w:t>、</w:t>
      </w:r>
      <w:r>
        <w:rPr>
          <w:spacing w:val="-3"/>
          <w:w w:val="100"/>
        </w:rPr>
        <w:t>变</w:t>
      </w:r>
      <w:r>
        <w:rPr>
          <w:w w:val="100"/>
        </w:rPr>
        <w:t>动</w:t>
      </w:r>
      <w:r>
        <w:rPr>
          <w:spacing w:val="-3"/>
          <w:w w:val="100"/>
        </w:rPr>
        <w:t>原</w:t>
      </w:r>
      <w:r>
        <w:rPr>
          <w:w w:val="100"/>
        </w:rPr>
        <w:t>因</w:t>
      </w:r>
      <w:r>
        <w:rPr>
          <w:spacing w:val="-3"/>
          <w:w w:val="100"/>
        </w:rPr>
        <w:t>说</w:t>
      </w:r>
      <w:r>
        <w:rPr>
          <w:w w:val="100"/>
        </w:rPr>
        <w:t>明</w:t>
      </w:r>
      <w:r>
        <w:rPr>
          <w:spacing w:val="-3"/>
          <w:w w:val="100"/>
        </w:rPr>
        <w:t>，</w:t>
      </w:r>
      <w:r>
        <w:rPr>
          <w:w w:val="100"/>
        </w:rPr>
        <w:t>以及</w:t>
      </w:r>
      <w:r>
        <w:rPr>
          <w:spacing w:val="-3"/>
          <w:w w:val="100"/>
        </w:rPr>
        <w:t>相</w:t>
      </w:r>
      <w:r>
        <w:rPr>
          <w:w w:val="100"/>
        </w:rPr>
        <w:t>关</w:t>
      </w:r>
      <w:r>
        <w:rPr>
          <w:spacing w:val="-3"/>
          <w:w w:val="100"/>
        </w:rPr>
        <w:t>会</w:t>
      </w:r>
      <w:r>
        <w:rPr>
          <w:w w:val="100"/>
        </w:rPr>
        <w:t>计</w:t>
      </w:r>
      <w:r>
        <w:rPr>
          <w:spacing w:val="-3"/>
          <w:w w:val="100"/>
        </w:rPr>
        <w:t>处</w:t>
      </w:r>
      <w:r>
        <w:rPr>
          <w:w w:val="100"/>
        </w:rPr>
        <w:t>理</w:t>
      </w:r>
      <w:r>
        <w:rPr>
          <w:spacing w:val="-3"/>
          <w:w w:val="100"/>
        </w:rPr>
        <w:t>的</w:t>
      </w:r>
      <w:r>
        <w:rPr>
          <w:w w:val="100"/>
        </w:rPr>
        <w:t>依</w:t>
      </w:r>
      <w:r>
        <w:rPr>
          <w:spacing w:val="-3"/>
          <w:w w:val="100"/>
        </w:rPr>
        <w:t>据</w:t>
      </w:r>
      <w:r>
        <w:rPr>
          <w:w w:val="100"/>
        </w:rPr>
        <w:t>：</w:t>
      </w:r>
      <w:r>
        <w:rPr>
          <w:rFonts w:ascii="宋体" w:hAnsi="宋体" w:cs="宋体" w:eastAsia="宋体" w:hint="default"/>
          <w:w w:val="100"/>
        </w:rPr>
        <w:t> </w:t>
      </w:r>
    </w:p>
    <w:p>
      <w:pPr>
        <w:pStyle w:val="BodyText"/>
        <w:spacing w:line="249"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09" w:lineRule="auto" w:before="73"/>
        <w:ind w:left="236" w:right="0" w:firstLine="420"/>
        <w:jc w:val="left"/>
        <w:rPr>
          <w:rFonts w:ascii="宋体" w:hAnsi="宋体" w:cs="宋体" w:eastAsia="宋体" w:hint="default"/>
        </w:rPr>
      </w:pPr>
      <w:r>
        <w:rPr>
          <w:spacing w:val="-2"/>
        </w:rPr>
        <w:t>经中国证券监督管理委员会出具的《关于核准南威软件股份有限公司公开发行可转换公司债</w:t>
      </w:r>
      <w:r>
        <w:rPr>
          <w:w w:val="100"/>
        </w:rPr>
        <w:t> </w:t>
      </w:r>
      <w:r>
        <w:rPr/>
        <w:t>券的批复》（证监许可</w:t>
      </w:r>
      <w:r>
        <w:rPr>
          <w:rFonts w:ascii="Times New Roman" w:hAnsi="Times New Roman" w:cs="Times New Roman" w:eastAsia="Times New Roman" w:hint="default"/>
        </w:rPr>
        <w:t>[2019]857</w:t>
      </w:r>
      <w:r>
        <w:rPr>
          <w:rFonts w:ascii="Times New Roman" w:hAnsi="Times New Roman" w:cs="Times New Roman" w:eastAsia="Times New Roman" w:hint="default"/>
          <w:spacing w:val="-3"/>
        </w:rPr>
        <w:t> </w:t>
      </w:r>
      <w:r>
        <w:rPr/>
        <w:t>号）核准，公司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年公开发行面值总额</w:t>
      </w:r>
      <w:r>
        <w:rPr>
          <w:spacing w:val="-54"/>
        </w:rPr>
        <w:t> </w:t>
      </w:r>
      <w:r>
        <w:rPr>
          <w:rFonts w:ascii="Times New Roman" w:hAnsi="Times New Roman" w:cs="Times New Roman" w:eastAsia="Times New Roman" w:hint="default"/>
        </w:rPr>
        <w:t>660,000,000.00</w:t>
      </w:r>
      <w:r>
        <w:rPr>
          <w:rFonts w:ascii="Times New Roman" w:hAnsi="Times New Roman" w:cs="Times New Roman" w:eastAsia="Times New Roman" w:hint="default"/>
          <w:spacing w:val="-1"/>
        </w:rPr>
        <w:t> </w:t>
      </w:r>
      <w:r>
        <w:rPr>
          <w:spacing w:val="-3"/>
        </w:rPr>
        <w:t>元的</w:t>
      </w:r>
      <w:r>
        <w:rPr>
          <w:spacing w:val="-3"/>
          <w:w w:val="100"/>
        </w:rPr>
        <w:t> </w:t>
      </w:r>
      <w:r>
        <w:rPr>
          <w:spacing w:val="-2"/>
        </w:rPr>
        <w:t>可转换公司债券，公司将可转换债券的整体发行价格扣除负债成分初始确认金额后的金额确定权</w:t>
      </w:r>
      <w:r>
        <w:rPr>
          <w:spacing w:val="-25"/>
        </w:rPr>
        <w:t> </w:t>
      </w:r>
      <w:r>
        <w:rPr>
          <w:spacing w:val="-25"/>
        </w:rPr>
      </w:r>
      <w:r>
        <w:rPr/>
        <w:t>益成分的初始确认金额，确认为其他债权益工具。</w:t>
      </w:r>
      <w:r>
        <w:rPr>
          <w:rFonts w:ascii="宋体" w:hAnsi="宋体" w:cs="宋体" w:eastAsia="宋体" w:hint="default"/>
        </w:rPr>
        <w:t> </w:t>
      </w:r>
    </w:p>
    <w:p>
      <w:pPr>
        <w:pStyle w:val="Heading3"/>
        <w:spacing w:line="255" w:lineRule="exact"/>
        <w:ind w:right="0"/>
        <w:jc w:val="left"/>
      </w:pPr>
      <w:r>
        <w:rPr/>
        <w:t> </w:t>
      </w:r>
    </w:p>
    <w:p>
      <w:pPr>
        <w:pStyle w:val="BodyText"/>
        <w:spacing w:line="273" w:lineRule="exact" w:before="4"/>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right="0"/>
        <w:jc w:val="left"/>
      </w:pPr>
      <w:r>
        <w:rPr/>
        <w:t> </w:t>
      </w:r>
    </w:p>
    <w:p>
      <w:pPr>
        <w:spacing w:after="0" w:line="310" w:lineRule="exact"/>
        <w:jc w:val="left"/>
        <w:sectPr>
          <w:type w:val="continuous"/>
          <w:pgSz w:w="11910" w:h="16840"/>
          <w:pgMar w:top="1500" w:bottom="280" w:left="1040" w:right="1560"/>
        </w:sect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79" w:top="1120" w:bottom="1160" w:left="1040" w:right="1560"/>
        </w:sectPr>
      </w:pPr>
    </w:p>
    <w:p>
      <w:pPr>
        <w:pStyle w:val="Heading4"/>
        <w:spacing w:line="240" w:lineRule="auto" w:before="36"/>
        <w:ind w:left="191" w:right="86"/>
        <w:jc w:val="center"/>
        <w:rPr>
          <w:rFonts w:ascii="宋体" w:hAnsi="宋体" w:cs="宋体" w:eastAsia="宋体" w:hint="default"/>
          <w:b w:val="0"/>
          <w:bCs w:val="0"/>
        </w:rPr>
      </w:pPr>
      <w:r>
        <w:rPr>
          <w:rFonts w:ascii="Times New Roman" w:hAnsi="Times New Roman" w:cs="Times New Roman" w:eastAsia="Times New Roman" w:hint="default"/>
        </w:rPr>
        <w:t>53</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1"/>
        <w:ind w:left="322" w:right="86"/>
        <w:jc w:val="center"/>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2023" w:space="4499"/>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78"/>
        <w:gridCol w:w="1791"/>
        <w:gridCol w:w="1834"/>
        <w:gridCol w:w="1800"/>
        <w:gridCol w:w="1959"/>
      </w:tblGrid>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资本溢价（股本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710,392,666.16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right"/>
              <w:rPr>
                <w:rFonts w:ascii="宋体" w:hAnsi="宋体" w:cs="宋体" w:eastAsia="宋体" w:hint="default"/>
                <w:sz w:val="21"/>
                <w:szCs w:val="21"/>
              </w:rPr>
            </w:pPr>
            <w:r>
              <w:rPr>
                <w:rFonts w:ascii="宋体"/>
                <w:w w:val="100"/>
                <w:sz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right"/>
              <w:rPr>
                <w:rFonts w:ascii="宋体" w:hAnsi="宋体" w:cs="宋体" w:eastAsia="宋体" w:hint="default"/>
                <w:sz w:val="21"/>
                <w:szCs w:val="21"/>
              </w:rPr>
            </w:pPr>
            <w:r>
              <w:rPr>
                <w:rFonts w:ascii="宋体"/>
                <w:w w:val="100"/>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710,392,666.16</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-2,187,875.33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6" w:right="0"/>
              <w:jc w:val="left"/>
              <w:rPr>
                <w:rFonts w:ascii="Times New Roman" w:hAnsi="Times New Roman" w:cs="Times New Roman" w:eastAsia="Times New Roman" w:hint="default"/>
                <w:sz w:val="21"/>
                <w:szCs w:val="21"/>
              </w:rPr>
            </w:pPr>
            <w:r>
              <w:rPr>
                <w:rFonts w:ascii="Times New Roman"/>
                <w:sz w:val="21"/>
              </w:rPr>
              <w:t>31,937,240.63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1,215,954.90</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28,533,410.40</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708,204,790.83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6" w:right="0"/>
              <w:jc w:val="left"/>
              <w:rPr>
                <w:rFonts w:ascii="Times New Roman" w:hAnsi="Times New Roman" w:cs="Times New Roman" w:eastAsia="Times New Roman" w:hint="default"/>
                <w:sz w:val="21"/>
                <w:szCs w:val="21"/>
              </w:rPr>
            </w:pPr>
            <w:r>
              <w:rPr>
                <w:rFonts w:ascii="Times New Roman"/>
                <w:sz w:val="21"/>
              </w:rPr>
              <w:t>31,937,240.63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1,215,954.90</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738,926,076.56</w:t>
            </w:r>
          </w:p>
        </w:tc>
      </w:tr>
    </w:tbl>
    <w:p>
      <w:pPr>
        <w:pStyle w:val="BodyText"/>
        <w:spacing w:line="241" w:lineRule="exact"/>
        <w:ind w:left="236" w:right="0"/>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302" w:lineRule="auto" w:before="73"/>
        <w:ind w:left="236" w:right="0" w:firstLine="420"/>
        <w:jc w:val="left"/>
      </w:pPr>
      <w:r>
        <w:rPr>
          <w:spacing w:val="-2"/>
        </w:rPr>
        <w:t>因成都四方伟业软件有限公司除净损益以外所有者权益的其他变动，公司按权益法核算增加</w:t>
      </w:r>
      <w:r>
        <w:rPr>
          <w:w w:val="100"/>
        </w:rPr>
        <w:t> </w:t>
      </w:r>
      <w:r>
        <w:rPr/>
        <w:t>其他资本公积</w:t>
      </w:r>
      <w:r>
        <w:rPr>
          <w:spacing w:val="-81"/>
        </w:rPr>
        <w:t> </w:t>
      </w:r>
      <w:r>
        <w:rPr>
          <w:rFonts w:ascii="Times New Roman" w:hAnsi="Times New Roman" w:cs="Times New Roman" w:eastAsia="Times New Roman" w:hint="default"/>
        </w:rPr>
        <w:t>31,283,533.90</w:t>
      </w:r>
      <w:r>
        <w:rPr>
          <w:rFonts w:ascii="Times New Roman" w:hAnsi="Times New Roman" w:cs="Times New Roman" w:eastAsia="Times New Roman" w:hint="default"/>
          <w:spacing w:val="-26"/>
        </w:rPr>
        <w:t> </w:t>
      </w:r>
      <w:r>
        <w:rPr/>
        <w:t>元</w:t>
      </w:r>
      <w:r>
        <w:rPr>
          <w:rFonts w:ascii="Times New Roman" w:hAnsi="Times New Roman" w:cs="Times New Roman" w:eastAsia="Times New Roman" w:hint="default"/>
        </w:rPr>
        <w:t>;</w:t>
      </w:r>
      <w:r>
        <w:rPr/>
        <w:t>本期公司限制性股票应分摊的成本费用为</w:t>
      </w:r>
      <w:r>
        <w:rPr>
          <w:spacing w:val="-79"/>
        </w:rPr>
        <w:t> </w:t>
      </w:r>
      <w:r>
        <w:rPr>
          <w:rFonts w:ascii="Times New Roman" w:hAnsi="Times New Roman" w:cs="Times New Roman" w:eastAsia="Times New Roman" w:hint="default"/>
        </w:rPr>
        <w:t>653,706.73</w:t>
      </w:r>
      <w:r>
        <w:rPr>
          <w:rFonts w:ascii="Times New Roman" w:hAnsi="Times New Roman" w:cs="Times New Roman" w:eastAsia="Times New Roman" w:hint="default"/>
          <w:spacing w:val="-29"/>
        </w:rPr>
        <w:t> </w:t>
      </w:r>
      <w:r>
        <w:rPr/>
        <w:t>元计入其他资</w:t>
      </w:r>
      <w:r>
        <w:rPr>
          <w:w w:val="100"/>
        </w:rPr>
        <w:t> </w:t>
      </w:r>
      <w:r>
        <w:rPr/>
        <w:t>本公积</w:t>
      </w:r>
      <w:r>
        <w:rPr>
          <w:rFonts w:ascii="Times New Roman" w:hAnsi="Times New Roman" w:cs="Times New Roman" w:eastAsia="Times New Roman" w:hint="default"/>
        </w:rPr>
        <w:t>;</w:t>
      </w:r>
      <w:r>
        <w:rPr/>
        <w:t>限制性股票允许税前扣除金额与会计准则规定确认的与股份支付相关的成本费用时间性</w:t>
      </w:r>
      <w:r>
        <w:rPr>
          <w:w w:val="100"/>
        </w:rPr>
        <w:t> </w:t>
      </w:r>
      <w:r>
        <w:rPr/>
        <w:t>差异影响减少其他资本公积</w:t>
      </w:r>
      <w:r>
        <w:rPr>
          <w:spacing w:val="-53"/>
        </w:rPr>
        <w:t> </w:t>
      </w:r>
      <w:r>
        <w:rPr>
          <w:rFonts w:ascii="Times New Roman" w:hAnsi="Times New Roman" w:cs="Times New Roman" w:eastAsia="Times New Roman" w:hint="default"/>
        </w:rPr>
        <w:t>1,215,954.90</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00" w:bottom="280" w:left="1040" w:right="1560"/>
        </w:sectPr>
      </w:pPr>
    </w:p>
    <w:p>
      <w:pPr>
        <w:pStyle w:val="Heading4"/>
        <w:spacing w:line="240" w:lineRule="auto" w:before="36"/>
        <w:ind w:left="378" w:right="150"/>
        <w:jc w:val="left"/>
        <w:rPr>
          <w:rFonts w:ascii="宋体" w:hAnsi="宋体" w:cs="宋体" w:eastAsia="宋体" w:hint="default"/>
          <w:b w:val="0"/>
          <w:bCs w:val="0"/>
        </w:rPr>
      </w:pPr>
      <w:r>
        <w:rPr>
          <w:rFonts w:ascii="Times New Roman" w:hAnsi="Times New Roman" w:cs="Times New Roman" w:eastAsia="Times New Roman" w:hint="default"/>
        </w:rPr>
        <w:t>54</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36" w:right="15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2"/>
        <w:gridCol w:w="1810"/>
        <w:gridCol w:w="1836"/>
        <w:gridCol w:w="1850"/>
        <w:gridCol w:w="1853"/>
      </w:tblGrid>
      <w:tr>
        <w:trPr>
          <w:trHeight w:val="28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限制性股份支付</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2" w:right="0"/>
              <w:jc w:val="left"/>
              <w:rPr>
                <w:rFonts w:ascii="Times New Roman" w:hAnsi="Times New Roman" w:cs="Times New Roman" w:eastAsia="Times New Roman" w:hint="default"/>
                <w:sz w:val="21"/>
                <w:szCs w:val="21"/>
              </w:rPr>
            </w:pPr>
            <w:r>
              <w:rPr>
                <w:rFonts w:ascii="Times New Roman"/>
                <w:sz w:val="21"/>
              </w:rPr>
              <w:t>15,732,668.62</w:t>
            </w:r>
          </w:p>
        </w:tc>
        <w:tc>
          <w:tcPr>
            <w:tcW w:w="1836"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1,562,348.83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7" w:right="0"/>
              <w:jc w:val="left"/>
              <w:rPr>
                <w:rFonts w:ascii="Times New Roman" w:hAnsi="Times New Roman" w:cs="Times New Roman" w:eastAsia="Times New Roman" w:hint="default"/>
                <w:sz w:val="21"/>
                <w:szCs w:val="21"/>
              </w:rPr>
            </w:pPr>
            <w:r>
              <w:rPr>
                <w:rFonts w:ascii="Times New Roman"/>
                <w:sz w:val="21"/>
              </w:rPr>
              <w:t>14,170,319.79</w:t>
            </w:r>
          </w:p>
        </w:tc>
      </w:tr>
      <w:tr>
        <w:trPr>
          <w:trHeight w:val="28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回购股份</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8" w:right="0"/>
              <w:jc w:val="left"/>
              <w:rPr>
                <w:rFonts w:ascii="Times New Roman" w:hAnsi="Times New Roman" w:cs="Times New Roman" w:eastAsia="Times New Roman" w:hint="default"/>
                <w:sz w:val="21"/>
                <w:szCs w:val="21"/>
              </w:rPr>
            </w:pPr>
            <w:r>
              <w:rPr>
                <w:rFonts w:ascii="Times New Roman"/>
                <w:sz w:val="21"/>
              </w:rPr>
              <w:t>43,276,280.49</w:t>
            </w:r>
          </w:p>
        </w:tc>
        <w:tc>
          <w:tcPr>
            <w:tcW w:w="185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7" w:right="0"/>
              <w:jc w:val="left"/>
              <w:rPr>
                <w:rFonts w:ascii="Times New Roman" w:hAnsi="Times New Roman" w:cs="Times New Roman" w:eastAsia="Times New Roman" w:hint="default"/>
                <w:sz w:val="21"/>
                <w:szCs w:val="21"/>
              </w:rPr>
            </w:pPr>
            <w:r>
              <w:rPr>
                <w:rFonts w:ascii="Times New Roman"/>
                <w:sz w:val="21"/>
              </w:rPr>
              <w:t>43,276,280.49</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2" w:right="0"/>
              <w:jc w:val="left"/>
              <w:rPr>
                <w:rFonts w:ascii="Times New Roman" w:hAnsi="Times New Roman" w:cs="Times New Roman" w:eastAsia="Times New Roman" w:hint="default"/>
                <w:sz w:val="21"/>
                <w:szCs w:val="21"/>
              </w:rPr>
            </w:pPr>
            <w:r>
              <w:rPr>
                <w:rFonts w:ascii="Times New Roman"/>
                <w:sz w:val="21"/>
              </w:rPr>
              <w:t>15,732,668.62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8" w:right="0"/>
              <w:jc w:val="left"/>
              <w:rPr>
                <w:rFonts w:ascii="Times New Roman" w:hAnsi="Times New Roman" w:cs="Times New Roman" w:eastAsia="Times New Roman" w:hint="default"/>
                <w:sz w:val="21"/>
                <w:szCs w:val="21"/>
              </w:rPr>
            </w:pPr>
            <w:r>
              <w:rPr>
                <w:rFonts w:ascii="Times New Roman"/>
                <w:sz w:val="21"/>
              </w:rPr>
              <w:t>43,276,280.49</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1,562,348.83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7" w:right="0"/>
              <w:jc w:val="left"/>
              <w:rPr>
                <w:rFonts w:ascii="Times New Roman" w:hAnsi="Times New Roman" w:cs="Times New Roman" w:eastAsia="Times New Roman" w:hint="default"/>
                <w:sz w:val="21"/>
                <w:szCs w:val="21"/>
              </w:rPr>
            </w:pPr>
            <w:r>
              <w:rPr>
                <w:rFonts w:ascii="Times New Roman"/>
                <w:sz w:val="21"/>
              </w:rPr>
              <w:t>57,446,600.28</w:t>
            </w:r>
          </w:p>
        </w:tc>
      </w:tr>
    </w:tbl>
    <w:p>
      <w:pPr>
        <w:pStyle w:val="BodyText"/>
        <w:spacing w:line="274" w:lineRule="exact"/>
        <w:ind w:left="236" w:right="0"/>
        <w:jc w:val="left"/>
        <w:rPr>
          <w:rFonts w:ascii="宋体" w:hAnsi="宋体" w:cs="宋体" w:eastAsia="宋体" w:hint="default"/>
          <w:sz w:val="24"/>
          <w:szCs w:val="24"/>
        </w:rPr>
      </w:pPr>
      <w:r>
        <w:rPr/>
        <w:t>其他说明</w:t>
      </w:r>
      <w:r>
        <w:rPr>
          <w:sz w:val="24"/>
          <w:szCs w:val="24"/>
        </w:rPr>
        <w:t>，</w:t>
      </w:r>
      <w:r>
        <w:rPr/>
        <w:t>包括本期增减变动情况、变动原因说明</w:t>
      </w:r>
      <w:r>
        <w:rPr>
          <w:sz w:val="24"/>
          <w:szCs w:val="24"/>
        </w:rPr>
        <w:t>：</w:t>
      </w:r>
      <w:r>
        <w:rPr>
          <w:rFonts w:ascii="宋体" w:hAnsi="宋体" w:cs="宋体" w:eastAsia="宋体" w:hint="default"/>
          <w:sz w:val="24"/>
          <w:szCs w:val="24"/>
        </w:rPr>
        <w:t> </w:t>
      </w:r>
    </w:p>
    <w:p>
      <w:pPr>
        <w:pStyle w:val="BodyText"/>
        <w:spacing w:line="297" w:lineRule="auto" w:before="81"/>
        <w:ind w:left="657" w:right="0" w:firstLine="60"/>
        <w:jc w:val="left"/>
      </w:pPr>
      <w:r>
        <w:rPr/>
        <w:t>（</w:t>
      </w:r>
      <w:r>
        <w:rPr>
          <w:rFonts w:ascii="Times New Roman" w:hAnsi="Times New Roman" w:cs="Times New Roman" w:eastAsia="Times New Roman" w:hint="default"/>
        </w:rPr>
        <w:t>1</w:t>
      </w:r>
      <w:r>
        <w:rPr/>
        <w:t>）回购股份</w:t>
      </w:r>
      <w:r>
        <w:rPr>
          <w:w w:val="100"/>
        </w:rPr>
        <w:t> </w:t>
      </w:r>
      <w:r>
        <w:rPr>
          <w:spacing w:val="-2"/>
        </w:rPr>
        <w:t>基于对公司未来持续稳定发展的信心和对公司价值的认可，结合公司经营情况及财务状况等</w:t>
      </w:r>
    </w:p>
    <w:p>
      <w:pPr>
        <w:pStyle w:val="BodyText"/>
        <w:spacing w:line="314" w:lineRule="auto" w:before="34"/>
        <w:ind w:left="236" w:right="228"/>
        <w:jc w:val="left"/>
      </w:pPr>
      <w:r>
        <w:rPr>
          <w:spacing w:val="-1"/>
        </w:rPr>
        <w:t>因素，公司以集中竞价的方式回购公司股份。推进公司股价与内在价值相匹配，增强市场信心，</w:t>
      </w:r>
      <w:r>
        <w:rPr>
          <w:spacing w:val="-55"/>
        </w:rPr>
        <w:t> </w:t>
      </w:r>
      <w:r>
        <w:rPr>
          <w:spacing w:val="-55"/>
        </w:rPr>
      </w:r>
      <w:r>
        <w:rPr>
          <w:spacing w:val="-4"/>
        </w:rPr>
        <w:t>促进股东价值最大化。本期回购的股份共计 </w:t>
      </w:r>
      <w:r>
        <w:rPr>
          <w:rFonts w:ascii="Times New Roman" w:hAnsi="Times New Roman" w:cs="Times New Roman" w:eastAsia="Times New Roman" w:hint="default"/>
        </w:rPr>
        <w:t>4,420,208 </w:t>
      </w:r>
      <w:r>
        <w:rPr>
          <w:spacing w:val="-4"/>
        </w:rPr>
        <w:t>股公司股份，主要用于转换上市公司发行的</w:t>
      </w:r>
    </w:p>
    <w:p>
      <w:pPr>
        <w:pStyle w:val="BodyText"/>
        <w:spacing w:line="297" w:lineRule="auto"/>
        <w:ind w:left="236" w:right="118"/>
        <w:jc w:val="left"/>
      </w:pPr>
      <w:r>
        <w:rPr/>
        <w:t>可转换为股票的公司债券。公司如未能在股份回购实施完成之后</w:t>
      </w:r>
      <w:r>
        <w:rPr>
          <w:spacing w:val="-49"/>
        </w:rPr>
        <w:t> </w:t>
      </w:r>
      <w:r>
        <w:rPr>
          <w:rFonts w:ascii="Times New Roman" w:hAnsi="Times New Roman" w:cs="Times New Roman" w:eastAsia="Times New Roman" w:hint="default"/>
        </w:rPr>
        <w:t>36</w:t>
      </w:r>
      <w:r>
        <w:rPr>
          <w:rFonts w:ascii="Times New Roman" w:hAnsi="Times New Roman" w:cs="Times New Roman" w:eastAsia="Times New Roman" w:hint="default"/>
          <w:spacing w:val="3"/>
        </w:rPr>
        <w:t> </w:t>
      </w:r>
      <w:r>
        <w:rPr/>
        <w:t>个月内使用完毕已回购股份，</w:t>
      </w:r>
      <w:r>
        <w:rPr>
          <w:w w:val="100"/>
        </w:rPr>
        <w:t> </w:t>
      </w:r>
      <w:r>
        <w:rPr/>
        <w:t>尚未使用的已回购股份将予以注销。</w:t>
      </w:r>
    </w:p>
    <w:p>
      <w:pPr>
        <w:pStyle w:val="BodyText"/>
        <w:spacing w:line="240" w:lineRule="auto" w:before="34"/>
        <w:ind w:left="657" w:right="0"/>
        <w:jc w:val="left"/>
      </w:pPr>
      <w:r>
        <w:rPr/>
        <w:t>（</w:t>
      </w:r>
      <w:r>
        <w:rPr>
          <w:rFonts w:ascii="Times New Roman" w:hAnsi="Times New Roman" w:cs="Times New Roman" w:eastAsia="Times New Roman" w:hint="default"/>
        </w:rPr>
        <w:t>2</w:t>
      </w:r>
      <w:r>
        <w:rPr/>
        <w:t>）限制性股份支付</w:t>
      </w:r>
    </w:p>
    <w:p>
      <w:pPr>
        <w:pStyle w:val="BodyText"/>
        <w:spacing w:line="240" w:lineRule="auto" w:before="69"/>
        <w:ind w:left="657"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27</w:t>
      </w:r>
      <w:r>
        <w:rPr>
          <w:rFonts w:ascii="Times New Roman" w:hAnsi="Times New Roman" w:cs="Times New Roman" w:eastAsia="Times New Roman" w:hint="default"/>
          <w:spacing w:val="9"/>
        </w:rPr>
        <w:t> </w:t>
      </w:r>
      <w:r>
        <w:rPr/>
        <w:t>日，公司完成股权激励计划首次授予及预留部分限制性股票回购注销工作，</w:t>
      </w:r>
    </w:p>
    <w:p>
      <w:pPr>
        <w:pStyle w:val="BodyText"/>
        <w:spacing w:line="297" w:lineRule="auto" w:before="69"/>
        <w:ind w:left="236" w:right="224"/>
        <w:jc w:val="left"/>
        <w:rPr>
          <w:rFonts w:ascii="宋体" w:hAnsi="宋体" w:cs="宋体" w:eastAsia="宋体" w:hint="default"/>
          <w:sz w:val="24"/>
          <w:szCs w:val="24"/>
        </w:rPr>
      </w:pPr>
      <w:r>
        <w:rPr/>
        <w:t>董事会根据股东大会的授权对不符合解锁条件的</w:t>
      </w:r>
      <w:r>
        <w:rPr>
          <w:spacing w:val="-63"/>
        </w:rPr>
        <w:t> </w:t>
      </w:r>
      <w:r>
        <w:rPr>
          <w:rFonts w:ascii="Times New Roman" w:hAnsi="Times New Roman" w:cs="Times New Roman" w:eastAsia="Times New Roman" w:hint="default"/>
        </w:rPr>
        <w:t>15</w:t>
      </w:r>
      <w:r>
        <w:rPr>
          <w:rFonts w:ascii="Times New Roman" w:hAnsi="Times New Roman" w:cs="Times New Roman" w:eastAsia="Times New Roman" w:hint="default"/>
          <w:spacing w:val="-13"/>
        </w:rPr>
        <w:t> </w:t>
      </w:r>
      <w:r>
        <w:rPr/>
        <w:t>名激励对象合计持有的</w:t>
      </w:r>
      <w:r>
        <w:rPr>
          <w:spacing w:val="-63"/>
        </w:rPr>
        <w:t> </w:t>
      </w:r>
      <w:r>
        <w:rPr>
          <w:rFonts w:ascii="Times New Roman" w:hAnsi="Times New Roman" w:cs="Times New Roman" w:eastAsia="Times New Roman" w:hint="default"/>
        </w:rPr>
        <w:t>196,560</w:t>
      </w:r>
      <w:r>
        <w:rPr>
          <w:rFonts w:ascii="Times New Roman" w:hAnsi="Times New Roman" w:cs="Times New Roman" w:eastAsia="Times New Roman" w:hint="default"/>
          <w:spacing w:val="-13"/>
        </w:rPr>
        <w:t> </w:t>
      </w:r>
      <w:r>
        <w:rPr/>
        <w:t>股已获授但尚</w:t>
      </w:r>
      <w:r>
        <w:rPr>
          <w:w w:val="100"/>
        </w:rPr>
        <w:t> </w:t>
      </w:r>
      <w:r>
        <w:rPr/>
        <w:t>未解锁的限制性股票进行回购注销。</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3"/>
        <w:spacing w:line="266" w:lineRule="exact"/>
        <w:ind w:right="0"/>
        <w:jc w:val="left"/>
      </w:pPr>
      <w:r>
        <w:rPr/>
        <w:t> </w:t>
      </w:r>
    </w:p>
    <w:p>
      <w:pPr>
        <w:pStyle w:val="Heading4"/>
        <w:spacing w:line="240" w:lineRule="auto"/>
        <w:ind w:left="378" w:right="0"/>
        <w:jc w:val="left"/>
        <w:rPr>
          <w:rFonts w:ascii="宋体" w:hAnsi="宋体" w:cs="宋体" w:eastAsia="宋体" w:hint="default"/>
          <w:b w:val="0"/>
          <w:bCs w:val="0"/>
        </w:rPr>
      </w:pPr>
      <w:r>
        <w:rPr>
          <w:rFonts w:ascii="Times New Roman" w:hAnsi="Times New Roman" w:cs="Times New Roman" w:eastAsia="Times New Roman" w:hint="default"/>
        </w:rPr>
        <w:t>55</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40"/>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right="0"/>
        <w:jc w:val="left"/>
      </w:pPr>
      <w:r>
        <w:rPr/>
        <w:t> </w:t>
      </w:r>
    </w:p>
    <w:p>
      <w:pPr>
        <w:pStyle w:val="Heading4"/>
        <w:spacing w:line="240" w:lineRule="auto" w:before="61"/>
        <w:ind w:left="42" w:right="7218"/>
        <w:jc w:val="center"/>
        <w:rPr>
          <w:rFonts w:ascii="宋体" w:hAnsi="宋体" w:cs="宋体" w:eastAsia="宋体" w:hint="default"/>
          <w:b w:val="0"/>
          <w:bCs w:val="0"/>
        </w:rPr>
      </w:pPr>
      <w:r>
        <w:rPr>
          <w:rFonts w:ascii="Times New Roman" w:hAnsi="Times New Roman" w:cs="Times New Roman" w:eastAsia="Times New Roman" w:hint="default"/>
        </w:rPr>
        <w:t>56</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4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8" w:lineRule="exact"/>
        <w:ind w:right="0"/>
        <w:jc w:val="left"/>
      </w:pPr>
      <w:r>
        <w:rPr/>
        <w:t> </w:t>
      </w:r>
    </w:p>
    <w:p>
      <w:pPr>
        <w:pStyle w:val="Heading3"/>
        <w:spacing w:line="313" w:lineRule="exact"/>
        <w:ind w:right="0"/>
        <w:jc w:val="left"/>
      </w:pPr>
      <w:r>
        <w:rPr/>
        <w:t> </w:t>
      </w:r>
    </w:p>
    <w:p>
      <w:pPr>
        <w:spacing w:after="0" w:line="313" w:lineRule="exact"/>
        <w:jc w:val="left"/>
        <w:sectPr>
          <w:type w:val="continuous"/>
          <w:pgSz w:w="11910" w:h="16840"/>
          <w:pgMar w:top="1500" w:bottom="280" w:left="1040" w:right="1560"/>
        </w:sectPr>
      </w:pPr>
    </w:p>
    <w:p>
      <w:pPr>
        <w:pStyle w:val="Heading4"/>
        <w:spacing w:line="240" w:lineRule="auto"/>
        <w:ind w:left="191" w:right="86"/>
        <w:jc w:val="center"/>
        <w:rPr>
          <w:rFonts w:ascii="宋体" w:hAnsi="宋体" w:cs="宋体" w:eastAsia="宋体" w:hint="default"/>
          <w:b w:val="0"/>
          <w:bCs w:val="0"/>
        </w:rPr>
      </w:pPr>
      <w:r>
        <w:rPr>
          <w:rFonts w:ascii="Times New Roman" w:hAnsi="Times New Roman" w:cs="Times New Roman" w:eastAsia="Times New Roman" w:hint="default"/>
        </w:rPr>
        <w:t>57</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left="322" w:right="86"/>
        <w:jc w:val="center"/>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45"/>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2023" w:space="4499"/>
            <w:col w:w="2788"/>
          </w:cols>
        </w:sectPr>
      </w:pPr>
    </w:p>
    <w:p>
      <w:pPr>
        <w:spacing w:line="240" w:lineRule="auto" w:before="11"/>
        <w:rPr>
          <w:rFonts w:ascii="宋体" w:hAnsi="宋体" w:cs="宋体" w:eastAsia="宋体" w:hint="default"/>
          <w:sz w:val="23"/>
          <w:szCs w:val="23"/>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9" w:right="0"/>
              <w:jc w:val="center"/>
              <w:rPr>
                <w:rFonts w:ascii="Times New Roman" w:hAnsi="Times New Roman" w:cs="Times New Roman" w:eastAsia="Times New Roman" w:hint="default"/>
                <w:sz w:val="21"/>
                <w:szCs w:val="21"/>
              </w:rPr>
            </w:pPr>
            <w:r>
              <w:rPr>
                <w:rFonts w:ascii="Times New Roman"/>
                <w:sz w:val="21"/>
              </w:rPr>
              <w:t>62,925,031.04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7" w:right="0"/>
              <w:jc w:val="left"/>
              <w:rPr>
                <w:rFonts w:ascii="Times New Roman" w:hAnsi="Times New Roman" w:cs="Times New Roman" w:eastAsia="Times New Roman" w:hint="default"/>
                <w:sz w:val="21"/>
                <w:szCs w:val="21"/>
              </w:rPr>
            </w:pPr>
            <w:r>
              <w:rPr>
                <w:rFonts w:ascii="Times New Roman"/>
                <w:sz w:val="21"/>
              </w:rPr>
              <w:t>6,279,202.78</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7" w:right="0"/>
              <w:jc w:val="center"/>
              <w:rPr>
                <w:rFonts w:ascii="Times New Roman" w:hAnsi="Times New Roman" w:cs="Times New Roman" w:eastAsia="Times New Roman" w:hint="default"/>
                <w:sz w:val="21"/>
                <w:szCs w:val="21"/>
              </w:rPr>
            </w:pPr>
            <w:r>
              <w:rPr>
                <w:rFonts w:ascii="Times New Roman"/>
                <w:sz w:val="21"/>
              </w:rPr>
              <w:t>69,204,233.82</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9" w:right="0"/>
              <w:jc w:val="center"/>
              <w:rPr>
                <w:rFonts w:ascii="Times New Roman" w:hAnsi="Times New Roman" w:cs="Times New Roman" w:eastAsia="Times New Roman" w:hint="default"/>
                <w:sz w:val="21"/>
                <w:szCs w:val="21"/>
              </w:rPr>
            </w:pPr>
            <w:r>
              <w:rPr>
                <w:rFonts w:ascii="Times New Roman"/>
                <w:sz w:val="21"/>
              </w:rPr>
              <w:t>62,925,031.04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7" w:right="0"/>
              <w:jc w:val="left"/>
              <w:rPr>
                <w:rFonts w:ascii="Times New Roman" w:hAnsi="Times New Roman" w:cs="Times New Roman" w:eastAsia="Times New Roman" w:hint="default"/>
                <w:sz w:val="21"/>
                <w:szCs w:val="21"/>
              </w:rPr>
            </w:pPr>
            <w:r>
              <w:rPr>
                <w:rFonts w:ascii="Times New Roman"/>
                <w:sz w:val="21"/>
              </w:rPr>
              <w:t>6,279,202.78</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7" w:right="0"/>
              <w:jc w:val="center"/>
              <w:rPr>
                <w:rFonts w:ascii="Times New Roman" w:hAnsi="Times New Roman" w:cs="Times New Roman" w:eastAsia="Times New Roman" w:hint="default"/>
                <w:sz w:val="21"/>
                <w:szCs w:val="21"/>
              </w:rPr>
            </w:pPr>
            <w:r>
              <w:rPr>
                <w:rFonts w:ascii="Times New Roman"/>
                <w:sz w:val="21"/>
              </w:rPr>
              <w:t>69,204,233.82</w:t>
            </w:r>
          </w:p>
        </w:tc>
      </w:tr>
    </w:tbl>
    <w:p>
      <w:pPr>
        <w:pStyle w:val="BodyText"/>
        <w:spacing w:line="283" w:lineRule="auto" w:before="19"/>
        <w:ind w:left="236" w:right="3570"/>
        <w:jc w:val="left"/>
        <w:rPr>
          <w:rFonts w:ascii="宋体" w:hAnsi="宋体" w:cs="宋体" w:eastAsia="宋体" w:hint="default"/>
          <w:sz w:val="24"/>
          <w:szCs w:val="24"/>
        </w:rPr>
      </w:pPr>
      <w:r>
        <w:rPr/>
        <w:t>盈余公积说明，包括本期增减变动情况、变动原因说明</w:t>
      </w:r>
      <w:r>
        <w:rPr>
          <w:sz w:val="24"/>
          <w:szCs w:val="24"/>
        </w:rPr>
        <w:t>：</w:t>
      </w:r>
      <w:r>
        <w:rPr>
          <w:rFonts w:ascii="宋体" w:hAnsi="宋体" w:cs="宋体" w:eastAsia="宋体" w:hint="default"/>
          <w:sz w:val="24"/>
          <w:szCs w:val="24"/>
        </w:rPr>
        <w:t> </w:t>
      </w:r>
      <w:r>
        <w:rPr>
          <w:sz w:val="24"/>
          <w:szCs w:val="24"/>
        </w:rPr>
        <w:t>无</w:t>
      </w:r>
      <w:r>
        <w:rPr>
          <w:rFonts w:ascii="宋体" w:hAnsi="宋体" w:cs="宋体" w:eastAsia="宋体" w:hint="default"/>
          <w:sz w:val="24"/>
          <w:szCs w:val="24"/>
        </w:rPr>
        <w:t> </w:t>
      </w:r>
    </w:p>
    <w:p>
      <w:pPr>
        <w:pStyle w:val="Heading3"/>
        <w:spacing w:line="266" w:lineRule="exact"/>
        <w:ind w:right="0"/>
        <w:jc w:val="left"/>
      </w:pPr>
      <w:r>
        <w:rPr/>
        <w:t> </w:t>
      </w:r>
    </w:p>
    <w:p>
      <w:pPr>
        <w:spacing w:after="0" w:line="266" w:lineRule="exact"/>
        <w:jc w:val="left"/>
        <w:sectPr>
          <w:pgSz w:w="11910" w:h="16840"/>
          <w:pgMar w:header="0" w:footer="979" w:top="1120" w:bottom="1160" w:left="1040" w:right="1560"/>
        </w:sectPr>
      </w:pPr>
    </w:p>
    <w:p>
      <w:pPr>
        <w:pStyle w:val="Heading4"/>
        <w:spacing w:line="240" w:lineRule="auto"/>
        <w:ind w:left="322" w:right="6"/>
        <w:jc w:val="center"/>
        <w:rPr>
          <w:rFonts w:ascii="宋体" w:hAnsi="宋体" w:cs="宋体" w:eastAsia="宋体" w:hint="default"/>
          <w:b w:val="0"/>
          <w:bCs w:val="0"/>
        </w:rPr>
      </w:pPr>
      <w:r>
        <w:rPr>
          <w:rFonts w:ascii="Times New Roman" w:hAnsi="Times New Roman" w:cs="Times New Roman" w:eastAsia="Times New Roman" w:hint="default"/>
        </w:rPr>
        <w:t>58</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322" w:right="86"/>
        <w:jc w:val="center"/>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329"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33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396" w:right="0"/>
              <w:jc w:val="left"/>
              <w:rPr>
                <w:rFonts w:ascii="Times New Roman" w:hAnsi="Times New Roman" w:cs="Times New Roman" w:eastAsia="Times New Roman" w:hint="default"/>
                <w:sz w:val="21"/>
                <w:szCs w:val="21"/>
              </w:rPr>
            </w:pPr>
            <w:r>
              <w:rPr>
                <w:rFonts w:ascii="Times New Roman"/>
                <w:sz w:val="21"/>
              </w:rPr>
              <w:t>464,516,842.15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21"/>
                <w:szCs w:val="21"/>
              </w:rPr>
            </w:pPr>
            <w:r>
              <w:rPr>
                <w:rFonts w:ascii="Times New Roman"/>
                <w:spacing w:val="-1"/>
                <w:sz w:val="21"/>
              </w:rPr>
              <w:t>408,127,113.68</w:t>
            </w:r>
          </w:p>
        </w:tc>
      </w:tr>
      <w:tr>
        <w:trPr>
          <w:trHeight w:val="649"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p>
          <w:p>
            <w:pPr>
              <w:pStyle w:val="TableParagraph"/>
              <w:spacing w:line="240" w:lineRule="auto" w:before="45"/>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535" w:right="0"/>
              <w:jc w:val="left"/>
              <w:rPr>
                <w:rFonts w:ascii="Times New Roman" w:hAnsi="Times New Roman" w:cs="Times New Roman" w:eastAsia="Times New Roman" w:hint="default"/>
                <w:sz w:val="21"/>
                <w:szCs w:val="21"/>
              </w:rPr>
            </w:pPr>
            <w:r>
              <w:rPr>
                <w:rFonts w:ascii="Times New Roman"/>
                <w:sz w:val="21"/>
              </w:rPr>
              <w:t>-3,529,398.62</w:t>
            </w: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396" w:right="0"/>
              <w:jc w:val="left"/>
              <w:rPr>
                <w:rFonts w:ascii="Times New Roman" w:hAnsi="Times New Roman" w:cs="Times New Roman" w:eastAsia="Times New Roman" w:hint="default"/>
                <w:sz w:val="21"/>
                <w:szCs w:val="21"/>
              </w:rPr>
            </w:pPr>
            <w:r>
              <w:rPr>
                <w:rFonts w:ascii="Times New Roman"/>
                <w:sz w:val="21"/>
              </w:rPr>
              <w:t>460,987,443.53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6"/>
              <w:jc w:val="right"/>
              <w:rPr>
                <w:rFonts w:ascii="Times New Roman" w:hAnsi="Times New Roman" w:cs="Times New Roman" w:eastAsia="Times New Roman" w:hint="default"/>
                <w:sz w:val="21"/>
                <w:szCs w:val="21"/>
              </w:rPr>
            </w:pPr>
            <w:r>
              <w:rPr>
                <w:rFonts w:ascii="Times New Roman"/>
                <w:spacing w:val="-1"/>
                <w:sz w:val="21"/>
              </w:rPr>
              <w:t>408,127,113.68</w:t>
            </w:r>
          </w:p>
        </w:tc>
      </w:tr>
      <w:tr>
        <w:trPr>
          <w:trHeight w:val="650"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8" w:right="104"/>
              <w:jc w:val="left"/>
              <w:rPr>
                <w:rFonts w:ascii="宋体" w:hAnsi="宋体" w:cs="宋体" w:eastAsia="宋体" w:hint="default"/>
                <w:sz w:val="21"/>
                <w:szCs w:val="21"/>
              </w:rPr>
            </w:pPr>
            <w:r>
              <w:rPr>
                <w:rFonts w:ascii="宋体" w:hAnsi="宋体" w:cs="宋体" w:eastAsia="宋体" w:hint="default"/>
                <w:spacing w:val="-8"/>
                <w:w w:val="100"/>
                <w:sz w:val="21"/>
                <w:szCs w:val="21"/>
              </w:rPr>
              <w:t>加：本期归属于母公司所有者的净利</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396" w:right="0"/>
              <w:jc w:val="left"/>
              <w:rPr>
                <w:rFonts w:ascii="Times New Roman" w:hAnsi="Times New Roman" w:cs="Times New Roman" w:eastAsia="Times New Roman" w:hint="default"/>
                <w:sz w:val="21"/>
                <w:szCs w:val="21"/>
              </w:rPr>
            </w:pPr>
            <w:r>
              <w:rPr>
                <w:rFonts w:ascii="Times New Roman"/>
                <w:sz w:val="21"/>
              </w:rPr>
              <w:t>213,534,967.18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172,523,315.83</w:t>
            </w:r>
          </w:p>
        </w:tc>
      </w:tr>
      <w:tr>
        <w:trPr>
          <w:trHeight w:val="329"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607" w:right="0"/>
              <w:jc w:val="left"/>
              <w:rPr>
                <w:rFonts w:ascii="Times New Roman" w:hAnsi="Times New Roman" w:cs="Times New Roman" w:eastAsia="Times New Roman" w:hint="default"/>
                <w:sz w:val="21"/>
                <w:szCs w:val="21"/>
              </w:rPr>
            </w:pPr>
            <w:r>
              <w:rPr>
                <w:rFonts w:ascii="Times New Roman"/>
                <w:sz w:val="21"/>
              </w:rPr>
              <w:t>6,279,202.78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21"/>
                <w:szCs w:val="21"/>
              </w:rPr>
            </w:pPr>
            <w:r>
              <w:rPr>
                <w:rFonts w:ascii="Times New Roman"/>
                <w:spacing w:val="-1"/>
                <w:sz w:val="21"/>
              </w:rPr>
              <w:t>11,616,683.43</w:t>
            </w:r>
          </w:p>
        </w:tc>
      </w:tr>
      <w:tr>
        <w:trPr>
          <w:trHeight w:val="33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502" w:right="0"/>
              <w:jc w:val="left"/>
              <w:rPr>
                <w:rFonts w:ascii="Times New Roman" w:hAnsi="Times New Roman" w:cs="Times New Roman" w:eastAsia="Times New Roman" w:hint="default"/>
                <w:sz w:val="21"/>
                <w:szCs w:val="21"/>
              </w:rPr>
            </w:pPr>
            <w:r>
              <w:rPr>
                <w:rFonts w:ascii="Times New Roman"/>
                <w:sz w:val="21"/>
              </w:rPr>
              <w:t>63,202,136.64</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21"/>
                <w:szCs w:val="21"/>
              </w:rPr>
            </w:pPr>
            <w:r>
              <w:rPr>
                <w:rFonts w:ascii="Times New Roman"/>
                <w:spacing w:val="-1"/>
                <w:sz w:val="21"/>
              </w:rPr>
              <w:t>105,451,390.40</w:t>
            </w:r>
          </w:p>
        </w:tc>
      </w:tr>
      <w:tr>
        <w:trPr>
          <w:trHeight w:val="329"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3"/>
              <w:jc w:val="right"/>
              <w:rPr>
                <w:rFonts w:ascii="宋体" w:hAnsi="宋体" w:cs="宋体" w:eastAsia="宋体" w:hint="default"/>
                <w:sz w:val="24"/>
                <w:szCs w:val="24"/>
              </w:rPr>
            </w:pPr>
            <w:r>
              <w:rPr>
                <w:rFonts w:ascii="宋体"/>
                <w:sz w:val="24"/>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7"/>
              <w:jc w:val="right"/>
              <w:rPr>
                <w:rFonts w:ascii="Times New Roman" w:hAnsi="Times New Roman" w:cs="Times New Roman" w:eastAsia="Times New Roman" w:hint="default"/>
                <w:sz w:val="21"/>
                <w:szCs w:val="21"/>
              </w:rPr>
            </w:pPr>
            <w:r>
              <w:rPr>
                <w:rFonts w:ascii="Times New Roman"/>
                <w:spacing w:val="-1"/>
                <w:sz w:val="21"/>
              </w:rPr>
              <w:t>-934,486.47</w:t>
            </w:r>
          </w:p>
        </w:tc>
      </w:tr>
      <w:tr>
        <w:trPr>
          <w:trHeight w:val="33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396" w:right="0"/>
              <w:jc w:val="left"/>
              <w:rPr>
                <w:rFonts w:ascii="Times New Roman" w:hAnsi="Times New Roman" w:cs="Times New Roman" w:eastAsia="Times New Roman" w:hint="default"/>
                <w:sz w:val="21"/>
                <w:szCs w:val="21"/>
              </w:rPr>
            </w:pPr>
            <w:r>
              <w:rPr>
                <w:rFonts w:ascii="Times New Roman"/>
                <w:sz w:val="21"/>
              </w:rPr>
              <w:t>605,041,071.29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21"/>
                <w:szCs w:val="21"/>
              </w:rPr>
            </w:pPr>
            <w:r>
              <w:rPr>
                <w:rFonts w:ascii="Times New Roman"/>
                <w:spacing w:val="-1"/>
                <w:sz w:val="21"/>
              </w:rPr>
              <w:t>464,516,842.15</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6"/>
        <w:ind w:left="236" w:right="0"/>
        <w:jc w:val="left"/>
      </w:pPr>
      <w:r>
        <w:rPr/>
        <w:t>调整期初未分配利润明细：</w:t>
      </w:r>
    </w:p>
    <w:p>
      <w:pPr>
        <w:pStyle w:val="BodyText"/>
        <w:spacing w:line="281" w:lineRule="exact" w:before="59"/>
        <w:ind w:left="236"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55"/>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3"/>
        </w:rPr>
        <w:t>元。</w:t>
      </w:r>
      <w:r>
        <w:rPr/>
      </w:r>
    </w:p>
    <w:p>
      <w:pPr>
        <w:pStyle w:val="BodyText"/>
        <w:spacing w:line="272" w:lineRule="exact"/>
        <w:ind w:left="236" w:right="0"/>
        <w:jc w:val="left"/>
      </w:pPr>
      <w:r>
        <w:rPr>
          <w:rFonts w:ascii="Times New Roman" w:hAnsi="Times New Roman" w:cs="Times New Roman" w:eastAsia="Times New Roman" w:hint="default"/>
        </w:rPr>
        <w:t>2</w:t>
      </w:r>
      <w:r>
        <w:rPr/>
        <w:t>、由于会计政策变更，影响期初未分配利润</w:t>
      </w:r>
      <w:r>
        <w:rPr>
          <w:rFonts w:ascii="Times New Roman" w:hAnsi="Times New Roman" w:cs="Times New Roman" w:eastAsia="Times New Roman" w:hint="default"/>
        </w:rPr>
        <w:t>-3,529,398.62</w:t>
      </w:r>
      <w:r>
        <w:rPr>
          <w:rFonts w:ascii="Times New Roman" w:hAnsi="Times New Roman" w:cs="Times New Roman" w:eastAsia="Times New Roman" w:hint="default"/>
          <w:spacing w:val="48"/>
        </w:rPr>
        <w:t> </w:t>
      </w:r>
      <w:r>
        <w:rPr/>
        <w:t>元。</w:t>
      </w:r>
    </w:p>
    <w:p>
      <w:pPr>
        <w:pStyle w:val="BodyText"/>
        <w:spacing w:line="272" w:lineRule="exact"/>
        <w:ind w:left="236" w:right="0"/>
        <w:jc w:val="left"/>
      </w:pPr>
      <w:r>
        <w:rPr>
          <w:rFonts w:ascii="Times New Roman" w:hAnsi="Times New Roman" w:cs="Times New Roman" w:eastAsia="Times New Roman" w:hint="default"/>
        </w:rPr>
        <w:t>3</w:t>
      </w:r>
      <w:r>
        <w:rPr/>
        <w:t>、由于重大会计差错更正，影响期初未分配利润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7"/>
        </w:rPr>
        <w:t> </w:t>
      </w:r>
      <w:r>
        <w:rPr/>
        <w:t>元。</w:t>
      </w:r>
    </w:p>
    <w:p>
      <w:pPr>
        <w:pStyle w:val="BodyText"/>
        <w:spacing w:line="272" w:lineRule="exact"/>
        <w:ind w:left="236" w:right="0"/>
        <w:jc w:val="left"/>
      </w:pPr>
      <w:r>
        <w:rPr>
          <w:rFonts w:ascii="Times New Roman" w:hAnsi="Times New Roman" w:cs="Times New Roman" w:eastAsia="Times New Roman" w:hint="default"/>
        </w:rPr>
        <w:t>4</w:t>
      </w:r>
      <w:r>
        <w:rPr/>
        <w:t>、由于同一控制导致的合并范围变更，影响期初未分配利润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3"/>
        </w:rPr>
        <w:t>元。</w:t>
      </w:r>
      <w:r>
        <w:rPr/>
      </w:r>
    </w:p>
    <w:p>
      <w:pPr>
        <w:pStyle w:val="BodyText"/>
        <w:spacing w:line="282" w:lineRule="exact"/>
        <w:ind w:left="236" w:right="0"/>
        <w:jc w:val="left"/>
      </w:pPr>
      <w:r>
        <w:rPr>
          <w:rFonts w:ascii="Times New Roman" w:hAnsi="Times New Roman" w:cs="Times New Roman" w:eastAsia="Times New Roman" w:hint="default"/>
        </w:rPr>
        <w:t>5</w:t>
      </w:r>
      <w:r>
        <w:rPr/>
        <w:t>、其他调整合计影响期初未分配利润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00" w:bottom="280" w:left="1040" w:right="1560"/>
        </w:sectPr>
      </w:pPr>
    </w:p>
    <w:p>
      <w:pPr>
        <w:pStyle w:val="Heading4"/>
        <w:spacing w:line="273" w:lineRule="auto" w:before="36"/>
        <w:ind w:left="236" w:right="0" w:firstLine="142"/>
        <w:jc w:val="left"/>
        <w:rPr>
          <w:rFonts w:ascii="宋体" w:hAnsi="宋体" w:cs="宋体" w:eastAsia="宋体" w:hint="default"/>
          <w:b w:val="0"/>
          <w:bCs w:val="0"/>
        </w:rPr>
      </w:pPr>
      <w:r>
        <w:rPr>
          <w:rFonts w:ascii="Times New Roman" w:hAnsi="Times New Roman" w:cs="Times New Roman" w:eastAsia="Times New Roman" w:hint="default"/>
        </w:rPr>
        <w:t>59</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3090" w:space="3433"/>
            <w:col w:w="2787"/>
          </w:cols>
        </w:sectPr>
      </w:pP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1"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left="50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3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5"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9"/>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1,377,723,419.95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803,603,116.48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977,652,628.58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535,335,255.60</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9"/>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1,535,461.27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261,424.94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1,391,276.69</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332,957.64</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9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1,379,258,881.22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803,864,541.42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979,043,905.27</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535,668,213.24</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7830"/>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3"/>
        <w:spacing w:line="263" w:lineRule="exact"/>
        <w:ind w:right="0"/>
        <w:jc w:val="left"/>
      </w:pPr>
      <w:r>
        <w:rPr/>
        <w:t> </w:t>
      </w:r>
    </w:p>
    <w:p>
      <w:pPr>
        <w:spacing w:after="0" w:line="263" w:lineRule="exact"/>
        <w:jc w:val="left"/>
        <w:sectPr>
          <w:type w:val="continuous"/>
          <w:pgSz w:w="11910" w:h="16840"/>
          <w:pgMar w:top="1500" w:bottom="280" w:left="1040" w:right="1560"/>
        </w:sectPr>
      </w:pPr>
    </w:p>
    <w:p>
      <w:pPr>
        <w:pStyle w:val="Heading4"/>
        <w:spacing w:line="240" w:lineRule="auto" w:before="61"/>
        <w:ind w:left="322" w:right="6"/>
        <w:jc w:val="center"/>
        <w:rPr>
          <w:rFonts w:ascii="宋体" w:hAnsi="宋体" w:cs="宋体" w:eastAsia="宋体" w:hint="default"/>
          <w:b w:val="0"/>
          <w:bCs w:val="0"/>
        </w:rPr>
      </w:pPr>
      <w:r>
        <w:rPr>
          <w:rFonts w:ascii="Times New Roman" w:hAnsi="Times New Roman" w:cs="Times New Roman" w:eastAsia="Times New Roman" w:hint="default"/>
        </w:rPr>
        <w:t>60</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322" w:right="86"/>
        <w:jc w:val="center"/>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43"/>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2023" w:space="4499"/>
            <w:col w:w="2788"/>
          </w:cols>
        </w:sectPr>
      </w:pPr>
    </w:p>
    <w:p>
      <w:pPr>
        <w:spacing w:line="240" w:lineRule="auto" w:before="11"/>
        <w:rPr>
          <w:rFonts w:ascii="宋体" w:hAnsi="宋体" w:cs="宋体" w:eastAsia="宋体" w:hint="default"/>
          <w:b/>
          <w:bCs/>
          <w:sz w:val="23"/>
          <w:szCs w:val="23"/>
        </w:rPr>
      </w:pPr>
    </w:p>
    <w:tbl>
      <w:tblPr>
        <w:tblW w:w="0" w:type="auto"/>
        <w:jc w:val="left"/>
        <w:tblInd w:w="116" w:type="dxa"/>
        <w:tblLayout w:type="fixed"/>
        <w:tblCellMar>
          <w:top w:w="0" w:type="dxa"/>
          <w:left w:w="0" w:type="dxa"/>
          <w:bottom w:w="0" w:type="dxa"/>
          <w:right w:w="0" w:type="dxa"/>
        </w:tblCellMar>
        <w:tblLook w:val="01E0"/>
      </w:tblPr>
      <w:tblGrid>
        <w:gridCol w:w="2912"/>
        <w:gridCol w:w="3075"/>
        <w:gridCol w:w="3075"/>
      </w:tblGrid>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2,168,141.87</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3,106,843.50</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1,559,641.59</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2,220,334.64</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1,952,225.38</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2,067,204.53</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26,539.32</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33,174.24</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744,905.22</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1,199,943.61</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873,196.44</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955,097.72</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7,324,649.82</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9,582,598.24</w:t>
            </w:r>
          </w:p>
        </w:tc>
      </w:tr>
    </w:tbl>
    <w:p>
      <w:pPr>
        <w:pStyle w:val="BodyText"/>
        <w:spacing w:line="240" w:lineRule="auto" w:before="26"/>
        <w:ind w:left="236"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2" w:lineRule="exact" w:before="52"/>
        <w:ind w:right="0"/>
        <w:jc w:val="left"/>
      </w:pPr>
      <w:r>
        <w:rPr>
          <w:rFonts w:ascii="宋体" w:hAnsi="宋体" w:cs="宋体" w:eastAsia="宋体" w:hint="default"/>
        </w:rPr>
        <w:t>无</w:t>
      </w:r>
      <w:r>
        <w:rPr/>
        <w:t> </w:t>
      </w:r>
    </w:p>
    <w:p>
      <w:pPr>
        <w:pStyle w:val="Heading3"/>
        <w:spacing w:line="312" w:lineRule="exact"/>
        <w:ind w:right="0"/>
        <w:jc w:val="left"/>
      </w:pPr>
      <w:r>
        <w:rPr/>
        <w:t> </w:t>
      </w:r>
    </w:p>
    <w:p>
      <w:pPr>
        <w:spacing w:after="0" w:line="312" w:lineRule="exact"/>
        <w:jc w:val="left"/>
        <w:sectPr>
          <w:pgSz w:w="11910" w:h="16840"/>
          <w:pgMar w:header="0" w:footer="979" w:top="1120" w:bottom="1160" w:left="1040" w:right="1560"/>
        </w:sectPr>
      </w:pPr>
    </w:p>
    <w:p>
      <w:pPr>
        <w:pStyle w:val="Heading4"/>
        <w:spacing w:line="240" w:lineRule="auto"/>
        <w:ind w:left="191" w:right="86"/>
        <w:jc w:val="center"/>
        <w:rPr>
          <w:rFonts w:ascii="宋体" w:hAnsi="宋体" w:cs="宋体" w:eastAsia="宋体" w:hint="default"/>
          <w:b w:val="0"/>
          <w:bCs w:val="0"/>
        </w:rPr>
      </w:pPr>
      <w:r>
        <w:rPr>
          <w:rFonts w:ascii="Times New Roman" w:hAnsi="Times New Roman" w:cs="Times New Roman" w:eastAsia="Times New Roman" w:hint="default"/>
        </w:rPr>
        <w:t>61</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1"/>
        <w:ind w:left="322" w:right="86"/>
        <w:jc w:val="center"/>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46"/>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2023" w:space="449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工资薪金</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60,121,202.81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32,093,238.31</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招待宣传费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17,904,386.71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14,386,844.35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7,176,086.09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5,361,656.69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1,867,861.28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1,936,247.73</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水电</w:t>
            </w:r>
            <w:r>
              <w:rPr>
                <w:rFonts w:ascii="宋体" w:hAnsi="宋体" w:cs="宋体" w:eastAsia="宋体" w:hint="default"/>
                <w:sz w:val="21"/>
                <w:szCs w:val="21"/>
              </w:rPr>
              <w:t>/</w:t>
            </w:r>
            <w:r>
              <w:rPr>
                <w:rFonts w:ascii="宋体" w:hAnsi="宋体" w:cs="宋体" w:eastAsia="宋体" w:hint="default"/>
                <w:sz w:val="21"/>
                <w:szCs w:val="21"/>
              </w:rPr>
              <w:t>物业</w:t>
            </w:r>
            <w:r>
              <w:rPr>
                <w:rFonts w:ascii="宋体" w:hAnsi="宋体" w:cs="宋体" w:eastAsia="宋体" w:hint="default"/>
                <w:sz w:val="21"/>
                <w:szCs w:val="21"/>
              </w:rPr>
              <w:t>/</w:t>
            </w:r>
            <w:r>
              <w:rPr>
                <w:rFonts w:ascii="宋体" w:hAnsi="宋体" w:cs="宋体" w:eastAsia="宋体" w:hint="default"/>
                <w:sz w:val="21"/>
                <w:szCs w:val="21"/>
              </w:rPr>
              <w:t>房租费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2,221,420.00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1,428,249.69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1,941,134.87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791,467.16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资产折旧摊销</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1,093,865.89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878,536.06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股权激励报酬</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10,384.23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98,016.65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92,336,341.88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56,974,256.64</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6"/>
        <w:ind w:left="23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60" w:lineRule="exact"/>
        <w:ind w:right="0"/>
        <w:jc w:val="left"/>
      </w:pPr>
      <w:r>
        <w:rPr/>
        <w:t> </w:t>
      </w:r>
    </w:p>
    <w:p>
      <w:pPr>
        <w:spacing w:after="0" w:line="260" w:lineRule="exact"/>
        <w:jc w:val="left"/>
        <w:sectPr>
          <w:type w:val="continuous"/>
          <w:pgSz w:w="11910" w:h="16840"/>
          <w:pgMar w:top="1500" w:bottom="280" w:left="1040" w:right="1560"/>
        </w:sectPr>
      </w:pPr>
    </w:p>
    <w:p>
      <w:pPr>
        <w:pStyle w:val="Heading4"/>
        <w:spacing w:line="240" w:lineRule="auto"/>
        <w:ind w:left="378" w:right="150"/>
        <w:jc w:val="left"/>
        <w:rPr>
          <w:b w:val="0"/>
          <w:bCs w:val="0"/>
        </w:rPr>
      </w:pPr>
      <w:r>
        <w:rPr>
          <w:rFonts w:ascii="Times New Roman" w:hAnsi="Times New Roman" w:cs="Times New Roman" w:eastAsia="Times New Roman" w:hint="default"/>
        </w:rPr>
        <w:t>62</w:t>
      </w:r>
      <w:r>
        <w:rPr/>
        <w:t>、管理费用</w:t>
      </w:r>
      <w:r>
        <w:rPr>
          <w:b w:val="0"/>
          <w:bCs w:val="0"/>
        </w:rPr>
      </w:r>
    </w:p>
    <w:p>
      <w:pPr>
        <w:pStyle w:val="BodyText"/>
        <w:spacing w:line="240" w:lineRule="auto" w:before="43"/>
        <w:ind w:left="236" w:right="15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40" w:right="1560"/>
          <w:cols w:num="2" w:equalWidth="0">
            <w:col w:w="2023" w:space="449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71,657,226.81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59,638,172.28</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11,675,436.91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8,167,375.17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13,415,829.46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8,626,762.66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14,704,033.23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11,741,711.90</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水电</w:t>
            </w:r>
            <w:r>
              <w:rPr>
                <w:rFonts w:ascii="宋体" w:hAnsi="宋体" w:cs="宋体" w:eastAsia="宋体" w:hint="default"/>
                <w:sz w:val="21"/>
                <w:szCs w:val="21"/>
              </w:rPr>
              <w:t>/</w:t>
            </w:r>
            <w:r>
              <w:rPr>
                <w:rFonts w:ascii="宋体" w:hAnsi="宋体" w:cs="宋体" w:eastAsia="宋体" w:hint="default"/>
                <w:sz w:val="21"/>
                <w:szCs w:val="21"/>
              </w:rPr>
              <w:t>物业</w:t>
            </w:r>
            <w:r>
              <w:rPr>
                <w:rFonts w:ascii="宋体" w:hAnsi="宋体" w:cs="宋体" w:eastAsia="宋体" w:hint="default"/>
                <w:sz w:val="21"/>
                <w:szCs w:val="21"/>
              </w:rPr>
              <w:t>/</w:t>
            </w:r>
            <w:r>
              <w:rPr>
                <w:rFonts w:ascii="宋体" w:hAnsi="宋体" w:cs="宋体" w:eastAsia="宋体" w:hint="default"/>
                <w:sz w:val="21"/>
                <w:szCs w:val="21"/>
              </w:rPr>
              <w:t>房租费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18,305,055.41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11,986,394.03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958,999.56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630,090.00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资产折旧摊销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15,404,545.38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16,249,935.45</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9,376,254.21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8,523,915.75</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2,502,974.97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2,009,148.80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股权激励报酬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291,991.85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1,488,689.88</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6,714,782.38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5,852,993.16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165,007,130.17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134,915,189.08</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40" w:lineRule="auto"/>
        <w:ind w:left="236" w:right="7830"/>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40" w:right="15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before="36"/>
        <w:ind w:left="358" w:right="0"/>
        <w:jc w:val="left"/>
        <w:rPr>
          <w:b w:val="0"/>
          <w:bCs w:val="0"/>
        </w:rPr>
      </w:pPr>
      <w:r>
        <w:rPr>
          <w:rFonts w:ascii="Times New Roman" w:hAnsi="Times New Roman" w:cs="Times New Roman" w:eastAsia="Times New Roman" w:hint="default"/>
        </w:rPr>
        <w:t>63</w:t>
      </w:r>
      <w:r>
        <w:rPr/>
        <w:t>、研发费用</w:t>
      </w:r>
      <w:r>
        <w:rPr>
          <w:b w:val="0"/>
          <w:bCs w:val="0"/>
        </w:rPr>
      </w:r>
    </w:p>
    <w:p>
      <w:pPr>
        <w:spacing w:after="0" w:line="240" w:lineRule="auto"/>
        <w:jc w:val="left"/>
        <w:sectPr>
          <w:pgSz w:w="11910" w:h="16840"/>
          <w:pgMar w:header="0" w:footer="979" w:top="1120" w:bottom="1160" w:left="1060" w:right="1560"/>
        </w:sectPr>
      </w:pPr>
    </w:p>
    <w:p>
      <w:pPr>
        <w:pStyle w:val="BodyText"/>
        <w:spacing w:line="240" w:lineRule="auto" w:before="40"/>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500" w:bottom="280" w:left="1060" w:right="1560"/>
          <w:cols w:num="2" w:equalWidth="0">
            <w:col w:w="2018" w:space="4504"/>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自行开发无形资产摊销金额</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39,244,835.78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23,557,847.54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本期费用化金额</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35,818,701.70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22,221,838.94</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75,063,537.48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45,779,686.48</w:t>
            </w:r>
          </w:p>
        </w:tc>
      </w:tr>
    </w:tbl>
    <w:p>
      <w:pPr>
        <w:pStyle w:val="BodyText"/>
        <w:spacing w:line="240"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500" w:bottom="280" w:left="1060" w:right="1560"/>
        </w:sectPr>
      </w:pPr>
    </w:p>
    <w:p>
      <w:pPr>
        <w:pStyle w:val="Heading4"/>
        <w:spacing w:line="240" w:lineRule="auto" w:before="56"/>
        <w:ind w:left="358" w:right="0"/>
        <w:jc w:val="left"/>
        <w:rPr>
          <w:b w:val="0"/>
          <w:bCs w:val="0"/>
        </w:rPr>
      </w:pPr>
      <w:r>
        <w:rPr>
          <w:rFonts w:ascii="Times New Roman" w:hAnsi="Times New Roman" w:cs="Times New Roman" w:eastAsia="Times New Roman" w:hint="default"/>
        </w:rPr>
        <w:t>64</w:t>
      </w:r>
      <w:r>
        <w:rPr/>
        <w:t>、财务费用</w:t>
      </w:r>
      <w:r>
        <w:rPr>
          <w:b w:val="0"/>
          <w:bCs w:val="0"/>
        </w:rPr>
      </w:r>
    </w:p>
    <w:p>
      <w:pPr>
        <w:pStyle w:val="BodyText"/>
        <w:spacing w:line="240" w:lineRule="auto" w:before="4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8"/>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-33,473,301.05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-17,011,887.53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19,625,496.55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13,895,326.24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351,022.43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404,726.62</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
                <w:sz w:val="21"/>
              </w:rPr>
              <w:t>-0.1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-0.28</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689,622.60</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-12,807,159.57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-2,711,834.95</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40" w:lineRule="auto"/>
        <w:ind w:left="216" w:right="7830"/>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3"/>
        <w:spacing w:line="304" w:lineRule="exact"/>
        <w:ind w:left="216" w:right="0"/>
        <w:jc w:val="left"/>
      </w:pPr>
      <w:r>
        <w:rPr/>
        <w:t> </w:t>
      </w:r>
    </w:p>
    <w:p>
      <w:pPr>
        <w:spacing w:after="0" w:line="304" w:lineRule="exact"/>
        <w:jc w:val="left"/>
        <w:sectPr>
          <w:type w:val="continuous"/>
          <w:pgSz w:w="11910" w:h="16840"/>
          <w:pgMar w:top="1500" w:bottom="280" w:left="1060" w:right="1560"/>
        </w:sectPr>
      </w:pPr>
    </w:p>
    <w:p>
      <w:pPr>
        <w:pStyle w:val="Heading4"/>
        <w:spacing w:line="240" w:lineRule="auto"/>
        <w:ind w:left="358" w:right="0"/>
        <w:jc w:val="left"/>
        <w:rPr>
          <w:b w:val="0"/>
          <w:bCs w:val="0"/>
        </w:rPr>
      </w:pPr>
      <w:r>
        <w:rPr>
          <w:rFonts w:ascii="Times New Roman" w:hAnsi="Times New Roman" w:cs="Times New Roman" w:eastAsia="Times New Roman" w:hint="default"/>
        </w:rPr>
        <w:t>65</w:t>
      </w:r>
      <w:r>
        <w:rPr/>
        <w:t>、其他收益</w:t>
      </w:r>
      <w:r>
        <w:rPr>
          <w:b w:val="0"/>
          <w:bCs w:val="0"/>
        </w:rPr>
      </w:r>
    </w:p>
    <w:p>
      <w:pPr>
        <w:pStyle w:val="BodyText"/>
        <w:spacing w:line="240" w:lineRule="auto" w:before="40"/>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46"/>
        <w:ind w:left="216" w:right="0"/>
        <w:jc w:val="left"/>
      </w:pPr>
      <w:r>
        <w:rPr>
          <w:spacing w:val="-1"/>
        </w:rPr>
        <w:t>单位：元</w:t>
        <w:tab/>
        <w:t>币种：人民币</w:t>
      </w:r>
    </w:p>
    <w:p>
      <w:pPr>
        <w:spacing w:after="0" w:line="240" w:lineRule="auto"/>
        <w:jc w:val="left"/>
        <w:sectPr>
          <w:type w:val="continuous"/>
          <w:pgSz w:w="11910" w:h="16840"/>
          <w:pgMar w:top="1500" w:bottom="280" w:left="1060" w:right="1560"/>
          <w:cols w:num="2" w:equalWidth="0">
            <w:col w:w="2018" w:space="4504"/>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66"/>
        <w:gridCol w:w="2552"/>
        <w:gridCol w:w="2307"/>
      </w:tblGrid>
      <w:tr>
        <w:trPr>
          <w:trHeight w:val="283"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6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增值税即征即退</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7,107,503.32</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14,395,044.59</w:t>
            </w:r>
          </w:p>
        </w:tc>
      </w:tr>
      <w:tr>
        <w:trPr>
          <w:trHeight w:val="283"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3,849,798.94</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1,887,015.49</w:t>
            </w:r>
          </w:p>
        </w:tc>
      </w:tr>
      <w:tr>
        <w:trPr>
          <w:trHeight w:val="283"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4,012,910.44</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3,831,948.00</w:t>
            </w:r>
          </w:p>
        </w:tc>
      </w:tr>
      <w:tr>
        <w:trPr>
          <w:trHeight w:val="283"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6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14,970,212.70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20,114,008.08</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1"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hAnsi="宋体" w:cs="宋体" w:eastAsia="宋体" w:hint="default"/>
          <w:w w:val="100"/>
        </w:rPr>
        <w:t> </w:t>
      </w:r>
      <w:r>
        <w:rPr/>
        <w:t>计入其他收益的政府补助：</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34" w:type="dxa"/>
        <w:tblLayout w:type="fixed"/>
        <w:tblCellMar>
          <w:top w:w="0" w:type="dxa"/>
          <w:left w:w="0" w:type="dxa"/>
          <w:bottom w:w="0" w:type="dxa"/>
          <w:right w:w="0" w:type="dxa"/>
        </w:tblCellMar>
        <w:tblLook w:val="01E0"/>
      </w:tblPr>
      <w:tblGrid>
        <w:gridCol w:w="3257"/>
        <w:gridCol w:w="2127"/>
        <w:gridCol w:w="1973"/>
        <w:gridCol w:w="1433"/>
      </w:tblGrid>
      <w:tr>
        <w:trPr>
          <w:trHeight w:val="555"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bookmarkStart w:name="RANGE!A1:D12" w:id="18"/>
            <w:bookmarkEnd w:id="18"/>
            <w:r>
              <w:rPr/>
            </w: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4" w:right="0" w:hanging="22"/>
              <w:jc w:val="left"/>
              <w:rPr>
                <w:rFonts w:ascii="Arial" w:hAnsi="Arial" w:cs="Arial" w:eastAsia="Arial" w:hint="default"/>
                <w:sz w:val="21"/>
                <w:szCs w:val="21"/>
              </w:rPr>
            </w:pPr>
            <w:r>
              <w:rPr>
                <w:rFonts w:ascii="宋体" w:hAnsi="宋体" w:cs="宋体" w:eastAsia="宋体" w:hint="default"/>
                <w:sz w:val="21"/>
                <w:szCs w:val="21"/>
              </w:rPr>
              <w:t>与资产相关</w:t>
            </w:r>
            <w:r>
              <w:rPr>
                <w:rFonts w:ascii="Arial" w:hAnsi="Arial" w:cs="Arial" w:eastAsia="Arial" w:hint="default"/>
                <w:sz w:val="21"/>
                <w:szCs w:val="21"/>
              </w:rPr>
              <w:t>/</w:t>
            </w:r>
          </w:p>
          <w:p>
            <w:pPr>
              <w:pStyle w:val="TableParagraph"/>
              <w:spacing w:line="267" w:lineRule="exact"/>
              <w:ind w:left="18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增值税即征即退</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Arial" w:hAnsi="Arial" w:cs="Arial" w:eastAsia="Arial" w:hint="default"/>
                <w:sz w:val="21"/>
                <w:szCs w:val="21"/>
              </w:rPr>
            </w:pPr>
            <w:r>
              <w:rPr>
                <w:rFonts w:ascii="Arial"/>
                <w:spacing w:val="-2"/>
                <w:w w:val="80"/>
                <w:sz w:val="21"/>
              </w:rPr>
              <w:t>7,107,503.32</w:t>
            </w:r>
            <w:r>
              <w:rPr>
                <w:rFonts w:ascii="Arial"/>
                <w:sz w:val="21"/>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Arial" w:hAnsi="Arial" w:cs="Arial" w:eastAsia="Arial" w:hint="default"/>
                <w:sz w:val="21"/>
                <w:szCs w:val="21"/>
              </w:rPr>
            </w:pPr>
            <w:r>
              <w:rPr>
                <w:rFonts w:ascii="Arial"/>
                <w:spacing w:val="-2"/>
                <w:w w:val="80"/>
                <w:sz w:val="21"/>
              </w:rPr>
              <w:t>14,395,044.59</w:t>
            </w:r>
            <w:r>
              <w:rPr>
                <w:rFonts w:ascii="Arial"/>
                <w:sz w:val="21"/>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35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智能交通大数据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Arial" w:hAnsi="Arial" w:cs="Arial" w:eastAsia="Arial" w:hint="default"/>
                <w:sz w:val="21"/>
                <w:szCs w:val="21"/>
              </w:rPr>
            </w:pPr>
            <w:r>
              <w:rPr>
                <w:rFonts w:ascii="Arial"/>
                <w:spacing w:val="-2"/>
                <w:w w:val="80"/>
                <w:sz w:val="21"/>
              </w:rPr>
              <w:t>3,000,000.00</w:t>
            </w:r>
            <w:r>
              <w:rPr>
                <w:rFonts w:ascii="Arial"/>
                <w:sz w:val="21"/>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Arial" w:hAnsi="Arial" w:cs="Arial" w:eastAsia="Arial" w:hint="default"/>
                <w:sz w:val="21"/>
                <w:szCs w:val="21"/>
              </w:rPr>
            </w:pPr>
            <w:r>
              <w:rPr>
                <w:rFonts w:ascii="Arial"/>
                <w:w w:val="82"/>
                <w:sz w:val="21"/>
              </w:rPr>
              <w:t>-</w:t>
            </w:r>
            <w:r>
              <w:rPr>
                <w:rFonts w:ascii="Arial"/>
                <w:sz w:val="21"/>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35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研发经费补助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1,561,100.00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1"/>
                <w:szCs w:val="21"/>
              </w:rPr>
            </w:pPr>
            <w:r>
              <w:rPr>
                <w:rFonts w:ascii="Times New Roman"/>
                <w:spacing w:val="-1"/>
                <w:sz w:val="21"/>
              </w:rPr>
              <w:t>1,002,100.00-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348"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增值税进项加计抵减额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617,469.99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1"/>
                <w:szCs w:val="21"/>
              </w:rPr>
            </w:pPr>
            <w:r>
              <w:rPr>
                <w:rFonts w:ascii="Times New Roman"/>
                <w:w w:val="100"/>
                <w:sz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35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软件产业发展资金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959,700.00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w w:val="100"/>
                <w:sz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智慧云族云服务平台项目政府补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400,000.00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33,333.33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35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经信局高水平科技创新平台补助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300,000.00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宋体" w:hAnsi="宋体" w:cs="宋体" w:eastAsia="宋体" w:hint="default"/>
                <w:sz w:val="21"/>
                <w:szCs w:val="21"/>
              </w:rPr>
            </w:pPr>
            <w:r>
              <w:rPr>
                <w:rFonts w:ascii="Times New Roman"/>
                <w:spacing w:val="-4"/>
                <w:sz w:val="21"/>
              </w:rPr>
              <w:t>-</w:t>
            </w:r>
            <w:r>
              <w:rPr>
                <w:rFonts w:ascii="宋体"/>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bl>
    <w:p>
      <w:pPr>
        <w:spacing w:after="0" w:line="240" w:lineRule="auto"/>
        <w:jc w:val="right"/>
        <w:rPr>
          <w:rFonts w:ascii="宋体" w:hAnsi="宋体" w:cs="宋体" w:eastAsia="宋体" w:hint="default"/>
          <w:sz w:val="21"/>
          <w:szCs w:val="21"/>
        </w:rPr>
        <w:sectPr>
          <w:type w:val="continuous"/>
          <w:pgSz w:w="11910" w:h="16840"/>
          <w:pgMar w:top="1500" w:bottom="280" w:left="1060" w:right="1560"/>
        </w:sectPr>
      </w:pPr>
    </w:p>
    <w:p>
      <w:pPr>
        <w:spacing w:line="240" w:lineRule="auto" w:before="11"/>
        <w:rPr>
          <w:rFonts w:ascii="宋体" w:hAnsi="宋体" w:cs="宋体" w:eastAsia="宋体" w:hint="default"/>
          <w:sz w:val="23"/>
          <w:szCs w:val="23"/>
        </w:rPr>
      </w:pPr>
    </w:p>
    <w:tbl>
      <w:tblPr>
        <w:tblW w:w="0" w:type="auto"/>
        <w:jc w:val="left"/>
        <w:tblInd w:w="234" w:type="dxa"/>
        <w:tblLayout w:type="fixed"/>
        <w:tblCellMar>
          <w:top w:w="0" w:type="dxa"/>
          <w:left w:w="0" w:type="dxa"/>
          <w:bottom w:w="0" w:type="dxa"/>
          <w:right w:w="0" w:type="dxa"/>
        </w:tblCellMar>
        <w:tblLook w:val="01E0"/>
      </w:tblPr>
      <w:tblGrid>
        <w:gridCol w:w="3257"/>
        <w:gridCol w:w="2127"/>
        <w:gridCol w:w="1973"/>
        <w:gridCol w:w="1433"/>
      </w:tblGrid>
      <w:tr>
        <w:trPr>
          <w:trHeight w:val="555"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bookmarkStart w:name="RANGE!A1:D12" w:id="19"/>
            <w:bookmarkEnd w:id="19"/>
            <w:r>
              <w:rPr/>
            </w: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4" w:right="0" w:hanging="22"/>
              <w:jc w:val="left"/>
              <w:rPr>
                <w:rFonts w:ascii="Arial" w:hAnsi="Arial" w:cs="Arial" w:eastAsia="Arial" w:hint="default"/>
                <w:sz w:val="21"/>
                <w:szCs w:val="21"/>
              </w:rPr>
            </w:pPr>
            <w:r>
              <w:rPr>
                <w:rFonts w:ascii="宋体" w:hAnsi="宋体" w:cs="宋体" w:eastAsia="宋体" w:hint="default"/>
                <w:sz w:val="21"/>
                <w:szCs w:val="21"/>
              </w:rPr>
              <w:t>与资产相关</w:t>
            </w:r>
            <w:r>
              <w:rPr>
                <w:rFonts w:ascii="Arial" w:hAnsi="Arial" w:cs="Arial" w:eastAsia="Arial" w:hint="default"/>
                <w:sz w:val="21"/>
                <w:szCs w:val="21"/>
              </w:rPr>
              <w:t>/</w:t>
            </w:r>
          </w:p>
          <w:p>
            <w:pPr>
              <w:pStyle w:val="TableParagraph"/>
              <w:spacing w:line="267" w:lineRule="exact"/>
              <w:ind w:left="18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个税手续费返还</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224,928.95</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8,915.49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35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公安智能感知大数据平台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166,666.67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6,666.67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348"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公安反恐综合研判平台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150,000.00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right"/>
              <w:rPr>
                <w:rFonts w:ascii="宋体" w:hAnsi="宋体" w:cs="宋体" w:eastAsia="宋体" w:hint="default"/>
                <w:sz w:val="21"/>
                <w:szCs w:val="21"/>
              </w:rPr>
            </w:pPr>
            <w:r>
              <w:rPr>
                <w:rFonts w:ascii="Times New Roman"/>
                <w:spacing w:val="-4"/>
                <w:sz w:val="21"/>
              </w:rPr>
              <w:t>-</w:t>
            </w:r>
            <w:r>
              <w:rPr>
                <w:rFonts w:ascii="宋体"/>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557"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视频图像分布式联网与智能化应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用平台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2"/>
                <w:sz w:val="21"/>
              </w:rPr>
              <w:t>110,000.00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2"/>
                <w:sz w:val="21"/>
              </w:rPr>
              <w:t>110,000.00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Arial" w:hAnsi="Arial" w:cs="Arial" w:eastAsia="Arial" w:hint="default"/>
                <w:w w:val="95"/>
                <w:sz w:val="21"/>
                <w:szCs w:val="21"/>
              </w:rPr>
              <w:t>2018 </w:t>
            </w:r>
            <w:r>
              <w:rPr>
                <w:rFonts w:ascii="Arial" w:hAnsi="Arial" w:cs="Arial" w:eastAsia="Arial" w:hint="default"/>
                <w:spacing w:val="5"/>
                <w:w w:val="95"/>
                <w:sz w:val="21"/>
                <w:szCs w:val="21"/>
              </w:rPr>
              <w:t> </w:t>
            </w:r>
            <w:r>
              <w:rPr>
                <w:rFonts w:ascii="宋体" w:hAnsi="宋体" w:cs="宋体" w:eastAsia="宋体" w:hint="default"/>
                <w:w w:val="95"/>
                <w:sz w:val="21"/>
                <w:szCs w:val="21"/>
              </w:rPr>
              <w:t>年度企业研发经费投入分段</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补助专项资金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93,300.00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21"/>
                <w:szCs w:val="21"/>
              </w:rPr>
            </w:pPr>
            <w:r>
              <w:rPr>
                <w:rFonts w:ascii="Times New Roman"/>
                <w:w w:val="100"/>
                <w:sz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项目智慧社区服务管理平台补贴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72,463.76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69,202.90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5"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泉州市经信局</w:t>
            </w:r>
            <w:r>
              <w:rPr>
                <w:rFonts w:ascii="宋体" w:hAnsi="宋体" w:cs="宋体" w:eastAsia="宋体" w:hint="default"/>
                <w:spacing w:val="-85"/>
                <w:sz w:val="21"/>
                <w:szCs w:val="21"/>
              </w:rPr>
              <w:t> </w:t>
            </w:r>
            <w:r>
              <w:rPr>
                <w:rFonts w:ascii="Arial" w:hAnsi="Arial" w:cs="Arial" w:eastAsia="Arial" w:hint="default"/>
                <w:sz w:val="21"/>
                <w:szCs w:val="21"/>
              </w:rPr>
              <w:t>219</w:t>
            </w:r>
            <w:r>
              <w:rPr>
                <w:rFonts w:ascii="Arial" w:hAnsi="Arial" w:cs="Arial" w:eastAsia="Arial" w:hint="default"/>
                <w:spacing w:val="-39"/>
                <w:sz w:val="21"/>
                <w:szCs w:val="21"/>
              </w:rPr>
              <w:t> </w:t>
            </w:r>
            <w:r>
              <w:rPr>
                <w:rFonts w:ascii="宋体" w:hAnsi="宋体" w:cs="宋体" w:eastAsia="宋体" w:hint="default"/>
                <w:sz w:val="21"/>
                <w:szCs w:val="21"/>
              </w:rPr>
              <w:t>年数字经济发</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展资金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58,300.00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Times New Roman" w:hAnsi="Times New Roman" w:cs="Times New Roman" w:eastAsia="Times New Roman" w:hint="default"/>
                <w:sz w:val="21"/>
                <w:szCs w:val="21"/>
              </w:rPr>
            </w:pPr>
            <w:r>
              <w:rPr>
                <w:rFonts w:ascii="Times New Roman"/>
                <w:w w:val="100"/>
                <w:sz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35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智慧边检一体化平台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46,666.67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w w:val="100"/>
                <w:sz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泉州市丰泽区科技和知识产权局</w:t>
            </w:r>
          </w:p>
          <w:p>
            <w:pPr>
              <w:pStyle w:val="TableParagraph"/>
              <w:spacing w:line="288" w:lineRule="exact"/>
              <w:ind w:left="103" w:right="0"/>
              <w:jc w:val="left"/>
              <w:rPr>
                <w:rFonts w:ascii="宋体" w:hAnsi="宋体" w:cs="宋体" w:eastAsia="宋体" w:hint="default"/>
                <w:sz w:val="21"/>
                <w:szCs w:val="21"/>
              </w:rPr>
            </w:pPr>
            <w:r>
              <w:rPr>
                <w:rFonts w:ascii="Arial" w:hAnsi="Arial" w:cs="Arial" w:eastAsia="Arial" w:hint="default"/>
                <w:w w:val="95"/>
                <w:sz w:val="21"/>
                <w:szCs w:val="21"/>
              </w:rPr>
              <w:t>2019</w:t>
            </w:r>
            <w:r>
              <w:rPr>
                <w:rFonts w:ascii="Arial" w:hAnsi="Arial" w:cs="Arial" w:eastAsia="Arial" w:hint="default"/>
                <w:spacing w:val="49"/>
                <w:w w:val="95"/>
                <w:sz w:val="21"/>
                <w:szCs w:val="21"/>
              </w:rPr>
              <w:t> </w:t>
            </w:r>
            <w:r>
              <w:rPr>
                <w:rFonts w:ascii="宋体" w:hAnsi="宋体" w:cs="宋体" w:eastAsia="宋体" w:hint="default"/>
                <w:w w:val="95"/>
                <w:sz w:val="21"/>
                <w:szCs w:val="21"/>
              </w:rPr>
              <w:t>年度区科技项目扶持资金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35,000.00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21"/>
                <w:szCs w:val="21"/>
              </w:rPr>
            </w:pPr>
            <w:r>
              <w:rPr>
                <w:rFonts w:ascii="Times New Roman"/>
                <w:w w:val="100"/>
                <w:sz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35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小电卫士电动车智能防盗平台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29,166.67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Times New Roman" w:hAnsi="Times New Roman" w:cs="Times New Roman" w:eastAsia="Times New Roman" w:hint="default"/>
                <w:sz w:val="21"/>
                <w:szCs w:val="21"/>
              </w:rPr>
            </w:pPr>
            <w:r>
              <w:rPr>
                <w:rFonts w:ascii="Times New Roman"/>
                <w:w w:val="100"/>
                <w:sz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35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蜻蜓云智慧停车管理平台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20,833.34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1"/>
                <w:szCs w:val="21"/>
              </w:rPr>
            </w:pPr>
            <w:r>
              <w:rPr>
                <w:rFonts w:ascii="Times New Roman"/>
                <w:w w:val="100"/>
                <w:sz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新型智慧城市技术标准体系与标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准服务平台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17,113.33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21"/>
                <w:szCs w:val="21"/>
              </w:rPr>
            </w:pPr>
            <w:r>
              <w:rPr>
                <w:rFonts w:ascii="Times New Roman"/>
                <w:w w:val="100"/>
                <w:sz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35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Arial" w:hAnsi="Arial" w:cs="Arial" w:eastAsia="Arial" w:hint="default"/>
                <w:w w:val="95"/>
                <w:sz w:val="21"/>
                <w:szCs w:val="21"/>
              </w:rPr>
              <w:t>12358</w:t>
            </w:r>
            <w:r>
              <w:rPr>
                <w:rFonts w:ascii="Arial" w:hAnsi="Arial" w:cs="Arial" w:eastAsia="Arial" w:hint="default"/>
                <w:spacing w:val="33"/>
                <w:w w:val="95"/>
                <w:sz w:val="21"/>
                <w:szCs w:val="21"/>
              </w:rPr>
              <w:t> </w:t>
            </w:r>
            <w:r>
              <w:rPr>
                <w:rFonts w:ascii="宋体" w:hAnsi="宋体" w:cs="宋体" w:eastAsia="宋体" w:hint="default"/>
                <w:w w:val="95"/>
                <w:sz w:val="21"/>
                <w:szCs w:val="21"/>
              </w:rPr>
              <w:t>大数据公共服务平台项目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1"/>
                <w:szCs w:val="21"/>
              </w:rPr>
            </w:pPr>
            <w:r>
              <w:rPr>
                <w:rFonts w:ascii="Times New Roman"/>
                <w:w w:val="100"/>
                <w:sz w:val="21"/>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2"/>
                <w:sz w:val="21"/>
              </w:rPr>
              <w:t>3,529,411.77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2"/>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348"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智慧政务补贴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1"/>
                <w:szCs w:val="21"/>
              </w:rPr>
            </w:pPr>
            <w:r>
              <w:rPr>
                <w:rFonts w:ascii="Times New Roman"/>
                <w:w w:val="100"/>
                <w:sz w:val="21"/>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500,000.00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555"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w w:val="95"/>
                <w:sz w:val="21"/>
                <w:szCs w:val="21"/>
              </w:rPr>
              <w:t>泉州市科技局 </w:t>
            </w:r>
            <w:r>
              <w:rPr>
                <w:rFonts w:ascii="Arial" w:hAnsi="Arial" w:cs="Arial" w:eastAsia="Arial" w:hint="default"/>
                <w:w w:val="95"/>
                <w:sz w:val="21"/>
                <w:szCs w:val="21"/>
              </w:rPr>
              <w:t>2017</w:t>
            </w:r>
            <w:r>
              <w:rPr>
                <w:rFonts w:ascii="Arial" w:hAnsi="Arial" w:cs="Arial" w:eastAsia="Arial" w:hint="default"/>
                <w:spacing w:val="15"/>
                <w:w w:val="95"/>
                <w:sz w:val="21"/>
                <w:szCs w:val="21"/>
              </w:rPr>
              <w:t> </w:t>
            </w:r>
            <w:r>
              <w:rPr>
                <w:rFonts w:ascii="宋体" w:hAnsi="宋体" w:cs="宋体" w:eastAsia="宋体" w:hint="default"/>
                <w:w w:val="95"/>
                <w:sz w:val="21"/>
                <w:szCs w:val="21"/>
              </w:rPr>
              <w:t>年度人才创新</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创业项目计划经费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w w:val="100"/>
                <w:sz w:val="21"/>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557"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08" w:right="0"/>
              <w:jc w:val="left"/>
              <w:rPr>
                <w:rFonts w:ascii="宋体" w:hAnsi="宋体" w:cs="宋体" w:eastAsia="宋体" w:hint="default"/>
                <w:sz w:val="21"/>
                <w:szCs w:val="21"/>
              </w:rPr>
            </w:pPr>
            <w:r>
              <w:rPr>
                <w:rFonts w:ascii="Arial" w:hAnsi="Arial" w:cs="Arial" w:eastAsia="Arial" w:hint="default"/>
                <w:w w:val="95"/>
                <w:sz w:val="21"/>
                <w:szCs w:val="21"/>
              </w:rPr>
              <w:t>2017</w:t>
            </w:r>
            <w:r>
              <w:rPr>
                <w:rFonts w:ascii="Arial" w:hAnsi="Arial" w:cs="Arial" w:eastAsia="Arial" w:hint="default"/>
                <w:spacing w:val="38"/>
                <w:w w:val="95"/>
                <w:sz w:val="21"/>
                <w:szCs w:val="21"/>
              </w:rPr>
              <w:t> </w:t>
            </w:r>
            <w:r>
              <w:rPr>
                <w:rFonts w:ascii="宋体" w:hAnsi="宋体" w:cs="宋体" w:eastAsia="宋体" w:hint="default"/>
                <w:w w:val="95"/>
                <w:sz w:val="21"/>
                <w:szCs w:val="21"/>
              </w:rPr>
              <w:t>年度郑州市大数据产业发展</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w w:val="100"/>
                <w:sz w:val="21"/>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176,000.00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826"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区域教育云平台</w:t>
            </w:r>
            <w:r>
              <w:rPr>
                <w:rFonts w:ascii="Arial" w:hAnsi="Arial" w:cs="Arial" w:eastAsia="Arial" w:hint="default"/>
                <w:sz w:val="21"/>
                <w:szCs w:val="21"/>
              </w:rPr>
              <w:t>-</w:t>
            </w:r>
            <w:r>
              <w:rPr>
                <w:rFonts w:ascii="宋体" w:hAnsi="宋体" w:cs="宋体" w:eastAsia="宋体" w:hint="default"/>
                <w:sz w:val="21"/>
                <w:szCs w:val="21"/>
              </w:rPr>
              <w:t>深圳市战略性新</w:t>
            </w:r>
          </w:p>
          <w:p>
            <w:pPr>
              <w:pStyle w:val="TableParagraph"/>
              <w:spacing w:line="274" w:lineRule="exact" w:before="16"/>
              <w:ind w:left="103" w:right="197"/>
              <w:jc w:val="left"/>
              <w:rPr>
                <w:rFonts w:ascii="宋体" w:hAnsi="宋体" w:cs="宋体" w:eastAsia="宋体" w:hint="default"/>
                <w:sz w:val="21"/>
                <w:szCs w:val="21"/>
              </w:rPr>
            </w:pPr>
            <w:r>
              <w:rPr>
                <w:rFonts w:ascii="宋体" w:hAnsi="宋体" w:cs="宋体" w:eastAsia="宋体" w:hint="default"/>
                <w:spacing w:val="-2"/>
                <w:sz w:val="21"/>
                <w:szCs w:val="21"/>
              </w:rPr>
              <w:t>兴产业（互联网产业）发展专项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83,333.33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35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14,970,212.70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2"/>
                <w:sz w:val="21"/>
              </w:rPr>
              <w:t>20,114,008.08</w:t>
            </w:r>
          </w:p>
        </w:tc>
        <w:tc>
          <w:tcPr>
            <w:tcW w:w="14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before="36"/>
        <w:ind w:left="358" w:right="0"/>
        <w:jc w:val="left"/>
        <w:rPr>
          <w:rFonts w:ascii="宋体" w:hAnsi="宋体" w:cs="宋体" w:eastAsia="宋体" w:hint="default"/>
          <w:b w:val="0"/>
          <w:bCs w:val="0"/>
        </w:rPr>
      </w:pPr>
      <w:r>
        <w:rPr>
          <w:rFonts w:ascii="Times New Roman" w:hAnsi="Times New Roman" w:cs="Times New Roman" w:eastAsia="Times New Roman" w:hint="default"/>
        </w:rPr>
        <w:t>66</w:t>
      </w:r>
      <w:r>
        <w:rPr/>
        <w:t>、投资收益</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0" w:footer="979" w:top="1120" w:bottom="1160" w:left="1060" w:right="1560"/>
        </w:sectPr>
      </w:pPr>
    </w:p>
    <w:p>
      <w:pPr>
        <w:pStyle w:val="BodyText"/>
        <w:spacing w:line="240" w:lineRule="auto" w:before="40"/>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pStyle w:val="BodyText"/>
        <w:spacing w:line="240" w:lineRule="auto"/>
        <w:ind w:left="216" w:right="0"/>
        <w:jc w:val="left"/>
        <w:rPr>
          <w:rFonts w:ascii="宋体" w:hAnsi="宋体" w:cs="宋体" w:eastAsia="宋体" w:hint="default"/>
          <w:sz w:val="24"/>
          <w:szCs w:val="24"/>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sz w:val="24"/>
          <w:szCs w:val="24"/>
        </w:rPr>
        <w:t> </w:t>
      </w:r>
      <w:r>
        <w:rPr>
          <w:rFonts w:ascii="宋体" w:hAnsi="宋体" w:cs="宋体" w:eastAsia="宋体" w:hint="default"/>
          <w:sz w:val="24"/>
          <w:szCs w:val="24"/>
        </w:rPr>
      </w:r>
    </w:p>
    <w:p>
      <w:pPr>
        <w:spacing w:after="0" w:line="240" w:lineRule="auto"/>
        <w:jc w:val="left"/>
        <w:rPr>
          <w:rFonts w:ascii="宋体" w:hAnsi="宋体" w:cs="宋体" w:eastAsia="宋体" w:hint="default"/>
          <w:sz w:val="24"/>
          <w:szCs w:val="24"/>
        </w:rPr>
        <w:sectPr>
          <w:type w:val="continuous"/>
          <w:pgSz w:w="11910" w:h="16840"/>
          <w:pgMar w:top="1500" w:bottom="280" w:left="1060" w:right="1560"/>
          <w:cols w:num="2" w:equalWidth="0">
            <w:col w:w="2003" w:space="4519"/>
            <w:col w:w="2768"/>
          </w:cols>
        </w:sectPr>
      </w:pPr>
    </w:p>
    <w:p>
      <w:pPr>
        <w:spacing w:line="240" w:lineRule="auto" w:before="4"/>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4213"/>
        <w:gridCol w:w="2472"/>
        <w:gridCol w:w="2365"/>
      </w:tblGrid>
      <w:tr>
        <w:trPr>
          <w:trHeight w:val="28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4,924,983.20</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228,688.21</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-3,127,053.73</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8,474,174.58</w:t>
            </w:r>
          </w:p>
        </w:tc>
      </w:tr>
      <w:tr>
        <w:trPr>
          <w:trHeight w:val="55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融资产在持有期间的投资收益</w:t>
            </w:r>
          </w:p>
        </w:tc>
        <w:tc>
          <w:tcPr>
            <w:tcW w:w="2472"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的金融资产取得的投资收益</w:t>
            </w:r>
          </w:p>
        </w:tc>
        <w:tc>
          <w:tcPr>
            <w:tcW w:w="2472"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-5,166,236.57</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72"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8,894,392.76</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954,170.15</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债权投资持有期间的投资收益</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957,808.22</w:t>
            </w: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应收款项融资收益</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-24,605.63</w:t>
            </w:r>
          </w:p>
        </w:tc>
        <w:tc>
          <w:tcPr>
            <w:tcW w:w="23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00" w:bottom="280" w:left="1060" w:right="1560"/>
        </w:sectPr>
      </w:pPr>
    </w:p>
    <w:p>
      <w:pPr>
        <w:spacing w:line="240" w:lineRule="auto" w:before="11"/>
        <w:rPr>
          <w:rFonts w:ascii="宋体" w:hAnsi="宋体" w:cs="宋体" w:eastAsia="宋体"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4213"/>
        <w:gridCol w:w="2472"/>
        <w:gridCol w:w="2365"/>
      </w:tblGrid>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57" w:right="0"/>
              <w:jc w:val="left"/>
              <w:rPr>
                <w:rFonts w:ascii="Times New Roman" w:hAnsi="Times New Roman" w:cs="Times New Roman" w:eastAsia="Times New Roman" w:hint="default"/>
                <w:sz w:val="21"/>
                <w:szCs w:val="21"/>
              </w:rPr>
            </w:pPr>
            <w:r>
              <w:rPr>
                <w:rFonts w:ascii="Times New Roman"/>
                <w:sz w:val="21"/>
              </w:rPr>
              <w:t>3,685,302.21</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4" w:right="0"/>
              <w:jc w:val="left"/>
              <w:rPr>
                <w:rFonts w:ascii="Times New Roman" w:hAnsi="Times New Roman" w:cs="Times New Roman" w:eastAsia="Times New Roman" w:hint="default"/>
                <w:sz w:val="21"/>
                <w:szCs w:val="21"/>
              </w:rPr>
            </w:pPr>
            <w:r>
              <w:rPr>
                <w:rFonts w:ascii="Times New Roman"/>
                <w:sz w:val="21"/>
              </w:rPr>
              <w:t>12,431,018.98</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BodyText"/>
        <w:spacing w:line="300" w:lineRule="auto" w:before="133"/>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54" w:lineRule="exact"/>
        <w:ind w:left="216" w:right="0"/>
        <w:jc w:val="left"/>
      </w:pPr>
      <w:r>
        <w:rPr/>
        <w:t> </w:t>
      </w:r>
    </w:p>
    <w:p>
      <w:pPr>
        <w:spacing w:after="0" w:line="254" w:lineRule="exact"/>
        <w:jc w:val="left"/>
        <w:sectPr>
          <w:pgSz w:w="11910" w:h="16840"/>
          <w:pgMar w:header="0" w:footer="979" w:top="1120" w:bottom="1160" w:left="1060" w:right="1560"/>
        </w:sectPr>
      </w:pPr>
    </w:p>
    <w:p>
      <w:pPr>
        <w:pStyle w:val="Heading4"/>
        <w:spacing w:line="240" w:lineRule="auto" w:before="61"/>
        <w:ind w:left="340" w:right="236"/>
        <w:jc w:val="center"/>
        <w:rPr>
          <w:b w:val="0"/>
          <w:bCs w:val="0"/>
        </w:rPr>
      </w:pPr>
      <w:r>
        <w:rPr>
          <w:rFonts w:ascii="Times New Roman" w:hAnsi="Times New Roman" w:cs="Times New Roman" w:eastAsia="Times New Roman" w:hint="default"/>
        </w:rPr>
        <w:t>67</w:t>
      </w:r>
      <w:r>
        <w:rPr/>
        <w:t>、净敞口套期收益</w:t>
      </w:r>
      <w:r>
        <w:rPr>
          <w:b w:val="0"/>
          <w:bCs w:val="0"/>
        </w:rPr>
      </w:r>
    </w:p>
    <w:p>
      <w:pPr>
        <w:pStyle w:val="BodyText"/>
        <w:spacing w:line="270" w:lineRule="exact" w:before="43"/>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216" w:right="0"/>
        <w:jc w:val="left"/>
      </w:pPr>
      <w:r>
        <w:rPr/>
        <w:t> </w:t>
      </w:r>
    </w:p>
    <w:p>
      <w:pPr>
        <w:pStyle w:val="Heading4"/>
        <w:spacing w:line="240" w:lineRule="auto"/>
        <w:ind w:left="216" w:right="0"/>
        <w:jc w:val="left"/>
        <w:rPr>
          <w:rFonts w:ascii="宋体" w:hAnsi="宋体" w:cs="宋体" w:eastAsia="宋体" w:hint="default"/>
          <w:b w:val="0"/>
          <w:bCs w:val="0"/>
        </w:rPr>
      </w:pPr>
      <w:r>
        <w:rPr>
          <w:rFonts w:ascii="Times New Roman" w:hAnsi="Times New Roman" w:cs="Times New Roman" w:eastAsia="Times New Roman" w:hint="default"/>
        </w:rPr>
        <w:t>68</w:t>
      </w:r>
      <w:r>
        <w:rPr/>
        <w:t>、</w:t>
      </w:r>
      <w:r>
        <w:rPr>
          <w:spacing w:val="-23"/>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1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2515" w:space="4008"/>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825"/>
        <w:gridCol w:w="2825"/>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9"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10" w:right="0"/>
              <w:jc w:val="left"/>
              <w:rPr>
                <w:rFonts w:ascii="Times New Roman" w:hAnsi="Times New Roman" w:cs="Times New Roman" w:eastAsia="Times New Roman" w:hint="default"/>
                <w:sz w:val="21"/>
                <w:szCs w:val="21"/>
              </w:rPr>
            </w:pPr>
            <w:r>
              <w:rPr>
                <w:rFonts w:ascii="Times New Roman"/>
                <w:sz w:val="21"/>
              </w:rPr>
              <w:t>6,289,240.73</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损益的金融负债</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38" w:right="0"/>
              <w:jc w:val="left"/>
              <w:rPr>
                <w:rFonts w:ascii="Times New Roman" w:hAnsi="Times New Roman" w:cs="Times New Roman" w:eastAsia="Times New Roman" w:hint="default"/>
                <w:sz w:val="21"/>
                <w:szCs w:val="21"/>
              </w:rPr>
            </w:pPr>
            <w:r>
              <w:rPr>
                <w:rFonts w:ascii="Times New Roman"/>
                <w:sz w:val="21"/>
              </w:rPr>
              <w:t>-3,000,000.00</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10" w:right="0"/>
              <w:jc w:val="left"/>
              <w:rPr>
                <w:rFonts w:ascii="Times New Roman" w:hAnsi="Times New Roman" w:cs="Times New Roman" w:eastAsia="Times New Roman" w:hint="default"/>
                <w:sz w:val="21"/>
                <w:szCs w:val="21"/>
              </w:rPr>
            </w:pPr>
            <w:r>
              <w:rPr>
                <w:rFonts w:ascii="Times New Roman"/>
                <w:sz w:val="21"/>
              </w:rPr>
              <w:t>3,289,240.73</w:t>
            </w:r>
          </w:p>
        </w:tc>
      </w:tr>
    </w:tbl>
    <w:p>
      <w:pPr>
        <w:pStyle w:val="BodyText"/>
        <w:spacing w:line="290" w:lineRule="auto" w:before="26"/>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left="216" w:right="0"/>
        <w:jc w:val="left"/>
        <w:rPr>
          <w:rFonts w:ascii="宋体" w:hAnsi="宋体" w:cs="宋体" w:eastAsia="宋体" w:hint="default"/>
        </w:rPr>
      </w:pPr>
      <w:r>
        <w:rPr>
          <w:rFonts w:ascii="宋体"/>
          <w:w w:val="100"/>
        </w:rPr>
        <w:t> </w:t>
      </w:r>
    </w:p>
    <w:p>
      <w:pPr>
        <w:spacing w:after="0" w:line="227" w:lineRule="exact"/>
        <w:jc w:val="left"/>
        <w:rPr>
          <w:rFonts w:ascii="宋体" w:hAnsi="宋体" w:cs="宋体" w:eastAsia="宋体" w:hint="default"/>
        </w:rPr>
        <w:sectPr>
          <w:type w:val="continuous"/>
          <w:pgSz w:w="11910" w:h="16840"/>
          <w:pgMar w:top="1500" w:bottom="280" w:left="1060" w:right="1560"/>
        </w:sectPr>
      </w:pPr>
    </w:p>
    <w:p>
      <w:pPr>
        <w:pStyle w:val="Heading4"/>
        <w:spacing w:line="240" w:lineRule="auto" w:before="58"/>
        <w:ind w:left="358" w:right="0"/>
        <w:jc w:val="center"/>
        <w:rPr>
          <w:b w:val="0"/>
          <w:bCs w:val="0"/>
        </w:rPr>
      </w:pPr>
      <w:r>
        <w:rPr>
          <w:rFonts w:ascii="Times New Roman" w:hAnsi="Times New Roman" w:cs="Times New Roman" w:eastAsia="Times New Roman" w:hint="default"/>
          <w:spacing w:val="-1"/>
        </w:rPr>
        <w:t>69</w:t>
      </w:r>
      <w:r>
        <w:rPr>
          <w:spacing w:val="-1"/>
        </w:rPr>
        <w:t>、信用减值损失</w:t>
      </w:r>
      <w:r>
        <w:rPr>
          <w:b w:val="0"/>
          <w:bCs w:val="0"/>
          <w:spacing w:val="-1"/>
        </w:rPr>
      </w:r>
    </w:p>
    <w:p>
      <w:pPr>
        <w:pStyle w:val="BodyText"/>
        <w:spacing w:line="240" w:lineRule="auto" w:before="40"/>
        <w:ind w:left="171" w:right="0"/>
        <w:jc w:val="center"/>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40"/>
        <w:ind w:left="216" w:right="0"/>
        <w:jc w:val="left"/>
      </w:pPr>
      <w:r>
        <w:rPr>
          <w:spacing w:val="-1"/>
        </w:rPr>
        <w:t>单位：元</w:t>
        <w:tab/>
        <w:t>币种：人民币</w:t>
      </w:r>
    </w:p>
    <w:p>
      <w:pPr>
        <w:spacing w:after="0" w:line="240" w:lineRule="auto"/>
        <w:jc w:val="left"/>
        <w:sectPr>
          <w:type w:val="continuous"/>
          <w:pgSz w:w="11910" w:h="16840"/>
          <w:pgMar w:top="1500" w:bottom="280" w:left="1060" w:right="1560"/>
          <w:cols w:num="2" w:equalWidth="0">
            <w:col w:w="2049" w:space="447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324"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74" w:lineRule="exact"/>
              <w:ind w:right="1457"/>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736"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74" w:lineRule="exact"/>
              <w:ind w:left="748"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坏账损失</w:t>
            </w:r>
            <w:r>
              <w:rPr>
                <w:rFonts w:ascii="宋体" w:hAnsi="宋体" w:cs="宋体" w:eastAsia="宋体" w:hint="default"/>
                <w:sz w:val="24"/>
                <w:szCs w:val="24"/>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-18,432,168.92</w:t>
            </w: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-18,432,168.92</w:t>
            </w:r>
          </w:p>
        </w:tc>
        <w:tc>
          <w:tcPr>
            <w:tcW w:w="2710"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39"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left="216" w:right="0"/>
        <w:jc w:val="left"/>
        <w:rPr>
          <w:rFonts w:ascii="宋体" w:hAnsi="宋体" w:cs="宋体" w:eastAsia="宋体" w:hint="default"/>
        </w:rPr>
      </w:pPr>
      <w:r>
        <w:rPr/>
        <w:t>无</w:t>
      </w:r>
      <w:r>
        <w:rPr>
          <w:rFonts w:ascii="宋体" w:hAnsi="宋体" w:cs="宋体" w:eastAsia="宋体" w:hint="default"/>
        </w:rPr>
        <w:t> </w:t>
      </w:r>
    </w:p>
    <w:p>
      <w:pPr>
        <w:pStyle w:val="Heading3"/>
        <w:spacing w:line="310" w:lineRule="exact"/>
        <w:ind w:left="216" w:right="0"/>
        <w:jc w:val="left"/>
      </w:pPr>
      <w:r>
        <w:rPr/>
        <w:t> </w:t>
      </w:r>
    </w:p>
    <w:p>
      <w:pPr>
        <w:spacing w:after="0" w:line="310" w:lineRule="exact"/>
        <w:jc w:val="left"/>
        <w:sectPr>
          <w:type w:val="continuous"/>
          <w:pgSz w:w="11910" w:h="16840"/>
          <w:pgMar w:top="1500" w:bottom="280" w:left="1060" w:right="1560"/>
        </w:sectPr>
      </w:pPr>
    </w:p>
    <w:p>
      <w:pPr>
        <w:pStyle w:val="Heading4"/>
        <w:spacing w:line="240" w:lineRule="auto" w:before="61"/>
        <w:ind w:left="358" w:right="0"/>
        <w:jc w:val="left"/>
        <w:rPr>
          <w:rFonts w:ascii="宋体" w:hAnsi="宋体" w:cs="宋体" w:eastAsia="宋体" w:hint="default"/>
          <w:b w:val="0"/>
          <w:bCs w:val="0"/>
        </w:rPr>
      </w:pPr>
      <w:r>
        <w:rPr>
          <w:rFonts w:ascii="Times New Roman" w:hAnsi="Times New Roman" w:cs="Times New Roman" w:eastAsia="Times New Roman" w:hint="default"/>
        </w:rPr>
        <w:t>70</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43"/>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60" w:right="1560"/>
          <w:cols w:num="2" w:equalWidth="0">
            <w:col w:w="2152" w:space="437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-10,503,754.76</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-65,976.28</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-181,459.94</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-576,699.04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-7,256,157.74</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-824,135.26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-17,759,912.50</w:t>
            </w:r>
          </w:p>
        </w:tc>
      </w:tr>
    </w:tbl>
    <w:p>
      <w:pPr>
        <w:pStyle w:val="BodyText"/>
        <w:spacing w:line="290" w:lineRule="auto" w:before="26"/>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after="0" w:line="290" w:lineRule="auto"/>
        <w:jc w:val="left"/>
        <w:rPr>
          <w:rFonts w:ascii="宋体" w:hAnsi="宋体" w:cs="宋体" w:eastAsia="宋体" w:hint="default"/>
        </w:rPr>
        <w:sectPr>
          <w:type w:val="continuous"/>
          <w:pgSz w:w="11910" w:h="16840"/>
          <w:pgMar w:top="1500" w:bottom="280" w:left="1060" w:right="1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9" w:top="1120" w:bottom="1160" w:left="1040" w:right="1560"/>
        </w:sectPr>
      </w:pPr>
    </w:p>
    <w:p>
      <w:pPr>
        <w:pStyle w:val="Heading4"/>
        <w:spacing w:line="240" w:lineRule="auto" w:before="36"/>
        <w:ind w:left="378" w:right="0"/>
        <w:jc w:val="center"/>
        <w:rPr>
          <w:b w:val="0"/>
          <w:bCs w:val="0"/>
        </w:rPr>
      </w:pPr>
      <w:r>
        <w:rPr>
          <w:rFonts w:ascii="Times New Roman" w:hAnsi="Times New Roman" w:cs="Times New Roman" w:eastAsia="Times New Roman" w:hint="default"/>
          <w:spacing w:val="-1"/>
        </w:rPr>
        <w:t>71</w:t>
      </w:r>
      <w:r>
        <w:rPr>
          <w:spacing w:val="-1"/>
        </w:rPr>
        <w:t>、资产处置收益</w:t>
      </w:r>
      <w:r>
        <w:rPr>
          <w:b w:val="0"/>
          <w:bCs w:val="0"/>
          <w:spacing w:val="-1"/>
        </w:rPr>
      </w:r>
    </w:p>
    <w:p>
      <w:pPr>
        <w:pStyle w:val="BodyText"/>
        <w:spacing w:line="240" w:lineRule="auto" w:before="43"/>
        <w:ind w:left="205" w:right="0"/>
        <w:jc w:val="center"/>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500" w:bottom="280" w:left="1040" w:right="1560"/>
          <w:cols w:num="2" w:equalWidth="0">
            <w:col w:w="2069" w:space="4453"/>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27"/>
        <w:gridCol w:w="2952"/>
        <w:gridCol w:w="2945"/>
      </w:tblGrid>
      <w:tr>
        <w:trPr>
          <w:trHeight w:val="319"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71"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66"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283"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固定资产处置利得或损失</w:t>
            </w:r>
            <w:r>
              <w:rPr>
                <w:rFonts w:ascii="宋体" w:hAnsi="宋体" w:cs="宋体" w:eastAsia="宋体" w:hint="default"/>
                <w:sz w:val="21"/>
                <w:szCs w:val="21"/>
              </w:rPr>
              <w:t> </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708,997.90</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3,603.94</w:t>
            </w:r>
          </w:p>
        </w:tc>
      </w:tr>
      <w:tr>
        <w:trPr>
          <w:trHeight w:val="283"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708,997.90</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3,603.94</w:t>
            </w:r>
          </w:p>
        </w:tc>
      </w:tr>
    </w:tbl>
    <w:p>
      <w:pPr>
        <w:pStyle w:val="BodyText"/>
        <w:spacing w:line="239"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left="236" w:right="0"/>
        <w:jc w:val="left"/>
        <w:rPr>
          <w:rFonts w:ascii="宋体" w:hAnsi="宋体" w:cs="宋体" w:eastAsia="宋体" w:hint="default"/>
        </w:rPr>
      </w:pPr>
      <w:r>
        <w:rPr/>
        <w:t>无</w:t>
      </w:r>
      <w:r>
        <w:rPr>
          <w:rFonts w:ascii="宋体" w:hAnsi="宋体" w:cs="宋体" w:eastAsia="宋体" w:hint="default"/>
        </w:rPr>
        <w:t> </w:t>
      </w:r>
    </w:p>
    <w:p>
      <w:pPr>
        <w:pStyle w:val="Heading3"/>
        <w:spacing w:line="310" w:lineRule="exact"/>
        <w:ind w:right="0"/>
        <w:jc w:val="left"/>
      </w:pPr>
      <w:r>
        <w:rPr/>
        <w:t> </w:t>
      </w:r>
    </w:p>
    <w:p>
      <w:pPr>
        <w:spacing w:after="0" w:line="310" w:lineRule="exact"/>
        <w:jc w:val="left"/>
        <w:sectPr>
          <w:type w:val="continuous"/>
          <w:pgSz w:w="11910" w:h="16840"/>
          <w:pgMar w:top="1500" w:bottom="280" w:left="1040" w:right="1560"/>
        </w:sectPr>
      </w:pPr>
    </w:p>
    <w:p>
      <w:pPr>
        <w:spacing w:line="276" w:lineRule="auto" w:before="61"/>
        <w:ind w:left="236" w:right="0" w:firstLine="14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40"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2129" w:space="4393"/>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112"/>
        <w:gridCol w:w="2307"/>
        <w:gridCol w:w="2120"/>
        <w:gridCol w:w="2511"/>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6,530,649.42</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3,071,337.62</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6,530,649.42</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违约赔偿收入</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770,886.58</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189,525.08</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770,886.58</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7,301,536.00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3,260,862.70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7,301,536.00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0"/>
        <w:rPr>
          <w:rFonts w:ascii="宋体" w:hAnsi="宋体" w:cs="宋体" w:eastAsia="宋体" w:hint="default"/>
          <w:sz w:val="35"/>
          <w:szCs w:val="35"/>
        </w:rPr>
      </w:pPr>
    </w:p>
    <w:p>
      <w:pPr>
        <w:pStyle w:val="BodyText"/>
        <w:spacing w:line="240" w:lineRule="auto"/>
        <w:ind w:left="236" w:right="0"/>
        <w:jc w:val="left"/>
        <w:rPr>
          <w:rFonts w:ascii="宋体" w:hAnsi="宋体" w:cs="宋体" w:eastAsia="宋体" w:hint="default"/>
        </w:rPr>
      </w:pPr>
      <w:r>
        <w:rPr>
          <w:rFonts w:ascii="宋体" w:hAnsi="宋体" w:cs="宋体" w:eastAsia="宋体" w:hint="default"/>
          <w:sz w:val="24"/>
          <w:szCs w:val="24"/>
        </w:rPr>
        <w:t> </w:t>
      </w: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2655" w:space="3748"/>
            <w:col w:w="290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038"/>
        <w:gridCol w:w="1892"/>
        <w:gridCol w:w="1935"/>
      </w:tblGrid>
      <w:tr>
        <w:trPr>
          <w:trHeight w:val="73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上期发生金额</w:t>
            </w:r>
            <w:r>
              <w:rPr>
                <w:rFonts w:ascii="宋体" w:hAnsi="宋体" w:cs="宋体" w:eastAsia="宋体" w:hint="default"/>
                <w:sz w:val="21"/>
                <w:szCs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645" w:right="175" w:hanging="473"/>
              <w:jc w:val="lef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pacing w:val="-2"/>
                <w:sz w:val="21"/>
                <w:szCs w:val="21"/>
              </w:rPr>
              <w:t>/</w:t>
            </w:r>
            <w:r>
              <w:rPr>
                <w:rFonts w:ascii="宋体" w:hAnsi="宋体" w:cs="宋体" w:eastAsia="宋体" w:hint="default"/>
                <w:spacing w:val="-2"/>
                <w:sz w:val="21"/>
                <w:szCs w:val="21"/>
              </w:rPr>
              <w:t>与收</w:t>
            </w:r>
            <w:r>
              <w:rPr>
                <w:rFonts w:ascii="宋体" w:hAnsi="宋体" w:cs="宋体" w:eastAsia="宋体" w:hint="default"/>
                <w:spacing w:val="-91"/>
                <w:sz w:val="21"/>
                <w:szCs w:val="21"/>
              </w:rPr>
              <w:t> </w:t>
            </w:r>
            <w:r>
              <w:rPr>
                <w:rFonts w:ascii="宋体" w:hAnsi="宋体" w:cs="宋体" w:eastAsia="宋体" w:hint="default"/>
                <w:sz w:val="21"/>
                <w:szCs w:val="21"/>
              </w:rPr>
              <w:t>益相关</w:t>
            </w:r>
            <w:r>
              <w:rPr>
                <w:rFonts w:ascii="宋体" w:hAnsi="宋体" w:cs="宋体" w:eastAsia="宋体" w:hint="default"/>
                <w:sz w:val="21"/>
                <w:szCs w:val="21"/>
              </w:rPr>
              <w:t> </w:t>
            </w:r>
          </w:p>
        </w:tc>
      </w:tr>
      <w:tr>
        <w:trPr>
          <w:trHeight w:val="37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再融资奖励</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1,857,997.00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500,000.00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7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创新平台市级奖励</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1,500,000.00</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7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数字经济发展资金市级资金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1,000,000.00</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73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8" w:right="133"/>
              <w:jc w:val="left"/>
              <w:rPr>
                <w:rFonts w:ascii="宋体" w:hAnsi="宋体" w:cs="宋体" w:eastAsia="宋体" w:hint="default"/>
                <w:sz w:val="21"/>
                <w:szCs w:val="21"/>
              </w:rPr>
            </w:pPr>
            <w:r>
              <w:rPr>
                <w:rFonts w:ascii="宋体" w:hAnsi="宋体" w:cs="宋体" w:eastAsia="宋体" w:hint="default"/>
                <w:spacing w:val="-2"/>
                <w:sz w:val="21"/>
                <w:szCs w:val="21"/>
              </w:rPr>
              <w:t>经信局工信发展专项资金软件方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向（省外项目招标奖励）</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748,300.00</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7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高新技术企业奖励</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400,000.00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150,000.00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7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优惠政策奖励</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21"/>
                <w:szCs w:val="21"/>
              </w:rPr>
            </w:pPr>
            <w:r>
              <w:rPr>
                <w:rFonts w:ascii="Times New Roman"/>
                <w:spacing w:val="-1"/>
                <w:sz w:val="21"/>
              </w:rPr>
              <w:t>200,000.00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72,000.00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7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创新及优势企业奖励</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200,000.00</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73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8" w:right="133"/>
              <w:jc w:val="left"/>
              <w:rPr>
                <w:rFonts w:ascii="宋体" w:hAnsi="宋体" w:cs="宋体" w:eastAsia="宋体" w:hint="default"/>
                <w:sz w:val="21"/>
                <w:szCs w:val="21"/>
              </w:rPr>
            </w:pPr>
            <w:r>
              <w:rPr>
                <w:rFonts w:ascii="宋体" w:hAnsi="宋体" w:cs="宋体" w:eastAsia="宋体" w:hint="default"/>
                <w:spacing w:val="-2"/>
                <w:sz w:val="21"/>
                <w:szCs w:val="21"/>
              </w:rPr>
              <w:t>深圳市中小企业服务署企业管理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咨询奖励</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133,900.00</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7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专利及认证补贴</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130,000.00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520,000.00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7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117,822.42</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7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引进人才奖励</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95,000.00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27,198.00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73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5"/>
              <w:ind w:left="108" w:right="233"/>
              <w:jc w:val="left"/>
              <w:rPr>
                <w:rFonts w:ascii="宋体" w:hAnsi="宋体" w:cs="宋体" w:eastAsia="宋体" w:hint="default"/>
                <w:sz w:val="21"/>
                <w:szCs w:val="21"/>
              </w:rPr>
            </w:pPr>
            <w:r>
              <w:rPr>
                <w:rFonts w:ascii="宋体" w:hAnsi="宋体" w:cs="宋体" w:eastAsia="宋体" w:hint="default"/>
                <w:sz w:val="21"/>
                <w:szCs w:val="21"/>
              </w:rPr>
              <w:t>深圳市中小企业服务署</w:t>
            </w:r>
            <w:r>
              <w:rPr>
                <w:rFonts w:ascii="宋体" w:hAnsi="宋体" w:cs="宋体" w:eastAsia="宋体" w:hint="default"/>
                <w:spacing w:val="-55"/>
                <w:sz w:val="21"/>
                <w:szCs w:val="21"/>
              </w:rPr>
              <w:t> </w:t>
            </w:r>
            <w:r>
              <w:rPr>
                <w:rFonts w:ascii="Calibri" w:hAnsi="Calibri" w:cs="Calibri" w:eastAsia="Calibri" w:hint="default"/>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度企业国市场开拓项目资助</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90,030.00</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7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博士后科研人员补助资金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40,000.00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340,000.00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7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会展位补贴</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14,000.00</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500" w:bottom="280" w:left="1040" w:right="1560"/>
        </w:sectPr>
      </w:pPr>
    </w:p>
    <w:p>
      <w:pPr>
        <w:spacing w:line="240" w:lineRule="auto" w:before="11"/>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3198"/>
        <w:gridCol w:w="2038"/>
        <w:gridCol w:w="1892"/>
        <w:gridCol w:w="1935"/>
      </w:tblGrid>
      <w:tr>
        <w:trPr>
          <w:trHeight w:val="109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2"/>
              <w:ind w:left="108" w:right="101"/>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22"/>
                <w:sz w:val="21"/>
                <w:szCs w:val="21"/>
              </w:rPr>
              <w:t> </w:t>
            </w:r>
            <w:r>
              <w:rPr>
                <w:rFonts w:ascii="宋体" w:hAnsi="宋体" w:cs="宋体" w:eastAsia="宋体" w:hint="default"/>
                <w:sz w:val="21"/>
                <w:szCs w:val="21"/>
              </w:rPr>
              <w:t>年第一批计算机软件第二次</w:t>
            </w:r>
            <w:r>
              <w:rPr>
                <w:rFonts w:ascii="宋体" w:hAnsi="宋体" w:cs="宋体" w:eastAsia="宋体" w:hint="default"/>
                <w:w w:val="100"/>
                <w:sz w:val="21"/>
                <w:szCs w:val="21"/>
              </w:rPr>
              <w:t> </w:t>
            </w:r>
            <w:r>
              <w:rPr>
                <w:rFonts w:ascii="宋体" w:hAnsi="宋体" w:cs="宋体" w:eastAsia="宋体" w:hint="default"/>
                <w:sz w:val="21"/>
                <w:szCs w:val="21"/>
              </w:rPr>
              <w:t>报账</w:t>
            </w:r>
            <w:r>
              <w:rPr>
                <w:rFonts w:ascii="Calibri" w:hAnsi="Calibri" w:cs="Calibri" w:eastAsia="Calibri" w:hint="default"/>
                <w:sz w:val="21"/>
                <w:szCs w:val="21"/>
              </w:rPr>
              <w:t>-</w:t>
            </w:r>
            <w:r>
              <w:rPr>
                <w:rFonts w:ascii="宋体" w:hAnsi="宋体" w:cs="宋体" w:eastAsia="宋体" w:hint="default"/>
                <w:sz w:val="21"/>
                <w:szCs w:val="21"/>
              </w:rPr>
              <w:t>深圳市市场和质量监督管</w:t>
            </w:r>
            <w:r>
              <w:rPr>
                <w:rFonts w:ascii="宋体" w:hAnsi="宋体" w:cs="宋体" w:eastAsia="宋体" w:hint="default"/>
                <w:w w:val="100"/>
                <w:sz w:val="21"/>
                <w:szCs w:val="21"/>
              </w:rPr>
              <w:t> </w:t>
            </w:r>
            <w:r>
              <w:rPr>
                <w:rFonts w:ascii="宋体" w:hAnsi="宋体" w:cs="宋体" w:eastAsia="宋体" w:hint="default"/>
                <w:sz w:val="21"/>
                <w:szCs w:val="21"/>
              </w:rPr>
              <w:t>理委员会</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3,600.00</w:t>
            </w:r>
          </w:p>
        </w:tc>
        <w:tc>
          <w:tcPr>
            <w:tcW w:w="1892"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7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企业创新奖及转型升级资金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618,000.00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73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5"/>
              <w:ind w:left="108" w:right="101"/>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22"/>
                <w:sz w:val="21"/>
                <w:szCs w:val="21"/>
              </w:rPr>
              <w:t> </w:t>
            </w:r>
            <w:r>
              <w:rPr>
                <w:rFonts w:ascii="宋体" w:hAnsi="宋体" w:cs="宋体" w:eastAsia="宋体" w:hint="default"/>
                <w:sz w:val="21"/>
                <w:szCs w:val="21"/>
              </w:rPr>
              <w:t>年度鼓楼区服务业统计市级</w:t>
            </w:r>
            <w:r>
              <w:rPr>
                <w:rFonts w:ascii="宋体" w:hAnsi="宋体" w:cs="宋体" w:eastAsia="宋体" w:hint="default"/>
                <w:w w:val="100"/>
                <w:sz w:val="21"/>
                <w:szCs w:val="21"/>
              </w:rPr>
              <w:t> </w:t>
            </w:r>
            <w:r>
              <w:rPr>
                <w:rFonts w:ascii="宋体" w:hAnsi="宋体" w:cs="宋体" w:eastAsia="宋体" w:hint="default"/>
                <w:sz w:val="21"/>
                <w:szCs w:val="21"/>
              </w:rPr>
              <w:t>与区级奖励</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300,000.00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73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8" w:right="133"/>
              <w:jc w:val="left"/>
              <w:rPr>
                <w:rFonts w:ascii="宋体" w:hAnsi="宋体" w:cs="宋体" w:eastAsia="宋体" w:hint="default"/>
                <w:sz w:val="21"/>
                <w:szCs w:val="21"/>
              </w:rPr>
            </w:pPr>
            <w:r>
              <w:rPr>
                <w:rFonts w:ascii="宋体" w:hAnsi="宋体" w:cs="宋体" w:eastAsia="宋体" w:hint="default"/>
                <w:spacing w:val="-2"/>
                <w:sz w:val="21"/>
                <w:szCs w:val="21"/>
              </w:rPr>
              <w:t>福建省企业年中及单项研发经费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补助</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249,800.00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73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8" w:right="133"/>
              <w:jc w:val="left"/>
              <w:rPr>
                <w:rFonts w:ascii="宋体" w:hAnsi="宋体" w:cs="宋体" w:eastAsia="宋体" w:hint="default"/>
                <w:sz w:val="21"/>
                <w:szCs w:val="21"/>
              </w:rPr>
            </w:pPr>
            <w:r>
              <w:rPr>
                <w:rFonts w:ascii="宋体" w:hAnsi="宋体" w:cs="宋体" w:eastAsia="宋体" w:hint="default"/>
                <w:spacing w:val="-2"/>
                <w:sz w:val="21"/>
                <w:szCs w:val="21"/>
              </w:rPr>
              <w:t>两化融合管理体系贯标评定通过</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奖励</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200,000.00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7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8" w:right="0"/>
              <w:jc w:val="left"/>
              <w:rPr>
                <w:rFonts w:ascii="宋体" w:hAnsi="宋体" w:cs="宋体" w:eastAsia="宋体" w:hint="default"/>
                <w:sz w:val="21"/>
                <w:szCs w:val="21"/>
              </w:rPr>
            </w:pPr>
            <w:r>
              <w:rPr>
                <w:rFonts w:ascii="宋体" w:hAnsi="宋体" w:cs="宋体" w:eastAsia="宋体" w:hint="default"/>
                <w:sz w:val="21"/>
                <w:szCs w:val="21"/>
              </w:rPr>
              <w:t>党建工作经费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94,339.62</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70"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6,530,649.42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3,071,337.62</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8" w:right="0"/>
              <w:jc w:val="left"/>
              <w:rPr>
                <w:rFonts w:ascii="宋体" w:hAnsi="宋体" w:cs="宋体" w:eastAsia="宋体" w:hint="default"/>
                <w:sz w:val="24"/>
                <w:szCs w:val="24"/>
              </w:rPr>
            </w:pPr>
            <w:r>
              <w:rPr>
                <w:rFonts w:ascii="宋体"/>
                <w:sz w:val="24"/>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135"/>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45"/>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before="68"/>
        <w:ind w:left="2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0" w:footer="979" w:top="1120" w:bottom="1160" w:left="1040" w:right="1560"/>
        </w:sectPr>
      </w:pPr>
    </w:p>
    <w:p>
      <w:pPr>
        <w:pStyle w:val="Heading4"/>
        <w:spacing w:line="240" w:lineRule="auto" w:before="56"/>
        <w:ind w:left="290" w:right="94"/>
        <w:jc w:val="center"/>
        <w:rPr>
          <w:rFonts w:ascii="宋体" w:hAnsi="宋体" w:cs="宋体" w:eastAsia="宋体" w:hint="default"/>
          <w:b w:val="0"/>
          <w:bCs w:val="0"/>
        </w:rPr>
      </w:pPr>
      <w:r>
        <w:rPr>
          <w:rFonts w:ascii="Times New Roman" w:hAnsi="Times New Roman" w:cs="Times New Roman" w:eastAsia="Times New Roman" w:hint="default"/>
        </w:rPr>
        <w:t>73</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330" w:right="94"/>
        <w:jc w:val="center"/>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7"/>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2143" w:space="4379"/>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9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487,633.66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97,249.08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487,633.66</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485,167.87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97,249.08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485,167.87</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2,409,000.00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1,610,000.00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2,409,000.00</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罚款、滞纳金及违约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102,534.83</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102,534.83</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306,157.30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28,675.48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306,157.30</w:t>
            </w:r>
          </w:p>
        </w:tc>
      </w:tr>
      <w:tr>
        <w:trPr>
          <w:trHeight w:val="32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650"/>
              <w:jc w:val="right"/>
              <w:rPr>
                <w:rFonts w:ascii="宋体" w:hAnsi="宋体" w:cs="宋体" w:eastAsia="宋体" w:hint="default"/>
                <w:sz w:val="24"/>
                <w:szCs w:val="24"/>
              </w:rPr>
            </w:pPr>
            <w:r>
              <w:rPr>
                <w:rFonts w:ascii="宋体" w:hAnsi="宋体" w:cs="宋体" w:eastAsia="宋体" w:hint="default"/>
                <w:spacing w:val="-1"/>
                <w:sz w:val="24"/>
                <w:szCs w:val="24"/>
              </w:rPr>
              <w:t>合计</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3,305,325.79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1,735,924.56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3,305,325.79</w:t>
            </w:r>
          </w:p>
        </w:tc>
      </w:tr>
    </w:tbl>
    <w:p>
      <w:pPr>
        <w:pStyle w:val="Heading3"/>
        <w:spacing w:line="283" w:lineRule="auto" w:before="19"/>
        <w:ind w:right="7830"/>
        <w:jc w:val="left"/>
      </w:pPr>
      <w:r>
        <w:rPr>
          <w:rFonts w:ascii="宋体" w:hAnsi="宋体" w:cs="宋体" w:eastAsia="宋体" w:hint="default"/>
        </w:rPr>
        <w:t>其他说明：</w:t>
      </w:r>
      <w:r>
        <w:rPr/>
        <w:t> </w:t>
      </w:r>
      <w:r>
        <w:rPr>
          <w:rFonts w:ascii="宋体" w:hAnsi="宋体" w:cs="宋体" w:eastAsia="宋体" w:hint="default"/>
        </w:rPr>
        <w:t>无</w:t>
      </w:r>
      <w:r>
        <w:rPr/>
        <w:t> </w:t>
      </w:r>
    </w:p>
    <w:p>
      <w:pPr>
        <w:pStyle w:val="BodyText"/>
        <w:spacing w:line="236" w:lineRule="exact"/>
        <w:ind w:left="236" w:right="0"/>
        <w:jc w:val="left"/>
        <w:rPr>
          <w:rFonts w:ascii="宋体" w:hAnsi="宋体" w:cs="宋体" w:eastAsia="宋体" w:hint="default"/>
        </w:rPr>
      </w:pPr>
      <w:r>
        <w:rPr>
          <w:rFonts w:ascii="宋体"/>
          <w:w w:val="100"/>
        </w:rPr>
        <w:t> </w:t>
      </w:r>
    </w:p>
    <w:p>
      <w:pPr>
        <w:spacing w:after="0" w:line="236" w:lineRule="exact"/>
        <w:jc w:val="left"/>
        <w:rPr>
          <w:rFonts w:ascii="宋体" w:hAnsi="宋体" w:cs="宋体" w:eastAsia="宋体" w:hint="default"/>
        </w:rPr>
        <w:sectPr>
          <w:type w:val="continuous"/>
          <w:pgSz w:w="11910" w:h="16840"/>
          <w:pgMar w:top="1500" w:bottom="280" w:left="1040" w:right="1560"/>
        </w:sectPr>
      </w:pPr>
    </w:p>
    <w:p>
      <w:pPr>
        <w:pStyle w:val="Heading4"/>
        <w:spacing w:line="276" w:lineRule="auto" w:before="56"/>
        <w:ind w:left="236" w:right="0" w:firstLine="67"/>
        <w:jc w:val="center"/>
        <w:rPr>
          <w:rFonts w:ascii="宋体" w:hAnsi="宋体" w:cs="宋体" w:eastAsia="宋体" w:hint="default"/>
          <w:b w:val="0"/>
          <w:bCs w:val="0"/>
        </w:rPr>
      </w:pPr>
      <w:r>
        <w:rPr>
          <w:rFonts w:ascii="Times New Roman" w:hAnsi="Times New Roman" w:cs="Times New Roman" w:eastAsia="Times New Roman" w:hint="default"/>
        </w:rPr>
        <w:t>74</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5"/>
        <w:ind w:left="322" w:right="98"/>
        <w:jc w:val="center"/>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40" w:right="1560"/>
          <w:cols w:num="2" w:equalWidth="0">
            <w:col w:w="2035" w:space="448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9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25,712,069.95</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32,609,465.77</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4,559,881.97</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15,986,828.47</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30,271,951.92</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48,596,294.24</w:t>
            </w:r>
          </w:p>
        </w:tc>
      </w:tr>
    </w:tbl>
    <w:p>
      <w:pPr>
        <w:pStyle w:val="Heading3"/>
        <w:spacing w:line="274" w:lineRule="exact"/>
        <w:ind w:right="0"/>
        <w:jc w:val="left"/>
      </w:pPr>
      <w:r>
        <w:rPr/>
        <w:t> </w:t>
      </w:r>
    </w:p>
    <w:p>
      <w:pPr>
        <w:spacing w:after="0" w:line="274" w:lineRule="exact"/>
        <w:jc w:val="left"/>
        <w:sectPr>
          <w:type w:val="continuous"/>
          <w:pgSz w:w="11910" w:h="16840"/>
          <w:pgMar w:top="1500" w:bottom="280" w:left="1040" w:right="1560"/>
        </w:sect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79" w:top="1120" w:bottom="116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3723" w:space="2799"/>
            <w:col w:w="2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381"/>
        <w:gridCol w:w="4676"/>
      </w:tblGrid>
      <w:tr>
        <w:trPr>
          <w:trHeight w:val="372"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5"/>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372"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255,574,258.85</w:t>
            </w:r>
          </w:p>
        </w:tc>
      </w:tr>
      <w:tr>
        <w:trPr>
          <w:trHeight w:val="374"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38,336,138.85</w:t>
            </w:r>
          </w:p>
        </w:tc>
      </w:tr>
      <w:tr>
        <w:trPr>
          <w:trHeight w:val="374"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-10,306,101.20</w:t>
            </w:r>
          </w:p>
        </w:tc>
      </w:tr>
      <w:tr>
        <w:trPr>
          <w:trHeight w:val="377"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215,694.18</w:t>
            </w:r>
          </w:p>
        </w:tc>
      </w:tr>
      <w:tr>
        <w:trPr>
          <w:trHeight w:val="374"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-837,753.81</w:t>
            </w:r>
          </w:p>
        </w:tc>
      </w:tr>
      <w:tr>
        <w:trPr>
          <w:trHeight w:val="374"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5,316,600.81</w:t>
            </w:r>
          </w:p>
        </w:tc>
      </w:tr>
      <w:tr>
        <w:trPr>
          <w:trHeight w:val="735"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8" w:right="267"/>
              <w:jc w:val="left"/>
              <w:rPr>
                <w:rFonts w:ascii="宋体" w:hAnsi="宋体" w:cs="宋体" w:eastAsia="宋体" w:hint="default"/>
                <w:sz w:val="21"/>
                <w:szCs w:val="21"/>
              </w:rPr>
            </w:pPr>
            <w:r>
              <w:rPr>
                <w:rFonts w:ascii="宋体" w:hAnsi="宋体" w:cs="宋体" w:eastAsia="宋体" w:hint="default"/>
                <w:spacing w:val="-2"/>
                <w:sz w:val="21"/>
                <w:szCs w:val="21"/>
              </w:rPr>
              <w:t>使用前期未确认递延所得税资产的可抵扣亏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-1,293,819.15</w:t>
            </w:r>
          </w:p>
        </w:tc>
      </w:tr>
      <w:tr>
        <w:trPr>
          <w:trHeight w:val="737"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7"/>
              <w:ind w:left="108" w:right="106"/>
              <w:jc w:val="left"/>
              <w:rPr>
                <w:rFonts w:ascii="宋体" w:hAnsi="宋体" w:cs="宋体" w:eastAsia="宋体" w:hint="default"/>
                <w:sz w:val="21"/>
                <w:szCs w:val="21"/>
              </w:rPr>
            </w:pPr>
            <w:r>
              <w:rPr>
                <w:rFonts w:ascii="宋体" w:hAnsi="宋体" w:cs="宋体" w:eastAsia="宋体" w:hint="default"/>
                <w:spacing w:val="5"/>
                <w:sz w:val="21"/>
                <w:szCs w:val="21"/>
              </w:rPr>
              <w:t>本期未确认递延所得税资产的可抵扣暂时性</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差异或可抵扣亏损的影响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5,092,605.69</w:t>
            </w:r>
          </w:p>
        </w:tc>
      </w:tr>
      <w:tr>
        <w:trPr>
          <w:trHeight w:val="374"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21"/>
                <w:szCs w:val="21"/>
              </w:rPr>
            </w:pPr>
            <w:r>
              <w:rPr>
                <w:rFonts w:ascii="宋体" w:hAnsi="宋体" w:cs="宋体" w:eastAsia="宋体" w:hint="default"/>
                <w:sz w:val="21"/>
                <w:szCs w:val="21"/>
              </w:rPr>
              <w:t>研发费用加计扣除</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-4,880,346.60</w:t>
            </w:r>
          </w:p>
        </w:tc>
      </w:tr>
      <w:tr>
        <w:trPr>
          <w:trHeight w:val="374" w:hRule="exac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减免税</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-1,702,140.43</w:t>
            </w:r>
          </w:p>
        </w:tc>
      </w:tr>
      <w:tr>
        <w:trPr>
          <w:trHeight w:val="374" w:hRule="exac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税率变动影响</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122,348.03</w:t>
            </w:r>
          </w:p>
        </w:tc>
      </w:tr>
      <w:tr>
        <w:trPr>
          <w:trHeight w:val="377" w:hRule="exac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21"/>
                <w:szCs w:val="21"/>
              </w:rPr>
            </w:pPr>
            <w:r>
              <w:rPr>
                <w:rFonts w:ascii="宋体" w:hAnsi="宋体" w:cs="宋体" w:eastAsia="宋体" w:hint="default"/>
                <w:sz w:val="21"/>
                <w:szCs w:val="21"/>
              </w:rPr>
              <w:t>其他影响</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208,725.55</w:t>
            </w:r>
          </w:p>
        </w:tc>
      </w:tr>
      <w:tr>
        <w:trPr>
          <w:trHeight w:val="374"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30,271,951.92</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2"/>
        <w:spacing w:line="240" w:lineRule="auto" w:before="50"/>
        <w:ind w:left="236"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ind w:left="378" w:right="0"/>
        <w:jc w:val="left"/>
        <w:rPr>
          <w:rFonts w:ascii="宋体" w:hAnsi="宋体" w:cs="宋体" w:eastAsia="宋体" w:hint="default"/>
          <w:b w:val="0"/>
          <w:bCs w:val="0"/>
        </w:rPr>
      </w:pPr>
      <w:r>
        <w:rPr>
          <w:rFonts w:ascii="Times New Roman" w:hAnsi="Times New Roman" w:cs="Times New Roman" w:eastAsia="Times New Roman" w:hint="default"/>
        </w:rPr>
        <w:t>75</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500" w:bottom="280" w:left="1040" w:right="1560"/>
        </w:sectPr>
      </w:pPr>
    </w:p>
    <w:p>
      <w:pPr>
        <w:pStyle w:val="Heading4"/>
        <w:spacing w:line="273" w:lineRule="auto" w:before="58"/>
        <w:ind w:left="236" w:right="0" w:firstLine="142"/>
        <w:jc w:val="left"/>
        <w:rPr>
          <w:rFonts w:ascii="宋体" w:hAnsi="宋体" w:cs="宋体" w:eastAsia="宋体" w:hint="default"/>
          <w:b w:val="0"/>
          <w:bCs w:val="0"/>
        </w:rPr>
      </w:pPr>
      <w:r>
        <w:rPr>
          <w:rFonts w:ascii="Times New Roman" w:hAnsi="Times New Roman" w:cs="Times New Roman" w:eastAsia="Times New Roman" w:hint="default"/>
        </w:rPr>
        <w:t>76</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37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7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8" w:right="0"/>
              <w:jc w:val="left"/>
              <w:rPr>
                <w:rFonts w:ascii="宋体" w:hAnsi="宋体" w:cs="宋体" w:eastAsia="宋体" w:hint="default"/>
                <w:sz w:val="21"/>
                <w:szCs w:val="21"/>
              </w:rPr>
            </w:pPr>
            <w:r>
              <w:rPr>
                <w:rFonts w:ascii="宋体" w:hAnsi="宋体" w:cs="宋体" w:eastAsia="宋体" w:hint="default"/>
                <w:sz w:val="21"/>
                <w:szCs w:val="21"/>
              </w:rPr>
              <w:t>非税费返还的政府其他补助</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27,012,082.58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4,927,819.63</w:t>
            </w:r>
          </w:p>
        </w:tc>
      </w:tr>
      <w:tr>
        <w:trPr>
          <w:trHeight w:val="37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2,031,443.28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2,280,593.51</w:t>
            </w:r>
          </w:p>
        </w:tc>
      </w:tr>
      <w:tr>
        <w:trPr>
          <w:trHeight w:val="37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租金收入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2,375,021.44</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1,236,686.54</w:t>
            </w:r>
          </w:p>
        </w:tc>
      </w:tr>
      <w:tr>
        <w:trPr>
          <w:trHeight w:val="37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单位往来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60,759,144.01</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69,145,192.81</w:t>
            </w:r>
          </w:p>
        </w:tc>
      </w:tr>
      <w:tr>
        <w:trPr>
          <w:trHeight w:val="37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92,177,691.31</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77,590,292.49</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6"/>
        <w:ind w:left="236" w:right="0"/>
        <w:jc w:val="left"/>
        <w:rPr>
          <w:rFonts w:ascii="宋体" w:hAnsi="宋体" w:cs="宋体" w:eastAsia="宋体" w:hint="default"/>
        </w:rPr>
      </w:pPr>
      <w:r>
        <w:rPr/>
        <w:t>收到的其他与经营活动有关的现金说明：</w:t>
      </w:r>
      <w:r>
        <w:rPr>
          <w:rFonts w:ascii="宋体" w:hAnsi="宋体" w:cs="宋体" w:eastAsia="宋体" w:hint="default"/>
        </w:rPr>
        <w:t> </w:t>
      </w:r>
    </w:p>
    <w:p>
      <w:pPr>
        <w:pStyle w:val="Heading3"/>
        <w:spacing w:line="240" w:lineRule="auto" w:before="52"/>
        <w:ind w:right="0"/>
        <w:jc w:val="left"/>
      </w:pPr>
      <w:r>
        <w:rPr>
          <w:rFonts w:ascii="宋体" w:hAnsi="宋体" w:cs="宋体" w:eastAsia="宋体" w:hint="default"/>
        </w:rPr>
        <w:t>无</w:t>
      </w:r>
      <w:r>
        <w:rPr/>
        <w:t> </w:t>
      </w:r>
    </w:p>
    <w:p>
      <w:pPr>
        <w:spacing w:after="0" w:line="240" w:lineRule="auto"/>
        <w:jc w:val="left"/>
        <w:sectPr>
          <w:type w:val="continuous"/>
          <w:pgSz w:w="11910" w:h="16840"/>
          <w:pgMar w:top="1500" w:bottom="280" w:left="1040" w:right="1560"/>
        </w:sect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79" w:top="1120" w:bottom="1160" w:left="1040" w:right="1560"/>
        </w:sectPr>
      </w:pPr>
    </w:p>
    <w:p>
      <w:pPr>
        <w:pStyle w:val="Heading3"/>
        <w:spacing w:line="240" w:lineRule="auto" w:before="26"/>
        <w:ind w:right="0"/>
        <w:jc w:val="left"/>
      </w:pPr>
      <w:r>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37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7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付现费用</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119,356,108.00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81,116,713.88</w:t>
            </w:r>
          </w:p>
        </w:tc>
      </w:tr>
      <w:tr>
        <w:trPr>
          <w:trHeight w:val="37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73,936,698.10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21"/>
                <w:szCs w:val="21"/>
              </w:rPr>
            </w:pPr>
            <w:r>
              <w:rPr>
                <w:rFonts w:ascii="Times New Roman"/>
                <w:spacing w:val="-1"/>
                <w:sz w:val="21"/>
              </w:rPr>
              <w:t>56,977,021.38</w:t>
            </w:r>
          </w:p>
        </w:tc>
      </w:tr>
      <w:tr>
        <w:trPr>
          <w:trHeight w:val="37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支付银行手续费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351,022.43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404,726.62</w:t>
            </w:r>
          </w:p>
        </w:tc>
      </w:tr>
      <w:tr>
        <w:trPr>
          <w:trHeight w:val="37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营业外支出</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2,479,612.38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1,704,419.34</w:t>
            </w:r>
          </w:p>
        </w:tc>
      </w:tr>
      <w:tr>
        <w:trPr>
          <w:trHeight w:val="37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196,123,440.91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140,202,881.22</w:t>
            </w:r>
          </w:p>
        </w:tc>
      </w:tr>
    </w:tbl>
    <w:p>
      <w:pPr>
        <w:pStyle w:val="Heading3"/>
        <w:tabs>
          <w:tab w:pos="7332" w:val="left" w:leader="none"/>
        </w:tabs>
        <w:spacing w:line="274" w:lineRule="exact"/>
        <w:ind w:right="0"/>
        <w:jc w:val="left"/>
      </w:pPr>
      <w:r>
        <w:rPr/>
        <w:t> </w:t>
        <w:tab/>
        <w:t> </w:t>
      </w:r>
    </w:p>
    <w:p>
      <w:pPr>
        <w:pStyle w:val="BodyText"/>
        <w:spacing w:line="290" w:lineRule="auto" w:before="64"/>
        <w:ind w:left="236" w:right="5100"/>
        <w:jc w:val="left"/>
        <w:rPr>
          <w:rFonts w:ascii="宋体" w:hAnsi="宋体" w:cs="宋体" w:eastAsia="宋体" w:hint="default"/>
          <w:sz w:val="24"/>
          <w:szCs w:val="24"/>
        </w:rPr>
      </w:pPr>
      <w:r>
        <w:rPr/>
        <w:t>支付的其他与经营活动有关的现金说明：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3"/>
        <w:spacing w:line="311" w:lineRule="exact"/>
        <w:ind w:right="0"/>
        <w:jc w:val="left"/>
      </w:pPr>
      <w:r>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t>收到的其他与投资活动有关的现金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0" w:lineRule="exact"/>
        <w:ind w:right="0"/>
        <w:jc w:val="left"/>
      </w:pPr>
      <w:r>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(4).</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0" w:lineRule="exact"/>
        <w:ind w:right="0"/>
        <w:jc w:val="left"/>
      </w:pPr>
      <w:r>
        <w:rPr/>
        <w:t> </w:t>
      </w:r>
    </w:p>
    <w:p>
      <w:pPr>
        <w:pStyle w:val="Heading4"/>
        <w:spacing w:line="240" w:lineRule="auto" w:before="61"/>
        <w:ind w:left="236" w:right="0"/>
        <w:jc w:val="left"/>
        <w:rPr>
          <w:rFonts w:ascii="宋体" w:hAnsi="宋体" w:cs="宋体" w:eastAsia="宋体" w:hint="default"/>
          <w:b w:val="0"/>
          <w:bCs w:val="0"/>
        </w:rPr>
      </w:pPr>
      <w:r>
        <w:rPr>
          <w:rFonts w:ascii="宋体" w:hAnsi="宋体" w:cs="宋体" w:eastAsia="宋体" w:hint="default"/>
        </w:rPr>
        <w:t>(5).</w:t>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13"/>
        <w:jc w:val="righ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37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7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收回的银行承兑汇票保证金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15,683,147.97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32,861,415.53</w:t>
            </w:r>
          </w:p>
        </w:tc>
      </w:tr>
      <w:tr>
        <w:trPr>
          <w:trHeight w:val="37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15,683,147.97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32,861,415.53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0"/>
        <w:jc w:val="left"/>
        <w:rPr>
          <w:rFonts w:ascii="宋体" w:hAnsi="宋体" w:cs="宋体" w:eastAsia="宋体" w:hint="default"/>
        </w:rPr>
      </w:pPr>
      <w:r>
        <w:rPr/>
        <w:t>收到的其他与筹资活动有关的现金说明：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9" w:lineRule="exact"/>
        <w:ind w:left="236" w:right="0"/>
        <w:jc w:val="left"/>
        <w:rPr>
          <w:rFonts w:ascii="宋体" w:hAnsi="宋体" w:cs="宋体" w:eastAsia="宋体" w:hint="default"/>
        </w:rPr>
      </w:pPr>
      <w:r>
        <w:rPr>
          <w:rFonts w:ascii="宋体"/>
          <w:w w:val="100"/>
        </w:rPr>
        <w:t> </w:t>
      </w:r>
    </w:p>
    <w:p>
      <w:pPr>
        <w:pStyle w:val="Heading4"/>
        <w:spacing w:line="240" w:lineRule="auto" w:before="56"/>
        <w:ind w:left="236" w:right="0"/>
        <w:jc w:val="left"/>
        <w:rPr>
          <w:rFonts w:ascii="宋体" w:hAnsi="宋体" w:cs="宋体" w:eastAsia="宋体" w:hint="default"/>
          <w:b w:val="0"/>
          <w:bCs w:val="0"/>
        </w:rPr>
      </w:pPr>
      <w:r>
        <w:rPr>
          <w:rFonts w:ascii="宋体" w:hAnsi="宋体" w:cs="宋体" w:eastAsia="宋体" w:hint="default"/>
        </w:rPr>
        <w:t>(6).</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spacing w:before="0"/>
        <w:ind w:left="236" w:right="0" w:firstLine="0"/>
        <w:jc w:val="lef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币种：人民币</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10" w:h="16840"/>
          <w:pgMar w:top="1500" w:bottom="280" w:left="1040" w:right="1560"/>
          <w:cols w:num="2" w:equalWidth="0">
            <w:col w:w="4126" w:space="2727"/>
            <w:col w:w="2457"/>
          </w:cols>
        </w:sectPr>
      </w:pPr>
    </w:p>
    <w:p>
      <w:pPr>
        <w:spacing w:line="240" w:lineRule="auto" w:before="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37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03"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09"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37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4"/>
                <w:szCs w:val="24"/>
              </w:rPr>
            </w:pPr>
            <w:r>
              <w:rPr>
                <w:rFonts w:ascii="宋体" w:hAnsi="宋体" w:cs="宋体" w:eastAsia="宋体" w:hint="default"/>
                <w:sz w:val="21"/>
                <w:szCs w:val="21"/>
              </w:rPr>
              <w:t>股票回购支出</w:t>
            </w:r>
            <w:r>
              <w:rPr>
                <w:rFonts w:ascii="宋体" w:hAnsi="宋体" w:cs="宋体" w:eastAsia="宋体" w:hint="default"/>
                <w:sz w:val="24"/>
                <w:szCs w:val="24"/>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44,813,242.11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4,477,342.47</w:t>
            </w:r>
          </w:p>
        </w:tc>
      </w:tr>
      <w:tr>
        <w:trPr>
          <w:trHeight w:val="37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4"/>
                <w:szCs w:val="24"/>
              </w:rPr>
            </w:pPr>
            <w:r>
              <w:rPr>
                <w:rFonts w:ascii="宋体" w:hAnsi="宋体" w:cs="宋体" w:eastAsia="宋体" w:hint="default"/>
                <w:sz w:val="21"/>
                <w:szCs w:val="21"/>
              </w:rPr>
              <w:t>支付配股及发行可转债相关费用</w:t>
            </w:r>
            <w:r>
              <w:rPr>
                <w:rFonts w:ascii="宋体" w:hAnsi="宋体" w:cs="宋体" w:eastAsia="宋体" w:hint="default"/>
                <w:sz w:val="24"/>
                <w:szCs w:val="24"/>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2,093,396.23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21"/>
                <w:szCs w:val="21"/>
              </w:rPr>
            </w:pPr>
            <w:r>
              <w:rPr>
                <w:rFonts w:ascii="Times New Roman"/>
                <w:spacing w:val="-1"/>
                <w:sz w:val="21"/>
              </w:rPr>
              <w:t>3,155,159.15</w:t>
            </w:r>
          </w:p>
        </w:tc>
      </w:tr>
      <w:tr>
        <w:trPr>
          <w:trHeight w:val="37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4"/>
                <w:szCs w:val="24"/>
              </w:rPr>
            </w:pPr>
            <w:r>
              <w:rPr>
                <w:rFonts w:ascii="宋体" w:hAnsi="宋体" w:cs="宋体" w:eastAsia="宋体" w:hint="default"/>
                <w:sz w:val="21"/>
                <w:szCs w:val="21"/>
              </w:rPr>
              <w:t>支他就地其他融资费用</w:t>
            </w:r>
            <w:r>
              <w:rPr>
                <w:rFonts w:ascii="宋体" w:hAnsi="宋体" w:cs="宋体" w:eastAsia="宋体" w:hint="default"/>
                <w:sz w:val="24"/>
                <w:szCs w:val="24"/>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689,622.60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4"/>
                <w:szCs w:val="24"/>
              </w:rPr>
            </w:pPr>
            <w:r>
              <w:rPr>
                <w:rFonts w:ascii="宋体" w:hAnsi="宋体" w:cs="宋体" w:eastAsia="宋体" w:hint="default"/>
                <w:sz w:val="21"/>
                <w:szCs w:val="21"/>
              </w:rPr>
              <w:t>子公司归还少数股东投资</w:t>
            </w:r>
            <w:r>
              <w:rPr>
                <w:rFonts w:ascii="宋体" w:hAnsi="宋体" w:cs="宋体" w:eastAsia="宋体" w:hint="default"/>
                <w:sz w:val="24"/>
                <w:szCs w:val="24"/>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551,177.93</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4"/>
                <w:szCs w:val="24"/>
              </w:rPr>
            </w:pPr>
            <w:r>
              <w:rPr>
                <w:rFonts w:ascii="宋体" w:hAnsi="宋体" w:cs="宋体" w:eastAsia="宋体" w:hint="default"/>
                <w:sz w:val="21"/>
                <w:szCs w:val="21"/>
              </w:rPr>
              <w:t>票据保证金及保函保证金</w:t>
            </w:r>
            <w:r>
              <w:rPr>
                <w:rFonts w:ascii="宋体" w:hAnsi="宋体" w:cs="宋体" w:eastAsia="宋体" w:hint="default"/>
                <w:sz w:val="24"/>
                <w:szCs w:val="24"/>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140,014.84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8"/>
              <w:jc w:val="right"/>
              <w:rPr>
                <w:rFonts w:ascii="Times New Roman" w:hAnsi="Times New Roman" w:cs="Times New Roman" w:eastAsia="Times New Roman" w:hint="default"/>
                <w:sz w:val="21"/>
                <w:szCs w:val="21"/>
              </w:rPr>
            </w:pPr>
            <w:r>
              <w:rPr>
                <w:rFonts w:ascii="Times New Roman"/>
                <w:spacing w:val="-1"/>
                <w:sz w:val="21"/>
              </w:rPr>
              <w:t>5,173,900.00</w:t>
            </w:r>
            <w:r>
              <w:rPr>
                <w:rFonts w:ascii="Times New Roman"/>
                <w:sz w:val="21"/>
              </w:rPr>
            </w:r>
          </w:p>
        </w:tc>
      </w:tr>
      <w:tr>
        <w:trPr>
          <w:trHeight w:val="37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8" w:right="0"/>
              <w:jc w:val="left"/>
              <w:rPr>
                <w:rFonts w:ascii="宋体" w:hAnsi="宋体" w:cs="宋体" w:eastAsia="宋体" w:hint="default"/>
                <w:sz w:val="24"/>
                <w:szCs w:val="24"/>
              </w:rPr>
            </w:pPr>
            <w:r>
              <w:rPr>
                <w:rFonts w:ascii="宋体"/>
                <w:sz w:val="24"/>
              </w:rPr>
              <w:t> </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00" w:bottom="280" w:left="1040" w:right="1560"/>
        </w:sectPr>
      </w:pPr>
    </w:p>
    <w:p>
      <w:pPr>
        <w:spacing w:line="240" w:lineRule="auto" w:before="11"/>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37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7"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1" w:right="0"/>
              <w:jc w:val="left"/>
              <w:rPr>
                <w:rFonts w:ascii="Times New Roman" w:hAnsi="Times New Roman" w:cs="Times New Roman" w:eastAsia="Times New Roman" w:hint="default"/>
                <w:sz w:val="21"/>
                <w:szCs w:val="21"/>
              </w:rPr>
            </w:pPr>
            <w:r>
              <w:rPr>
                <w:rFonts w:ascii="Times New Roman"/>
                <w:sz w:val="21"/>
              </w:rPr>
              <w:t>48,287,453.71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6" w:right="0"/>
              <w:jc w:val="left"/>
              <w:rPr>
                <w:rFonts w:ascii="Times New Roman" w:hAnsi="Times New Roman" w:cs="Times New Roman" w:eastAsia="Times New Roman" w:hint="default"/>
                <w:sz w:val="21"/>
                <w:szCs w:val="21"/>
              </w:rPr>
            </w:pPr>
            <w:r>
              <w:rPr>
                <w:rFonts w:ascii="Times New Roman"/>
                <w:sz w:val="21"/>
              </w:rPr>
              <w:t>12,806,401.62</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83" w:lineRule="auto" w:before="52"/>
        <w:ind w:left="236" w:right="5100"/>
        <w:jc w:val="left"/>
        <w:rPr>
          <w:sz w:val="24"/>
          <w:szCs w:val="24"/>
        </w:rPr>
      </w:pPr>
      <w:r>
        <w:rPr/>
        <w:t>支付的其他与筹资活动有关的现金说明</w:t>
      </w:r>
      <w:r>
        <w:rPr>
          <w:sz w:val="24"/>
          <w:szCs w:val="24"/>
        </w:rPr>
        <w:t>：</w:t>
      </w:r>
      <w:r>
        <w:rPr>
          <w:rFonts w:ascii="宋体" w:hAnsi="宋体" w:cs="宋体" w:eastAsia="宋体" w:hint="default"/>
          <w:sz w:val="24"/>
          <w:szCs w:val="24"/>
        </w:rPr>
        <w:t> </w:t>
      </w:r>
      <w:r>
        <w:rPr>
          <w:sz w:val="24"/>
          <w:szCs w:val="24"/>
        </w:rPr>
        <w:t>无</w:t>
      </w:r>
    </w:p>
    <w:p>
      <w:pPr>
        <w:pStyle w:val="Heading3"/>
        <w:spacing w:line="269" w:lineRule="exact"/>
        <w:ind w:right="0"/>
        <w:jc w:val="left"/>
      </w:pPr>
      <w:r>
        <w:rPr/>
        <w:t> </w:t>
      </w:r>
    </w:p>
    <w:p>
      <w:pPr>
        <w:spacing w:after="0" w:line="269" w:lineRule="exact"/>
        <w:jc w:val="left"/>
        <w:sectPr>
          <w:pgSz w:w="11910" w:h="16840"/>
          <w:pgMar w:header="0" w:footer="979" w:top="1120" w:bottom="1160" w:left="1040" w:right="1560"/>
        </w:sectPr>
      </w:pPr>
    </w:p>
    <w:p>
      <w:pPr>
        <w:pStyle w:val="Heading4"/>
        <w:spacing w:line="273" w:lineRule="auto"/>
        <w:ind w:left="236" w:right="-3" w:firstLine="142"/>
        <w:jc w:val="left"/>
        <w:rPr>
          <w:rFonts w:ascii="宋体" w:hAnsi="宋体" w:cs="宋体" w:eastAsia="宋体" w:hint="default"/>
          <w:b w:val="0"/>
          <w:bCs w:val="0"/>
        </w:rPr>
      </w:pPr>
      <w:r>
        <w:rPr>
          <w:rFonts w:ascii="Times New Roman" w:hAnsi="Times New Roman" w:cs="Times New Roman" w:eastAsia="Times New Roman" w:hint="default"/>
          <w:spacing w:val="-1"/>
        </w:rPr>
        <w:t>77</w:t>
      </w:r>
      <w:r>
        <w:rPr>
          <w:spacing w:val="-1"/>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9"/>
        <w:ind w:left="236" w:right="-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2703" w:space="3820"/>
            <w:col w:w="278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225,302,306.93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39" w:right="0"/>
              <w:jc w:val="left"/>
              <w:rPr>
                <w:rFonts w:ascii="Times New Roman" w:hAnsi="Times New Roman" w:cs="Times New Roman" w:eastAsia="Times New Roman" w:hint="default"/>
                <w:sz w:val="21"/>
                <w:szCs w:val="21"/>
              </w:rPr>
            </w:pPr>
            <w:r>
              <w:rPr>
                <w:rFonts w:ascii="Times New Roman"/>
                <w:sz w:val="21"/>
              </w:rPr>
              <w:t>169,842,399.67</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824,135.26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44" w:right="0"/>
              <w:jc w:val="left"/>
              <w:rPr>
                <w:rFonts w:ascii="Times New Roman" w:hAnsi="Times New Roman" w:cs="Times New Roman" w:eastAsia="Times New Roman" w:hint="default"/>
                <w:sz w:val="21"/>
                <w:szCs w:val="21"/>
              </w:rPr>
            </w:pPr>
            <w:r>
              <w:rPr>
                <w:rFonts w:ascii="Times New Roman"/>
                <w:sz w:val="21"/>
              </w:rPr>
              <w:t>17,759,912.50</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信用减值损失</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18,432,168.93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19,054,868.65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444" w:right="0"/>
              <w:jc w:val="left"/>
              <w:rPr>
                <w:rFonts w:ascii="Times New Roman" w:hAnsi="Times New Roman" w:cs="Times New Roman" w:eastAsia="Times New Roman" w:hint="default"/>
                <w:sz w:val="21"/>
                <w:szCs w:val="21"/>
              </w:rPr>
            </w:pPr>
            <w:r>
              <w:rPr>
                <w:rFonts w:ascii="Times New Roman"/>
                <w:sz w:val="21"/>
              </w:rPr>
              <w:t>17,910,891.01</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40,912,026.49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44" w:right="0"/>
              <w:jc w:val="left"/>
              <w:rPr>
                <w:rFonts w:ascii="Times New Roman" w:hAnsi="Times New Roman" w:cs="Times New Roman" w:eastAsia="Times New Roman" w:hint="default"/>
                <w:sz w:val="21"/>
                <w:szCs w:val="21"/>
              </w:rPr>
            </w:pPr>
            <w:r>
              <w:rPr>
                <w:rFonts w:ascii="Times New Roman"/>
                <w:sz w:val="21"/>
              </w:rPr>
              <w:t>24,171,703.42</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2,407,252.82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06" w:right="0"/>
              <w:jc w:val="left"/>
              <w:rPr>
                <w:rFonts w:ascii="Times New Roman" w:hAnsi="Times New Roman" w:cs="Times New Roman" w:eastAsia="Times New Roman" w:hint="default"/>
                <w:sz w:val="21"/>
                <w:szCs w:val="21"/>
              </w:rPr>
            </w:pPr>
            <w:r>
              <w:rPr>
                <w:rFonts w:ascii="Times New Roman"/>
                <w:sz w:val="21"/>
              </w:rPr>
              <w:t>377,741.10</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的</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-708,997.90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-3,603.94</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487,633.66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12" w:right="0"/>
              <w:jc w:val="left"/>
              <w:rPr>
                <w:rFonts w:ascii="Times New Roman" w:hAnsi="Times New Roman" w:cs="Times New Roman" w:eastAsia="Times New Roman" w:hint="default"/>
                <w:sz w:val="21"/>
                <w:szCs w:val="21"/>
              </w:rPr>
            </w:pPr>
            <w:r>
              <w:rPr>
                <w:rFonts w:ascii="Times New Roman"/>
                <w:sz w:val="21"/>
              </w:rPr>
              <w:t>97,249.08</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-3,000,000.00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78" w:right="0"/>
              <w:jc w:val="left"/>
              <w:rPr>
                <w:rFonts w:ascii="Times New Roman" w:hAnsi="Times New Roman" w:cs="Times New Roman" w:eastAsia="Times New Roman" w:hint="default"/>
                <w:sz w:val="21"/>
                <w:szCs w:val="21"/>
              </w:rPr>
            </w:pPr>
            <w:r>
              <w:rPr>
                <w:rFonts w:ascii="Times New Roman"/>
                <w:sz w:val="21"/>
              </w:rPr>
              <w:t>-3,289,240.73</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6,792,884.82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44" w:right="0"/>
              <w:jc w:val="left"/>
              <w:rPr>
                <w:rFonts w:ascii="Times New Roman" w:hAnsi="Times New Roman" w:cs="Times New Roman" w:eastAsia="Times New Roman" w:hint="default"/>
                <w:sz w:val="21"/>
                <w:szCs w:val="21"/>
              </w:rPr>
            </w:pPr>
            <w:r>
              <w:rPr>
                <w:rFonts w:ascii="Times New Roman"/>
                <w:sz w:val="21"/>
              </w:rPr>
              <w:t>13,895,326.24</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-3,685,302.21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75" w:right="0"/>
              <w:jc w:val="left"/>
              <w:rPr>
                <w:rFonts w:ascii="Times New Roman" w:hAnsi="Times New Roman" w:cs="Times New Roman" w:eastAsia="Times New Roman" w:hint="default"/>
                <w:sz w:val="21"/>
                <w:szCs w:val="21"/>
              </w:rPr>
            </w:pPr>
            <w:r>
              <w:rPr>
                <w:rFonts w:ascii="Times New Roman"/>
                <w:sz w:val="21"/>
              </w:rPr>
              <w:t>-12,431,018.98</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-6,969,694.09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637" w:right="0"/>
              <w:jc w:val="left"/>
              <w:rPr>
                <w:rFonts w:ascii="Times New Roman" w:hAnsi="Times New Roman" w:cs="Times New Roman" w:eastAsia="Times New Roman" w:hint="default"/>
                <w:sz w:val="21"/>
                <w:szCs w:val="21"/>
              </w:rPr>
            </w:pPr>
            <w:r>
              <w:rPr>
                <w:rFonts w:ascii="Times New Roman"/>
                <w:sz w:val="21"/>
              </w:rPr>
              <w:t>-831,156.86</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11,529,576.06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444" w:right="0"/>
              <w:jc w:val="left"/>
              <w:rPr>
                <w:rFonts w:ascii="Times New Roman" w:hAnsi="Times New Roman" w:cs="Times New Roman" w:eastAsia="Times New Roman" w:hint="default"/>
                <w:sz w:val="21"/>
                <w:szCs w:val="21"/>
              </w:rPr>
            </w:pPr>
            <w:r>
              <w:rPr>
                <w:rFonts w:ascii="Times New Roman"/>
                <w:sz w:val="21"/>
              </w:rPr>
              <w:t>16,817,985.33</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158,428,006.36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69" w:right="0"/>
              <w:jc w:val="left"/>
              <w:rPr>
                <w:rFonts w:ascii="Times New Roman" w:hAnsi="Times New Roman" w:cs="Times New Roman" w:eastAsia="Times New Roman" w:hint="default"/>
                <w:sz w:val="21"/>
                <w:szCs w:val="21"/>
              </w:rPr>
            </w:pPr>
            <w:r>
              <w:rPr>
                <w:rFonts w:ascii="Times New Roman"/>
                <w:sz w:val="21"/>
              </w:rPr>
              <w:t>-190,449,168.94</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-636,301,712.45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269" w:right="0"/>
              <w:jc w:val="left"/>
              <w:rPr>
                <w:rFonts w:ascii="Times New Roman" w:hAnsi="Times New Roman" w:cs="Times New Roman" w:eastAsia="Times New Roman" w:hint="default"/>
                <w:sz w:val="21"/>
                <w:szCs w:val="21"/>
              </w:rPr>
            </w:pPr>
            <w:r>
              <w:rPr>
                <w:rFonts w:ascii="Times New Roman"/>
                <w:sz w:val="21"/>
              </w:rPr>
              <w:t>-527,332,412.40</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43,846,753.47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339" w:right="0"/>
              <w:jc w:val="left"/>
              <w:rPr>
                <w:rFonts w:ascii="Times New Roman" w:hAnsi="Times New Roman" w:cs="Times New Roman" w:eastAsia="Times New Roman" w:hint="default"/>
                <w:sz w:val="21"/>
                <w:szCs w:val="21"/>
              </w:rPr>
            </w:pPr>
            <w:r>
              <w:rPr>
                <w:rFonts w:ascii="Times New Roman"/>
                <w:sz w:val="21"/>
              </w:rPr>
              <w:t>183,625,962.98</w:t>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653,706.73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44" w:right="0"/>
              <w:jc w:val="left"/>
              <w:rPr>
                <w:rFonts w:ascii="Times New Roman" w:hAnsi="Times New Roman" w:cs="Times New Roman" w:eastAsia="Times New Roman" w:hint="default"/>
                <w:sz w:val="21"/>
                <w:szCs w:val="21"/>
              </w:rPr>
            </w:pPr>
            <w:r>
              <w:rPr>
                <w:rFonts w:ascii="Times New Roman"/>
                <w:sz w:val="21"/>
              </w:rPr>
              <w:t>20,056,462.46</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-121,994,386.47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69" w:right="0"/>
              <w:jc w:val="left"/>
              <w:rPr>
                <w:rFonts w:ascii="Times New Roman" w:hAnsi="Times New Roman" w:cs="Times New Roman" w:eastAsia="Times New Roman" w:hint="default"/>
                <w:sz w:val="21"/>
                <w:szCs w:val="21"/>
              </w:rPr>
            </w:pPr>
            <w:r>
              <w:rPr>
                <w:rFonts w:ascii="Times New Roman"/>
                <w:sz w:val="21"/>
              </w:rPr>
              <w:t>-269,780,968.06</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685,931,406.26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39" w:right="0"/>
              <w:jc w:val="left"/>
              <w:rPr>
                <w:rFonts w:ascii="Times New Roman" w:hAnsi="Times New Roman" w:cs="Times New Roman" w:eastAsia="Times New Roman" w:hint="default"/>
                <w:sz w:val="21"/>
                <w:szCs w:val="21"/>
              </w:rPr>
            </w:pPr>
            <w:r>
              <w:rPr>
                <w:rFonts w:ascii="Times New Roman"/>
                <w:sz w:val="21"/>
              </w:rPr>
              <w:t>524,466,351.59</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524,466,351.59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39" w:right="0"/>
              <w:jc w:val="left"/>
              <w:rPr>
                <w:rFonts w:ascii="Times New Roman" w:hAnsi="Times New Roman" w:cs="Times New Roman" w:eastAsia="Times New Roman" w:hint="default"/>
                <w:sz w:val="21"/>
                <w:szCs w:val="21"/>
              </w:rPr>
            </w:pPr>
            <w:r>
              <w:rPr>
                <w:rFonts w:ascii="Times New Roman"/>
                <w:sz w:val="21"/>
              </w:rPr>
              <w:t>188,433,545.46</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500" w:bottom="280" w:left="1040" w:right="156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72" w:right="0"/>
              <w:jc w:val="left"/>
              <w:rPr>
                <w:rFonts w:ascii="Times New Roman" w:hAnsi="Times New Roman" w:cs="Times New Roman" w:eastAsia="Times New Roman" w:hint="default"/>
                <w:sz w:val="21"/>
                <w:szCs w:val="21"/>
              </w:rPr>
            </w:pPr>
            <w:r>
              <w:rPr>
                <w:rFonts w:ascii="Times New Roman"/>
                <w:sz w:val="21"/>
              </w:rPr>
              <w:t>161,465,054.67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39" w:right="0"/>
              <w:jc w:val="left"/>
              <w:rPr>
                <w:rFonts w:ascii="Times New Roman" w:hAnsi="Times New Roman" w:cs="Times New Roman" w:eastAsia="Times New Roman" w:hint="default"/>
                <w:sz w:val="21"/>
                <w:szCs w:val="21"/>
              </w:rPr>
            </w:pPr>
            <w:r>
              <w:rPr>
                <w:rFonts w:ascii="Times New Roman"/>
                <w:sz w:val="21"/>
              </w:rPr>
              <w:t>336,032,806.13</w:t>
            </w:r>
          </w:p>
        </w:tc>
      </w:tr>
    </w:tbl>
    <w:p>
      <w:pPr>
        <w:spacing w:after="0" w:line="240" w:lineRule="auto"/>
        <w:jc w:val="left"/>
        <w:rPr>
          <w:rFonts w:ascii="Times New Roman" w:hAnsi="Times New Roman" w:cs="Times New Roman" w:eastAsia="Times New Roman" w:hint="default"/>
          <w:sz w:val="21"/>
          <w:szCs w:val="21"/>
        </w:rPr>
        <w:sectPr>
          <w:pgSz w:w="11910" w:h="16840"/>
          <w:pgMar w:header="0" w:footer="979" w:top="1120" w:bottom="116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Heading4"/>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本</w:t>
      </w:r>
      <w:r>
        <w:rPr>
          <w:spacing w:val="-1"/>
          <w:w w:val="100"/>
        </w:rPr>
        <w:t>期</w:t>
      </w:r>
      <w:r>
        <w:rPr>
          <w:w w:val="100"/>
        </w:rPr>
        <w:t>支付的取得子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060" w:right="1560"/>
          <w:cols w:num="2" w:equalWidth="0">
            <w:col w:w="3912" w:space="261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17"/>
        <w:gridCol w:w="3133"/>
      </w:tblGrid>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55,823,267.50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深圳太极云软技术有限公司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55,823,267.50</w:t>
            </w:r>
          </w:p>
        </w:tc>
      </w:tr>
      <w:tr>
        <w:trPr>
          <w:trHeight w:val="28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55,823,267.50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060" w:right="1560"/>
        </w:sectPr>
      </w:pPr>
    </w:p>
    <w:p>
      <w:pPr>
        <w:pStyle w:val="BodyText"/>
        <w:spacing w:line="239"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t>无</w:t>
      </w:r>
      <w:r>
        <w:rPr>
          <w:rFonts w:ascii="宋体" w:hAnsi="宋体" w:cs="宋体" w:eastAsia="宋体" w:hint="default"/>
        </w:rPr>
        <w:t> </w:t>
      </w:r>
    </w:p>
    <w:p>
      <w:pPr>
        <w:pStyle w:val="Heading4"/>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本期收到</w:t>
      </w:r>
      <w:r>
        <w:rPr>
          <w:spacing w:val="-1"/>
          <w:w w:val="100"/>
        </w:rPr>
        <w:t>的</w:t>
      </w:r>
      <w:r>
        <w:rPr>
          <w:w w:val="100"/>
        </w:rPr>
        <w:t>处置子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Heading4"/>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现</w:t>
      </w:r>
      <w:r>
        <w:rPr>
          <w:spacing w:val="-1"/>
          <w:w w:val="100"/>
        </w:rPr>
        <w:t>金</w:t>
      </w:r>
      <w:r>
        <w:rPr>
          <w:w w:val="100"/>
        </w:rPr>
        <w:t>和现金等价物</w:t>
      </w:r>
      <w:r>
        <w:rPr>
          <w:spacing w:val="-3"/>
          <w:w w:val="100"/>
        </w:rPr>
        <w:t>的</w:t>
      </w:r>
      <w:r>
        <w:rPr>
          <w:w w:val="100"/>
        </w:rPr>
        <w:t>构</w:t>
      </w:r>
      <w:r>
        <w:rPr>
          <w:spacing w:val="-2"/>
          <w:w w:val="100"/>
        </w:rPr>
        <w:t>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4"/>
          <w:szCs w:val="34"/>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sz w:val="24"/>
          <w:szCs w:val="24"/>
        </w:rPr>
        <w:t> </w:t>
      </w:r>
      <w:r>
        <w:rPr>
          <w:rFonts w:ascii="宋体" w:hAnsi="宋体" w:cs="宋体" w:eastAsia="宋体" w:hint="default"/>
          <w:sz w:val="24"/>
          <w:szCs w:val="24"/>
        </w:rPr>
      </w:r>
    </w:p>
    <w:p>
      <w:pPr>
        <w:spacing w:after="0" w:line="240" w:lineRule="auto"/>
        <w:jc w:val="left"/>
        <w:rPr>
          <w:rFonts w:ascii="宋体" w:hAnsi="宋体" w:cs="宋体" w:eastAsia="宋体" w:hint="default"/>
          <w:sz w:val="24"/>
          <w:szCs w:val="24"/>
        </w:rPr>
        <w:sectPr>
          <w:type w:val="continuous"/>
          <w:pgSz w:w="11910" w:h="16840"/>
          <w:pgMar w:top="1500" w:bottom="280" w:left="1060" w:right="1560"/>
          <w:cols w:num="2" w:equalWidth="0">
            <w:col w:w="3912" w:space="2610"/>
            <w:col w:w="2768"/>
          </w:cols>
        </w:sectPr>
      </w:pPr>
    </w:p>
    <w:p>
      <w:pPr>
        <w:spacing w:line="240" w:lineRule="auto" w:before="4"/>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685,931,406.26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524,466,351.59</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8,035.61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24,675.74</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685,572,737.16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523,646,838.46</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350,633.49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794,837.39</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685,931,406.26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524,466,351.59</w:t>
            </w:r>
          </w:p>
        </w:tc>
      </w:tr>
      <w:tr>
        <w:trPr>
          <w:trHeight w:val="55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19"/>
        <w:ind w:left="216" w:right="0"/>
        <w:jc w:val="left"/>
      </w:pPr>
      <w:r>
        <w:rPr/>
        <w:t> </w:t>
      </w:r>
    </w:p>
    <w:p>
      <w:pPr>
        <w:pStyle w:val="BodyText"/>
        <w:spacing w:line="240" w:lineRule="auto" w:before="64"/>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6"/>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before="58"/>
        <w:ind w:left="216" w:right="0"/>
        <w:jc w:val="left"/>
        <w:rPr>
          <w:rFonts w:ascii="宋体" w:hAnsi="宋体" w:cs="宋体" w:eastAsia="宋体" w:hint="default"/>
        </w:rPr>
      </w:pPr>
      <w:r>
        <w:rPr>
          <w:rFonts w:ascii="宋体"/>
          <w:w w:val="100"/>
        </w:rPr>
        <w:t> </w:t>
      </w:r>
    </w:p>
    <w:p>
      <w:pPr>
        <w:spacing w:line="276" w:lineRule="auto" w:before="56"/>
        <w:ind w:left="216" w:right="0" w:firstLine="14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40" w:lineRule="exact"/>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after="0" w:line="240" w:lineRule="exact"/>
        <w:jc w:val="left"/>
        <w:rPr>
          <w:rFonts w:ascii="宋体" w:hAnsi="宋体" w:cs="宋体" w:eastAsia="宋体" w:hint="default"/>
          <w:sz w:val="24"/>
          <w:szCs w:val="24"/>
        </w:rPr>
        <w:sectPr>
          <w:type w:val="continuous"/>
          <w:pgSz w:w="11910" w:h="16840"/>
          <w:pgMar w:top="1500" w:bottom="280" w:left="1060" w:right="15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before="36"/>
        <w:ind w:left="378" w:right="0"/>
        <w:jc w:val="left"/>
        <w:rPr>
          <w:rFonts w:ascii="宋体" w:hAnsi="宋体" w:cs="宋体" w:eastAsia="宋体" w:hint="default"/>
          <w:b w:val="0"/>
          <w:bCs w:val="0"/>
        </w:rPr>
      </w:pPr>
      <w:r>
        <w:rPr>
          <w:rFonts w:ascii="Times New Roman" w:hAnsi="Times New Roman" w:cs="Times New Roman" w:eastAsia="Times New Roman" w:hint="default"/>
        </w:rPr>
        <w:t>79</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0"/>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5"/>
        <w:gridCol w:w="2312"/>
        <w:gridCol w:w="3536"/>
      </w:tblGrid>
      <w:tr>
        <w:trPr>
          <w:trHeight w:val="370"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2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center"/>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37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31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50,741,105.43</w:t>
            </w:r>
          </w:p>
        </w:tc>
        <w:tc>
          <w:tcPr>
            <w:tcW w:w="353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银行汇票保证金及银行保函保证金</w:t>
            </w:r>
            <w:r>
              <w:rPr>
                <w:rFonts w:ascii="宋体" w:hAnsi="宋体" w:cs="宋体" w:eastAsia="宋体" w:hint="default"/>
                <w:sz w:val="21"/>
                <w:szCs w:val="21"/>
              </w:rPr>
              <w:t> </w:t>
            </w:r>
          </w:p>
        </w:tc>
      </w:tr>
      <w:tr>
        <w:trPr>
          <w:trHeight w:val="377"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241"/>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31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50,741,105.43</w:t>
            </w:r>
          </w:p>
        </w:tc>
        <w:tc>
          <w:tcPr>
            <w:tcW w:w="353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6"/>
        <w:ind w:left="236"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3" w:lineRule="exact" w:before="52"/>
        <w:ind w:right="0"/>
        <w:jc w:val="left"/>
      </w:pPr>
      <w:r>
        <w:rPr>
          <w:rFonts w:ascii="宋体" w:hAnsi="宋体" w:cs="宋体" w:eastAsia="宋体" w:hint="default"/>
        </w:rPr>
        <w:t>无</w:t>
      </w:r>
      <w:r>
        <w:rPr/>
        <w:t> </w:t>
      </w:r>
    </w:p>
    <w:p>
      <w:pPr>
        <w:pStyle w:val="Heading3"/>
        <w:spacing w:line="313" w:lineRule="exact"/>
        <w:ind w:right="0"/>
        <w:jc w:val="left"/>
      </w:pPr>
      <w:r>
        <w:rPr/>
        <w:t> </w:t>
      </w:r>
    </w:p>
    <w:p>
      <w:pPr>
        <w:spacing w:after="0" w:line="313" w:lineRule="exact"/>
        <w:jc w:val="left"/>
        <w:sectPr>
          <w:pgSz w:w="11910" w:h="16840"/>
          <w:pgMar w:header="0" w:footer="979" w:top="1120" w:bottom="1160" w:left="1040" w:right="1560"/>
        </w:sectPr>
      </w:pPr>
    </w:p>
    <w:p>
      <w:pPr>
        <w:pStyle w:val="Heading4"/>
        <w:spacing w:line="276" w:lineRule="auto" w:before="62"/>
        <w:ind w:left="236" w:right="0" w:firstLine="142"/>
        <w:jc w:val="left"/>
        <w:rPr>
          <w:rFonts w:ascii="宋体" w:hAnsi="宋体" w:cs="宋体" w:eastAsia="宋体" w:hint="default"/>
          <w:b w:val="0"/>
          <w:bCs w:val="0"/>
        </w:rPr>
      </w:pPr>
      <w:r>
        <w:rPr>
          <w:rFonts w:ascii="Times New Roman" w:hAnsi="Times New Roman" w:cs="Times New Roman" w:eastAsia="Times New Roman" w:hint="default"/>
        </w:rPr>
        <w:t>80</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25"/>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2383" w:space="5611"/>
            <w:col w:w="1316"/>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650"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806" w:right="175" w:hanging="526"/>
              <w:jc w:val="left"/>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33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0.85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6.97647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5.93</w:t>
            </w:r>
          </w:p>
        </w:tc>
      </w:tr>
      <w:tr>
        <w:trPr>
          <w:trHeight w:val="329"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0.85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6.97647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5.93</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8"/>
        <w:ind w:left="236"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3" w:lineRule="exact" w:before="50"/>
        <w:ind w:right="0"/>
        <w:jc w:val="left"/>
      </w:pPr>
      <w:r>
        <w:rPr>
          <w:rFonts w:ascii="宋体" w:hAnsi="宋体" w:cs="宋体" w:eastAsia="宋体" w:hint="default"/>
        </w:rPr>
        <w:t>无</w:t>
      </w:r>
      <w:r>
        <w:rPr/>
        <w:t> </w:t>
      </w:r>
    </w:p>
    <w:p>
      <w:pPr>
        <w:pStyle w:val="Heading3"/>
        <w:spacing w:line="313" w:lineRule="exact"/>
        <w:ind w:right="0"/>
        <w:jc w:val="left"/>
      </w:pPr>
      <w:r>
        <w:rPr/>
        <w:t> </w:t>
      </w:r>
    </w:p>
    <w:p>
      <w:pPr>
        <w:pStyle w:val="Heading4"/>
        <w:spacing w:line="272" w:lineRule="exact" w:before="92"/>
        <w:ind w:left="664" w:right="0" w:hanging="428"/>
        <w:jc w:val="left"/>
        <w:rPr>
          <w:rFonts w:ascii="宋体" w:hAnsi="宋体" w:cs="宋体" w:eastAsia="宋体" w:hint="default"/>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1"/>
        <w:ind w:left="23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40" w:lineRule="auto" w:before="56"/>
        <w:ind w:left="378" w:right="0"/>
        <w:jc w:val="left"/>
        <w:rPr>
          <w:rFonts w:ascii="宋体" w:hAnsi="宋体" w:cs="宋体" w:eastAsia="宋体" w:hint="default"/>
          <w:b w:val="0"/>
          <w:bCs w:val="0"/>
        </w:rPr>
      </w:pPr>
      <w:r>
        <w:rPr>
          <w:rFonts w:ascii="Times New Roman" w:hAnsi="Times New Roman" w:cs="Times New Roman" w:eastAsia="Times New Roman" w:hint="default"/>
        </w:rPr>
        <w:t>81</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500" w:bottom="280" w:left="1040" w:right="1560"/>
        </w:sectPr>
      </w:pPr>
    </w:p>
    <w:p>
      <w:pPr>
        <w:pStyle w:val="BodyText"/>
        <w:spacing w:line="276" w:lineRule="auto" w:before="56"/>
        <w:ind w:left="236" w:right="0" w:firstLine="142"/>
        <w:jc w:val="left"/>
        <w:rPr>
          <w:rFonts w:ascii="宋体" w:hAnsi="宋体" w:cs="宋体" w:eastAsia="宋体" w:hint="default"/>
        </w:rPr>
      </w:pPr>
      <w:r>
        <w:rPr>
          <w:rFonts w:ascii="Times New Roman" w:hAnsi="Times New Roman" w:cs="Times New Roman" w:eastAsia="Times New Roman" w:hint="default"/>
          <w:b/>
          <w:bCs/>
        </w:rPr>
        <w:t>82</w:t>
      </w:r>
      <w:r>
        <w:rPr>
          <w:rFonts w:ascii="宋体" w:hAnsi="宋体" w:cs="宋体" w:eastAsia="宋体" w:hint="default"/>
          <w:b/>
          <w:bCs/>
        </w:rPr>
        <w:t>、</w:t>
      </w:r>
      <w:r>
        <w:rPr/>
        <w:t>政府补助</w:t>
      </w:r>
      <w:r>
        <w:rPr>
          <w:rFonts w:ascii="宋体" w:hAnsi="宋体" w:cs="宋体" w:eastAsia="宋体" w:hint="default"/>
          <w:w w:val="100"/>
        </w:rPr>
        <w:t> </w:t>
      </w:r>
      <w:r>
        <w:rPr/>
        <w:t>政府补助基本情况</w:t>
      </w:r>
      <w:r>
        <w:rPr>
          <w:rFonts w:ascii="宋体" w:hAnsi="宋体" w:cs="宋体" w:eastAsia="宋体" w:hint="default"/>
        </w:rPr>
        <w:t> </w:t>
      </w:r>
    </w:p>
    <w:p>
      <w:pPr>
        <w:pStyle w:val="BodyText"/>
        <w:spacing w:line="240" w:lineRule="exact"/>
        <w:ind w:left="236" w:right="0"/>
        <w:jc w:val="left"/>
        <w:rPr>
          <w:rFonts w:ascii="宋体" w:hAnsi="宋体" w:cs="宋体" w:eastAsia="宋体" w:hint="default"/>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040" w:right="1560"/>
          <w:cols w:num="2" w:equalWidth="0">
            <w:col w:w="2235" w:space="4288"/>
            <w:col w:w="278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05"/>
        <w:gridCol w:w="2035"/>
        <w:gridCol w:w="1848"/>
        <w:gridCol w:w="2261"/>
      </w:tblGrid>
      <w:tr>
        <w:trPr>
          <w:trHeight w:val="33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99"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2"/>
              <w:jc w:val="right"/>
              <w:rPr>
                <w:rFonts w:ascii="宋体" w:hAnsi="宋体" w:cs="宋体" w:eastAsia="宋体" w:hint="default"/>
                <w:sz w:val="21"/>
                <w:szCs w:val="21"/>
              </w:rPr>
            </w:pPr>
            <w:r>
              <w:rPr>
                <w:rFonts w:ascii="宋体" w:hAnsi="宋体" w:cs="宋体" w:eastAsia="宋体" w:hint="default"/>
                <w:spacing w:val="-2"/>
                <w:sz w:val="21"/>
                <w:szCs w:val="21"/>
              </w:rPr>
              <w:t>计入当期损益的金额</w:t>
            </w:r>
            <w:r>
              <w:rPr>
                <w:rFonts w:ascii="宋体" w:hAnsi="宋体" w:cs="宋体" w:eastAsia="宋体" w:hint="default"/>
                <w:sz w:val="21"/>
                <w:szCs w:val="21"/>
              </w:rPr>
              <w:t> </w:t>
            </w:r>
          </w:p>
        </w:tc>
      </w:tr>
      <w:tr>
        <w:trPr>
          <w:trHeight w:val="650"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计入递延收益的政府补助</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16,342,680.00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98"/>
              <w:jc w:val="left"/>
              <w:rPr>
                <w:rFonts w:ascii="宋体" w:hAnsi="宋体" w:cs="宋体" w:eastAsia="宋体" w:hint="default"/>
                <w:sz w:val="21"/>
                <w:szCs w:val="21"/>
              </w:rPr>
            </w:pPr>
            <w:r>
              <w:rPr>
                <w:rFonts w:ascii="宋体" w:hAnsi="宋体" w:cs="宋体" w:eastAsia="宋体" w:hint="default"/>
                <w:spacing w:val="-8"/>
                <w:sz w:val="21"/>
                <w:szCs w:val="21"/>
              </w:rPr>
              <w:t>递延收益（详见注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4,012,910.44</w:t>
            </w:r>
          </w:p>
        </w:tc>
      </w:tr>
      <w:tr>
        <w:trPr>
          <w:trHeight w:val="648"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计入其他收益的政府补助</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10,957,302.26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98"/>
              <w:jc w:val="left"/>
              <w:rPr>
                <w:rFonts w:ascii="宋体" w:hAnsi="宋体" w:cs="宋体" w:eastAsia="宋体" w:hint="default"/>
                <w:sz w:val="21"/>
                <w:szCs w:val="21"/>
              </w:rPr>
            </w:pPr>
            <w:r>
              <w:rPr>
                <w:rFonts w:ascii="宋体" w:hAnsi="宋体" w:cs="宋体" w:eastAsia="宋体" w:hint="default"/>
                <w:spacing w:val="-8"/>
                <w:sz w:val="21"/>
                <w:szCs w:val="21"/>
              </w:rPr>
              <w:t>其他收益（详见注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65</w:t>
            </w:r>
            <w:r>
              <w:rPr>
                <w:rFonts w:ascii="宋体" w:hAnsi="宋体" w:cs="宋体" w:eastAsia="宋体" w:hint="default"/>
                <w:sz w:val="21"/>
                <w:szCs w:val="21"/>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10,957,302.26</w:t>
            </w:r>
          </w:p>
        </w:tc>
      </w:tr>
      <w:tr>
        <w:trPr>
          <w:trHeight w:val="67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计入营业外收入的政府补助</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1"/>
                <w:sz w:val="21"/>
              </w:rPr>
              <w:t>6,530,649.42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6"/>
              <w:ind w:left="103" w:right="98"/>
              <w:jc w:val="left"/>
              <w:rPr>
                <w:rFonts w:ascii="宋体" w:hAnsi="宋体" w:cs="宋体" w:eastAsia="宋体" w:hint="default"/>
                <w:sz w:val="21"/>
                <w:szCs w:val="21"/>
              </w:rPr>
            </w:pPr>
            <w:r>
              <w:rPr>
                <w:rFonts w:ascii="宋体" w:hAnsi="宋体" w:cs="宋体" w:eastAsia="宋体" w:hint="default"/>
                <w:spacing w:val="-8"/>
                <w:sz w:val="21"/>
                <w:szCs w:val="21"/>
              </w:rPr>
              <w:t>营业外收入（详见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注释</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72</w:t>
            </w:r>
            <w:r>
              <w:rPr>
                <w:rFonts w:ascii="宋体" w:hAnsi="宋体" w:cs="宋体" w:eastAsia="宋体" w:hint="default"/>
                <w:sz w:val="21"/>
                <w:szCs w:val="21"/>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6,530,649.42</w:t>
            </w:r>
          </w:p>
        </w:tc>
      </w:tr>
      <w:tr>
        <w:trPr>
          <w:trHeight w:val="33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冲减成本费用的政府补助</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424,500.00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pacing w:val="-8"/>
                <w:sz w:val="21"/>
                <w:szCs w:val="21"/>
              </w:rPr>
              <w:t>财务费用（详见其</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424,500.00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040" w:right="1560"/>
        </w:sectPr>
      </w:pPr>
    </w:p>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2905"/>
        <w:gridCol w:w="2035"/>
        <w:gridCol w:w="1848"/>
        <w:gridCol w:w="2261"/>
      </w:tblGrid>
      <w:tr>
        <w:trPr>
          <w:trHeight w:val="332"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他说明）</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12" w:right="0"/>
              <w:jc w:val="left"/>
              <w:rPr>
                <w:rFonts w:ascii="Times New Roman" w:hAnsi="Times New Roman" w:cs="Times New Roman" w:eastAsia="Times New Roman" w:hint="default"/>
                <w:sz w:val="21"/>
                <w:szCs w:val="21"/>
              </w:rPr>
            </w:pPr>
            <w:r>
              <w:rPr>
                <w:rFonts w:ascii="Times New Roman"/>
                <w:sz w:val="21"/>
              </w:rPr>
              <w:t>34,255,131.68</w:t>
            </w:r>
          </w:p>
        </w:tc>
        <w:tc>
          <w:tcPr>
            <w:tcW w:w="1848"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943" w:right="0"/>
              <w:jc w:val="left"/>
              <w:rPr>
                <w:rFonts w:ascii="Times New Roman" w:hAnsi="Times New Roman" w:cs="Times New Roman" w:eastAsia="Times New Roman" w:hint="default"/>
                <w:sz w:val="21"/>
                <w:szCs w:val="21"/>
              </w:rPr>
            </w:pPr>
            <w:r>
              <w:rPr>
                <w:rFonts w:ascii="Times New Roman"/>
                <w:sz w:val="21"/>
              </w:rPr>
              <w:t>21,925,362.12</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政府补助退回情况</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9" w:lineRule="exact"/>
        <w:ind w:left="216" w:right="0"/>
        <w:jc w:val="left"/>
        <w:rPr>
          <w:rFonts w:ascii="宋体" w:hAnsi="宋体" w:cs="宋体" w:eastAsia="宋体" w:hint="default"/>
        </w:rPr>
      </w:pPr>
      <w:r>
        <w:rPr/>
        <w:t>注：冲减成本费用的政府补助</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80"/>
        <w:gridCol w:w="1549"/>
        <w:gridCol w:w="1764"/>
        <w:gridCol w:w="1767"/>
        <w:gridCol w:w="1765"/>
      </w:tblGrid>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4" w:right="0"/>
              <w:jc w:val="left"/>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9"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冲减的成本费用</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的项目</w:t>
            </w:r>
            <w:r>
              <w:rPr>
                <w:rFonts w:ascii="宋体" w:hAnsi="宋体" w:cs="宋体" w:eastAsia="宋体" w:hint="default"/>
                <w:sz w:val="21"/>
                <w:szCs w:val="21"/>
              </w:rPr>
              <w:t> </w:t>
            </w:r>
          </w:p>
        </w:tc>
      </w:tr>
      <w:tr>
        <w:trPr>
          <w:trHeight w:val="82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深圳市福田区企业</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8"/>
                <w:sz w:val="21"/>
                <w:szCs w:val="21"/>
              </w:rPr>
              <w:t>发展服务中心知识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产权质押贷贴息</w:t>
            </w:r>
            <w:r>
              <w:rPr>
                <w:rFonts w:ascii="宋体" w:hAnsi="宋体" w:cs="宋体" w:eastAsia="宋体" w:hint="default"/>
                <w:sz w:val="21"/>
                <w:szCs w:val="21"/>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贷款贴息</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424,500.00</w:t>
            </w:r>
          </w:p>
        </w:tc>
        <w:tc>
          <w:tcPr>
            <w:tcW w:w="176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424,500.00</w:t>
            </w:r>
          </w:p>
        </w:tc>
      </w:tr>
      <w:tr>
        <w:trPr>
          <w:trHeight w:val="28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424,500.00</w:t>
            </w:r>
          </w:p>
        </w:tc>
        <w:tc>
          <w:tcPr>
            <w:tcW w:w="176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424,500.00</w:t>
            </w:r>
          </w:p>
        </w:tc>
      </w:tr>
    </w:tbl>
    <w:p>
      <w:pPr>
        <w:spacing w:line="240" w:lineRule="auto" w:before="12"/>
        <w:rPr>
          <w:rFonts w:ascii="宋体" w:hAnsi="宋体" w:cs="宋体" w:eastAsia="宋体" w:hint="default"/>
          <w:sz w:val="19"/>
          <w:szCs w:val="19"/>
        </w:rPr>
      </w:pPr>
    </w:p>
    <w:p>
      <w:pPr>
        <w:pStyle w:val="Heading4"/>
        <w:spacing w:line="240" w:lineRule="auto" w:before="36"/>
        <w:ind w:left="358" w:right="0"/>
        <w:jc w:val="left"/>
        <w:rPr>
          <w:b w:val="0"/>
          <w:bCs w:val="0"/>
        </w:rPr>
      </w:pPr>
      <w:r>
        <w:rPr>
          <w:rFonts w:ascii="Times New Roman" w:hAnsi="Times New Roman" w:cs="Times New Roman" w:eastAsia="Times New Roman" w:hint="default"/>
        </w:rPr>
        <w:t>83</w:t>
      </w:r>
      <w:r>
        <w:rPr/>
        <w:t>、其他</w:t>
      </w:r>
      <w:r>
        <w:rPr>
          <w:b w:val="0"/>
          <w:bCs w:val="0"/>
        </w:rPr>
      </w:r>
    </w:p>
    <w:p>
      <w:pPr>
        <w:pStyle w:val="BodyText"/>
        <w:spacing w:line="270" w:lineRule="exact" w:before="4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9" w:lineRule="exact"/>
        <w:ind w:left="216" w:right="0"/>
        <w:jc w:val="left"/>
      </w:pPr>
      <w:r>
        <w:rPr/>
        <w:t> </w:t>
      </w:r>
    </w:p>
    <w:p>
      <w:pPr>
        <w:pStyle w:val="Heading4"/>
        <w:spacing w:line="240" w:lineRule="auto"/>
        <w:ind w:left="216"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4"/>
        <w:spacing w:line="240" w:lineRule="auto" w:before="56"/>
        <w:ind w:left="216" w:right="0"/>
        <w:jc w:val="left"/>
        <w:rPr>
          <w:rFonts w:ascii="宋体" w:hAnsi="宋体" w:cs="宋体" w:eastAsia="宋体" w:hint="default"/>
          <w:b w:val="0"/>
          <w:bCs w:val="0"/>
        </w:rPr>
      </w:pPr>
      <w:r>
        <w:rPr>
          <w:rFonts w:ascii="Times New Roman" w:hAnsi="Times New Roman" w:cs="Times New Roman" w:eastAsia="Times New Roman"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43"/>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216" w:right="0"/>
        <w:jc w:val="left"/>
      </w:pPr>
      <w:r>
        <w:rPr/>
        <w:t> </w:t>
      </w:r>
    </w:p>
    <w:p>
      <w:pPr>
        <w:pStyle w:val="Heading4"/>
        <w:spacing w:line="240" w:lineRule="auto"/>
        <w:ind w:left="216" w:right="0"/>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2"/>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40"/>
        <w:ind w:left="216"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1" w:lineRule="exact"/>
        <w:ind w:left="216" w:right="0"/>
        <w:jc w:val="left"/>
      </w:pPr>
      <w:r>
        <w:rPr/>
        <w:t> </w:t>
      </w:r>
    </w:p>
    <w:p>
      <w:pPr>
        <w:pStyle w:val="Heading4"/>
        <w:spacing w:line="240" w:lineRule="auto" w:before="61"/>
        <w:ind w:left="216" w:right="0"/>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4"/>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979" w:top="1120" w:bottom="1160" w:left="1060" w:right="1560"/>
        </w:sectPr>
      </w:pPr>
    </w:p>
    <w:p>
      <w:pPr>
        <w:spacing w:line="240" w:lineRule="auto" w:before="7"/>
        <w:rPr>
          <w:rFonts w:ascii="宋体" w:hAnsi="宋体" w:cs="宋体" w:eastAsia="宋体" w:hint="default"/>
          <w:sz w:val="29"/>
          <w:szCs w:val="29"/>
        </w:rPr>
      </w:pPr>
    </w:p>
    <w:p>
      <w:pPr>
        <w:spacing w:line="276" w:lineRule="auto" w:before="36"/>
        <w:ind w:left="138" w:right="34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36" w:lineRule="exact"/>
        <w:ind w:left="1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sz w:val="24"/>
          <w:szCs w:val="24"/>
        </w:rPr>
        <w:t> </w:t>
      </w:r>
      <w:r>
        <w:rPr>
          <w:rFonts w:ascii="宋体" w:hAnsi="宋体" w:cs="宋体" w:eastAsia="宋体" w:hint="default"/>
          <w:sz w:val="24"/>
          <w:szCs w:val="24"/>
        </w:rPr>
        <w:t> </w:t>
      </w:r>
    </w:p>
    <w:p>
      <w:pPr>
        <w:pStyle w:val="Heading3"/>
        <w:spacing w:line="310" w:lineRule="exact"/>
        <w:ind w:left="138" w:right="0"/>
        <w:jc w:val="left"/>
      </w:pPr>
      <w:r>
        <w:rPr/>
        <w:t> </w:t>
      </w:r>
    </w:p>
    <w:p>
      <w:pPr>
        <w:pStyle w:val="BodyText"/>
        <w:spacing w:line="273" w:lineRule="exact" w:before="4"/>
        <w:ind w:left="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8" w:lineRule="exact"/>
        <w:ind w:left="1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138" w:right="0"/>
        <w:jc w:val="left"/>
      </w:pPr>
      <w:r>
        <w:rPr/>
        <w:t> </w:t>
      </w:r>
    </w:p>
    <w:p>
      <w:pPr>
        <w:pStyle w:val="BodyText"/>
        <w:spacing w:line="274" w:lineRule="exact" w:before="4"/>
        <w:ind w:left="138" w:right="0"/>
        <w:jc w:val="left"/>
        <w:rPr>
          <w:rFonts w:ascii="宋体" w:hAnsi="宋体" w:cs="宋体" w:eastAsia="宋体" w:hint="default"/>
        </w:rPr>
      </w:pPr>
      <w:r>
        <w:rPr/>
        <w:t>是否存在通过多次交易分步处置对子公司投资且在本期丧失控制权的情形</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spacing w:line="273" w:lineRule="auto" w:before="0"/>
        <w:ind w:left="1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45"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3"/>
        <w:ind w:left="618" w:right="0"/>
        <w:jc w:val="left"/>
      </w:pPr>
      <w:r>
        <w:rPr/>
        <w:t>与上期相比本期新增合并单位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家，原因为：本期新设增加</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家子公司</w:t>
      </w:r>
    </w:p>
    <w:p>
      <w:pPr>
        <w:pStyle w:val="BodyText"/>
        <w:spacing w:line="240" w:lineRule="auto" w:before="69"/>
        <w:ind w:left="558" w:right="0"/>
        <w:jc w:val="left"/>
        <w:rPr>
          <w:rFonts w:ascii="宋体" w:hAnsi="宋体" w:cs="宋体" w:eastAsia="宋体" w:hint="default"/>
        </w:rPr>
      </w:pPr>
      <w:r>
        <w:rPr/>
        <w:t>与上期相比本期减少合并单位</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家，原因为：本期清算减少</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家子公司</w:t>
      </w:r>
      <w:r>
        <w:rPr>
          <w:rFonts w:ascii="宋体" w:hAnsi="宋体" w:cs="宋体" w:eastAsia="宋体" w:hint="default"/>
        </w:rPr>
        <w:t> </w:t>
      </w:r>
    </w:p>
    <w:p>
      <w:pPr>
        <w:spacing w:line="240" w:lineRule="auto" w:before="5"/>
        <w:rPr>
          <w:rFonts w:ascii="宋体" w:hAnsi="宋体" w:cs="宋体" w:eastAsia="宋体" w:hint="default"/>
          <w:sz w:val="26"/>
          <w:szCs w:val="26"/>
        </w:rPr>
      </w:pPr>
    </w:p>
    <w:p>
      <w:pPr>
        <w:pStyle w:val="Heading4"/>
        <w:spacing w:line="240" w:lineRule="auto" w:before="0"/>
        <w:ind w:left="138" w:right="0"/>
        <w:jc w:val="left"/>
        <w:rPr>
          <w:rFonts w:ascii="宋体" w:hAnsi="宋体" w:cs="宋体" w:eastAsia="宋体" w:hint="default"/>
          <w:b w:val="0"/>
          <w:bCs w:val="0"/>
        </w:rPr>
      </w:pPr>
      <w:r>
        <w:rPr>
          <w:rFonts w:ascii="Times New Roman" w:hAnsi="Times New Roman" w:cs="Times New Roman" w:eastAsia="Times New Roman" w:hint="default"/>
        </w:rPr>
        <w:t>6</w:t>
      </w:r>
      <w:r>
        <w:rPr/>
        <w:t>、</w:t>
      </w:r>
      <w:r>
        <w:rPr>
          <w:spacing w:val="-2"/>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43"/>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Heading3"/>
        <w:spacing w:line="309" w:lineRule="exact"/>
        <w:ind w:left="138" w:right="0"/>
        <w:jc w:val="left"/>
      </w:pPr>
      <w:r>
        <w:rPr/>
        <w:t> </w:t>
      </w:r>
    </w:p>
    <w:p>
      <w:pPr>
        <w:spacing w:after="0" w:line="309" w:lineRule="exact"/>
        <w:jc w:val="left"/>
        <w:sectPr>
          <w:headerReference w:type="default" r:id="rId68"/>
          <w:footerReference w:type="default" r:id="rId69"/>
          <w:pgSz w:w="11910" w:h="16840"/>
          <w:pgMar w:header="857" w:footer="979" w:top="1120" w:bottom="1160" w:left="1660" w:right="1140"/>
          <w:pgNumType w:start="198"/>
        </w:sectPr>
      </w:pPr>
    </w:p>
    <w:p>
      <w:pPr>
        <w:spacing w:line="240" w:lineRule="auto" w:before="7"/>
        <w:rPr>
          <w:rFonts w:ascii="宋体" w:hAnsi="宋体" w:cs="宋体" w:eastAsia="宋体" w:hint="default"/>
          <w:sz w:val="29"/>
          <w:szCs w:val="29"/>
        </w:rPr>
      </w:pPr>
    </w:p>
    <w:p>
      <w:pPr>
        <w:pStyle w:val="Heading4"/>
        <w:spacing w:line="240" w:lineRule="auto" w:before="36"/>
        <w:ind w:right="0"/>
        <w:jc w:val="left"/>
        <w:rPr>
          <w:rFonts w:ascii="宋体" w:hAnsi="宋体" w:cs="宋体" w:eastAsia="宋体" w:hint="default"/>
          <w:b w:val="0"/>
          <w:bCs w:val="0"/>
        </w:rPr>
      </w:pPr>
      <w:r>
        <w:rPr>
          <w:spacing w:val="-1"/>
        </w:rPr>
        <w:t>九、</w:t>
      </w:r>
      <w:r>
        <w:rPr>
          <w:spacing w:val="-93"/>
        </w:rPr>
        <w:t> </w:t>
      </w:r>
      <w:r>
        <w:rPr>
          <w:rFonts w:ascii="宋体" w:hAnsi="宋体" w:cs="宋体" w:eastAsia="宋体" w:hint="default"/>
          <w:spacing w:val="-93"/>
        </w:rPr>
      </w:r>
      <w:r>
        <w:rPr>
          <w:spacing w:val="-1"/>
        </w:rPr>
        <w:t>在其他主体中的权益</w:t>
      </w:r>
      <w:r>
        <w:rPr>
          <w:rFonts w:ascii="宋体" w:hAnsi="宋体" w:cs="宋体" w:eastAsia="宋体" w:hint="default"/>
          <w:w w:val="99"/>
        </w:rPr>
        <w:t> </w:t>
      </w:r>
      <w:r>
        <w:rPr>
          <w:rFonts w:ascii="宋体" w:hAnsi="宋体" w:cs="宋体" w:eastAsia="宋体" w:hint="default"/>
          <w:b w:val="0"/>
          <w:bCs w:val="0"/>
        </w:rPr>
      </w:r>
    </w:p>
    <w:p>
      <w:pPr>
        <w:pStyle w:val="Heading4"/>
        <w:spacing w:line="273" w:lineRule="auto" w:before="58"/>
        <w:ind w:right="6662"/>
        <w:jc w:val="left"/>
        <w:rPr>
          <w:rFonts w:ascii="宋体" w:hAnsi="宋体" w:cs="宋体" w:eastAsia="宋体" w:hint="default"/>
          <w:b w:val="0"/>
          <w:bCs w:val="0"/>
        </w:rPr>
      </w:pPr>
      <w:r>
        <w:rPr>
          <w:rFonts w:ascii="Times New Roman" w:hAnsi="Times New Roman" w:cs="Times New Roman" w:eastAsia="Times New Roman" w:hint="default"/>
        </w:rPr>
        <w:t>1</w:t>
      </w:r>
      <w:r>
        <w:rPr/>
        <w:t>、在子公司中的权益</w:t>
      </w:r>
      <w:r>
        <w:rPr>
          <w:spacing w:val="-103"/>
        </w:rPr>
        <w:t> </w:t>
      </w:r>
      <w:r>
        <w:rPr>
          <w:spacing w:val="-103"/>
        </w:rPr>
      </w:r>
      <w:r>
        <w:rPr>
          <w:rFonts w:ascii="宋体" w:hAnsi="宋体" w:cs="宋体" w:eastAsia="宋体" w:hint="default"/>
        </w:rPr>
        <w:t>(1).</w:t>
      </w:r>
      <w:r>
        <w:rPr>
          <w:rFonts w:ascii="宋体" w:hAnsi="宋体" w:cs="宋体" w:eastAsia="宋体" w:hint="default"/>
          <w:spacing w:val="-46"/>
        </w:rPr>
        <w:t> </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5"/>
        <w:gridCol w:w="874"/>
        <w:gridCol w:w="728"/>
        <w:gridCol w:w="1586"/>
        <w:gridCol w:w="814"/>
        <w:gridCol w:w="814"/>
        <w:gridCol w:w="749"/>
      </w:tblGrid>
      <w:tr>
        <w:trPr>
          <w:trHeight w:val="331" w:hRule="exact"/>
        </w:trPr>
        <w:tc>
          <w:tcPr>
            <w:tcW w:w="3485" w:type="dxa"/>
            <w:vMerge w:val="restart"/>
            <w:tcBorders>
              <w:top w:val="single" w:sz="4" w:space="0" w:color="000000"/>
              <w:left w:val="single" w:sz="4" w:space="0" w:color="000000"/>
              <w:right w:val="single" w:sz="4" w:space="0" w:color="000000"/>
            </w:tcBorders>
          </w:tcPr>
          <w:p>
            <w:pPr>
              <w:pStyle w:val="TableParagraph"/>
              <w:spacing w:line="240" w:lineRule="auto" w:before="177"/>
              <w:ind w:left="1211"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874" w:type="dxa"/>
            <w:vMerge w:val="restart"/>
            <w:tcBorders>
              <w:top w:val="single" w:sz="4" w:space="0" w:color="000000"/>
              <w:left w:val="single" w:sz="4" w:space="0" w:color="000000"/>
              <w:right w:val="single" w:sz="4" w:space="0" w:color="000000"/>
            </w:tcBorders>
          </w:tcPr>
          <w:p>
            <w:pPr>
              <w:pStyle w:val="TableParagraph"/>
              <w:spacing w:line="278" w:lineRule="auto" w:before="18"/>
              <w:ind w:left="220" w:right="113"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r>
              <w:rPr>
                <w:rFonts w:ascii="宋体" w:hAnsi="宋体" w:cs="宋体" w:eastAsia="宋体" w:hint="default"/>
                <w:sz w:val="21"/>
                <w:szCs w:val="21"/>
              </w:rPr>
              <w:t> </w:t>
            </w:r>
          </w:p>
        </w:tc>
        <w:tc>
          <w:tcPr>
            <w:tcW w:w="728" w:type="dxa"/>
            <w:vMerge w:val="restart"/>
            <w:tcBorders>
              <w:top w:val="single" w:sz="4" w:space="0" w:color="000000"/>
              <w:left w:val="single" w:sz="4" w:space="0" w:color="000000"/>
              <w:right w:val="single" w:sz="4" w:space="0" w:color="000000"/>
            </w:tcBorders>
          </w:tcPr>
          <w:p>
            <w:pPr>
              <w:pStyle w:val="TableParagraph"/>
              <w:spacing w:line="278" w:lineRule="auto" w:before="18"/>
              <w:ind w:left="252" w:right="144" w:hanging="10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r>
              <w:rPr>
                <w:rFonts w:ascii="宋体" w:hAnsi="宋体" w:cs="宋体" w:eastAsia="宋体" w:hint="default"/>
                <w:sz w:val="21"/>
                <w:szCs w:val="21"/>
              </w:rPr>
              <w:t> </w:t>
            </w:r>
          </w:p>
        </w:tc>
        <w:tc>
          <w:tcPr>
            <w:tcW w:w="1586" w:type="dxa"/>
            <w:vMerge w:val="restart"/>
            <w:tcBorders>
              <w:top w:val="single" w:sz="4" w:space="0" w:color="000000"/>
              <w:left w:val="single" w:sz="4" w:space="0" w:color="000000"/>
              <w:right w:val="single" w:sz="4" w:space="0" w:color="000000"/>
            </w:tcBorders>
          </w:tcPr>
          <w:p>
            <w:pPr>
              <w:pStyle w:val="TableParagraph"/>
              <w:spacing w:line="240" w:lineRule="auto" w:before="177"/>
              <w:ind w:left="367"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c>
          <w:tcPr>
            <w:tcW w:w="749" w:type="dxa"/>
            <w:vMerge w:val="restart"/>
            <w:tcBorders>
              <w:top w:val="single" w:sz="4" w:space="0" w:color="000000"/>
              <w:left w:val="single" w:sz="4" w:space="0" w:color="000000"/>
              <w:right w:val="single" w:sz="4" w:space="0" w:color="000000"/>
            </w:tcBorders>
          </w:tcPr>
          <w:p>
            <w:pPr>
              <w:pStyle w:val="TableParagraph"/>
              <w:spacing w:line="278" w:lineRule="auto" w:before="18"/>
              <w:ind w:left="158" w:right="53"/>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329" w:hRule="exact"/>
        </w:trPr>
        <w:tc>
          <w:tcPr>
            <w:tcW w:w="3485"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1586"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6"/>
              <w:jc w:val="right"/>
              <w:rPr>
                <w:rFonts w:ascii="宋体" w:hAnsi="宋体" w:cs="宋体" w:eastAsia="宋体" w:hint="default"/>
                <w:sz w:val="21"/>
                <w:szCs w:val="21"/>
              </w:rPr>
            </w:pPr>
            <w:r>
              <w:rPr>
                <w:rFonts w:ascii="宋体" w:hAnsi="宋体" w:cs="宋体" w:eastAsia="宋体" w:hint="default"/>
                <w:spacing w:val="-2"/>
                <w:sz w:val="21"/>
                <w:szCs w:val="21"/>
              </w:rPr>
              <w:t>直接</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4"/>
              <w:jc w:val="right"/>
              <w:rPr>
                <w:rFonts w:ascii="宋体" w:hAnsi="宋体" w:cs="宋体" w:eastAsia="宋体" w:hint="default"/>
                <w:sz w:val="21"/>
                <w:szCs w:val="21"/>
              </w:rPr>
            </w:pPr>
            <w:r>
              <w:rPr>
                <w:rFonts w:ascii="宋体" w:hAnsi="宋体" w:cs="宋体" w:eastAsia="宋体" w:hint="default"/>
                <w:spacing w:val="-2"/>
                <w:sz w:val="21"/>
                <w:szCs w:val="21"/>
              </w:rPr>
              <w:t>间接</w:t>
            </w:r>
            <w:r>
              <w:rPr>
                <w:rFonts w:ascii="宋体" w:hAnsi="宋体" w:cs="宋体" w:eastAsia="宋体" w:hint="default"/>
                <w:sz w:val="21"/>
                <w:szCs w:val="21"/>
              </w:rPr>
              <w:t> </w:t>
            </w:r>
          </w:p>
        </w:tc>
        <w:tc>
          <w:tcPr>
            <w:tcW w:w="749" w:type="dxa"/>
            <w:vMerge/>
            <w:tcBorders>
              <w:left w:val="single" w:sz="4" w:space="0" w:color="000000"/>
              <w:bottom w:val="single" w:sz="4" w:space="0" w:color="000000"/>
              <w:right w:val="single" w:sz="4" w:space="0" w:color="000000"/>
            </w:tcBorders>
          </w:tcPr>
          <w:p>
            <w:pP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北京南威科技有限公司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宁德南威软件有限公司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宁德</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宁德</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厦门市南威软件科技有限公司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厦门</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厦门</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西安南威信息科技有限责任公司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西安</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西安</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70.00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成都南威软件有限公司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新疆南威软件有限公司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昌吉</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4" w:right="0"/>
              <w:jc w:val="center"/>
              <w:rPr>
                <w:rFonts w:ascii="宋体" w:hAnsi="宋体" w:cs="宋体" w:eastAsia="宋体" w:hint="default"/>
                <w:sz w:val="21"/>
                <w:szCs w:val="21"/>
              </w:rPr>
            </w:pPr>
            <w:r>
              <w:rPr>
                <w:rFonts w:ascii="宋体" w:hAnsi="宋体" w:cs="宋体" w:eastAsia="宋体" w:hint="default"/>
                <w:sz w:val="21"/>
                <w:szCs w:val="21"/>
              </w:rPr>
              <w:t>昌吉</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江西南威软件有限公司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江西</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江西</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南平南威软件有限公司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南平</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南平</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上海南信信息科技有限公司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70.00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重庆南威信息技术有限公司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重庆</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重庆</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福建南腾科技有限公司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60.00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平潭力信软件有限公司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平潭</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平潭</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网链科技集团有限公司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安徽国正信息科技有限公司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合肥</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合肥</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浙江易政信息技术有限公司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南京迅奇信信息技术有限公司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北京南威水科技术有限公司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51.00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安溪县南威信息科技有限公司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安溪</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安溪</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福建南慧大数据科技有限公司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大数据应用</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福建南威资产管理有限公司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资产管理</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甘肃南威信息技术有限公司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兰州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兰州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51.00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南威软件（海南）有限公司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海口</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海口</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51.00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宁波宁威信息科技有限公司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宁波</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宁波</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上海宜喆智能科技有限公司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智能科技</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70.00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安徽睿谷微云智慧科技有限公司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合肥</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合肥</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智能科技</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70.00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福建宜喆智能科技有限公司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福州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智能科技</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51.00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2"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江苏南威汇鼎信息技术有限公司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4" w:right="0"/>
              <w:jc w:val="center"/>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z w:val="21"/>
              </w:rPr>
              <w:t>51.00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650"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98"/>
              <w:jc w:val="left"/>
              <w:rPr>
                <w:rFonts w:ascii="宋体" w:hAnsi="宋体" w:cs="宋体" w:eastAsia="宋体" w:hint="default"/>
                <w:sz w:val="21"/>
                <w:szCs w:val="21"/>
              </w:rPr>
            </w:pPr>
            <w:r>
              <w:rPr>
                <w:rFonts w:ascii="宋体" w:hAnsi="宋体" w:cs="宋体" w:eastAsia="宋体" w:hint="default"/>
                <w:spacing w:val="-8"/>
                <w:sz w:val="21"/>
                <w:szCs w:val="21"/>
              </w:rPr>
              <w:t>智慧城市（泉州丰泽）运营管理有限</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智慧城市运营</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福建威盾科技集团有限公司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泉州威盾智能交通系统有限公司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广西弘政软件有限公司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南宁</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南宁</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福建腾匠科技有限公司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福建致远数据科技有限责任公司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福建众帮科技有限公司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泉州双创聚力科技有限责任公司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pgSz w:w="11910" w:h="16840"/>
          <w:pgMar w:header="857" w:footer="979"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485"/>
        <w:gridCol w:w="874"/>
        <w:gridCol w:w="728"/>
        <w:gridCol w:w="1586"/>
        <w:gridCol w:w="814"/>
        <w:gridCol w:w="814"/>
        <w:gridCol w:w="749"/>
      </w:tblGrid>
      <w:tr>
        <w:trPr>
          <w:trHeight w:val="65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96"/>
              <w:jc w:val="left"/>
              <w:rPr>
                <w:rFonts w:ascii="宋体" w:hAnsi="宋体" w:cs="宋体" w:eastAsia="宋体" w:hint="default"/>
                <w:sz w:val="21"/>
                <w:szCs w:val="21"/>
              </w:rPr>
            </w:pPr>
            <w:r>
              <w:rPr>
                <w:rFonts w:ascii="宋体" w:hAnsi="宋体" w:cs="宋体" w:eastAsia="宋体" w:hint="default"/>
                <w:spacing w:val="-7"/>
                <w:sz w:val="21"/>
                <w:szCs w:val="21"/>
              </w:rPr>
              <w:t>前海昱虹南威信息科技（深圳）有限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4" w:right="0"/>
              <w:jc w:val="center"/>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51.00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北京南威文旅科技有限公司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51.00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福建通平台科技发展有限公司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福建小电科技有限公司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福建轻停科技有限公司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网络信息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福建红点科技有限公司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福建无涯商业运营管理有限公司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福州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商业运营管理</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福建毫波科技有限公司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计算机技术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福建城视科技有限公司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计算机技术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吉林南威吉福信息技术有限公司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长春</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长春</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3"/>
              <w:jc w:val="left"/>
              <w:rPr>
                <w:rFonts w:ascii="宋体" w:hAnsi="宋体" w:cs="宋体" w:eastAsia="宋体" w:hint="default"/>
                <w:sz w:val="21"/>
                <w:szCs w:val="21"/>
              </w:rPr>
            </w:pPr>
            <w:r>
              <w:rPr>
                <w:rFonts w:ascii="宋体" w:hAnsi="宋体" w:cs="宋体" w:eastAsia="宋体" w:hint="default"/>
                <w:spacing w:val="-8"/>
                <w:sz w:val="21"/>
                <w:szCs w:val="21"/>
              </w:rPr>
              <w:t>南威智慧城市（将乐）科技有限公司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将乐</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4" w:right="0"/>
              <w:jc w:val="center"/>
              <w:rPr>
                <w:rFonts w:ascii="宋体" w:hAnsi="宋体" w:cs="宋体" w:eastAsia="宋体" w:hint="default"/>
                <w:sz w:val="21"/>
                <w:szCs w:val="21"/>
              </w:rPr>
            </w:pPr>
            <w:r>
              <w:rPr>
                <w:rFonts w:ascii="宋体" w:hAnsi="宋体" w:cs="宋体" w:eastAsia="宋体" w:hint="default"/>
                <w:sz w:val="21"/>
                <w:szCs w:val="21"/>
              </w:rPr>
              <w:t>将乐</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智慧城市</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福建通证科技有限公司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650"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97"/>
              <w:jc w:val="left"/>
              <w:rPr>
                <w:rFonts w:ascii="宋体" w:hAnsi="宋体" w:cs="宋体" w:eastAsia="宋体" w:hint="default"/>
                <w:sz w:val="21"/>
                <w:szCs w:val="21"/>
              </w:rPr>
            </w:pPr>
            <w:r>
              <w:rPr>
                <w:rFonts w:ascii="宋体" w:hAnsi="宋体" w:cs="宋体" w:eastAsia="宋体" w:hint="default"/>
                <w:spacing w:val="5"/>
                <w:sz w:val="21"/>
                <w:szCs w:val="21"/>
              </w:rPr>
              <w:t>福建省南安智慧城市科技发展有限</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南安</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4" w:right="0"/>
              <w:jc w:val="center"/>
              <w:rPr>
                <w:rFonts w:ascii="宋体" w:hAnsi="宋体" w:cs="宋体" w:eastAsia="宋体" w:hint="default"/>
                <w:sz w:val="21"/>
                <w:szCs w:val="21"/>
              </w:rPr>
            </w:pPr>
            <w:r>
              <w:rPr>
                <w:rFonts w:ascii="宋体" w:hAnsi="宋体" w:cs="宋体" w:eastAsia="宋体" w:hint="default"/>
                <w:sz w:val="21"/>
                <w:szCs w:val="21"/>
              </w:rPr>
              <w:t>南安</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智慧城市</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51.00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福建南威政通科技集团有限公司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河南省南威信息技术集团有限公司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70.00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湖北省南楚信息技术有限公司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武汉</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武汉</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衡阳智慧城市科技发展有限公司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衡阳</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衡阳</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智慧城市</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80.00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北京南威致远科技发展有限公司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65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福建省集瀚海洋科技有限公司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厦门</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4" w:right="0"/>
              <w:jc w:val="center"/>
              <w:rPr>
                <w:rFonts w:ascii="宋体" w:hAnsi="宋体" w:cs="宋体" w:eastAsia="宋体" w:hint="default"/>
                <w:sz w:val="21"/>
                <w:szCs w:val="21"/>
              </w:rPr>
            </w:pPr>
            <w:r>
              <w:rPr>
                <w:rFonts w:ascii="宋体" w:hAnsi="宋体" w:cs="宋体" w:eastAsia="宋体" w:hint="default"/>
                <w:sz w:val="21"/>
                <w:szCs w:val="21"/>
              </w:rPr>
              <w:t>厦门</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0"/>
              <w:jc w:val="left"/>
              <w:rPr>
                <w:rFonts w:ascii="宋体" w:hAnsi="宋体" w:cs="宋体" w:eastAsia="宋体" w:hint="default"/>
                <w:sz w:val="21"/>
                <w:szCs w:val="21"/>
              </w:rPr>
            </w:pPr>
            <w:r>
              <w:rPr>
                <w:rFonts w:ascii="宋体" w:hAnsi="宋体" w:cs="宋体" w:eastAsia="宋体" w:hint="default"/>
                <w:spacing w:val="16"/>
                <w:sz w:val="21"/>
                <w:szCs w:val="21"/>
              </w:rPr>
              <w:t>互联网信息服</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务</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福建威盾工程有限公司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建筑工程</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南威互联网科技集团有限公司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4" w:right="0"/>
              <w:jc w:val="center"/>
              <w:rPr>
                <w:rFonts w:ascii="宋体" w:hAnsi="宋体" w:cs="宋体" w:eastAsia="宋体" w:hint="default"/>
                <w:sz w:val="21"/>
                <w:szCs w:val="21"/>
              </w:rPr>
            </w:pPr>
            <w:r>
              <w:rPr>
                <w:rFonts w:ascii="宋体" w:hAnsi="宋体" w:cs="宋体" w:eastAsia="宋体" w:hint="default"/>
                <w:sz w:val="21"/>
                <w:szCs w:val="21"/>
              </w:rPr>
              <w:t>泉州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上杭智慧杭川科技有限公司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龙岩</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龙岩</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60.00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福建南威软件有限公司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福州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4" w:right="0"/>
              <w:jc w:val="center"/>
              <w:rPr>
                <w:rFonts w:ascii="宋体" w:hAnsi="宋体" w:cs="宋体" w:eastAsia="宋体" w:hint="default"/>
                <w:sz w:val="21"/>
                <w:szCs w:val="21"/>
              </w:rPr>
            </w:pPr>
            <w:r>
              <w:rPr>
                <w:rFonts w:ascii="宋体" w:hAnsi="宋体" w:cs="宋体" w:eastAsia="宋体" w:hint="default"/>
                <w:sz w:val="21"/>
                <w:szCs w:val="21"/>
              </w:rPr>
              <w:t>福州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河南联政创威信息技术有限公司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宿州国正信息科技有限公司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宿州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4" w:right="0"/>
              <w:jc w:val="center"/>
              <w:rPr>
                <w:rFonts w:ascii="宋体" w:hAnsi="宋体" w:cs="宋体" w:eastAsia="宋体" w:hint="default"/>
                <w:sz w:val="21"/>
                <w:szCs w:val="21"/>
              </w:rPr>
            </w:pPr>
            <w:r>
              <w:rPr>
                <w:rFonts w:ascii="宋体" w:hAnsi="宋体" w:cs="宋体" w:eastAsia="宋体" w:hint="default"/>
                <w:sz w:val="21"/>
                <w:szCs w:val="21"/>
              </w:rPr>
              <w:t>宿州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智能信息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z w:val="21"/>
              </w:rPr>
              <w:t>100.00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福建南威智创科技有限公司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福州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80.00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江苏南威信息科技有限公司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4" w:right="0"/>
              <w:jc w:val="center"/>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z w:val="21"/>
              </w:rPr>
              <w:t>60.00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南威软件（山东）有限公司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烟台</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烟台</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南威科技（柬埔寨）有限公司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金边</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4" w:right="0"/>
              <w:jc w:val="center"/>
              <w:rPr>
                <w:rFonts w:ascii="宋体" w:hAnsi="宋体" w:cs="宋体" w:eastAsia="宋体" w:hint="default"/>
                <w:sz w:val="21"/>
                <w:szCs w:val="21"/>
              </w:rPr>
            </w:pPr>
            <w:r>
              <w:rPr>
                <w:rFonts w:ascii="宋体" w:hAnsi="宋体" w:cs="宋体" w:eastAsia="宋体" w:hint="default"/>
                <w:sz w:val="21"/>
                <w:szCs w:val="21"/>
              </w:rPr>
              <w:t>金边</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z w:val="21"/>
              </w:rPr>
              <w:t>80.00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65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103" w:right="98"/>
              <w:jc w:val="left"/>
              <w:rPr>
                <w:rFonts w:ascii="宋体" w:hAnsi="宋体" w:cs="宋体" w:eastAsia="宋体" w:hint="default"/>
                <w:sz w:val="21"/>
                <w:szCs w:val="21"/>
              </w:rPr>
            </w:pPr>
            <w:r>
              <w:rPr>
                <w:rFonts w:ascii="宋体" w:hAnsi="宋体" w:cs="宋体" w:eastAsia="宋体" w:hint="default"/>
                <w:spacing w:val="-8"/>
                <w:sz w:val="21"/>
                <w:szCs w:val="21"/>
              </w:rPr>
              <w:t>南威利民（邹城）智慧城市运营有限</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宋体" w:hAnsi="宋体" w:cs="宋体" w:eastAsia="宋体" w:hint="default"/>
                <w:sz w:val="21"/>
                <w:szCs w:val="21"/>
              </w:rPr>
            </w:pPr>
            <w:r>
              <w:rPr>
                <w:rFonts w:ascii="宋体" w:hAnsi="宋体" w:cs="宋体" w:eastAsia="宋体" w:hint="default"/>
                <w:sz w:val="21"/>
                <w:szCs w:val="21"/>
              </w:rPr>
              <w:t>邹城</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4" w:right="0"/>
              <w:jc w:val="center"/>
              <w:rPr>
                <w:rFonts w:ascii="宋体" w:hAnsi="宋体" w:cs="宋体" w:eastAsia="宋体" w:hint="default"/>
                <w:sz w:val="21"/>
                <w:szCs w:val="21"/>
              </w:rPr>
            </w:pPr>
            <w:r>
              <w:rPr>
                <w:rFonts w:ascii="宋体" w:hAnsi="宋体" w:cs="宋体" w:eastAsia="宋体" w:hint="default"/>
                <w:sz w:val="21"/>
                <w:szCs w:val="21"/>
              </w:rPr>
              <w:t>邹城</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宋体" w:hAnsi="宋体" w:cs="宋体" w:eastAsia="宋体" w:hint="default"/>
                <w:sz w:val="21"/>
                <w:szCs w:val="21"/>
              </w:rPr>
            </w:pPr>
            <w:r>
              <w:rPr>
                <w:rFonts w:ascii="宋体" w:hAnsi="宋体" w:cs="宋体" w:eastAsia="宋体" w:hint="default"/>
                <w:sz w:val="21"/>
                <w:szCs w:val="21"/>
              </w:rPr>
              <w:t>智慧城市运营</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95.00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青岛南威信息技术有限公司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青岛</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65.00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深圳太极云软技术有限公司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61.00</w:t>
            </w:r>
          </w:p>
        </w:tc>
        <w:tc>
          <w:tcPr>
            <w:tcW w:w="81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并购</w:t>
            </w:r>
            <w:r>
              <w:rPr>
                <w:rFonts w:ascii="宋体" w:hAnsi="宋体" w:cs="宋体" w:eastAsia="宋体" w:hint="default"/>
                <w:sz w:val="21"/>
                <w:szCs w:val="21"/>
              </w:rPr>
              <w:t> </w:t>
            </w:r>
          </w:p>
        </w:tc>
      </w:tr>
      <w:tr>
        <w:trPr>
          <w:trHeight w:val="32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天津太极云商技术有限公司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并购</w:t>
            </w:r>
            <w:r>
              <w:rPr>
                <w:rFonts w:ascii="宋体" w:hAnsi="宋体" w:cs="宋体" w:eastAsia="宋体" w:hint="default"/>
                <w:sz w:val="21"/>
                <w:szCs w:val="21"/>
              </w:rPr>
              <w:t> </w:t>
            </w:r>
          </w:p>
        </w:tc>
      </w:tr>
      <w:tr>
        <w:trPr>
          <w:trHeight w:val="33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惠州微极云软科技有限公司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惠州</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 w:right="0"/>
              <w:jc w:val="center"/>
              <w:rPr>
                <w:rFonts w:ascii="宋体" w:hAnsi="宋体" w:cs="宋体" w:eastAsia="宋体" w:hint="default"/>
                <w:sz w:val="21"/>
                <w:szCs w:val="21"/>
              </w:rPr>
            </w:pPr>
            <w:r>
              <w:rPr>
                <w:rFonts w:ascii="宋体" w:hAnsi="宋体" w:cs="宋体" w:eastAsia="宋体" w:hint="default"/>
                <w:sz w:val="21"/>
                <w:szCs w:val="21"/>
              </w:rPr>
              <w:t>惠州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并购</w:t>
            </w:r>
            <w:r>
              <w:rPr>
                <w:rFonts w:ascii="宋体" w:hAnsi="宋体" w:cs="宋体" w:eastAsia="宋体" w:hint="default"/>
                <w:sz w:val="21"/>
                <w:szCs w:val="21"/>
              </w:rPr>
              <w:t> </w:t>
            </w:r>
          </w:p>
        </w:tc>
      </w:tr>
      <w:tr>
        <w:trPr>
          <w:trHeight w:val="650"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97"/>
              <w:jc w:val="left"/>
              <w:rPr>
                <w:rFonts w:ascii="宋体" w:hAnsi="宋体" w:cs="宋体" w:eastAsia="宋体" w:hint="default"/>
                <w:sz w:val="21"/>
                <w:szCs w:val="21"/>
              </w:rPr>
            </w:pPr>
            <w:r>
              <w:rPr>
                <w:rFonts w:ascii="宋体" w:hAnsi="宋体" w:cs="宋体" w:eastAsia="宋体" w:hint="default"/>
                <w:spacing w:val="5"/>
                <w:sz w:val="21"/>
                <w:szCs w:val="21"/>
              </w:rPr>
              <w:t>开封市大数据智慧城市研究院有限</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开封</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4" w:right="0"/>
              <w:jc w:val="center"/>
              <w:rPr>
                <w:rFonts w:ascii="宋体" w:hAnsi="宋体" w:cs="宋体" w:eastAsia="宋体" w:hint="default"/>
                <w:sz w:val="21"/>
                <w:szCs w:val="21"/>
              </w:rPr>
            </w:pPr>
            <w:r>
              <w:rPr>
                <w:rFonts w:ascii="宋体" w:hAnsi="宋体" w:cs="宋体" w:eastAsia="宋体" w:hint="default"/>
                <w:sz w:val="21"/>
                <w:szCs w:val="21"/>
              </w:rPr>
              <w:t>开封</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sz w:val="21"/>
                <w:szCs w:val="21"/>
              </w:rPr>
              <w:t>并购</w:t>
            </w:r>
            <w:r>
              <w:rPr>
                <w:rFonts w:ascii="宋体" w:hAnsi="宋体" w:cs="宋体" w:eastAsia="宋体" w:hint="default"/>
                <w:sz w:val="21"/>
                <w:szCs w:val="21"/>
              </w:rPr>
              <w:t> </w:t>
            </w:r>
          </w:p>
        </w:tc>
      </w:tr>
      <w:tr>
        <w:trPr>
          <w:trHeight w:val="650"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黑龙江云软信息技术有限公司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哈尔滨</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9"/>
              <w:jc w:val="left"/>
              <w:rPr>
                <w:rFonts w:ascii="宋体" w:hAnsi="宋体" w:cs="宋体" w:eastAsia="宋体" w:hint="default"/>
                <w:sz w:val="21"/>
                <w:szCs w:val="21"/>
              </w:rPr>
            </w:pPr>
            <w:r>
              <w:rPr>
                <w:rFonts w:ascii="宋体" w:hAnsi="宋体" w:cs="宋体" w:eastAsia="宋体" w:hint="default"/>
                <w:spacing w:val="45"/>
                <w:w w:val="100"/>
                <w:sz w:val="21"/>
                <w:szCs w:val="21"/>
              </w:rPr>
              <w:t>哈尔</w:t>
            </w:r>
            <w:r>
              <w:rPr>
                <w:rFonts w:ascii="宋体" w:hAnsi="宋体" w:cs="宋体" w:eastAsia="宋体" w:hint="default"/>
                <w:spacing w:val="-14"/>
                <w:sz w:val="21"/>
                <w:szCs w:val="21"/>
              </w:rPr>
              <w:t> </w:t>
            </w:r>
            <w:r>
              <w:rPr>
                <w:rFonts w:ascii="宋体" w:hAnsi="宋体" w:cs="宋体" w:eastAsia="宋体" w:hint="default"/>
                <w:sz w:val="21"/>
                <w:szCs w:val="21"/>
              </w:rPr>
              <w:t>滨</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5"/>
              <w:jc w:val="center"/>
              <w:rPr>
                <w:rFonts w:ascii="宋体" w:hAnsi="宋体" w:cs="宋体" w:eastAsia="宋体" w:hint="default"/>
                <w:sz w:val="21"/>
                <w:szCs w:val="21"/>
              </w:rPr>
            </w:pPr>
            <w:r>
              <w:rPr>
                <w:rFonts w:ascii="宋体" w:hAnsi="宋体" w:cs="宋体" w:eastAsia="宋体" w:hint="default"/>
                <w:sz w:val="21"/>
                <w:szCs w:val="21"/>
              </w:rPr>
              <w:t>并购</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footerReference w:type="default" r:id="rId70"/>
          <w:pgSz w:w="11910" w:h="16840"/>
          <w:pgMar w:footer="979" w:header="857"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485"/>
        <w:gridCol w:w="874"/>
        <w:gridCol w:w="728"/>
        <w:gridCol w:w="1586"/>
        <w:gridCol w:w="814"/>
        <w:gridCol w:w="814"/>
        <w:gridCol w:w="749"/>
      </w:tblGrid>
      <w:tr>
        <w:trPr>
          <w:trHeight w:val="332"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江苏太极软件有限公司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22" w:right="0"/>
              <w:jc w:val="left"/>
              <w:rPr>
                <w:rFonts w:ascii="Times New Roman" w:hAnsi="Times New Roman" w:cs="Times New Roman" w:eastAsia="Times New Roman" w:hint="default"/>
                <w:sz w:val="21"/>
                <w:szCs w:val="21"/>
              </w:rPr>
            </w:pPr>
            <w:r>
              <w:rPr>
                <w:rFonts w:ascii="Times New Roman"/>
                <w:sz w:val="21"/>
              </w:rPr>
              <w:t>100.00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并购</w:t>
            </w:r>
            <w:r>
              <w:rPr>
                <w:rFonts w:ascii="宋体" w:hAnsi="宋体" w:cs="宋体" w:eastAsia="宋体" w:hint="default"/>
                <w:sz w:val="21"/>
                <w:szCs w:val="21"/>
              </w:rPr>
              <w:t> </w:t>
            </w:r>
          </w:p>
        </w:tc>
      </w:tr>
    </w:tbl>
    <w:p>
      <w:pPr>
        <w:spacing w:line="240" w:lineRule="auto" w:before="7"/>
        <w:rPr>
          <w:rFonts w:ascii="Times New Roman" w:hAnsi="Times New Roman" w:cs="Times New Roman" w:eastAsia="Times New Roman" w:hint="default"/>
          <w:sz w:val="21"/>
          <w:szCs w:val="21"/>
        </w:rPr>
      </w:pPr>
    </w:p>
    <w:p>
      <w:pPr>
        <w:pStyle w:val="BodyText"/>
        <w:spacing w:line="278" w:lineRule="auto" w:before="36"/>
        <w:ind w:left="638" w:right="0"/>
        <w:jc w:val="left"/>
      </w:pPr>
      <w:r>
        <w:rPr/>
        <w:t>在子公司的持股比例不同于表决权比例的说明：</w:t>
      </w:r>
      <w:r>
        <w:rPr>
          <w:rFonts w:ascii="宋体" w:hAnsi="宋体" w:cs="宋体" w:eastAsia="宋体" w:hint="default"/>
          <w:w w:val="100"/>
        </w:rPr>
        <w:t> </w:t>
      </w:r>
      <w:r>
        <w:rPr>
          <w:spacing w:val="-2"/>
        </w:rPr>
        <w:t>根据公司战略部署，公司全资子公司福建南威软件有限公司（以下简称“福建南威”）以增</w:t>
      </w:r>
    </w:p>
    <w:p>
      <w:pPr>
        <w:pStyle w:val="BodyText"/>
        <w:spacing w:line="280" w:lineRule="auto" w:before="10"/>
        <w:ind w:right="0"/>
        <w:jc w:val="left"/>
      </w:pPr>
      <w:r>
        <w:rPr>
          <w:spacing w:val="-11"/>
          <w:w w:val="100"/>
        </w:rPr>
        <w:t>资扩股方式引入战略投资者福建省电子信息（集团）有限责任公司（以下简称“电子信息集团”），</w:t>
      </w:r>
      <w:r>
        <w:rPr>
          <w:spacing w:val="-92"/>
          <w:w w:val="100"/>
        </w:rPr>
        <w:t> </w:t>
      </w:r>
      <w:r>
        <w:rPr>
          <w:spacing w:val="-92"/>
          <w:w w:val="100"/>
        </w:rPr>
      </w:r>
      <w:r>
        <w:rPr/>
        <w:t>福建省电子信息集团将以</w:t>
      </w:r>
      <w:r>
        <w:rPr>
          <w:spacing w:val="-45"/>
        </w:rPr>
        <w:t> </w:t>
      </w:r>
      <w:r>
        <w:rPr>
          <w:rFonts w:ascii="Times New Roman" w:hAnsi="Times New Roman" w:cs="Times New Roman" w:eastAsia="Times New Roman" w:hint="default"/>
        </w:rPr>
        <w:t>8,000</w:t>
      </w:r>
      <w:r>
        <w:rPr>
          <w:rFonts w:ascii="Times New Roman" w:hAnsi="Times New Roman" w:cs="Times New Roman" w:eastAsia="Times New Roman" w:hint="default"/>
          <w:spacing w:val="7"/>
        </w:rPr>
        <w:t> </w:t>
      </w:r>
      <w:r>
        <w:rPr>
          <w:spacing w:val="-5"/>
        </w:rPr>
        <w:t>万元（人民币，下同）认购福建南威新增注册资本</w:t>
      </w:r>
      <w:r>
        <w:rPr>
          <w:spacing w:val="-42"/>
        </w:rPr>
        <w:t> </w:t>
      </w:r>
      <w:r>
        <w:rPr>
          <w:rFonts w:ascii="Times New Roman" w:hAnsi="Times New Roman" w:cs="Times New Roman" w:eastAsia="Times New Roman" w:hint="default"/>
        </w:rPr>
        <w:t>2,500</w:t>
      </w:r>
      <w:r>
        <w:rPr>
          <w:rFonts w:ascii="Times New Roman" w:hAnsi="Times New Roman" w:cs="Times New Roman" w:eastAsia="Times New Roman" w:hint="default"/>
          <w:spacing w:val="7"/>
        </w:rPr>
        <w:t> </w:t>
      </w:r>
      <w:r>
        <w:rPr>
          <w:spacing w:val="-7"/>
        </w:rPr>
        <w:t>万元，取</w:t>
      </w:r>
    </w:p>
    <w:p>
      <w:pPr>
        <w:pStyle w:val="BodyText"/>
        <w:spacing w:line="280" w:lineRule="exact"/>
        <w:ind w:right="0"/>
        <w:jc w:val="left"/>
        <w:rPr>
          <w:rFonts w:ascii="Times New Roman" w:hAnsi="Times New Roman" w:cs="Times New Roman" w:eastAsia="Times New Roman" w:hint="default"/>
        </w:rPr>
      </w:pPr>
      <w:r>
        <w:rPr/>
        <w:t>得福建南威 </w:t>
      </w:r>
      <w:r>
        <w:rPr>
          <w:rFonts w:ascii="Times New Roman" w:hAnsi="Times New Roman" w:cs="Times New Roman" w:eastAsia="Times New Roman" w:hint="default"/>
        </w:rPr>
        <w:t>20%</w:t>
      </w:r>
      <w:r>
        <w:rPr/>
        <w:t>的股权。福建南威增资扩股及股权变动相关事项已完成，并于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w:t>
      </w:r>
      <w:r>
        <w:rPr>
          <w:spacing w:val="-67"/>
        </w:rPr>
        <w:t> </w:t>
      </w:r>
      <w:r>
        <w:rPr>
          <w:rFonts w:ascii="Times New Roman" w:hAnsi="Times New Roman" w:cs="Times New Roman" w:eastAsia="Times New Roman" w:hint="default"/>
        </w:rPr>
        <w:t>12</w:t>
      </w:r>
    </w:p>
    <w:p>
      <w:pPr>
        <w:pStyle w:val="BodyText"/>
        <w:spacing w:line="280" w:lineRule="auto" w:before="28"/>
        <w:ind w:left="638" w:right="0" w:hanging="420"/>
        <w:jc w:val="left"/>
      </w:pPr>
      <w:r>
        <w:rPr/>
        <w:t>日完成工商变更手续。</w:t>
      </w:r>
      <w:r>
        <w:rPr>
          <w:w w:val="100"/>
        </w:rPr>
        <w:t> </w:t>
      </w:r>
      <w:r>
        <w:rPr>
          <w:spacing w:val="-2"/>
        </w:rPr>
        <w:t>根据公司、福建南威及电子信息集团签署的《福建南威软件有限公司增资扩股协议》及《福</w:t>
      </w:r>
    </w:p>
    <w:p>
      <w:pPr>
        <w:pStyle w:val="BodyText"/>
        <w:spacing w:line="271" w:lineRule="auto" w:before="8"/>
        <w:ind w:right="228"/>
        <w:jc w:val="both"/>
        <w:rPr>
          <w:rFonts w:ascii="宋体" w:hAnsi="宋体" w:cs="宋体" w:eastAsia="宋体" w:hint="default"/>
        </w:rPr>
      </w:pPr>
      <w:r>
        <w:rPr>
          <w:spacing w:val="-3"/>
        </w:rPr>
        <w:t>建南威软件有限公司增资扩股协议之补充协议》</w:t>
      </w:r>
      <w:r>
        <w:rPr>
          <w:rFonts w:ascii="Times New Roman" w:hAnsi="Times New Roman" w:cs="Times New Roman" w:eastAsia="Times New Roman" w:hint="default"/>
          <w:spacing w:val="-3"/>
        </w:rPr>
        <w:t>,</w:t>
      </w:r>
      <w:r>
        <w:rPr>
          <w:spacing w:val="-3"/>
        </w:rPr>
        <w:t>在福建南威业绩对赌期结束后，电子信息集团有</w:t>
      </w:r>
      <w:r>
        <w:rPr>
          <w:spacing w:val="-25"/>
        </w:rPr>
        <w:t> </w:t>
      </w:r>
      <w:r>
        <w:rPr>
          <w:spacing w:val="-25"/>
        </w:rPr>
      </w:r>
      <w:r>
        <w:rPr>
          <w:spacing w:val="-1"/>
        </w:rPr>
        <w:t>权要求南威软件在约定的时间内回购其所持有的福建南威全部股权，回购方式为支付现金或发行</w:t>
      </w:r>
      <w:r>
        <w:rPr>
          <w:spacing w:val="-55"/>
        </w:rPr>
        <w:t> </w:t>
      </w:r>
      <w:r>
        <w:rPr>
          <w:spacing w:val="-55"/>
        </w:rPr>
      </w:r>
      <w:r>
        <w:rPr>
          <w:spacing w:val="-3"/>
        </w:rPr>
        <w:t>股份，回购的对价按照协议约定条款并视福建南威 </w:t>
      </w:r>
      <w:r>
        <w:rPr>
          <w:rFonts w:ascii="Times New Roman" w:hAnsi="Times New Roman" w:cs="Times New Roman" w:eastAsia="Times New Roman" w:hint="default"/>
        </w:rPr>
        <w:t>2019 </w:t>
      </w:r>
      <w:r>
        <w:rPr>
          <w:spacing w:val="-5"/>
        </w:rPr>
        <w:t>年业绩实现情况确定。因此，电子信息集</w:t>
      </w:r>
      <w:r>
        <w:rPr>
          <w:spacing w:val="-102"/>
        </w:rPr>
        <w:t> </w:t>
      </w:r>
      <w:r>
        <w:rPr>
          <w:spacing w:val="-102"/>
        </w:rPr>
      </w:r>
      <w:r>
        <w:rPr>
          <w:spacing w:val="-1"/>
        </w:rPr>
        <w:t>团对福建南威的投资具有回售选择权及结算选择权，即本投资为一项附可回售的嵌入衍生工具的</w:t>
      </w:r>
      <w:r>
        <w:rPr>
          <w:spacing w:val="-55"/>
        </w:rPr>
        <w:t> </w:t>
      </w:r>
      <w:r>
        <w:rPr>
          <w:spacing w:val="-55"/>
        </w:rPr>
      </w:r>
      <w:r>
        <w:rPr>
          <w:spacing w:val="-2"/>
        </w:rPr>
        <w:t>金融负债。因此在合并报表层面，公司为持有福建南威软件有限公司</w:t>
      </w:r>
      <w:r>
        <w:rPr>
          <w:spacing w:val="14"/>
        </w:rPr>
        <w:t> </w:t>
      </w:r>
      <w:r>
        <w:rPr>
          <w:rFonts w:ascii="Times New Roman" w:hAnsi="Times New Roman" w:cs="Times New Roman" w:eastAsia="Times New Roman" w:hint="default"/>
          <w:spacing w:val="-2"/>
        </w:rPr>
        <w:t>100%</w:t>
      </w:r>
      <w:r>
        <w:rPr>
          <w:spacing w:val="-2"/>
        </w:rPr>
        <w:t>股权。</w:t>
      </w:r>
      <w:r>
        <w:rPr>
          <w:rFonts w:ascii="宋体" w:hAnsi="宋体" w:cs="宋体" w:eastAsia="宋体" w:hint="default"/>
        </w:rPr>
        <w:t> </w:t>
      </w:r>
    </w:p>
    <w:p>
      <w:pPr>
        <w:pStyle w:val="BodyText"/>
        <w:spacing w:line="228"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spacing w:val="-2"/>
        </w:rPr>
        <w:t>持有半数或以下表决权但仍控制被投资单位、以及持有半数以上表决权但不控制被投资单位的依</w:t>
      </w:r>
      <w:r>
        <w:rPr>
          <w:spacing w:val="-25"/>
        </w:rPr>
        <w:t> </w:t>
      </w:r>
      <w:r>
        <w:rPr>
          <w:spacing w:val="-25"/>
        </w:rPr>
      </w:r>
      <w:r>
        <w:rPr/>
        <w:t>据：</w:t>
      </w:r>
      <w:r>
        <w:rPr>
          <w:rFonts w:ascii="宋体" w:hAnsi="宋体" w:cs="宋体" w:eastAsia="宋体" w:hint="default"/>
        </w:rPr>
        <w:t> </w:t>
      </w:r>
    </w:p>
    <w:p>
      <w:pPr>
        <w:pStyle w:val="BodyText"/>
        <w:spacing w:line="269"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37" w:lineRule="auto"/>
        <w:ind w:right="3943"/>
        <w:jc w:val="left"/>
        <w:rPr>
          <w:rFonts w:ascii="宋体" w:hAnsi="宋体" w:cs="宋体" w:eastAsia="宋体" w:hint="default"/>
        </w:rPr>
      </w:pPr>
      <w:r>
        <w:rPr>
          <w:rFonts w:ascii="宋体" w:hAnsi="宋体" w:cs="宋体" w:eastAsia="宋体" w:hint="default"/>
          <w:w w:val="100"/>
        </w:rPr>
        <w:t>  </w:t>
      </w:r>
      <w:r>
        <w:rPr/>
        <w:t>对于纳入合并范围的重要的结构化主体，控制的依据：                                           </w:t>
      </w:r>
      <w:r>
        <w:rPr>
          <w:spacing w:val="100"/>
        </w:rPr>
        <w:t> </w:t>
      </w:r>
      <w:r>
        <w:rPr>
          <w:rFonts w:ascii="宋体" w:hAnsi="宋体" w:cs="宋体" w:eastAsia="宋体" w:hint="default"/>
          <w:spacing w:val="100"/>
        </w:rPr>
      </w:r>
      <w:r>
        <w:rPr>
          <w:spacing w:val="-1"/>
          <w:w w:val="100"/>
        </w:rPr>
        <w:t>无</w:t>
      </w:r>
      <w:r>
        <w:rPr>
          <w:rFonts w:ascii="宋体" w:hAnsi="宋体" w:cs="宋体" w:eastAsia="宋体" w:hint="default"/>
          <w:w w:val="100"/>
        </w:rPr>
        <w:t> </w:t>
      </w:r>
    </w:p>
    <w:p>
      <w:pPr>
        <w:pStyle w:val="BodyText"/>
        <w:spacing w:line="237" w:lineRule="auto" w:before="1"/>
        <w:ind w:right="5308"/>
        <w:jc w:val="left"/>
        <w:rPr>
          <w:rFonts w:ascii="宋体" w:hAnsi="宋体" w:cs="宋体" w:eastAsia="宋体" w:hint="default"/>
        </w:rPr>
      </w:pPr>
      <w:r>
        <w:rPr>
          <w:rFonts w:ascii="宋体" w:hAnsi="宋体" w:cs="宋体" w:eastAsia="宋体" w:hint="default"/>
          <w:w w:val="100"/>
        </w:rPr>
        <w:t>  </w:t>
      </w:r>
      <w:r>
        <w:rPr/>
        <w:t>确定公司是代理人还是委托人的依据：                             </w:t>
      </w:r>
      <w:r>
        <w:rPr>
          <w:spacing w:val="101"/>
        </w:rPr>
        <w:t> </w:t>
      </w:r>
      <w:r>
        <w:rPr>
          <w:rFonts w:ascii="宋体" w:hAnsi="宋体" w:cs="宋体" w:eastAsia="宋体" w:hint="default"/>
          <w:spacing w:val="101"/>
        </w:rPr>
      </w:r>
      <w:r>
        <w:rPr>
          <w:spacing w:val="-1"/>
          <w:w w:val="100"/>
        </w:rPr>
        <w:t>无</w:t>
      </w:r>
      <w:r>
        <w:rPr>
          <w:rFonts w:ascii="宋体" w:hAnsi="宋体" w:cs="宋体" w:eastAsia="宋体" w:hint="default"/>
          <w:w w:val="100"/>
        </w:rPr>
        <w:t> </w:t>
      </w:r>
    </w:p>
    <w:p>
      <w:pPr>
        <w:pStyle w:val="BodyText"/>
        <w:spacing w:line="235" w:lineRule="auto" w:before="2"/>
        <w:ind w:right="7830"/>
        <w:jc w:val="left"/>
        <w:rPr>
          <w:rFonts w:ascii="宋体" w:hAnsi="宋体" w:cs="宋体" w:eastAsia="宋体" w:hint="default"/>
          <w:sz w:val="24"/>
          <w:szCs w:val="24"/>
        </w:rPr>
      </w:pPr>
      <w:r>
        <w:rPr>
          <w:rFonts w:ascii="宋体" w:hAnsi="宋体" w:cs="宋体" w:eastAsia="宋体" w:hint="default"/>
          <w:w w:val="100"/>
        </w:rPr>
        <w:t>  </w:t>
      </w:r>
      <w:r>
        <w:rPr/>
        <w:t>其他说明：    </w:t>
      </w:r>
      <w:r>
        <w:rPr>
          <w:spacing w:val="90"/>
        </w:rPr>
        <w:t> </w:t>
      </w:r>
      <w:r>
        <w:rPr>
          <w:rFonts w:ascii="宋体" w:hAnsi="宋体" w:cs="宋体" w:eastAsia="宋体" w:hint="default"/>
          <w:spacing w:val="90"/>
        </w:rPr>
      </w:r>
      <w:r>
        <w:rPr>
          <w:spacing w:val="-1"/>
          <w:sz w:val="24"/>
          <w:szCs w:val="24"/>
        </w:rPr>
        <w:t>无</w:t>
      </w:r>
      <w:r>
        <w:rPr>
          <w:rFonts w:ascii="宋体" w:hAnsi="宋体" w:cs="宋体" w:eastAsia="宋体" w:hint="default"/>
          <w:sz w:val="24"/>
          <w:szCs w:val="24"/>
        </w:rPr>
        <w:t> </w:t>
      </w:r>
    </w:p>
    <w:p>
      <w:pPr>
        <w:pStyle w:val="Heading3"/>
        <w:spacing w:line="313" w:lineRule="exact"/>
        <w:ind w:left="218" w:right="0"/>
        <w:jc w:val="left"/>
      </w:pPr>
      <w:r>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4"/>
        </w:rPr>
        <w:t> </w:t>
      </w:r>
      <w:r>
        <w:rPr/>
        <w:t>重要的非全资子公司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49"/>
        <w:gridCol w:w="1015"/>
        <w:gridCol w:w="2184"/>
        <w:gridCol w:w="1309"/>
        <w:gridCol w:w="1493"/>
      </w:tblGrid>
      <w:tr>
        <w:trPr>
          <w:trHeight w:val="828"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93"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少数股</w:t>
            </w:r>
          </w:p>
          <w:p>
            <w:pPr>
              <w:pStyle w:val="TableParagraph"/>
              <w:spacing w:line="272" w:lineRule="exact" w:before="27"/>
              <w:ind w:left="290" w:right="83" w:hanging="106"/>
              <w:jc w:val="left"/>
              <w:rPr>
                <w:rFonts w:ascii="宋体" w:hAnsi="宋体" w:cs="宋体" w:eastAsia="宋体" w:hint="default"/>
                <w:sz w:val="21"/>
                <w:szCs w:val="21"/>
              </w:rPr>
            </w:pPr>
            <w:r>
              <w:rPr>
                <w:rFonts w:ascii="宋体" w:hAnsi="宋体" w:cs="宋体" w:eastAsia="宋体" w:hint="default"/>
                <w:sz w:val="21"/>
                <w:szCs w:val="21"/>
              </w:rPr>
              <w:t>东持股</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770" w:right="137" w:hanging="630"/>
              <w:jc w:val="left"/>
              <w:rPr>
                <w:rFonts w:ascii="宋体" w:hAnsi="宋体" w:cs="宋体" w:eastAsia="宋体" w:hint="default"/>
                <w:sz w:val="21"/>
                <w:szCs w:val="21"/>
              </w:rPr>
            </w:pPr>
            <w:r>
              <w:rPr>
                <w:rFonts w:ascii="宋体" w:hAnsi="宋体" w:cs="宋体" w:eastAsia="宋体" w:hint="default"/>
                <w:sz w:val="21"/>
                <w:szCs w:val="21"/>
              </w:rPr>
              <w:t>本期归属于少数股东</w:t>
            </w:r>
            <w:r>
              <w:rPr>
                <w:rFonts w:ascii="宋体" w:hAnsi="宋体" w:cs="宋体" w:eastAsia="宋体" w:hint="default"/>
                <w:w w:val="100"/>
                <w:sz w:val="21"/>
                <w:szCs w:val="21"/>
              </w:rPr>
              <w:t> </w:t>
            </w:r>
            <w:r>
              <w:rPr>
                <w:rFonts w:ascii="宋体" w:hAnsi="宋体" w:cs="宋体" w:eastAsia="宋体" w:hint="default"/>
                <w:sz w:val="21"/>
                <w:szCs w:val="21"/>
              </w:rPr>
              <w:t>的损益</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本期向少数</w:t>
            </w:r>
          </w:p>
          <w:p>
            <w:pPr>
              <w:pStyle w:val="TableParagraph"/>
              <w:spacing w:line="272" w:lineRule="exact" w:before="27"/>
              <w:ind w:left="227" w:right="120" w:hanging="106"/>
              <w:jc w:val="left"/>
              <w:rPr>
                <w:rFonts w:ascii="宋体" w:hAnsi="宋体" w:cs="宋体" w:eastAsia="宋体" w:hint="default"/>
                <w:sz w:val="21"/>
                <w:szCs w:val="21"/>
              </w:rPr>
            </w:pPr>
            <w:r>
              <w:rPr>
                <w:rFonts w:ascii="宋体" w:hAnsi="宋体" w:cs="宋体" w:eastAsia="宋体" w:hint="default"/>
                <w:sz w:val="21"/>
                <w:szCs w:val="21"/>
              </w:rPr>
              <w:t>股东宣告分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派的股利</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28" w:right="101" w:hanging="212"/>
              <w:jc w:val="left"/>
              <w:rPr>
                <w:rFonts w:ascii="宋体" w:hAnsi="宋体" w:cs="宋体" w:eastAsia="宋体" w:hint="default"/>
                <w:sz w:val="21"/>
                <w:szCs w:val="21"/>
              </w:rPr>
            </w:pPr>
            <w:r>
              <w:rPr>
                <w:rFonts w:ascii="宋体" w:hAnsi="宋体" w:cs="宋体" w:eastAsia="宋体" w:hint="default"/>
                <w:sz w:val="21"/>
                <w:szCs w:val="21"/>
              </w:rPr>
              <w:t>期末少数股东</w:t>
            </w:r>
            <w:r>
              <w:rPr>
                <w:rFonts w:ascii="宋体" w:hAnsi="宋体" w:cs="宋体" w:eastAsia="宋体" w:hint="default"/>
                <w:w w:val="100"/>
                <w:sz w:val="21"/>
                <w:szCs w:val="21"/>
              </w:rPr>
              <w:t> </w:t>
            </w:r>
            <w:r>
              <w:rPr>
                <w:rFonts w:ascii="宋体" w:hAnsi="宋体" w:cs="宋体" w:eastAsia="宋体" w:hint="default"/>
                <w:sz w:val="21"/>
                <w:szCs w:val="21"/>
              </w:rPr>
              <w:t>权益余额</w:t>
            </w:r>
            <w:r>
              <w:rPr>
                <w:rFonts w:ascii="宋体" w:hAnsi="宋体" w:cs="宋体" w:eastAsia="宋体" w:hint="default"/>
                <w:sz w:val="21"/>
                <w:szCs w:val="21"/>
              </w:rPr>
              <w:t> </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深圳极云软件技术有限公司</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8" w:right="0"/>
              <w:jc w:val="left"/>
              <w:rPr>
                <w:rFonts w:ascii="Times New Roman" w:hAnsi="Times New Roman" w:cs="Times New Roman" w:eastAsia="Times New Roman" w:hint="default"/>
                <w:sz w:val="21"/>
                <w:szCs w:val="21"/>
              </w:rPr>
            </w:pPr>
            <w:r>
              <w:rPr>
                <w:rFonts w:ascii="Times New Roman"/>
                <w:sz w:val="21"/>
              </w:rPr>
              <w:t>39%</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4" w:right="0"/>
              <w:jc w:val="left"/>
              <w:rPr>
                <w:rFonts w:ascii="Times New Roman" w:hAnsi="Times New Roman" w:cs="Times New Roman" w:eastAsia="Times New Roman" w:hint="default"/>
                <w:sz w:val="21"/>
                <w:szCs w:val="21"/>
              </w:rPr>
            </w:pPr>
            <w:r>
              <w:rPr>
                <w:rFonts w:ascii="Times New Roman"/>
                <w:sz w:val="21"/>
              </w:rPr>
              <w:t>15,339,136.99</w:t>
            </w:r>
          </w:p>
        </w:tc>
        <w:tc>
          <w:tcPr>
            <w:tcW w:w="130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Times New Roman" w:hAnsi="Times New Roman" w:cs="Times New Roman" w:eastAsia="Times New Roman" w:hint="default"/>
                <w:sz w:val="21"/>
                <w:szCs w:val="21"/>
              </w:rPr>
            </w:pPr>
            <w:r>
              <w:rPr>
                <w:rFonts w:ascii="Times New Roman"/>
                <w:sz w:val="21"/>
              </w:rPr>
              <w:t>47,165,564.75</w:t>
            </w:r>
          </w:p>
        </w:tc>
      </w:tr>
    </w:tbl>
    <w:p>
      <w:pPr>
        <w:pStyle w:val="BodyText"/>
        <w:spacing w:line="240" w:lineRule="exact"/>
        <w:ind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270" w:lineRule="exact"/>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218" w:right="0"/>
        <w:jc w:val="left"/>
      </w:pPr>
      <w:r>
        <w:rPr/>
        <w:t> </w:t>
      </w:r>
    </w:p>
    <w:p>
      <w:pPr>
        <w:pStyle w:val="BodyText"/>
        <w:spacing w:line="274" w:lineRule="exact" w:before="4"/>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tabs>
          <w:tab w:pos="3098" w:val="left" w:leader="none"/>
        </w:tabs>
        <w:spacing w:line="309" w:lineRule="exact"/>
        <w:ind w:left="218" w:right="0"/>
        <w:jc w:val="left"/>
      </w:pPr>
      <w:r>
        <w:rPr/>
        <w:t> </w:t>
        <w:tab/>
        <w:t> </w:t>
      </w:r>
    </w:p>
    <w:p>
      <w:pPr>
        <w:spacing w:after="0" w:line="309" w:lineRule="exact"/>
        <w:jc w:val="left"/>
        <w:sectPr>
          <w:footerReference w:type="default" r:id="rId71"/>
          <w:pgSz w:w="11910" w:h="16840"/>
          <w:pgMar w:footer="979" w:header="857" w:top="1120" w:bottom="1160" w:left="1580" w:right="1040"/>
        </w:sectPr>
      </w:pPr>
    </w:p>
    <w:p>
      <w:pPr>
        <w:spacing w:before="45"/>
        <w:ind w:left="3916" w:right="0" w:firstLine="0"/>
        <w:jc w:val="left"/>
        <w:rPr>
          <w:rFonts w:ascii="宋体" w:hAnsi="宋体" w:cs="宋体" w:eastAsia="宋体" w:hint="default"/>
          <w:sz w:val="18"/>
          <w:szCs w:val="18"/>
        </w:rPr>
      </w:pPr>
      <w:r>
        <w:rPr/>
        <w:pict>
          <v:shape style="position:absolute;margin-left:205.449997pt;margin-top:3.521709pt;width:51.594pt;height:9.2pt;mso-position-horizontal-relative:page;mso-position-vertical-relative:paragraph;z-index:-1169896" type="#_x0000_t75" stroked="false">
            <v:imagedata r:id="rId18" o:title=""/>
          </v:shape>
        </w:pict>
      </w: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72"/>
          <w:footerReference w:type="default" r:id="rId73"/>
          <w:pgSz w:w="16840" w:h="11910" w:orient="landscape"/>
          <w:pgMar w:header="0" w:footer="0" w:top="780" w:bottom="280" w:left="1220" w:right="1300"/>
        </w:sectPr>
      </w:pPr>
    </w:p>
    <w:p>
      <w:pPr>
        <w:pStyle w:val="Heading3"/>
        <w:spacing w:line="240" w:lineRule="auto" w:before="26"/>
        <w:ind w:left="220" w:right="0"/>
        <w:jc w:val="left"/>
      </w:pPr>
      <w:r>
        <w:rPr/>
        <w:t> </w:t>
      </w:r>
    </w:p>
    <w:p>
      <w:pPr>
        <w:pStyle w:val="Heading4"/>
        <w:spacing w:line="240" w:lineRule="auto" w:before="61"/>
        <w:ind w:left="220"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48"/>
        </w:rPr>
        <w:t> </w:t>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BodyText"/>
        <w:spacing w:line="240" w:lineRule="auto"/>
        <w:ind w:left="220" w:right="0"/>
        <w:jc w:val="left"/>
        <w:rPr>
          <w:rFonts w:ascii="宋体" w:hAnsi="宋体" w:cs="宋体" w:eastAsia="宋体" w:hint="default"/>
          <w:sz w:val="24"/>
          <w:szCs w:val="24"/>
        </w:rPr>
      </w:pPr>
      <w:r>
        <w:rPr/>
        <w:t>单位</w:t>
      </w:r>
      <w:r>
        <w:rPr>
          <w:rFonts w:ascii="宋体" w:hAnsi="宋体" w:cs="宋体" w:eastAsia="宋体" w:hint="default"/>
        </w:rPr>
        <w:t>:</w:t>
      </w:r>
      <w:r>
        <w:rPr/>
        <w:t>万元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500" w:bottom="280" w:left="1220" w:right="1300"/>
          <w:cols w:num="2" w:equalWidth="0">
            <w:col w:w="3972" w:space="7591"/>
            <w:col w:w="275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16"/>
        <w:gridCol w:w="1711"/>
        <w:gridCol w:w="968"/>
        <w:gridCol w:w="1073"/>
        <w:gridCol w:w="1073"/>
        <w:gridCol w:w="806"/>
        <w:gridCol w:w="1076"/>
        <w:gridCol w:w="1073"/>
        <w:gridCol w:w="967"/>
        <w:gridCol w:w="1076"/>
        <w:gridCol w:w="1073"/>
        <w:gridCol w:w="806"/>
        <w:gridCol w:w="1073"/>
      </w:tblGrid>
      <w:tr>
        <w:trPr>
          <w:trHeight w:val="283" w:hRule="exact"/>
        </w:trPr>
        <w:tc>
          <w:tcPr>
            <w:tcW w:w="13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670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0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5" w:hRule="exact"/>
        </w:trPr>
        <w:tc>
          <w:tcPr>
            <w:tcW w:w="1316" w:type="dxa"/>
            <w:vMerge/>
            <w:tcBorders>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9"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非流动资</w:t>
            </w:r>
          </w:p>
          <w:p>
            <w:pPr>
              <w:pStyle w:val="TableParagraph"/>
              <w:spacing w:line="273" w:lineRule="exact"/>
              <w:ind w:left="160" w:right="0"/>
              <w:jc w:val="center"/>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3" w:lineRule="exact"/>
              <w:ind w:left="160"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非流动资</w:t>
            </w:r>
          </w:p>
          <w:p>
            <w:pPr>
              <w:pStyle w:val="TableParagraph"/>
              <w:spacing w:line="273" w:lineRule="exact"/>
              <w:ind w:left="160" w:right="0"/>
              <w:jc w:val="center"/>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3" w:lineRule="exact"/>
              <w:ind w:left="160"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r>
      <w:tr>
        <w:trPr>
          <w:trHeight w:val="826"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深圳太极云</w:t>
            </w:r>
          </w:p>
          <w:p>
            <w:pPr>
              <w:pStyle w:val="TableParagraph"/>
              <w:spacing w:line="240" w:lineRule="auto"/>
              <w:ind w:left="103" w:right="147"/>
              <w:jc w:val="left"/>
              <w:rPr>
                <w:rFonts w:ascii="宋体" w:hAnsi="宋体" w:cs="宋体" w:eastAsia="宋体" w:hint="default"/>
                <w:sz w:val="21"/>
                <w:szCs w:val="21"/>
              </w:rPr>
            </w:pPr>
            <w:r>
              <w:rPr>
                <w:rFonts w:ascii="宋体" w:hAnsi="宋体" w:cs="宋体" w:eastAsia="宋体" w:hint="default"/>
                <w:sz w:val="21"/>
                <w:szCs w:val="21"/>
              </w:rPr>
              <w:t>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58" w:right="0"/>
              <w:jc w:val="left"/>
              <w:rPr>
                <w:rFonts w:ascii="Times New Roman" w:hAnsi="Times New Roman" w:cs="Times New Roman" w:eastAsia="Times New Roman" w:hint="default"/>
                <w:sz w:val="21"/>
                <w:szCs w:val="21"/>
              </w:rPr>
            </w:pPr>
            <w:r>
              <w:rPr>
                <w:rFonts w:ascii="Times New Roman"/>
                <w:sz w:val="21"/>
              </w:rPr>
              <w:t>19,911.95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6,020.08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25,932.03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13,393.42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540.20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13,933.62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16,274.67</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5,400.96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21,675.63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12,969.14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546.26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13,515.40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348"/>
        <w:gridCol w:w="1404"/>
        <w:gridCol w:w="1342"/>
        <w:gridCol w:w="1483"/>
        <w:gridCol w:w="1644"/>
        <w:gridCol w:w="1404"/>
        <w:gridCol w:w="1340"/>
        <w:gridCol w:w="1486"/>
        <w:gridCol w:w="1639"/>
      </w:tblGrid>
      <w:tr>
        <w:trPr>
          <w:trHeight w:val="322" w:hRule="exact"/>
        </w:trPr>
        <w:tc>
          <w:tcPr>
            <w:tcW w:w="234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58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58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636" w:hRule="exact"/>
        </w:trPr>
        <w:tc>
          <w:tcPr>
            <w:tcW w:w="2348" w:type="dxa"/>
            <w:vMerge/>
            <w:tcBorders>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75"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1"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宋体" w:hAnsi="宋体" w:cs="宋体" w:eastAsia="宋体" w:hint="default"/>
                <w:sz w:val="21"/>
                <w:szCs w:val="21"/>
              </w:rPr>
            </w:pPr>
            <w:r>
              <w:rPr>
                <w:rFonts w:ascii="宋体" w:hAnsi="宋体" w:cs="宋体" w:eastAsia="宋体" w:hint="default"/>
                <w:spacing w:val="-2"/>
                <w:sz w:val="21"/>
                <w:szCs w:val="21"/>
              </w:rPr>
              <w:t>综合收益总额</w:t>
            </w:r>
            <w:r>
              <w:rPr>
                <w:rFonts w:ascii="宋体" w:hAnsi="宋体" w:cs="宋体" w:eastAsia="宋体" w:hint="default"/>
                <w:sz w:val="21"/>
                <w:szCs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9"/>
              <w:ind w:left="105" w:right="0"/>
              <w:jc w:val="center"/>
              <w:rPr>
                <w:rFonts w:ascii="宋体" w:hAnsi="宋体" w:cs="宋体" w:eastAsia="宋体" w:hint="default"/>
                <w:sz w:val="21"/>
                <w:szCs w:val="21"/>
              </w:rPr>
            </w:pPr>
            <w:r>
              <w:rPr>
                <w:rFonts w:ascii="宋体" w:hAnsi="宋体" w:cs="宋体" w:eastAsia="宋体" w:hint="default"/>
                <w:sz w:val="21"/>
                <w:szCs w:val="21"/>
              </w:rPr>
              <w:t>流量</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75"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0"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宋体" w:hAnsi="宋体" w:cs="宋体" w:eastAsia="宋体" w:hint="default"/>
                <w:sz w:val="21"/>
                <w:szCs w:val="21"/>
              </w:rPr>
            </w:pPr>
            <w:r>
              <w:rPr>
                <w:rFonts w:ascii="宋体" w:hAnsi="宋体" w:cs="宋体" w:eastAsia="宋体" w:hint="default"/>
                <w:spacing w:val="-2"/>
                <w:sz w:val="21"/>
                <w:szCs w:val="21"/>
              </w:rPr>
              <w:t>综合收益总额</w:t>
            </w:r>
            <w:r>
              <w:rPr>
                <w:rFonts w:ascii="宋体" w:hAnsi="宋体" w:cs="宋体" w:eastAsia="宋体" w:hint="default"/>
                <w:sz w:val="21"/>
                <w:szCs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9"/>
              <w:ind w:left="105" w:right="0"/>
              <w:jc w:val="center"/>
              <w:rPr>
                <w:rFonts w:ascii="宋体" w:hAnsi="宋体" w:cs="宋体" w:eastAsia="宋体" w:hint="default"/>
                <w:sz w:val="21"/>
                <w:szCs w:val="21"/>
              </w:rPr>
            </w:pPr>
            <w:r>
              <w:rPr>
                <w:rFonts w:ascii="宋体" w:hAnsi="宋体" w:cs="宋体" w:eastAsia="宋体" w:hint="default"/>
                <w:sz w:val="21"/>
                <w:szCs w:val="21"/>
              </w:rPr>
              <w:t>流量</w:t>
            </w:r>
            <w:r>
              <w:rPr>
                <w:rFonts w:ascii="宋体" w:hAnsi="宋体" w:cs="宋体" w:eastAsia="宋体" w:hint="default"/>
                <w:sz w:val="21"/>
                <w:szCs w:val="21"/>
              </w:rPr>
              <w:t> </w:t>
            </w:r>
          </w:p>
        </w:tc>
      </w:tr>
      <w:tr>
        <w:trPr>
          <w:trHeight w:val="639"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深圳太极云软技术有限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451" w:right="0"/>
              <w:jc w:val="left"/>
              <w:rPr>
                <w:rFonts w:ascii="Times New Roman" w:hAnsi="Times New Roman" w:cs="Times New Roman" w:eastAsia="Times New Roman" w:hint="default"/>
                <w:sz w:val="21"/>
                <w:szCs w:val="21"/>
              </w:rPr>
            </w:pPr>
            <w:r>
              <w:rPr>
                <w:rFonts w:ascii="Times New Roman"/>
                <w:sz w:val="21"/>
              </w:rPr>
              <w:t>23,373.57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495" w:right="0"/>
              <w:jc w:val="left"/>
              <w:rPr>
                <w:rFonts w:ascii="Times New Roman" w:hAnsi="Times New Roman" w:cs="Times New Roman" w:eastAsia="Times New Roman" w:hint="default"/>
                <w:sz w:val="21"/>
                <w:szCs w:val="21"/>
              </w:rPr>
            </w:pPr>
            <w:r>
              <w:rPr>
                <w:rFonts w:ascii="Times New Roman"/>
                <w:sz w:val="21"/>
              </w:rPr>
              <w:t>3,885.86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96"/>
              <w:jc w:val="right"/>
              <w:rPr>
                <w:rFonts w:ascii="Times New Roman" w:hAnsi="Times New Roman" w:cs="Times New Roman" w:eastAsia="Times New Roman" w:hint="default"/>
                <w:sz w:val="21"/>
                <w:szCs w:val="21"/>
              </w:rPr>
            </w:pPr>
            <w:r>
              <w:rPr>
                <w:rFonts w:ascii="Times New Roman"/>
                <w:spacing w:val="-1"/>
                <w:sz w:val="21"/>
              </w:rPr>
              <w:t>3,885.86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796" w:right="0"/>
              <w:jc w:val="left"/>
              <w:rPr>
                <w:rFonts w:ascii="Times New Roman" w:hAnsi="Times New Roman" w:cs="Times New Roman" w:eastAsia="Times New Roman" w:hint="default"/>
                <w:sz w:val="21"/>
                <w:szCs w:val="21"/>
              </w:rPr>
            </w:pPr>
            <w:r>
              <w:rPr>
                <w:rFonts w:ascii="Times New Roman"/>
                <w:sz w:val="21"/>
              </w:rPr>
              <w:t>1,482.40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556" w:right="0"/>
              <w:jc w:val="left"/>
              <w:rPr>
                <w:rFonts w:ascii="Times New Roman" w:hAnsi="Times New Roman" w:cs="Times New Roman" w:eastAsia="Times New Roman" w:hint="default"/>
                <w:sz w:val="21"/>
                <w:szCs w:val="21"/>
              </w:rPr>
            </w:pPr>
            <w:r>
              <w:rPr>
                <w:rFonts w:ascii="Times New Roman"/>
                <w:sz w:val="21"/>
              </w:rPr>
              <w:t>7,030.97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494" w:right="0"/>
              <w:jc w:val="left"/>
              <w:rPr>
                <w:rFonts w:ascii="Times New Roman" w:hAnsi="Times New Roman" w:cs="Times New Roman" w:eastAsia="Times New Roman" w:hint="default"/>
                <w:sz w:val="21"/>
                <w:szCs w:val="21"/>
              </w:rPr>
            </w:pPr>
            <w:r>
              <w:rPr>
                <w:rFonts w:ascii="Times New Roman"/>
                <w:sz w:val="21"/>
              </w:rPr>
              <w:t>2,393.65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98"/>
              <w:jc w:val="right"/>
              <w:rPr>
                <w:rFonts w:ascii="Times New Roman" w:hAnsi="Times New Roman" w:cs="Times New Roman" w:eastAsia="Times New Roman" w:hint="default"/>
                <w:sz w:val="21"/>
                <w:szCs w:val="21"/>
              </w:rPr>
            </w:pPr>
            <w:r>
              <w:rPr>
                <w:rFonts w:ascii="Times New Roman"/>
                <w:spacing w:val="-1"/>
                <w:sz w:val="21"/>
              </w:rPr>
              <w:t>2,393.65</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792" w:right="0"/>
              <w:jc w:val="left"/>
              <w:rPr>
                <w:rFonts w:ascii="Times New Roman" w:hAnsi="Times New Roman" w:cs="Times New Roman" w:eastAsia="Times New Roman" w:hint="default"/>
                <w:sz w:val="21"/>
                <w:szCs w:val="21"/>
              </w:rPr>
            </w:pPr>
            <w:r>
              <w:rPr>
                <w:rFonts w:ascii="Times New Roman"/>
                <w:sz w:val="21"/>
              </w:rPr>
              <w:t>3,516.31</w:t>
            </w:r>
          </w:p>
        </w:tc>
      </w:tr>
    </w:tbl>
    <w:p>
      <w:pPr>
        <w:pStyle w:val="BodyText"/>
        <w:spacing w:line="236" w:lineRule="exact"/>
        <w:ind w:left="220" w:right="0"/>
        <w:jc w:val="left"/>
        <w:rPr>
          <w:rFonts w:ascii="宋体" w:hAnsi="宋体" w:cs="宋体" w:eastAsia="宋体" w:hint="default"/>
        </w:rPr>
      </w:pPr>
      <w:r>
        <w:rPr>
          <w:rFonts w:ascii="宋体"/>
          <w:w w:val="100"/>
        </w:rPr>
        <w:t> </w:t>
      </w:r>
    </w:p>
    <w:p>
      <w:pPr>
        <w:spacing w:line="312" w:lineRule="exact" w:before="25"/>
        <w:ind w:left="220" w:right="10173" w:firstLine="0"/>
        <w:jc w:val="left"/>
        <w:rPr>
          <w:rFonts w:ascii="宋体" w:hAnsi="宋体" w:cs="宋体" w:eastAsia="宋体" w:hint="default"/>
          <w:sz w:val="24"/>
          <w:szCs w:val="24"/>
        </w:rPr>
      </w:pPr>
      <w:r>
        <w:rPr>
          <w:rFonts w:ascii="宋体" w:hAnsi="宋体" w:cs="宋体" w:eastAsia="宋体" w:hint="default"/>
          <w:sz w:val="24"/>
          <w:szCs w:val="24"/>
        </w:rPr>
        <w:t>其他说明：</w:t>
      </w:r>
      <w:r>
        <w:rPr>
          <w:rFonts w:ascii="宋体" w:hAnsi="宋体" w:cs="宋体" w:eastAsia="宋体" w:hint="default"/>
          <w:sz w:val="24"/>
          <w:szCs w:val="24"/>
        </w:rPr>
        <w:t> </w:t>
      </w:r>
      <w:r>
        <w:rPr>
          <w:rFonts w:ascii="宋体" w:hAnsi="宋体" w:cs="宋体" w:eastAsia="宋体" w:hint="default"/>
          <w:sz w:val="24"/>
          <w:szCs w:val="24"/>
        </w:rPr>
        <w:t>注：</w:t>
      </w:r>
      <w:r>
        <w:rPr>
          <w:rFonts w:ascii="宋体" w:hAnsi="宋体" w:cs="宋体" w:eastAsia="宋体" w:hint="default"/>
          <w:sz w:val="21"/>
          <w:szCs w:val="21"/>
        </w:rPr>
        <w:t>主要财务信息以公允价值列报</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76"/>
        <w:ind w:left="4958" w:right="4961" w:firstLine="0"/>
        <w:jc w:val="center"/>
        <w:rPr>
          <w:rFonts w:ascii="Times New Roman" w:hAnsi="Times New Roman" w:cs="Times New Roman" w:eastAsia="Times New Roman" w:hint="default"/>
          <w:sz w:val="18"/>
          <w:szCs w:val="18"/>
        </w:rPr>
      </w:pPr>
      <w:r>
        <w:rPr>
          <w:rFonts w:ascii="Times New Roman"/>
          <w:b/>
          <w:sz w:val="18"/>
        </w:rPr>
        <w:t>202 </w:t>
      </w:r>
      <w:r>
        <w:rPr>
          <w:rFonts w:ascii="Times New Roman"/>
          <w:sz w:val="18"/>
        </w:rPr>
        <w:t>/</w:t>
      </w:r>
      <w:r>
        <w:rPr>
          <w:rFonts w:ascii="Times New Roman"/>
          <w:spacing w:val="-2"/>
          <w:sz w:val="18"/>
        </w:rPr>
        <w:t> </w:t>
      </w:r>
      <w:r>
        <w:rPr>
          <w:rFonts w:ascii="Times New Roman"/>
          <w:b/>
          <w:sz w:val="18"/>
        </w:rPr>
        <w:t>237</w:t>
      </w:r>
      <w:r>
        <w:rPr>
          <w:rFonts w:ascii="Times New Roman"/>
          <w:sz w:val="18"/>
        </w:rPr>
      </w:r>
    </w:p>
    <w:p>
      <w:pPr>
        <w:spacing w:after="0"/>
        <w:jc w:val="center"/>
        <w:rPr>
          <w:rFonts w:ascii="Times New Roman" w:hAnsi="Times New Roman" w:cs="Times New Roman" w:eastAsia="Times New Roman" w:hint="default"/>
          <w:sz w:val="18"/>
          <w:szCs w:val="18"/>
        </w:rPr>
        <w:sectPr>
          <w:type w:val="continuous"/>
          <w:pgSz w:w="16840" w:h="11910" w:orient="landscape"/>
          <w:pgMar w:top="1500" w:bottom="280" w:left="1220" w:right="1300"/>
        </w:sectPr>
      </w:pPr>
    </w:p>
    <w:p>
      <w:pPr>
        <w:spacing w:line="240" w:lineRule="auto" w:before="8"/>
        <w:rPr>
          <w:rFonts w:ascii="Times New Roman" w:hAnsi="Times New Roman" w:cs="Times New Roman" w:eastAsia="Times New Roman" w:hint="default"/>
          <w:b/>
          <w:bCs/>
          <w:sz w:val="28"/>
          <w:szCs w:val="28"/>
        </w:rPr>
      </w:pPr>
    </w:p>
    <w:p>
      <w:pPr>
        <w:spacing w:after="0" w:line="240" w:lineRule="auto"/>
        <w:rPr>
          <w:rFonts w:ascii="Times New Roman" w:hAnsi="Times New Roman" w:cs="Times New Roman" w:eastAsia="Times New Roman" w:hint="default"/>
          <w:sz w:val="28"/>
          <w:szCs w:val="28"/>
        </w:rPr>
        <w:sectPr>
          <w:footerReference w:type="default" r:id="rId74"/>
          <w:pgSz w:w="11910" w:h="16840"/>
          <w:pgMar w:footer="979" w:header="0" w:top="1120" w:bottom="1160" w:left="1580" w:right="1040"/>
          <w:pgNumType w:start="203"/>
        </w:sectPr>
      </w:pPr>
    </w:p>
    <w:p>
      <w:pPr>
        <w:pStyle w:val="Heading3"/>
        <w:spacing w:line="240" w:lineRule="auto" w:before="26"/>
        <w:ind w:left="218" w:right="0"/>
        <w:jc w:val="left"/>
      </w:pPr>
      <w:r>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8"/>
        </w:rPr>
        <w:t> </w:t>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58"/>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3"/>
        <w:spacing w:line="309" w:lineRule="exact"/>
        <w:ind w:left="218" w:right="0"/>
        <w:jc w:val="left"/>
      </w:pPr>
      <w:r>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8"/>
        </w:rPr>
        <w:t> </w:t>
      </w:r>
      <w:r>
        <w:rPr/>
        <w:t>向纳入合并财务报表范围的结构化主体提供的财务支持或其他支持</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56"/>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2"/>
        <w:spacing w:line="310" w:lineRule="exact"/>
        <w:ind w:left="218" w:right="0"/>
        <w:jc w:val="left"/>
        <w:rPr>
          <w:rFonts w:ascii="宋体" w:hAnsi="宋体" w:cs="宋体" w:eastAsia="宋体" w:hint="default"/>
          <w:b w:val="0"/>
          <w:bCs w:val="0"/>
        </w:rPr>
      </w:pPr>
      <w:r>
        <w:rPr>
          <w:rFonts w:ascii="宋体"/>
          <w:w w:val="99"/>
        </w:rPr>
        <w:t> </w:t>
      </w:r>
      <w:r>
        <w:rPr>
          <w:rFonts w:ascii="宋体"/>
          <w:b w:val="0"/>
        </w:rPr>
      </w:r>
    </w:p>
    <w:p>
      <w:pPr>
        <w:pStyle w:val="BodyText"/>
        <w:spacing w:line="274" w:lineRule="exact" w:before="1"/>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218" w:right="0"/>
        <w:jc w:val="left"/>
      </w:pPr>
      <w:r>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2</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43"/>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sz w:val="24"/>
          <w:szCs w:val="24"/>
        </w:rPr>
        <w:t> </w:t>
      </w:r>
      <w:r>
        <w:rPr>
          <w:rFonts w:ascii="宋体" w:hAnsi="宋体" w:cs="宋体" w:eastAsia="宋体" w:hint="default"/>
          <w:sz w:val="24"/>
          <w:szCs w:val="24"/>
        </w:rPr>
        <w:t> </w:t>
      </w:r>
    </w:p>
    <w:p>
      <w:pPr>
        <w:pStyle w:val="Heading3"/>
        <w:spacing w:line="309" w:lineRule="exact"/>
        <w:ind w:left="218" w:right="0"/>
        <w:jc w:val="left"/>
      </w:pPr>
      <w:r>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3</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4"/>
        </w:rPr>
        <w:t> </w:t>
      </w:r>
      <w:r>
        <w:rPr/>
        <w:t>合营企业或联营企业</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ind w:left="-12"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580" w:right="1040"/>
          <w:cols w:num="2" w:equalWidth="0">
            <w:col w:w="6923" w:space="40"/>
            <w:col w:w="232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2"/>
        <w:gridCol w:w="874"/>
        <w:gridCol w:w="869"/>
        <w:gridCol w:w="1172"/>
        <w:gridCol w:w="730"/>
        <w:gridCol w:w="696"/>
        <w:gridCol w:w="1808"/>
      </w:tblGrid>
      <w:tr>
        <w:trPr>
          <w:trHeight w:val="461" w:hRule="exact"/>
        </w:trPr>
        <w:tc>
          <w:tcPr>
            <w:tcW w:w="29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r>
              <w:rPr>
                <w:rFonts w:ascii="宋体" w:hAnsi="宋体" w:cs="宋体" w:eastAsia="宋体" w:hint="default"/>
                <w:sz w:val="21"/>
                <w:szCs w:val="21"/>
              </w:rPr>
              <w:t> </w:t>
            </w:r>
          </w:p>
        </w:tc>
        <w:tc>
          <w:tcPr>
            <w:tcW w:w="874" w:type="dxa"/>
            <w:vMerge w:val="restart"/>
            <w:tcBorders>
              <w:top w:val="single" w:sz="4" w:space="0" w:color="000000"/>
              <w:left w:val="single" w:sz="4" w:space="0" w:color="000000"/>
              <w:right w:val="single" w:sz="4" w:space="0" w:color="000000"/>
            </w:tcBorders>
          </w:tcPr>
          <w:p>
            <w:pPr>
              <w:pStyle w:val="TableParagraph"/>
              <w:spacing w:line="280" w:lineRule="auto" w:before="170"/>
              <w:ind w:left="220" w:right="113"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r>
              <w:rPr>
                <w:rFonts w:ascii="宋体" w:hAnsi="宋体" w:cs="宋体" w:eastAsia="宋体" w:hint="default"/>
                <w:sz w:val="21"/>
                <w:szCs w:val="21"/>
              </w:rPr>
              <w:t> </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17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808" w:type="dxa"/>
            <w:vMerge w:val="restart"/>
            <w:tcBorders>
              <w:top w:val="single" w:sz="4" w:space="0" w:color="000000"/>
              <w:left w:val="single" w:sz="4" w:space="0" w:color="000000"/>
              <w:right w:val="single" w:sz="4" w:space="0" w:color="000000"/>
            </w:tcBorders>
          </w:tcPr>
          <w:p>
            <w:pPr>
              <w:pStyle w:val="TableParagraph"/>
              <w:spacing w:line="278" w:lineRule="auto" w:before="11"/>
              <w:ind w:left="163" w:right="158"/>
              <w:jc w:val="center"/>
              <w:rPr>
                <w:rFonts w:ascii="宋体" w:hAnsi="宋体" w:cs="宋体" w:eastAsia="宋体" w:hint="default"/>
                <w:sz w:val="21"/>
                <w:szCs w:val="21"/>
              </w:rPr>
            </w:pPr>
            <w:r>
              <w:rPr>
                <w:rFonts w:ascii="宋体" w:hAnsi="宋体" w:cs="宋体" w:eastAsia="宋体" w:hint="default"/>
                <w:spacing w:val="-1"/>
                <w:sz w:val="21"/>
                <w:szCs w:val="21"/>
              </w:rPr>
              <w:t>对合营企业或联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r>
              <w:rPr>
                <w:rFonts w:ascii="宋体" w:hAnsi="宋体" w:cs="宋体" w:eastAsia="宋体" w:hint="default"/>
                <w:sz w:val="21"/>
                <w:szCs w:val="21"/>
              </w:rPr>
              <w:t> </w:t>
            </w:r>
          </w:p>
        </w:tc>
      </w:tr>
      <w:tr>
        <w:trPr>
          <w:trHeight w:val="509" w:hRule="exact"/>
        </w:trPr>
        <w:tc>
          <w:tcPr>
            <w:tcW w:w="2902"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1172" w:type="dxa"/>
            <w:vMerge/>
            <w:tcBorders>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3"/>
              <w:jc w:val="right"/>
              <w:rPr>
                <w:rFonts w:ascii="宋体" w:hAnsi="宋体" w:cs="宋体" w:eastAsia="宋体" w:hint="default"/>
                <w:sz w:val="21"/>
                <w:szCs w:val="21"/>
              </w:rPr>
            </w:pPr>
            <w:r>
              <w:rPr>
                <w:rFonts w:ascii="宋体" w:hAnsi="宋体" w:cs="宋体" w:eastAsia="宋体" w:hint="default"/>
                <w:spacing w:val="-2"/>
                <w:sz w:val="21"/>
                <w:szCs w:val="21"/>
              </w:rPr>
              <w:t>直接</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9"/>
              <w:jc w:val="right"/>
              <w:rPr>
                <w:rFonts w:ascii="宋体" w:hAnsi="宋体" w:cs="宋体" w:eastAsia="宋体" w:hint="default"/>
                <w:sz w:val="21"/>
                <w:szCs w:val="21"/>
              </w:rPr>
            </w:pPr>
            <w:r>
              <w:rPr>
                <w:rFonts w:ascii="宋体" w:hAnsi="宋体" w:cs="宋体" w:eastAsia="宋体" w:hint="default"/>
                <w:spacing w:val="-2"/>
                <w:sz w:val="21"/>
                <w:szCs w:val="21"/>
              </w:rPr>
              <w:t>间接</w:t>
            </w:r>
            <w:r>
              <w:rPr>
                <w:rFonts w:ascii="宋体" w:hAnsi="宋体" w:cs="宋体" w:eastAsia="宋体" w:hint="default"/>
                <w:sz w:val="21"/>
                <w:szCs w:val="21"/>
              </w:rPr>
              <w:t> </w:t>
            </w:r>
          </w:p>
        </w:tc>
        <w:tc>
          <w:tcPr>
            <w:tcW w:w="1808" w:type="dxa"/>
            <w:vMerge/>
            <w:tcBorders>
              <w:left w:val="single" w:sz="4" w:space="0" w:color="000000"/>
              <w:bottom w:val="single" w:sz="4" w:space="0" w:color="000000"/>
              <w:right w:val="single" w:sz="4" w:space="0" w:color="000000"/>
            </w:tcBorders>
          </w:tcPr>
          <w:p>
            <w:pPr/>
          </w:p>
        </w:tc>
      </w:tr>
      <w:tr>
        <w:trPr>
          <w:trHeight w:val="329"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南京伍安信息科技有限公司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z w:val="21"/>
              </w:rPr>
              <w:t>20</w:t>
            </w:r>
          </w:p>
        </w:tc>
        <w:tc>
          <w:tcPr>
            <w:tcW w:w="69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650"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1"/>
              <w:jc w:val="left"/>
              <w:rPr>
                <w:rFonts w:ascii="宋体" w:hAnsi="宋体" w:cs="宋体" w:eastAsia="宋体" w:hint="default"/>
                <w:sz w:val="21"/>
                <w:szCs w:val="21"/>
              </w:rPr>
            </w:pPr>
            <w:r>
              <w:rPr>
                <w:rFonts w:ascii="宋体" w:hAnsi="宋体" w:cs="宋体" w:eastAsia="宋体" w:hint="default"/>
                <w:spacing w:val="11"/>
                <w:sz w:val="21"/>
                <w:szCs w:val="21"/>
              </w:rPr>
              <w:t>福建省应急通信运营有限公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99"/>
              <w:jc w:val="left"/>
              <w:rPr>
                <w:rFonts w:ascii="宋体" w:hAnsi="宋体" w:cs="宋体" w:eastAsia="宋体" w:hint="default"/>
                <w:sz w:val="21"/>
                <w:szCs w:val="21"/>
              </w:rPr>
            </w:pPr>
            <w:r>
              <w:rPr>
                <w:rFonts w:ascii="宋体" w:hAnsi="宋体" w:cs="宋体" w:eastAsia="宋体" w:hint="default"/>
                <w:sz w:val="21"/>
                <w:szCs w:val="21"/>
              </w:rPr>
              <w:t>通</w:t>
            </w:r>
            <w:r>
              <w:rPr>
                <w:rFonts w:ascii="宋体" w:hAnsi="宋体" w:cs="宋体" w:eastAsia="宋体" w:hint="default"/>
                <w:spacing w:val="-66"/>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数</w:t>
            </w:r>
            <w:r>
              <w:rPr>
                <w:rFonts w:ascii="宋体" w:hAnsi="宋体" w:cs="宋体" w:eastAsia="宋体" w:hint="default"/>
                <w:spacing w:val="-66"/>
                <w:sz w:val="21"/>
                <w:szCs w:val="21"/>
              </w:rPr>
              <w:t> </w:t>
            </w:r>
            <w:r>
              <w:rPr>
                <w:rFonts w:ascii="宋体" w:hAnsi="宋体" w:cs="宋体" w:eastAsia="宋体" w:hint="default"/>
                <w:sz w:val="21"/>
                <w:szCs w:val="21"/>
              </w:rPr>
              <w:t>据</w:t>
            </w:r>
            <w:r>
              <w:rPr>
                <w:rFonts w:ascii="宋体" w:hAnsi="宋体" w:cs="宋体" w:eastAsia="宋体" w:hint="default"/>
                <w:w w:val="100"/>
                <w:sz w:val="21"/>
                <w:szCs w:val="21"/>
              </w:rPr>
              <w:t> </w:t>
            </w:r>
            <w:r>
              <w:rPr>
                <w:rFonts w:ascii="宋体" w:hAnsi="宋体" w:cs="宋体" w:eastAsia="宋体" w:hint="default"/>
                <w:sz w:val="21"/>
                <w:szCs w:val="21"/>
              </w:rPr>
              <w:t>服务</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49</w:t>
            </w:r>
          </w:p>
        </w:tc>
        <w:tc>
          <w:tcPr>
            <w:tcW w:w="69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650"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1"/>
              <w:jc w:val="left"/>
              <w:rPr>
                <w:rFonts w:ascii="宋体" w:hAnsi="宋体" w:cs="宋体" w:eastAsia="宋体" w:hint="default"/>
                <w:sz w:val="21"/>
                <w:szCs w:val="21"/>
              </w:rPr>
            </w:pPr>
            <w:r>
              <w:rPr>
                <w:rFonts w:ascii="宋体" w:hAnsi="宋体" w:cs="宋体" w:eastAsia="宋体" w:hint="default"/>
                <w:spacing w:val="11"/>
                <w:sz w:val="21"/>
                <w:szCs w:val="21"/>
              </w:rPr>
              <w:t>厦门会同鼎盛股权投资合伙</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企业（有限合伙）</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厦门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厦门</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股权投资</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65.15</w:t>
            </w:r>
          </w:p>
        </w:tc>
        <w:tc>
          <w:tcPr>
            <w:tcW w:w="69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970"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1"/>
              <w:jc w:val="both"/>
              <w:rPr>
                <w:rFonts w:ascii="宋体" w:hAnsi="宋体" w:cs="宋体" w:eastAsia="宋体" w:hint="default"/>
                <w:sz w:val="21"/>
                <w:szCs w:val="21"/>
              </w:rPr>
            </w:pPr>
            <w:r>
              <w:rPr>
                <w:rFonts w:ascii="宋体" w:hAnsi="宋体" w:cs="宋体" w:eastAsia="宋体" w:hint="default"/>
                <w:spacing w:val="11"/>
                <w:sz w:val="21"/>
                <w:szCs w:val="21"/>
              </w:rPr>
              <w:t>宁波梅山保税港区南威道高</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1"/>
                <w:sz w:val="21"/>
                <w:szCs w:val="21"/>
              </w:rPr>
              <w:t>投资管理合伙企业（有限合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伙）</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股权投资</w:t>
            </w:r>
          </w:p>
        </w:tc>
        <w:tc>
          <w:tcPr>
            <w:tcW w:w="7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369" w:right="0"/>
              <w:jc w:val="left"/>
              <w:rPr>
                <w:rFonts w:ascii="Times New Roman" w:hAnsi="Times New Roman" w:cs="Times New Roman" w:eastAsia="Times New Roman" w:hint="default"/>
                <w:sz w:val="21"/>
                <w:szCs w:val="21"/>
              </w:rPr>
            </w:pPr>
            <w:r>
              <w:rPr>
                <w:rFonts w:ascii="Times New Roman"/>
                <w:sz w:val="21"/>
              </w:rPr>
              <w:t>50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970"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1"/>
              <w:jc w:val="both"/>
              <w:rPr>
                <w:rFonts w:ascii="宋体" w:hAnsi="宋体" w:cs="宋体" w:eastAsia="宋体" w:hint="default"/>
                <w:sz w:val="21"/>
                <w:szCs w:val="21"/>
              </w:rPr>
            </w:pPr>
            <w:r>
              <w:rPr>
                <w:rFonts w:ascii="宋体" w:hAnsi="宋体" w:cs="宋体" w:eastAsia="宋体" w:hint="default"/>
                <w:spacing w:val="11"/>
                <w:sz w:val="21"/>
                <w:szCs w:val="21"/>
              </w:rPr>
              <w:t>宁波梅山保税港区安高股权</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1"/>
                <w:sz w:val="21"/>
                <w:szCs w:val="21"/>
              </w:rPr>
              <w:t>投资基金合伙企业（有限合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伙）</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股权投资</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48</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65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2"/>
              <w:ind w:left="103" w:right="101"/>
              <w:jc w:val="left"/>
              <w:rPr>
                <w:rFonts w:ascii="宋体" w:hAnsi="宋体" w:cs="宋体" w:eastAsia="宋体" w:hint="default"/>
                <w:sz w:val="21"/>
                <w:szCs w:val="21"/>
              </w:rPr>
            </w:pPr>
            <w:r>
              <w:rPr>
                <w:rFonts w:ascii="宋体" w:hAnsi="宋体" w:cs="宋体" w:eastAsia="宋体" w:hint="default"/>
                <w:spacing w:val="11"/>
                <w:sz w:val="21"/>
                <w:szCs w:val="21"/>
              </w:rPr>
              <w:t>福建神威系统集成有限责任</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0"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49</w:t>
            </w:r>
          </w:p>
        </w:tc>
        <w:tc>
          <w:tcPr>
            <w:tcW w:w="69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650"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1"/>
              <w:jc w:val="left"/>
              <w:rPr>
                <w:rFonts w:ascii="宋体" w:hAnsi="宋体" w:cs="宋体" w:eastAsia="宋体" w:hint="default"/>
                <w:sz w:val="21"/>
                <w:szCs w:val="21"/>
              </w:rPr>
            </w:pPr>
            <w:r>
              <w:rPr>
                <w:rFonts w:ascii="宋体" w:hAnsi="宋体" w:cs="宋体" w:eastAsia="宋体" w:hint="default"/>
                <w:spacing w:val="11"/>
                <w:sz w:val="21"/>
                <w:szCs w:val="21"/>
              </w:rPr>
              <w:t>成都四方伟业软件股份有限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12.64</w:t>
            </w:r>
          </w:p>
        </w:tc>
        <w:tc>
          <w:tcPr>
            <w:tcW w:w="69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650"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01"/>
              <w:jc w:val="left"/>
              <w:rPr>
                <w:rFonts w:ascii="宋体" w:hAnsi="宋体" w:cs="宋体" w:eastAsia="宋体" w:hint="default"/>
                <w:sz w:val="21"/>
                <w:szCs w:val="21"/>
              </w:rPr>
            </w:pPr>
            <w:r>
              <w:rPr>
                <w:rFonts w:ascii="宋体" w:hAnsi="宋体" w:cs="宋体" w:eastAsia="宋体" w:hint="default"/>
                <w:spacing w:val="11"/>
                <w:sz w:val="21"/>
                <w:szCs w:val="21"/>
              </w:rPr>
              <w:t>泉州市数字云谷信息产业发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展有限公司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安溪</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安溪</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25</w:t>
            </w:r>
          </w:p>
        </w:tc>
        <w:tc>
          <w:tcPr>
            <w:tcW w:w="69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650"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01"/>
              <w:jc w:val="left"/>
              <w:rPr>
                <w:rFonts w:ascii="宋体" w:hAnsi="宋体" w:cs="宋体" w:eastAsia="宋体" w:hint="default"/>
                <w:sz w:val="21"/>
                <w:szCs w:val="21"/>
              </w:rPr>
            </w:pPr>
            <w:r>
              <w:rPr>
                <w:rFonts w:ascii="宋体" w:hAnsi="宋体" w:cs="宋体" w:eastAsia="宋体" w:hint="default"/>
                <w:spacing w:val="11"/>
                <w:sz w:val="21"/>
                <w:szCs w:val="21"/>
              </w:rPr>
              <w:t>泉州市搏浪信息科技有限公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9.412</w:t>
            </w:r>
          </w:p>
        </w:tc>
        <w:tc>
          <w:tcPr>
            <w:tcW w:w="69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329"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山东南威信息科技有限公司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济宁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济宁</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z w:val="21"/>
              </w:rPr>
              <w:t>49</w:t>
            </w:r>
          </w:p>
        </w:tc>
        <w:tc>
          <w:tcPr>
            <w:tcW w:w="69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33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pacing w:val="11"/>
                <w:sz w:val="21"/>
                <w:szCs w:val="21"/>
              </w:rPr>
              <w:t>福建龙睿智城信息科技有限</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漳州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漳州</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z w:val="21"/>
              </w:rPr>
              <w:t>39</w:t>
            </w:r>
          </w:p>
        </w:tc>
        <w:tc>
          <w:tcPr>
            <w:tcW w:w="69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after="0" w:line="240" w:lineRule="auto"/>
        <w:jc w:val="left"/>
        <w:rPr>
          <w:rFonts w:ascii="宋体" w:hAnsi="宋体" w:cs="宋体" w:eastAsia="宋体" w:hint="default"/>
          <w:sz w:val="21"/>
          <w:szCs w:val="21"/>
        </w:rPr>
        <w:sectPr>
          <w:type w:val="continuous"/>
          <w:pgSz w:w="11910" w:h="16840"/>
          <w:pgMar w:top="1500" w:bottom="2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2"/>
        <w:gridCol w:w="874"/>
        <w:gridCol w:w="869"/>
        <w:gridCol w:w="1172"/>
        <w:gridCol w:w="730"/>
        <w:gridCol w:w="696"/>
        <w:gridCol w:w="1808"/>
      </w:tblGrid>
      <w:tr>
        <w:trPr>
          <w:trHeight w:val="332"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福建金证智城科技有限公司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漳州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漳州</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42.2</w:t>
            </w:r>
          </w:p>
        </w:tc>
        <w:tc>
          <w:tcPr>
            <w:tcW w:w="69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650"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101"/>
              <w:jc w:val="left"/>
              <w:rPr>
                <w:rFonts w:ascii="宋体" w:hAnsi="宋体" w:cs="宋体" w:eastAsia="宋体" w:hint="default"/>
                <w:sz w:val="21"/>
                <w:szCs w:val="21"/>
              </w:rPr>
            </w:pPr>
            <w:r>
              <w:rPr>
                <w:rFonts w:ascii="宋体" w:hAnsi="宋体" w:cs="宋体" w:eastAsia="宋体" w:hint="default"/>
                <w:spacing w:val="11"/>
                <w:sz w:val="21"/>
                <w:szCs w:val="21"/>
              </w:rPr>
              <w:t>福建省泉威大数据科技有限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大数据</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49</w:t>
            </w:r>
          </w:p>
        </w:tc>
        <w:tc>
          <w:tcPr>
            <w:tcW w:w="69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650"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1"/>
              <w:jc w:val="left"/>
              <w:rPr>
                <w:rFonts w:ascii="宋体" w:hAnsi="宋体" w:cs="宋体" w:eastAsia="宋体" w:hint="default"/>
                <w:sz w:val="21"/>
                <w:szCs w:val="21"/>
              </w:rPr>
            </w:pPr>
            <w:r>
              <w:rPr>
                <w:rFonts w:ascii="宋体" w:hAnsi="宋体" w:cs="宋体" w:eastAsia="宋体" w:hint="default"/>
                <w:spacing w:val="11"/>
                <w:sz w:val="21"/>
                <w:szCs w:val="21"/>
              </w:rPr>
              <w:t>泉州鲤城智慧城市科技有限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49</w:t>
            </w:r>
          </w:p>
        </w:tc>
        <w:tc>
          <w:tcPr>
            <w:tcW w:w="69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650"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1"/>
              <w:jc w:val="left"/>
              <w:rPr>
                <w:rFonts w:ascii="宋体" w:hAnsi="宋体" w:cs="宋体" w:eastAsia="宋体" w:hint="default"/>
                <w:sz w:val="21"/>
                <w:szCs w:val="21"/>
              </w:rPr>
            </w:pPr>
            <w:r>
              <w:rPr>
                <w:rFonts w:ascii="宋体" w:hAnsi="宋体" w:cs="宋体" w:eastAsia="宋体" w:hint="default"/>
                <w:spacing w:val="11"/>
                <w:sz w:val="21"/>
                <w:szCs w:val="21"/>
              </w:rPr>
              <w:t>泉州海丝万创股权投资管理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泉州</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股权投资</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20</w:t>
            </w:r>
          </w:p>
        </w:tc>
        <w:tc>
          <w:tcPr>
            <w:tcW w:w="696"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3298"/>
        <w:jc w:val="left"/>
        <w:rPr>
          <w:rFonts w:ascii="宋体" w:hAnsi="宋体" w:cs="宋体" w:eastAsia="宋体" w:hint="default"/>
        </w:rPr>
      </w:pPr>
      <w:r>
        <w:rPr/>
        <w:t>在合营企业或联营企业的持股比例不同于表决权比例的说明：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rFonts w:ascii="宋体"/>
          <w:w w:val="100"/>
        </w:rPr>
        <w:t> </w:t>
      </w:r>
    </w:p>
    <w:p>
      <w:pPr>
        <w:pStyle w:val="BodyText"/>
        <w:spacing w:line="261" w:lineRule="auto"/>
        <w:ind w:left="698" w:right="245" w:hanging="480"/>
        <w:jc w:val="left"/>
      </w:pPr>
      <w:r>
        <w:rPr/>
        <w:t>持有</w:t>
      </w:r>
      <w:r>
        <w:rPr>
          <w:spacing w:val="-55"/>
        </w:rPr>
        <w:t> </w:t>
      </w:r>
      <w:r>
        <w:rPr>
          <w:rFonts w:ascii="宋体" w:hAnsi="宋体" w:cs="宋体" w:eastAsia="宋体" w:hint="default"/>
        </w:rPr>
        <w:t>20%</w:t>
      </w:r>
      <w:r>
        <w:rPr/>
        <w:t>以下表决权但具有重大影响，或者持有</w:t>
      </w:r>
      <w:r>
        <w:rPr>
          <w:spacing w:val="-55"/>
        </w:rPr>
        <w:t> </w:t>
      </w:r>
      <w:r>
        <w:rPr>
          <w:rFonts w:ascii="Times New Roman" w:hAnsi="Times New Roman" w:cs="Times New Roman" w:eastAsia="Times New Roman" w:hint="default"/>
        </w:rPr>
        <w:t>20</w:t>
      </w:r>
      <w:r>
        <w:rPr>
          <w:rFonts w:ascii="宋体" w:hAnsi="宋体" w:cs="宋体" w:eastAsia="宋体" w:hint="default"/>
        </w:rPr>
        <w:t>%</w:t>
      </w:r>
      <w:r>
        <w:rPr/>
        <w:t>或以上表决权但不具有重大影响的依据：</w:t>
      </w:r>
      <w:r>
        <w:rPr>
          <w:rFonts w:ascii="宋体" w:hAnsi="宋体" w:cs="宋体" w:eastAsia="宋体" w:hint="default"/>
          <w:w w:val="100"/>
        </w:rPr>
        <w:t> </w:t>
      </w:r>
      <w:r>
        <w:rPr/>
        <w:t>公司持有成都四方伟业软件股份有限公司</w:t>
      </w:r>
      <w:r>
        <w:rPr>
          <w:spacing w:val="-56"/>
        </w:rPr>
        <w:t> </w:t>
      </w:r>
      <w:r>
        <w:rPr>
          <w:rFonts w:ascii="Times New Roman" w:hAnsi="Times New Roman" w:cs="Times New Roman" w:eastAsia="Times New Roman" w:hint="default"/>
        </w:rPr>
        <w:t>12.64%</w:t>
      </w:r>
      <w:r>
        <w:rPr/>
        <w:t>股权，比例低于</w:t>
      </w:r>
      <w:r>
        <w:rPr>
          <w:spacing w:val="-56"/>
        </w:rPr>
        <w:t> </w:t>
      </w:r>
      <w:r>
        <w:rPr>
          <w:rFonts w:ascii="Times New Roman" w:hAnsi="Times New Roman" w:cs="Times New Roman" w:eastAsia="Times New Roman" w:hint="default"/>
        </w:rPr>
        <w:t>20.00%</w:t>
      </w:r>
      <w:r>
        <w:rPr/>
        <w:t>，公司在成都四方</w:t>
      </w:r>
    </w:p>
    <w:p>
      <w:pPr>
        <w:pStyle w:val="BodyText"/>
        <w:spacing w:line="278" w:lineRule="auto" w:before="10"/>
        <w:ind w:left="638" w:right="305" w:hanging="420"/>
        <w:jc w:val="left"/>
      </w:pPr>
      <w:r>
        <w:rPr/>
        <w:t>伟业软件股份有限公司派驻董事，可以参与该公司重大决策。</w:t>
      </w:r>
      <w:r>
        <w:rPr>
          <w:w w:val="100"/>
        </w:rPr>
        <w:t> </w:t>
      </w:r>
      <w:r>
        <w:rPr/>
        <w:t>公司持有泉州市搏浪信息科技有限公司</w:t>
      </w:r>
      <w:r>
        <w:rPr>
          <w:spacing w:val="-56"/>
        </w:rPr>
        <w:t> </w:t>
      </w:r>
      <w:r>
        <w:rPr>
          <w:rFonts w:ascii="Times New Roman" w:hAnsi="Times New Roman" w:cs="Times New Roman" w:eastAsia="Times New Roman" w:hint="default"/>
        </w:rPr>
        <w:t>9.412%</w:t>
      </w:r>
      <w:r>
        <w:rPr/>
        <w:t>股权，比例低于</w:t>
      </w:r>
      <w:r>
        <w:rPr>
          <w:spacing w:val="-56"/>
        </w:rPr>
        <w:t> </w:t>
      </w:r>
      <w:r>
        <w:rPr>
          <w:rFonts w:ascii="Times New Roman" w:hAnsi="Times New Roman" w:cs="Times New Roman" w:eastAsia="Times New Roman" w:hint="default"/>
        </w:rPr>
        <w:t>20.00%</w:t>
      </w:r>
      <w:r>
        <w:rPr/>
        <w:t>，但公司在泉州市搏</w:t>
      </w:r>
    </w:p>
    <w:p>
      <w:pPr>
        <w:pStyle w:val="BodyText"/>
        <w:spacing w:line="280" w:lineRule="auto"/>
        <w:ind w:left="638" w:right="0" w:hanging="420"/>
        <w:jc w:val="left"/>
      </w:pPr>
      <w:r>
        <w:rPr/>
        <w:t>浪信息科技有限公司派驻董事，可以参与该公司重大决策</w:t>
      </w:r>
      <w:r>
        <w:rPr>
          <w:w w:val="100"/>
        </w:rPr>
        <w:t> </w:t>
      </w:r>
      <w:r>
        <w:rPr>
          <w:spacing w:val="-2"/>
        </w:rPr>
        <w:t>公司为厦门会同鼎盛股权投资合伙企业（有限合伙）（以下简称“会同鼎盛”）的有限合伙</w:t>
      </w:r>
    </w:p>
    <w:p>
      <w:pPr>
        <w:pStyle w:val="BodyText"/>
        <w:spacing w:line="271" w:lineRule="auto" w:before="8"/>
        <w:ind w:right="0"/>
        <w:jc w:val="left"/>
      </w:pPr>
      <w:r>
        <w:rPr/>
        <w:t>人，公司实缴出资占会同鼎盛实缴出资</w:t>
      </w:r>
      <w:r>
        <w:rPr>
          <w:spacing w:val="-55"/>
        </w:rPr>
        <w:t> </w:t>
      </w:r>
      <w:r>
        <w:rPr>
          <w:rFonts w:ascii="Times New Roman" w:hAnsi="Times New Roman" w:cs="Times New Roman" w:eastAsia="Times New Roman" w:hint="default"/>
        </w:rPr>
        <w:t>27.46%</w:t>
      </w:r>
      <w:r>
        <w:rPr/>
        <w:t>（认缴出资占</w:t>
      </w:r>
      <w:r>
        <w:rPr>
          <w:spacing w:val="-54"/>
        </w:rPr>
        <w:t> </w:t>
      </w:r>
      <w:r>
        <w:rPr>
          <w:rFonts w:ascii="Times New Roman" w:hAnsi="Times New Roman" w:cs="Times New Roman" w:eastAsia="Times New Roman" w:hint="default"/>
        </w:rPr>
        <w:t>65.15%</w:t>
      </w:r>
      <w:r>
        <w:rPr/>
        <w:t>）。因公司非会同鼎盛执行</w:t>
      </w:r>
      <w:r>
        <w:rPr>
          <w:w w:val="100"/>
        </w:rPr>
        <w:t> </w:t>
      </w:r>
      <w:r>
        <w:rPr>
          <w:spacing w:val="-2"/>
        </w:rPr>
        <w:t>合伙人，同时，根据会同鼎盛投资决策委员会对投资项目之投资决策及退出之规定，只要没有任</w:t>
      </w:r>
      <w:r>
        <w:rPr>
          <w:spacing w:val="-25"/>
        </w:rPr>
        <w:t> </w:t>
      </w:r>
      <w:r>
        <w:rPr>
          <w:spacing w:val="-25"/>
        </w:rPr>
      </w:r>
      <w:r>
        <w:rPr/>
        <w:t>何一方合伙人代表投反对票，则该项目视为通过，因此公司对会同鼎盛仅为重大影响。</w:t>
      </w:r>
    </w:p>
    <w:p>
      <w:pPr>
        <w:pStyle w:val="Heading3"/>
        <w:spacing w:line="279" w:lineRule="exact"/>
        <w:ind w:left="218" w:right="0"/>
        <w:jc w:val="left"/>
      </w:pPr>
      <w:r>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56"/>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8" w:right="0"/>
        <w:jc w:val="left"/>
      </w:pPr>
      <w:r>
        <w:rPr/>
        <w:t> </w:t>
      </w:r>
    </w:p>
    <w:p>
      <w:pPr>
        <w:pStyle w:val="Heading4"/>
        <w:spacing w:line="240" w:lineRule="auto" w:before="61"/>
        <w:ind w:right="0"/>
        <w:jc w:val="left"/>
        <w:rPr>
          <w:rFonts w:ascii="宋体" w:hAnsi="宋体" w:cs="宋体" w:eastAsia="宋体" w:hint="default"/>
          <w:b w:val="0"/>
          <w:bCs w:val="0"/>
        </w:rPr>
      </w:pPr>
      <w:r>
        <w:rPr>
          <w:rFonts w:ascii="宋体" w:hAnsi="宋体" w:cs="宋体" w:eastAsia="宋体" w:hint="default"/>
        </w:rPr>
        <w:t>(3).</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9" w:lineRule="exact"/>
        <w:ind w:left="218" w:right="0"/>
        <w:jc w:val="left"/>
      </w:pPr>
      <w:r>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6"/>
        </w:rPr>
        <w:t> </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289,452,674.15</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195,522,147.61</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4,924,983.20</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228,688.21</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4,924,983.20</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228,688.21</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31,283,533.90</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-3,170,385.18</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8097"/>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3"/>
        <w:spacing w:line="304" w:lineRule="exact"/>
        <w:ind w:left="218" w:right="0"/>
        <w:jc w:val="left"/>
      </w:pPr>
      <w:r>
        <w:rPr/>
        <w:t> </w:t>
      </w:r>
    </w:p>
    <w:p>
      <w:pPr>
        <w:spacing w:after="0" w:line="304" w:lineRule="exact"/>
        <w:jc w:val="left"/>
        <w:sectPr>
          <w:pgSz w:w="11910" w:h="16840"/>
          <w:pgMar w:header="0" w:footer="979" w:top="1120" w:bottom="1160" w:left="1580" w:right="1040"/>
        </w:sect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79" w:top="1120" w:bottom="116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8"/>
        </w:rPr>
        <w:t> </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9" w:lineRule="exact"/>
        <w:ind w:left="218" w:right="0"/>
        <w:jc w:val="left"/>
      </w:pPr>
      <w:r>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7"/>
        </w:rPr>
        <w:t> </w:t>
      </w:r>
      <w:r>
        <w:rPr/>
        <w:t>合营企业或联营企业发生的超额亏损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ind w:left="-12"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580" w:right="1040"/>
          <w:cols w:num="2" w:equalWidth="0">
            <w:col w:w="6923" w:space="40"/>
            <w:col w:w="232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5"/>
        <w:gridCol w:w="2266"/>
        <w:gridCol w:w="2549"/>
        <w:gridCol w:w="2249"/>
      </w:tblGrid>
      <w:tr>
        <w:trPr>
          <w:trHeight w:val="559" w:hRule="exact"/>
        </w:trPr>
        <w:tc>
          <w:tcPr>
            <w:tcW w:w="1985"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合营企业或联营企</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业名称</w:t>
            </w:r>
            <w:r>
              <w:rPr>
                <w:rFonts w:ascii="宋体" w:hAnsi="宋体" w:cs="宋体" w:eastAsia="宋体" w:hint="default"/>
                <w:sz w:val="21"/>
                <w:szCs w:val="21"/>
              </w:rPr>
              <w:t> </w:t>
            </w:r>
          </w:p>
        </w:tc>
        <w:tc>
          <w:tcPr>
            <w:tcW w:w="2266"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累积未确认前期累计</w:t>
            </w:r>
          </w:p>
          <w:p>
            <w:pPr>
              <w:pStyle w:val="TableParagraph"/>
              <w:spacing w:line="273" w:lineRule="exact"/>
              <w:ind w:left="99" w:right="0"/>
              <w:jc w:val="center"/>
              <w:rPr>
                <w:rFonts w:ascii="宋体" w:hAnsi="宋体" w:cs="宋体" w:eastAsia="宋体" w:hint="default"/>
                <w:sz w:val="21"/>
                <w:szCs w:val="21"/>
              </w:rPr>
            </w:pPr>
            <w:r>
              <w:rPr>
                <w:rFonts w:ascii="宋体" w:hAnsi="宋体" w:cs="宋体" w:eastAsia="宋体" w:hint="default"/>
                <w:sz w:val="21"/>
                <w:szCs w:val="21"/>
              </w:rPr>
              <w:t>的损失</w:t>
            </w:r>
            <w:r>
              <w:rPr>
                <w:rFonts w:ascii="宋体" w:hAnsi="宋体" w:cs="宋体" w:eastAsia="宋体" w:hint="default"/>
                <w:sz w:val="21"/>
                <w:szCs w:val="21"/>
              </w:rPr>
              <w:t> </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本期未确认的损失</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r>
              <w:rPr>
                <w:rFonts w:ascii="宋体" w:hAnsi="宋体" w:cs="宋体" w:eastAsia="宋体" w:hint="default"/>
                <w:sz w:val="21"/>
                <w:szCs w:val="21"/>
              </w:rPr>
              <w:t> </w:t>
            </w:r>
          </w:p>
        </w:tc>
        <w:tc>
          <w:tcPr>
            <w:tcW w:w="2249"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本期末累积未确认的</w:t>
            </w:r>
          </w:p>
          <w:p>
            <w:pPr>
              <w:pStyle w:val="TableParagraph"/>
              <w:spacing w:line="273" w:lineRule="exact"/>
              <w:ind w:left="99" w:right="0"/>
              <w:jc w:val="center"/>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r>
      <w:tr>
        <w:trPr>
          <w:trHeight w:val="830"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w:t>
            </w:r>
          </w:p>
          <w:p>
            <w:pPr>
              <w:pStyle w:val="TableParagraph"/>
              <w:spacing w:line="240" w:lineRule="auto"/>
              <w:ind w:left="103" w:right="67"/>
              <w:jc w:val="left"/>
              <w:rPr>
                <w:rFonts w:ascii="宋体" w:hAnsi="宋体" w:cs="宋体" w:eastAsia="宋体" w:hint="default"/>
                <w:sz w:val="24"/>
                <w:szCs w:val="24"/>
              </w:rPr>
            </w:pPr>
            <w:r>
              <w:rPr>
                <w:rFonts w:ascii="宋体" w:hAnsi="宋体" w:cs="宋体" w:eastAsia="宋体" w:hint="default"/>
                <w:sz w:val="21"/>
                <w:szCs w:val="21"/>
              </w:rPr>
              <w:t>南威道高投资合伙</w:t>
            </w:r>
            <w:r>
              <w:rPr>
                <w:rFonts w:ascii="宋体" w:hAnsi="宋体" w:cs="宋体" w:eastAsia="宋体" w:hint="default"/>
                <w:w w:val="100"/>
                <w:sz w:val="21"/>
                <w:szCs w:val="21"/>
              </w:rPr>
              <w:t> </w:t>
            </w:r>
            <w:r>
              <w:rPr>
                <w:rFonts w:ascii="宋体" w:hAnsi="宋体" w:cs="宋体" w:eastAsia="宋体" w:hint="default"/>
                <w:sz w:val="21"/>
                <w:szCs w:val="21"/>
              </w:rPr>
              <w:t>企业（有限合伙）</w:t>
            </w:r>
            <w:r>
              <w:rPr>
                <w:rFonts w:ascii="宋体" w:hAnsi="宋体" w:cs="宋体" w:eastAsia="宋体" w:hint="default"/>
                <w:sz w:val="24"/>
                <w:szCs w:val="24"/>
              </w:rPr>
              <w:t> </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142,528.38</w:t>
            </w:r>
          </w:p>
        </w:tc>
        <w:tc>
          <w:tcPr>
            <w:tcW w:w="22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142,528.38</w:t>
            </w:r>
          </w:p>
        </w:tc>
      </w:tr>
      <w:tr>
        <w:trPr>
          <w:trHeight w:val="324" w:hRule="exact"/>
        </w:trPr>
        <w:tc>
          <w:tcPr>
            <w:tcW w:w="1985" w:type="dxa"/>
            <w:tcBorders>
              <w:top w:val="single" w:sz="6" w:space="0" w:color="000000"/>
              <w:left w:val="single" w:sz="4" w:space="0" w:color="000000"/>
              <w:bottom w:val="single" w:sz="4"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266" w:type="dxa"/>
            <w:tcBorders>
              <w:top w:val="single" w:sz="6" w:space="0" w:color="000000"/>
              <w:left w:val="single" w:sz="6" w:space="0" w:color="000000"/>
              <w:bottom w:val="single" w:sz="4"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549" w:type="dxa"/>
            <w:tcBorders>
              <w:top w:val="single" w:sz="6" w:space="0" w:color="000000"/>
              <w:left w:val="single" w:sz="6" w:space="0" w:color="000000"/>
              <w:bottom w:val="single" w:sz="4"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249" w:type="dxa"/>
            <w:tcBorders>
              <w:top w:val="single" w:sz="6" w:space="0" w:color="000000"/>
              <w:left w:val="single" w:sz="6"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bl>
    <w:p>
      <w:pPr>
        <w:pStyle w:val="BodyText"/>
        <w:spacing w:line="241"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right="0"/>
        <w:jc w:val="left"/>
        <w:rPr>
          <w:rFonts w:ascii="宋体" w:hAnsi="宋体" w:cs="宋体" w:eastAsia="宋体" w:hint="default"/>
        </w:rPr>
      </w:pPr>
      <w:r>
        <w:rPr/>
        <w:t>无</w:t>
      </w:r>
      <w:r>
        <w:rPr>
          <w:rFonts w:ascii="宋体" w:hAnsi="宋体" w:cs="宋体" w:eastAsia="宋体" w:hint="default"/>
        </w:rPr>
        <w:t> </w:t>
      </w:r>
    </w:p>
    <w:p>
      <w:pPr>
        <w:pStyle w:val="Heading3"/>
        <w:spacing w:line="309" w:lineRule="exact"/>
        <w:ind w:left="218" w:right="0"/>
        <w:jc w:val="left"/>
      </w:pPr>
      <w:r>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8"/>
        </w:rPr>
        <w:t> </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58"/>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218" w:right="0"/>
        <w:jc w:val="left"/>
      </w:pPr>
      <w:r>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6"/>
        </w:rPr>
        <w:t> </w:t>
      </w:r>
      <w:r>
        <w:rPr/>
        <w:t>与合营企业或联营企业投资相关的或有负债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before="44"/>
        <w:ind w:left="532"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日，本公司为联营企业提供财务担保余额为</w:t>
      </w:r>
      <w:r>
        <w:rPr>
          <w:spacing w:val="-53"/>
        </w:rPr>
        <w:t> </w:t>
      </w:r>
      <w:r>
        <w:rPr>
          <w:rFonts w:ascii="Times New Roman" w:hAnsi="Times New Roman" w:cs="Times New Roman" w:eastAsia="Times New Roman" w:hint="default"/>
        </w:rPr>
        <w:t>858.61</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年的余额为</w:t>
      </w:r>
    </w:p>
    <w:p>
      <w:pPr>
        <w:pStyle w:val="BodyText"/>
        <w:spacing w:line="264" w:lineRule="auto" w:before="28"/>
        <w:ind w:right="0"/>
        <w:jc w:val="left"/>
        <w:rPr>
          <w:rFonts w:ascii="宋体" w:hAnsi="宋体" w:cs="宋体" w:eastAsia="宋体" w:hint="default"/>
        </w:rPr>
      </w:pPr>
      <w:r>
        <w:rPr>
          <w:rFonts w:ascii="Times New Roman" w:hAnsi="Times New Roman" w:cs="Times New Roman" w:eastAsia="Times New Roman" w:hint="default"/>
          <w:spacing w:val="-1"/>
        </w:rPr>
        <w:t>3,641.74</w:t>
      </w:r>
      <w:r>
        <w:rPr>
          <w:rFonts w:ascii="Times New Roman" w:hAnsi="Times New Roman" w:cs="Times New Roman" w:eastAsia="Times New Roman" w:hint="default"/>
        </w:rPr>
        <w:t> </w:t>
      </w:r>
      <w:r>
        <w:rPr>
          <w:spacing w:val="-2"/>
        </w:rPr>
        <w:t>万元），半数以上的财务担保将在一年内到期，担保余额代表联营企业违约将给本公司</w:t>
      </w:r>
      <w:r>
        <w:rPr>
          <w:spacing w:val="-78"/>
        </w:rPr>
        <w:t> </w:t>
      </w:r>
      <w:r>
        <w:rPr>
          <w:spacing w:val="-78"/>
        </w:rPr>
      </w:r>
      <w:r>
        <w:rPr/>
        <w:t>造成的最大损失。由于不符合预计负债确认条件，本财务担保属于未确认的或有负债。</w:t>
      </w:r>
      <w:r>
        <w:rPr>
          <w:rFonts w:ascii="宋体" w:hAnsi="宋体" w:cs="宋体" w:eastAsia="宋体" w:hint="default"/>
        </w:rPr>
        <w:t> </w:t>
      </w:r>
    </w:p>
    <w:p>
      <w:pPr>
        <w:pStyle w:val="Heading3"/>
        <w:spacing w:line="288" w:lineRule="exact"/>
        <w:ind w:left="218" w:right="0"/>
        <w:jc w:val="left"/>
      </w:pPr>
      <w:r>
        <w:rPr/>
        <w:t> </w:t>
      </w:r>
    </w:p>
    <w:p>
      <w:pPr>
        <w:pStyle w:val="Heading4"/>
        <w:spacing w:line="240" w:lineRule="auto" w:before="61"/>
        <w:ind w:right="0"/>
        <w:jc w:val="left"/>
        <w:rPr>
          <w:rFonts w:ascii="宋体" w:hAnsi="宋体" w:cs="宋体" w:eastAsia="宋体" w:hint="default"/>
          <w:b w:val="0"/>
          <w:bCs w:val="0"/>
        </w:rPr>
      </w:pPr>
      <w:r>
        <w:rPr>
          <w:rFonts w:ascii="Times New Roman" w:hAnsi="Times New Roman" w:cs="Times New Roman" w:eastAsia="Times New Roman" w:hint="default"/>
        </w:rPr>
        <w:t>4</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9" w:lineRule="exact"/>
        <w:ind w:left="218" w:right="0"/>
        <w:jc w:val="left"/>
      </w:pPr>
      <w:r>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5</w:t>
      </w:r>
      <w:r>
        <w:rPr/>
        <w:t>、在未纳入合并财务报表范围的结构化主体中的权益</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34"/>
        <w:ind w:left="218" w:right="0"/>
        <w:jc w:val="left"/>
      </w:pPr>
      <w:r>
        <w:rPr>
          <w:rFonts w:ascii="宋体" w:hAnsi="宋体" w:cs="宋体" w:eastAsia="宋体" w:hint="default"/>
        </w:rPr>
        <w:t>未纳入合并财务报表范围的结构化主体的相关说明：</w:t>
      </w:r>
      <w:r>
        <w:rPr/>
        <w:t> </w:t>
      </w:r>
    </w:p>
    <w:p>
      <w:pPr>
        <w:pStyle w:val="BodyText"/>
        <w:spacing w:line="271" w:lineRule="exact" w:before="4"/>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8" w:right="0"/>
        <w:jc w:val="left"/>
      </w:pPr>
      <w:r>
        <w:rPr/>
        <w:t> </w:t>
      </w:r>
    </w:p>
    <w:p>
      <w:pPr>
        <w:pStyle w:val="Heading4"/>
        <w:spacing w:line="240" w:lineRule="auto" w:before="61"/>
        <w:ind w:right="0"/>
        <w:jc w:val="left"/>
        <w:rPr>
          <w:rFonts w:ascii="宋体" w:hAnsi="宋体" w:cs="宋体" w:eastAsia="宋体" w:hint="default"/>
          <w:b w:val="0"/>
          <w:bCs w:val="0"/>
        </w:rPr>
      </w:pPr>
      <w:r>
        <w:rPr>
          <w:rFonts w:ascii="Times New Roman" w:hAnsi="Times New Roman" w:cs="Times New Roman" w:eastAsia="Times New Roman" w:hint="default"/>
        </w:rPr>
        <w:t>6</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9"/>
        <w:ind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8" w:lineRule="auto" w:before="9"/>
        <w:ind w:right="228" w:firstLine="479"/>
        <w:jc w:val="right"/>
      </w:pPr>
      <w:r>
        <w:rPr>
          <w:spacing w:val="-4"/>
          <w:sz w:val="24"/>
          <w:szCs w:val="24"/>
        </w:rPr>
        <w:t>本</w:t>
      </w:r>
      <w:r>
        <w:rPr>
          <w:spacing w:val="-4"/>
        </w:rPr>
        <w:t>公司的主要金融工具包括货币资金、股权投资、债权投资、借款、应收款项、应付款项及</w:t>
      </w:r>
      <w:r>
        <w:rPr>
          <w:w w:val="100"/>
        </w:rPr>
        <w:t> </w:t>
      </w:r>
      <w:r>
        <w:rPr>
          <w:spacing w:val="-2"/>
        </w:rPr>
        <w:t>可转换债券等。在日常活动中面临各种金融工具的风险，主要包括信用风险、流动性风险、市场</w:t>
      </w:r>
      <w:r>
        <w:rPr>
          <w:spacing w:val="-52"/>
        </w:rPr>
        <w:t> </w:t>
      </w:r>
      <w:r>
        <w:rPr>
          <w:spacing w:val="-52"/>
        </w:rPr>
      </w:r>
      <w:r>
        <w:rPr>
          <w:w w:val="100"/>
        </w:rPr>
        <w:t>风</w:t>
      </w:r>
      <w:r>
        <w:rPr>
          <w:spacing w:val="-3"/>
          <w:w w:val="100"/>
        </w:rPr>
        <w:t>险</w:t>
      </w:r>
      <w:r>
        <w:rPr>
          <w:spacing w:val="-99"/>
          <w:w w:val="100"/>
        </w:rPr>
        <w:t>。</w:t>
      </w:r>
      <w:r>
        <w:rPr>
          <w:spacing w:val="-3"/>
          <w:w w:val="100"/>
        </w:rPr>
        <w:t>与</w:t>
      </w:r>
      <w:r>
        <w:rPr>
          <w:w w:val="100"/>
        </w:rPr>
        <w:t>这些</w:t>
      </w:r>
      <w:r>
        <w:rPr>
          <w:spacing w:val="-3"/>
          <w:w w:val="100"/>
        </w:rPr>
        <w:t>金</w:t>
      </w:r>
      <w:r>
        <w:rPr>
          <w:w w:val="100"/>
        </w:rPr>
        <w:t>融</w:t>
      </w:r>
      <w:r>
        <w:rPr>
          <w:spacing w:val="-3"/>
          <w:w w:val="100"/>
        </w:rPr>
        <w:t>工</w:t>
      </w:r>
      <w:r>
        <w:rPr>
          <w:w w:val="100"/>
        </w:rPr>
        <w:t>具</w:t>
      </w:r>
      <w:r>
        <w:rPr>
          <w:spacing w:val="-3"/>
          <w:w w:val="100"/>
        </w:rPr>
        <w:t>相关</w:t>
      </w:r>
      <w:r>
        <w:rPr>
          <w:w w:val="100"/>
        </w:rPr>
        <w:t>的风</w:t>
      </w:r>
      <w:r>
        <w:rPr>
          <w:spacing w:val="-3"/>
          <w:w w:val="100"/>
        </w:rPr>
        <w:t>险</w:t>
      </w:r>
      <w:r>
        <w:rPr>
          <w:spacing w:val="-101"/>
          <w:w w:val="100"/>
        </w:rPr>
        <w:t>，</w:t>
      </w:r>
      <w:r>
        <w:rPr>
          <w:w w:val="100"/>
        </w:rPr>
        <w:t>以及</w:t>
      </w:r>
      <w:r>
        <w:rPr>
          <w:spacing w:val="-3"/>
          <w:w w:val="100"/>
        </w:rPr>
        <w:t>本</w:t>
      </w:r>
      <w:r>
        <w:rPr>
          <w:w w:val="100"/>
        </w:rPr>
        <w:t>公</w:t>
      </w:r>
      <w:r>
        <w:rPr>
          <w:spacing w:val="-3"/>
          <w:w w:val="100"/>
        </w:rPr>
        <w:t>司</w:t>
      </w:r>
      <w:r>
        <w:rPr>
          <w:w w:val="100"/>
        </w:rPr>
        <w:t>为</w:t>
      </w:r>
      <w:r>
        <w:rPr>
          <w:spacing w:val="-3"/>
          <w:w w:val="100"/>
        </w:rPr>
        <w:t>降低</w:t>
      </w:r>
      <w:r>
        <w:rPr>
          <w:w w:val="100"/>
        </w:rPr>
        <w:t>这些</w:t>
      </w:r>
      <w:r>
        <w:rPr>
          <w:spacing w:val="-3"/>
          <w:w w:val="100"/>
        </w:rPr>
        <w:t>风</w:t>
      </w:r>
      <w:r>
        <w:rPr>
          <w:w w:val="100"/>
        </w:rPr>
        <w:t>险</w:t>
      </w:r>
      <w:r>
        <w:rPr>
          <w:spacing w:val="-3"/>
          <w:w w:val="100"/>
        </w:rPr>
        <w:t>所</w:t>
      </w:r>
      <w:r>
        <w:rPr>
          <w:w w:val="100"/>
        </w:rPr>
        <w:t>采</w:t>
      </w:r>
      <w:r>
        <w:rPr>
          <w:spacing w:val="-3"/>
          <w:w w:val="100"/>
        </w:rPr>
        <w:t>取</w:t>
      </w:r>
      <w:r>
        <w:rPr>
          <w:w w:val="100"/>
        </w:rPr>
        <w:t>的</w:t>
      </w:r>
      <w:r>
        <w:rPr>
          <w:spacing w:val="-3"/>
          <w:w w:val="100"/>
        </w:rPr>
        <w:t>风</w:t>
      </w:r>
      <w:r>
        <w:rPr>
          <w:w w:val="100"/>
        </w:rPr>
        <w:t>险</w:t>
      </w:r>
      <w:r>
        <w:rPr>
          <w:spacing w:val="-3"/>
          <w:w w:val="100"/>
        </w:rPr>
        <w:t>管</w:t>
      </w:r>
      <w:r>
        <w:rPr>
          <w:w w:val="100"/>
        </w:rPr>
        <w:t>理政</w:t>
      </w:r>
      <w:r>
        <w:rPr>
          <w:spacing w:val="-3"/>
          <w:w w:val="100"/>
        </w:rPr>
        <w:t>策</w:t>
      </w:r>
      <w:r>
        <w:rPr>
          <w:w w:val="100"/>
        </w:rPr>
        <w:t>如</w:t>
      </w:r>
      <w:r>
        <w:rPr>
          <w:spacing w:val="-3"/>
          <w:w w:val="100"/>
        </w:rPr>
        <w:t>下所述</w:t>
      </w:r>
      <w:r>
        <w:rPr>
          <w:w w:val="100"/>
        </w:rPr>
        <w:t>：</w:t>
      </w:r>
      <w:r>
        <w:rPr>
          <w:w w:val="100"/>
        </w:rPr>
        <w:t> </w:t>
      </w:r>
      <w:r>
        <w:rPr>
          <w:spacing w:val="-2"/>
        </w:rPr>
        <w:t>本公司管理层负责规划并建立本公司的风险管理架构，制定本公司的风险管理政策和相关指</w:t>
      </w:r>
      <w:r>
        <w:rPr>
          <w:w w:val="100"/>
        </w:rPr>
        <w:t> </w:t>
      </w:r>
      <w:r>
        <w:rPr>
          <w:spacing w:val="-2"/>
        </w:rPr>
        <w:t>引并监督风险管理措施的执行情况。本公司从事风险管理的目标是在风险和收益之间取得适当的</w:t>
      </w:r>
      <w:r>
        <w:rPr>
          <w:spacing w:val="-52"/>
        </w:rPr>
        <w:t> </w:t>
      </w:r>
      <w:r>
        <w:rPr>
          <w:spacing w:val="-52"/>
        </w:rPr>
      </w:r>
      <w:r>
        <w:rPr>
          <w:spacing w:val="-2"/>
        </w:rPr>
        <w:t>平衡，将风险对本公司经营业绩的负面影响降低到最低水平，使股东及其其他权益投资者的利益</w:t>
      </w:r>
      <w:r>
        <w:rPr>
          <w:spacing w:val="-52"/>
        </w:rPr>
        <w:t> </w:t>
      </w:r>
      <w:r>
        <w:rPr>
          <w:spacing w:val="-52"/>
        </w:rPr>
      </w:r>
      <w:r>
        <w:rPr>
          <w:spacing w:val="-2"/>
        </w:rPr>
        <w:t>最大化。通过制定风险管理政策，设定适当的控制程序以识别、分析、监控和报告风险情况，定</w:t>
      </w:r>
    </w:p>
    <w:p>
      <w:pPr>
        <w:spacing w:after="0" w:line="278" w:lineRule="auto"/>
        <w:jc w:val="right"/>
        <w:sectPr>
          <w:type w:val="continuous"/>
          <w:pgSz w:w="11910" w:h="16840"/>
          <w:pgMar w:top="1500" w:bottom="280" w:left="1580" w:right="1040"/>
        </w:sectPr>
      </w:pPr>
    </w:p>
    <w:p>
      <w:pPr>
        <w:spacing w:line="240" w:lineRule="auto" w:before="5"/>
        <w:rPr>
          <w:rFonts w:ascii="宋体" w:hAnsi="宋体" w:cs="宋体" w:eastAsia="宋体" w:hint="default"/>
          <w:sz w:val="28"/>
          <w:szCs w:val="28"/>
        </w:rPr>
      </w:pPr>
    </w:p>
    <w:p>
      <w:pPr>
        <w:pStyle w:val="BodyText"/>
        <w:spacing w:line="280" w:lineRule="auto" w:before="36"/>
        <w:ind w:right="237"/>
        <w:jc w:val="both"/>
      </w:pPr>
      <w:r>
        <w:rPr>
          <w:spacing w:val="-2"/>
        </w:rPr>
        <w:t>期对整体风险状况进行评估，本公司的经营活动会面临各种金融风险：信用风险、流动性风险和</w:t>
      </w:r>
      <w:r>
        <w:rPr>
          <w:spacing w:val="-25"/>
        </w:rPr>
        <w:t> </w:t>
      </w:r>
      <w:r>
        <w:rPr>
          <w:spacing w:val="-25"/>
        </w:rPr>
      </w:r>
      <w:r>
        <w:rPr/>
        <w:t>市场风险。</w:t>
      </w:r>
    </w:p>
    <w:p>
      <w:pPr>
        <w:pStyle w:val="BodyText"/>
        <w:spacing w:line="278" w:lineRule="auto" w:before="8"/>
        <w:ind w:left="638" w:right="0"/>
        <w:jc w:val="left"/>
      </w:pPr>
      <w:r>
        <w:rPr/>
        <w:t>（一）信用风险</w:t>
      </w:r>
      <w:r>
        <w:rPr>
          <w:spacing w:val="-103"/>
        </w:rPr>
        <w:t> </w:t>
      </w:r>
      <w:r>
        <w:rPr>
          <w:spacing w:val="-103"/>
        </w:rPr>
      </w:r>
      <w:r>
        <w:rPr>
          <w:spacing w:val="-2"/>
        </w:rPr>
        <w:t>信用风险是指交易对手未能履行合同义务而导致本公司产生财务损失的风险，管理层已制定</w:t>
      </w:r>
    </w:p>
    <w:p>
      <w:pPr>
        <w:pStyle w:val="BodyText"/>
        <w:spacing w:line="278" w:lineRule="auto" w:before="13"/>
        <w:ind w:left="638" w:right="0" w:hanging="420"/>
        <w:jc w:val="left"/>
      </w:pPr>
      <w:r>
        <w:rPr/>
        <w:t>适当的信用政策，并且不断监察信用风险的敞口。</w:t>
      </w:r>
      <w:r>
        <w:rPr>
          <w:w w:val="100"/>
        </w:rPr>
        <w:t> </w:t>
      </w:r>
      <w:r>
        <w:rPr>
          <w:spacing w:val="-7"/>
          <w:w w:val="100"/>
        </w:rPr>
        <w:t>本公司已采取政策只与信用良好的交易对手进行交易。另外，本公司基于对客户的财务状况、</w:t>
      </w:r>
    </w:p>
    <w:p>
      <w:pPr>
        <w:pStyle w:val="BodyText"/>
        <w:spacing w:line="280" w:lineRule="auto" w:before="10"/>
        <w:ind w:right="237"/>
        <w:jc w:val="both"/>
      </w:pPr>
      <w:r>
        <w:rPr>
          <w:spacing w:val="-2"/>
        </w:rPr>
        <w:t>从第三方获取担保的可能性、信用记录及其它因素诸如目前市场状况等评估客户的信用资质并设</w:t>
      </w:r>
      <w:r>
        <w:rPr>
          <w:spacing w:val="-25"/>
        </w:rPr>
        <w:t> </w:t>
      </w:r>
      <w:r>
        <w:rPr>
          <w:spacing w:val="-25"/>
        </w:rPr>
      </w:r>
      <w:r>
        <w:rPr>
          <w:spacing w:val="-2"/>
        </w:rPr>
        <w:t>置相应信用期。本公司对应收票据、应收账款、其他应收款、债权投资、长期应收款余额及收回</w:t>
      </w:r>
      <w:r>
        <w:rPr>
          <w:spacing w:val="-25"/>
        </w:rPr>
        <w:t> </w:t>
      </w:r>
      <w:r>
        <w:rPr>
          <w:spacing w:val="-25"/>
        </w:rPr>
      </w:r>
      <w:r>
        <w:rPr>
          <w:spacing w:val="-2"/>
        </w:rPr>
        <w:t>情况进行持续监控，对于信用记录不良的客户，本公司会采用书面催款、缩短信用期或取消信用</w:t>
      </w:r>
      <w:r>
        <w:rPr>
          <w:spacing w:val="-25"/>
        </w:rPr>
        <w:t> </w:t>
      </w:r>
      <w:r>
        <w:rPr>
          <w:spacing w:val="-25"/>
        </w:rPr>
      </w:r>
      <w:r>
        <w:rPr>
          <w:spacing w:val="-2"/>
        </w:rPr>
        <w:t>期等方式，以确保本公司不致面临重大信用损失。此外，本公司于每个资产负债表日审核金融资</w:t>
      </w:r>
      <w:r>
        <w:rPr>
          <w:spacing w:val="-25"/>
        </w:rPr>
        <w:t> </w:t>
      </w:r>
      <w:r>
        <w:rPr>
          <w:spacing w:val="-25"/>
        </w:rPr>
      </w:r>
      <w:r>
        <w:rPr/>
        <w:t>产的回收情况，以确保相关金融资产计提了充分的预期信用损失准备。</w:t>
      </w:r>
    </w:p>
    <w:p>
      <w:pPr>
        <w:pStyle w:val="BodyText"/>
        <w:spacing w:line="278" w:lineRule="auto" w:before="9"/>
        <w:ind w:right="237" w:firstLine="419"/>
        <w:jc w:val="both"/>
      </w:pPr>
      <w:r>
        <w:rPr>
          <w:spacing w:val="-2"/>
        </w:rPr>
        <w:t>本公司其他金融资产包括货币资金、应收账款、其他应收款、债权投资、长期应收款等，这</w:t>
      </w:r>
      <w:r>
        <w:rPr>
          <w:w w:val="100"/>
        </w:rPr>
        <w:t> </w:t>
      </w:r>
      <w:r>
        <w:rPr>
          <w:spacing w:val="-2"/>
        </w:rPr>
        <w:t>些金融资产的信用风险源自于交易对手违约，最大信用风险敞口为资产负债表中每项金融资产的</w:t>
      </w:r>
      <w:r>
        <w:rPr>
          <w:spacing w:val="-25"/>
        </w:rPr>
        <w:t> </w:t>
      </w:r>
      <w:r>
        <w:rPr>
          <w:spacing w:val="-25"/>
        </w:rPr>
      </w:r>
      <w:r>
        <w:rPr>
          <w:spacing w:val="-2"/>
        </w:rPr>
        <w:t>账面金额。除附注十三所载本公司作出的财务担保外，本公司没有提供任何其他可能令本公司承</w:t>
      </w:r>
      <w:r>
        <w:rPr>
          <w:spacing w:val="-25"/>
        </w:rPr>
        <w:t> </w:t>
      </w:r>
      <w:r>
        <w:rPr>
          <w:spacing w:val="-25"/>
        </w:rPr>
      </w:r>
      <w:r>
        <w:rPr/>
        <w:t>受信用风险的担保。</w:t>
      </w:r>
    </w:p>
    <w:p>
      <w:pPr>
        <w:pStyle w:val="BodyText"/>
        <w:spacing w:line="278" w:lineRule="auto" w:before="10"/>
        <w:ind w:right="237" w:firstLine="419"/>
        <w:jc w:val="both"/>
      </w:pPr>
      <w:r>
        <w:rPr>
          <w:spacing w:val="-2"/>
        </w:rPr>
        <w:t>本公司持有的货币资金主要存放于国有控股银行和其他大中型商业银行等金融机构，管理层</w:t>
      </w:r>
      <w:r>
        <w:rPr>
          <w:w w:val="100"/>
        </w:rPr>
        <w:t> </w:t>
      </w:r>
      <w:r>
        <w:rPr>
          <w:spacing w:val="-2"/>
        </w:rPr>
        <w:t>认为这些商业银行具备较高信誉和资产状况，不存在重大的信用风险，不会产生因对方单位违约</w:t>
      </w:r>
      <w:r>
        <w:rPr>
          <w:spacing w:val="-25"/>
        </w:rPr>
        <w:t> </w:t>
      </w:r>
      <w:r>
        <w:rPr>
          <w:spacing w:val="-25"/>
        </w:rPr>
      </w:r>
      <w:r>
        <w:rPr>
          <w:spacing w:val="-2"/>
        </w:rPr>
        <w:t>而导致的任何重大损失。本公司的政策是根据各知名金融机构的市场信誉、经营规模及财务背景</w:t>
      </w:r>
      <w:r>
        <w:rPr>
          <w:spacing w:val="-25"/>
        </w:rPr>
        <w:t> </w:t>
      </w:r>
      <w:r>
        <w:rPr>
          <w:spacing w:val="-25"/>
        </w:rPr>
      </w:r>
      <w:r>
        <w:rPr/>
        <w:t>来控制存放当中的存款金额，以限制对任何单个金融机构的信用风险金额。</w:t>
      </w:r>
    </w:p>
    <w:p>
      <w:pPr>
        <w:pStyle w:val="BodyText"/>
        <w:spacing w:line="276" w:lineRule="auto" w:before="13"/>
        <w:ind w:right="228" w:firstLine="419"/>
        <w:jc w:val="both"/>
      </w:pPr>
      <w:r>
        <w:rPr>
          <w:spacing w:val="-2"/>
        </w:rPr>
        <w:t>作为本公司信用风险资产管理的一部分，本公司利用账龄来评估应收账款和其他应收款的减</w:t>
      </w:r>
      <w:r>
        <w:rPr>
          <w:w w:val="100"/>
        </w:rPr>
        <w:t> </w:t>
      </w:r>
      <w:r>
        <w:rPr>
          <w:spacing w:val="-2"/>
        </w:rPr>
        <w:t>值损失。本公司的应收账款和其他应收款涉及大量客户，账龄信息可以反映这些客户对于应收账</w:t>
      </w:r>
      <w:r>
        <w:rPr>
          <w:spacing w:val="-25"/>
        </w:rPr>
        <w:t> </w:t>
      </w:r>
      <w:r>
        <w:rPr>
          <w:spacing w:val="-25"/>
        </w:rPr>
      </w:r>
      <w:r>
        <w:rPr>
          <w:spacing w:val="-2"/>
        </w:rPr>
        <w:t>款和其他应收款的偿付能力和坏账风险。本公司根据历史数据计算不同账龄期间的历史实际坏账</w:t>
      </w:r>
      <w:r>
        <w:rPr>
          <w:spacing w:val="-25"/>
        </w:rPr>
        <w:t> </w:t>
      </w:r>
      <w:r>
        <w:rPr>
          <w:spacing w:val="-25"/>
        </w:rPr>
      </w:r>
      <w:r>
        <w:rPr>
          <w:spacing w:val="-4"/>
        </w:rPr>
        <w:t>率，并考虑了当前及未来经济状况的预测，如国家 </w:t>
      </w:r>
      <w:r>
        <w:rPr>
          <w:rFonts w:ascii="Times New Roman" w:hAnsi="Times New Roman" w:cs="Times New Roman" w:eastAsia="Times New Roman" w:hint="default"/>
        </w:rPr>
        <w:t>GDP </w:t>
      </w:r>
      <w:r>
        <w:rPr>
          <w:spacing w:val="-4"/>
        </w:rPr>
        <w:t>增速、基建投资总额、国家货币政策等前</w:t>
      </w:r>
      <w:r>
        <w:rPr>
          <w:spacing w:val="-97"/>
        </w:rPr>
        <w:t> </w:t>
      </w:r>
      <w:r>
        <w:rPr>
          <w:spacing w:val="-97"/>
        </w:rPr>
      </w:r>
      <w:r>
        <w:rPr>
          <w:spacing w:val="-6"/>
        </w:rPr>
        <w:t>瞻性信息进行调整得出预期损失率。对于长期应收款，本公司综合考虑结算期、合同约定付款期、</w:t>
      </w:r>
      <w:r>
        <w:rPr>
          <w:spacing w:val="-54"/>
        </w:rPr>
        <w:t> </w:t>
      </w:r>
      <w:r>
        <w:rPr>
          <w:spacing w:val="-54"/>
        </w:rPr>
      </w:r>
      <w:r>
        <w:rPr>
          <w:spacing w:val="-2"/>
        </w:rPr>
        <w:t>债务人的财务状况和债务人所处行业的经济形势，并考虑上述前瞻性信息进行调整后对于预期信</w:t>
      </w:r>
      <w:r>
        <w:rPr>
          <w:spacing w:val="-25"/>
        </w:rPr>
        <w:t> </w:t>
      </w:r>
      <w:r>
        <w:rPr>
          <w:spacing w:val="-25"/>
        </w:rPr>
      </w:r>
      <w:r>
        <w:rPr/>
        <w:t>用损失进行合理评估。</w:t>
      </w:r>
    </w:p>
    <w:p>
      <w:pPr>
        <w:pStyle w:val="BodyText"/>
        <w:spacing w:line="240" w:lineRule="auto" w:before="13"/>
        <w:ind w:left="638" w:right="0"/>
        <w:jc w:val="left"/>
      </w:pPr>
      <w:r>
        <w:rPr/>
        <w:t>截止</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日，相关资产的账面余额与预期信用减值损失情况如下：</w:t>
      </w:r>
    </w:p>
    <w:tbl>
      <w:tblPr>
        <w:tblW w:w="0" w:type="auto"/>
        <w:jc w:val="left"/>
        <w:tblInd w:w="105" w:type="dxa"/>
        <w:tblLayout w:type="fixed"/>
        <w:tblCellMar>
          <w:top w:w="0" w:type="dxa"/>
          <w:left w:w="0" w:type="dxa"/>
          <w:bottom w:w="0" w:type="dxa"/>
          <w:right w:w="0" w:type="dxa"/>
        </w:tblCellMar>
        <w:tblLook w:val="01E0"/>
      </w:tblPr>
      <w:tblGrid>
        <w:gridCol w:w="3632"/>
        <w:gridCol w:w="2652"/>
        <w:gridCol w:w="2765"/>
      </w:tblGrid>
      <w:tr>
        <w:trPr>
          <w:trHeight w:val="350"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r>
      <w:tr>
        <w:trPr>
          <w:trHeight w:val="350"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1,920,405.10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350"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556,480,185.18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71,682,829.60</w:t>
            </w:r>
          </w:p>
        </w:tc>
      </w:tr>
      <w:tr>
        <w:trPr>
          <w:trHeight w:val="350"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67,089,263.82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2"/>
                <w:sz w:val="21"/>
              </w:rPr>
              <w:t>11,760,371.91</w:t>
            </w:r>
          </w:p>
        </w:tc>
      </w:tr>
      <w:tr>
        <w:trPr>
          <w:trHeight w:val="350"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其他流动资产中的理财产品</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50,957,808.22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349"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长期应收款（含一年内到期的款项）</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1,061,044,919.98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350"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1,737,492,582.30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83,443,201.51</w:t>
            </w:r>
          </w:p>
        </w:tc>
      </w:tr>
    </w:tbl>
    <w:p>
      <w:pPr>
        <w:pStyle w:val="BodyText"/>
        <w:spacing w:line="273" w:lineRule="auto" w:before="28"/>
        <w:ind w:right="237" w:firstLine="419"/>
        <w:jc w:val="both"/>
      </w:pPr>
      <w:r>
        <w:rPr/>
        <w:t>截止</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 </w:t>
      </w:r>
      <w:r>
        <w:rPr/>
        <w:t>日，本公司对外提供财务担保的余额为</w:t>
      </w:r>
      <w:r>
        <w:rPr>
          <w:spacing w:val="-53"/>
        </w:rPr>
        <w:t> </w:t>
      </w:r>
      <w:r>
        <w:rPr>
          <w:rFonts w:ascii="Times New Roman" w:hAnsi="Times New Roman" w:cs="Times New Roman" w:eastAsia="Times New Roman" w:hint="default"/>
        </w:rPr>
        <w:t>835.62 </w:t>
      </w:r>
      <w:r>
        <w:rPr/>
        <w:t>万元，于</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w w:val="100"/>
        </w:rPr>
        <w:t> </w:t>
      </w:r>
      <w:r>
        <w:rPr>
          <w:spacing w:val="-2"/>
        </w:rPr>
        <w:t>日，本公司管理层评估了担保项下相关借款的逾期情况、相关借款人的财务状况及其所处行业的</w:t>
      </w:r>
      <w:r>
        <w:rPr>
          <w:spacing w:val="-25"/>
        </w:rPr>
        <w:t> </w:t>
      </w:r>
      <w:r>
        <w:rPr>
          <w:spacing w:val="-25"/>
        </w:rPr>
      </w:r>
      <w:r>
        <w:rPr>
          <w:spacing w:val="-2"/>
        </w:rPr>
        <w:t>经济形势，认为自该部分财务担保合同初始确认后，相关信用风险未显著增加。因此，本公司按</w:t>
      </w:r>
      <w:r>
        <w:rPr>
          <w:spacing w:val="-25"/>
        </w:rPr>
        <w:t> </w:t>
      </w:r>
      <w:r>
        <w:rPr>
          <w:spacing w:val="-25"/>
        </w:rPr>
      </w:r>
      <w:r>
        <w:rPr/>
        <w:t>照相当于上述财务担保合同未来</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个月内预期信用损失的金额计量其减值准备。</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年度，本</w:t>
      </w:r>
      <w:r>
        <w:rPr>
          <w:w w:val="100"/>
        </w:rPr>
        <w:t> </w:t>
      </w:r>
      <w:r>
        <w:rPr>
          <w:spacing w:val="-2"/>
        </w:rPr>
        <w:t>公司的评估方式与重大假设并未发生变化。根据本公司管理层的评估，相关财务担保无重大预期</w:t>
      </w:r>
      <w:r>
        <w:rPr>
          <w:spacing w:val="-25"/>
        </w:rPr>
        <w:t> </w:t>
      </w:r>
      <w:r>
        <w:rPr>
          <w:spacing w:val="-25"/>
        </w:rPr>
      </w:r>
      <w:r>
        <w:rPr/>
        <w:t>减值准备。</w:t>
      </w:r>
    </w:p>
    <w:p>
      <w:pPr>
        <w:pStyle w:val="BodyText"/>
        <w:spacing w:line="280" w:lineRule="auto" w:before="15"/>
        <w:ind w:right="0" w:firstLine="419"/>
        <w:jc w:val="left"/>
      </w:pPr>
      <w:r>
        <w:rPr>
          <w:spacing w:val="-4"/>
          <w:w w:val="100"/>
        </w:rPr>
        <w:t>本公司的主要客户为政府及事业单位以及优质的企业单位，该等客户具有可靠及良好的信誉，</w:t>
      </w:r>
      <w:r>
        <w:rPr>
          <w:w w:val="100"/>
        </w:rPr>
        <w:t> </w:t>
      </w:r>
      <w:r>
        <w:rPr/>
        <w:t>因此，本公司认为该等客户并无重大信用风险。</w:t>
      </w:r>
    </w:p>
    <w:p>
      <w:pPr>
        <w:spacing w:after="0" w:line="280" w:lineRule="auto"/>
        <w:jc w:val="left"/>
        <w:sectPr>
          <w:pgSz w:w="11910" w:h="16840"/>
          <w:pgMar w:header="0" w:footer="979" w:top="1120" w:bottom="1160" w:left="1580" w:right="1040"/>
        </w:sectPr>
      </w:pPr>
    </w:p>
    <w:p>
      <w:pPr>
        <w:spacing w:line="240" w:lineRule="auto" w:before="5"/>
        <w:rPr>
          <w:rFonts w:ascii="宋体" w:hAnsi="宋体" w:cs="宋体" w:eastAsia="宋体" w:hint="default"/>
          <w:sz w:val="28"/>
          <w:szCs w:val="28"/>
        </w:rPr>
      </w:pPr>
    </w:p>
    <w:p>
      <w:pPr>
        <w:pStyle w:val="BodyText"/>
        <w:spacing w:line="240" w:lineRule="auto" w:before="36"/>
        <w:ind w:left="938" w:right="0"/>
        <w:jc w:val="left"/>
        <w:rPr>
          <w:rFonts w:ascii="Times New Roman" w:hAnsi="Times New Roman" w:cs="Times New Roman" w:eastAsia="Times New Roman" w:hint="default"/>
        </w:rPr>
      </w:pPr>
      <w:r>
        <w:rPr>
          <w:w w:val="100"/>
        </w:rPr>
        <w:t>截止</w:t>
      </w:r>
      <w:r>
        <w:rPr>
          <w:spacing w:val="-72"/>
        </w:rPr>
        <w:t> </w:t>
      </w:r>
      <w:r>
        <w:rPr>
          <w:rFonts w:ascii="Times New Roman" w:hAnsi="Times New Roman" w:cs="Times New Roman" w:eastAsia="Times New Roman" w:hint="default"/>
          <w:w w:val="100"/>
        </w:rPr>
        <w:t>2019</w:t>
      </w:r>
      <w:r>
        <w:rPr>
          <w:rFonts w:ascii="Times New Roman" w:hAnsi="Times New Roman" w:cs="Times New Roman" w:eastAsia="Times New Roman" w:hint="default"/>
          <w:spacing w:val="-19"/>
        </w:rPr>
        <w:t> </w:t>
      </w:r>
      <w:r>
        <w:rPr>
          <w:w w:val="100"/>
        </w:rPr>
        <w:t>年</w:t>
      </w:r>
      <w:r>
        <w:rPr>
          <w:spacing w:val="-74"/>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9"/>
        </w:rPr>
        <w:t> </w:t>
      </w:r>
      <w:r>
        <w:rPr>
          <w:w w:val="100"/>
        </w:rPr>
        <w:t>月</w:t>
      </w:r>
      <w:r>
        <w:rPr>
          <w:spacing w:val="-72"/>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9"/>
        </w:rPr>
        <w:t> </w:t>
      </w:r>
      <w:r>
        <w:rPr>
          <w:spacing w:val="-3"/>
          <w:w w:val="100"/>
        </w:rPr>
        <w:t>日</w:t>
      </w:r>
      <w:r>
        <w:rPr>
          <w:spacing w:val="-106"/>
          <w:w w:val="100"/>
        </w:rPr>
        <w:t>，</w:t>
      </w:r>
      <w:r>
        <w:rPr>
          <w:spacing w:val="-3"/>
          <w:w w:val="100"/>
        </w:rPr>
        <w:t>本</w:t>
      </w:r>
      <w:r>
        <w:rPr>
          <w:w w:val="100"/>
        </w:rPr>
        <w:t>公司</w:t>
      </w:r>
      <w:r>
        <w:rPr>
          <w:spacing w:val="-3"/>
          <w:w w:val="100"/>
        </w:rPr>
        <w:t>的</w:t>
      </w:r>
      <w:r>
        <w:rPr>
          <w:w w:val="100"/>
        </w:rPr>
        <w:t>前</w:t>
      </w:r>
      <w:r>
        <w:rPr>
          <w:spacing w:val="-3"/>
          <w:w w:val="100"/>
        </w:rPr>
        <w:t>五</w:t>
      </w:r>
      <w:r>
        <w:rPr>
          <w:w w:val="100"/>
        </w:rPr>
        <w:t>大</w:t>
      </w:r>
      <w:r>
        <w:rPr>
          <w:spacing w:val="-3"/>
          <w:w w:val="100"/>
        </w:rPr>
        <w:t>客</w:t>
      </w:r>
      <w:r>
        <w:rPr>
          <w:w w:val="100"/>
        </w:rPr>
        <w:t>户</w:t>
      </w:r>
      <w:r>
        <w:rPr>
          <w:spacing w:val="-3"/>
          <w:w w:val="100"/>
        </w:rPr>
        <w:t>的</w:t>
      </w:r>
      <w:r>
        <w:rPr>
          <w:w w:val="100"/>
        </w:rPr>
        <w:t>应</w:t>
      </w:r>
      <w:r>
        <w:rPr>
          <w:spacing w:val="-3"/>
          <w:w w:val="100"/>
        </w:rPr>
        <w:t>收</w:t>
      </w:r>
      <w:r>
        <w:rPr>
          <w:w w:val="100"/>
        </w:rPr>
        <w:t>账款</w:t>
      </w:r>
      <w:r>
        <w:rPr>
          <w:spacing w:val="-3"/>
          <w:w w:val="100"/>
        </w:rPr>
        <w:t>占</w:t>
      </w:r>
      <w:r>
        <w:rPr>
          <w:w w:val="100"/>
        </w:rPr>
        <w:t>本</w:t>
      </w:r>
      <w:r>
        <w:rPr>
          <w:spacing w:val="-3"/>
          <w:w w:val="100"/>
        </w:rPr>
        <w:t>公</w:t>
      </w:r>
      <w:r>
        <w:rPr>
          <w:w w:val="100"/>
        </w:rPr>
        <w:t>司</w:t>
      </w:r>
      <w:r>
        <w:rPr>
          <w:spacing w:val="-3"/>
          <w:w w:val="100"/>
        </w:rPr>
        <w:t>应</w:t>
      </w:r>
      <w:r>
        <w:rPr>
          <w:w w:val="100"/>
        </w:rPr>
        <w:t>收</w:t>
      </w:r>
      <w:r>
        <w:rPr>
          <w:spacing w:val="-3"/>
          <w:w w:val="100"/>
        </w:rPr>
        <w:t>账</w:t>
      </w:r>
      <w:r>
        <w:rPr>
          <w:w w:val="100"/>
        </w:rPr>
        <w:t>款</w:t>
      </w:r>
      <w:r>
        <w:rPr>
          <w:spacing w:val="-3"/>
          <w:w w:val="100"/>
        </w:rPr>
        <w:t>总</w:t>
      </w:r>
      <w:r>
        <w:rPr>
          <w:w w:val="100"/>
        </w:rPr>
        <w:t>额</w:t>
      </w:r>
      <w:r>
        <w:rPr>
          <w:spacing w:val="-72"/>
        </w:rPr>
        <w:t> </w:t>
      </w:r>
      <w:r>
        <w:rPr>
          <w:rFonts w:ascii="Times New Roman" w:hAnsi="Times New Roman" w:cs="Times New Roman" w:eastAsia="Times New Roman" w:hint="default"/>
          <w:w w:val="100"/>
        </w:rPr>
        <w:t>19.25</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p>
    <w:p>
      <w:pPr>
        <w:pStyle w:val="BodyText"/>
        <w:spacing w:line="240" w:lineRule="auto" w:before="31"/>
        <w:ind w:left="518" w:right="0"/>
        <w:jc w:val="both"/>
        <w:rPr>
          <w:rFonts w:ascii="Times New Roman" w:hAnsi="Times New Roman" w:cs="Times New Roman" w:eastAsia="Times New Roman" w:hint="default"/>
        </w:rPr>
      </w:pPr>
      <w:r>
        <w:rPr>
          <w:w w:val="100"/>
        </w:rPr>
        <w:t>年</w:t>
      </w:r>
      <w:r>
        <w:rPr>
          <w:spacing w:val="-106"/>
          <w:w w:val="100"/>
        </w:rPr>
        <w:t>：</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95</w:t>
      </w:r>
      <w:r>
        <w:rPr>
          <w:rFonts w:ascii="Times New Roman" w:hAnsi="Times New Roman" w:cs="Times New Roman" w:eastAsia="Times New Roman" w:hint="default"/>
          <w:spacing w:val="-1"/>
          <w:w w:val="100"/>
        </w:rPr>
        <w:t>%)</w:t>
      </w:r>
      <w:r>
        <w:rPr>
          <w:spacing w:val="-108"/>
          <w:w w:val="100"/>
        </w:rPr>
        <w:t>。</w:t>
      </w:r>
      <w:r>
        <w:rPr>
          <w:w w:val="100"/>
        </w:rPr>
        <w:t>前</w:t>
      </w:r>
      <w:r>
        <w:rPr>
          <w:spacing w:val="-3"/>
          <w:w w:val="100"/>
        </w:rPr>
        <w:t>五</w:t>
      </w:r>
      <w:r>
        <w:rPr>
          <w:w w:val="100"/>
        </w:rPr>
        <w:t>大</w:t>
      </w:r>
      <w:r>
        <w:rPr>
          <w:spacing w:val="-3"/>
          <w:w w:val="100"/>
        </w:rPr>
        <w:t>客</w:t>
      </w:r>
      <w:r>
        <w:rPr>
          <w:w w:val="100"/>
        </w:rPr>
        <w:t>户</w:t>
      </w:r>
      <w:r>
        <w:rPr>
          <w:spacing w:val="-3"/>
          <w:w w:val="100"/>
        </w:rPr>
        <w:t>的</w:t>
      </w:r>
      <w:r>
        <w:rPr>
          <w:w w:val="100"/>
        </w:rPr>
        <w:t>长期</w:t>
      </w:r>
      <w:r>
        <w:rPr>
          <w:spacing w:val="-3"/>
          <w:w w:val="100"/>
        </w:rPr>
        <w:t>应</w:t>
      </w:r>
      <w:r>
        <w:rPr>
          <w:w w:val="100"/>
        </w:rPr>
        <w:t>收</w:t>
      </w:r>
      <w:r>
        <w:rPr>
          <w:spacing w:val="-108"/>
          <w:w w:val="100"/>
        </w:rPr>
        <w:t>款</w:t>
      </w:r>
      <w:r>
        <w:rPr>
          <w:w w:val="100"/>
        </w:rPr>
        <w:t>（</w:t>
      </w:r>
      <w:r>
        <w:rPr>
          <w:spacing w:val="-3"/>
          <w:w w:val="100"/>
        </w:rPr>
        <w:t>含</w:t>
      </w:r>
      <w:r>
        <w:rPr>
          <w:w w:val="100"/>
        </w:rPr>
        <w:t>一</w:t>
      </w:r>
      <w:r>
        <w:rPr>
          <w:spacing w:val="-3"/>
          <w:w w:val="100"/>
        </w:rPr>
        <w:t>年</w:t>
      </w:r>
      <w:r>
        <w:rPr>
          <w:w w:val="100"/>
        </w:rPr>
        <w:t>内</w:t>
      </w:r>
      <w:r>
        <w:rPr>
          <w:spacing w:val="-3"/>
          <w:w w:val="100"/>
        </w:rPr>
        <w:t>到期</w:t>
      </w:r>
      <w:r>
        <w:rPr>
          <w:w w:val="100"/>
        </w:rPr>
        <w:t>的款</w:t>
      </w:r>
      <w:r>
        <w:rPr>
          <w:spacing w:val="-3"/>
          <w:w w:val="100"/>
        </w:rPr>
        <w:t>项</w:t>
      </w:r>
      <w:r>
        <w:rPr>
          <w:spacing w:val="-106"/>
          <w:w w:val="100"/>
        </w:rPr>
        <w:t>）</w:t>
      </w:r>
      <w:r>
        <w:rPr>
          <w:spacing w:val="-3"/>
          <w:w w:val="100"/>
        </w:rPr>
        <w:t>占</w:t>
      </w:r>
      <w:r>
        <w:rPr>
          <w:w w:val="100"/>
        </w:rPr>
        <w:t>本</w:t>
      </w:r>
      <w:r>
        <w:rPr>
          <w:spacing w:val="-3"/>
          <w:w w:val="100"/>
        </w:rPr>
        <w:t>公</w:t>
      </w:r>
      <w:r>
        <w:rPr>
          <w:w w:val="100"/>
        </w:rPr>
        <w:t>司</w:t>
      </w:r>
      <w:r>
        <w:rPr>
          <w:spacing w:val="-3"/>
          <w:w w:val="100"/>
        </w:rPr>
        <w:t>应</w:t>
      </w:r>
      <w:r>
        <w:rPr>
          <w:w w:val="100"/>
        </w:rPr>
        <w:t>收</w:t>
      </w:r>
      <w:r>
        <w:rPr>
          <w:spacing w:val="-3"/>
          <w:w w:val="100"/>
        </w:rPr>
        <w:t>账款</w:t>
      </w:r>
      <w:r>
        <w:rPr>
          <w:w w:val="100"/>
        </w:rPr>
        <w:t>总额</w:t>
      </w:r>
      <w:r>
        <w:rPr>
          <w:spacing w:val="-57"/>
        </w:rPr>
        <w:t> </w:t>
      </w:r>
      <w:r>
        <w:rPr>
          <w:rFonts w:ascii="Times New Roman" w:hAnsi="Times New Roman" w:cs="Times New Roman" w:eastAsia="Times New Roman" w:hint="default"/>
          <w:w w:val="100"/>
        </w:rPr>
        <w:t>95</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84</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p>
    <w:p>
      <w:pPr>
        <w:pStyle w:val="BodyText"/>
        <w:spacing w:line="240" w:lineRule="auto" w:before="28"/>
        <w:ind w:left="518" w:right="0"/>
        <w:jc w:val="both"/>
      </w:pPr>
      <w:r>
        <w:rPr/>
        <w:t>年：</w:t>
      </w:r>
      <w:r>
        <w:rPr>
          <w:rFonts w:ascii="Times New Roman" w:hAnsi="Times New Roman" w:cs="Times New Roman" w:eastAsia="Times New Roman" w:hint="default"/>
        </w:rPr>
        <w:t>98.64%)</w:t>
      </w:r>
      <w:r>
        <w:rPr/>
        <w:t>。</w:t>
      </w:r>
    </w:p>
    <w:p>
      <w:pPr>
        <w:pStyle w:val="BodyText"/>
        <w:spacing w:line="280" w:lineRule="auto" w:before="28"/>
        <w:ind w:left="518" w:right="0" w:firstLine="419"/>
        <w:jc w:val="left"/>
      </w:pPr>
      <w:r>
        <w:rPr>
          <w:spacing w:val="-2"/>
        </w:rPr>
        <w:t>本公司投资的理财产品，交易对方的信用评级须高于或与本公司相同。鉴于交易对方的信用</w:t>
      </w:r>
      <w:r>
        <w:rPr>
          <w:w w:val="100"/>
        </w:rPr>
        <w:t> </w:t>
      </w:r>
      <w:r>
        <w:rPr/>
        <w:t>评级良好，本公司管理层并不预期交易对方会无法履行义务。</w:t>
      </w:r>
    </w:p>
    <w:p>
      <w:pPr>
        <w:pStyle w:val="BodyText"/>
        <w:spacing w:line="278" w:lineRule="auto" w:before="8"/>
        <w:ind w:left="938" w:right="0"/>
        <w:jc w:val="left"/>
      </w:pPr>
      <w:r>
        <w:rPr/>
        <w:t>（二）流动性风险</w:t>
      </w:r>
      <w:r>
        <w:rPr>
          <w:spacing w:val="-102"/>
        </w:rPr>
        <w:t> </w:t>
      </w:r>
      <w:r>
        <w:rPr>
          <w:spacing w:val="-102"/>
        </w:rPr>
      </w:r>
      <w:r>
        <w:rPr>
          <w:spacing w:val="-2"/>
        </w:rPr>
        <w:t>流动性风险是指本公司在履行以交付现金或其他金融资产的方式结算的义务时发生资金短缺</w:t>
      </w:r>
    </w:p>
    <w:p>
      <w:pPr>
        <w:pStyle w:val="BodyText"/>
        <w:spacing w:line="278" w:lineRule="auto" w:before="13"/>
        <w:ind w:left="518" w:right="188"/>
        <w:jc w:val="both"/>
      </w:pPr>
      <w:r>
        <w:rPr>
          <w:spacing w:val="-2"/>
        </w:rPr>
        <w:t>的风险。本公司下属成员企业各自负责其现金流量预测。公司下属财务部门基于各成员企业的现</w:t>
      </w:r>
      <w:r>
        <w:rPr>
          <w:spacing w:val="-25"/>
        </w:rPr>
        <w:t> </w:t>
      </w:r>
      <w:r>
        <w:rPr>
          <w:spacing w:val="-25"/>
        </w:rPr>
      </w:r>
      <w:r>
        <w:rPr>
          <w:spacing w:val="-6"/>
          <w:w w:val="100"/>
        </w:rPr>
        <w:t>金流量预测结果，在公司层面持续监控公司短期和长期的资金需求，以确保维持充裕的现金储备；</w:t>
      </w:r>
      <w:r>
        <w:rPr>
          <w:w w:val="100"/>
        </w:rPr>
        <w:t> </w:t>
      </w:r>
      <w:r>
        <w:rPr>
          <w:spacing w:val="-2"/>
        </w:rPr>
        <w:t>同时持续监控是否符合借款协议的规定，从主要金融机构获得提供足够备用资金的承诺，以满足</w:t>
      </w:r>
      <w:r>
        <w:rPr>
          <w:spacing w:val="-25"/>
        </w:rPr>
        <w:t> </w:t>
      </w:r>
      <w:r>
        <w:rPr>
          <w:spacing w:val="-25"/>
        </w:rPr>
      </w:r>
      <w:r>
        <w:rPr>
          <w:spacing w:val="-2"/>
        </w:rPr>
        <w:t>短期和长期的资金需求。此外，本公司与主要业务往来银行订立融资额度授信协议，为本公司履</w:t>
      </w:r>
      <w:r>
        <w:rPr>
          <w:spacing w:val="-25"/>
        </w:rPr>
        <w:t> </w:t>
      </w:r>
      <w:r>
        <w:rPr>
          <w:spacing w:val="-25"/>
        </w:rPr>
      </w:r>
      <w:r>
        <w:rPr>
          <w:spacing w:val="-4"/>
        </w:rPr>
        <w:t>行与商业票据相关的义务提供支持。截止</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5"/>
        </w:rPr>
        <w:t>日，本公司已拥有国内多家银行提供的</w:t>
      </w:r>
    </w:p>
    <w:p>
      <w:pPr>
        <w:pStyle w:val="BodyText"/>
        <w:spacing w:line="282" w:lineRule="exact"/>
        <w:ind w:left="518" w:right="0"/>
        <w:jc w:val="both"/>
      </w:pPr>
      <w:r>
        <w:rPr/>
        <w:t>银行授信额度，金额</w:t>
      </w:r>
      <w:r>
        <w:rPr>
          <w:spacing w:val="-55"/>
        </w:rPr>
        <w:t> </w:t>
      </w:r>
      <w:r>
        <w:rPr>
          <w:rFonts w:ascii="Times New Roman" w:hAnsi="Times New Roman" w:cs="Times New Roman" w:eastAsia="Times New Roman" w:hint="default"/>
        </w:rPr>
        <w:t>71,500</w:t>
      </w:r>
      <w:r>
        <w:rPr>
          <w:rFonts w:ascii="Times New Roman" w:hAnsi="Times New Roman" w:cs="Times New Roman" w:eastAsia="Times New Roman" w:hint="default"/>
          <w:spacing w:val="-3"/>
        </w:rPr>
        <w:t> </w:t>
      </w:r>
      <w:r>
        <w:rPr/>
        <w:t>万元，其中：已使用授信金额为</w:t>
      </w:r>
      <w:r>
        <w:rPr>
          <w:spacing w:val="-55"/>
        </w:rPr>
        <w:t> </w:t>
      </w:r>
      <w:r>
        <w:rPr>
          <w:rFonts w:ascii="Times New Roman" w:hAnsi="Times New Roman" w:cs="Times New Roman" w:eastAsia="Times New Roman" w:hint="default"/>
        </w:rPr>
        <w:t>20,458</w:t>
      </w:r>
      <w:r>
        <w:rPr>
          <w:rFonts w:ascii="Times New Roman" w:hAnsi="Times New Roman" w:cs="Times New Roman" w:eastAsia="Times New Roman" w:hint="default"/>
          <w:spacing w:val="-3"/>
        </w:rPr>
        <w:t> </w:t>
      </w:r>
      <w:r>
        <w:rPr/>
        <w:t>万元。</w:t>
      </w:r>
    </w:p>
    <w:p>
      <w:pPr>
        <w:pStyle w:val="BodyText"/>
        <w:spacing w:line="240" w:lineRule="auto" w:before="31"/>
        <w:ind w:left="938" w:right="0"/>
        <w:jc w:val="left"/>
      </w:pPr>
      <w:r>
        <w:rPr/>
        <w:t>截止</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日，本公司金融负债的合同现金流量按合同剩余期限列示如下：</w:t>
      </w:r>
    </w:p>
    <w:tbl>
      <w:tblPr>
        <w:tblW w:w="0" w:type="auto"/>
        <w:jc w:val="left"/>
        <w:tblInd w:w="117" w:type="dxa"/>
        <w:tblLayout w:type="fixed"/>
        <w:tblCellMar>
          <w:top w:w="0" w:type="dxa"/>
          <w:left w:w="0" w:type="dxa"/>
          <w:bottom w:w="0" w:type="dxa"/>
          <w:right w:w="0" w:type="dxa"/>
        </w:tblCellMar>
        <w:tblLook w:val="01E0"/>
      </w:tblPr>
      <w:tblGrid>
        <w:gridCol w:w="1308"/>
        <w:gridCol w:w="1455"/>
        <w:gridCol w:w="1454"/>
        <w:gridCol w:w="1308"/>
        <w:gridCol w:w="1308"/>
        <w:gridCol w:w="437"/>
        <w:gridCol w:w="437"/>
        <w:gridCol w:w="1598"/>
      </w:tblGrid>
      <w:tr>
        <w:trPr>
          <w:trHeight w:val="350" w:hRule="exact"/>
        </w:trPr>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9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068" w:hRule="exact"/>
        </w:trPr>
        <w:tc>
          <w:tcPr>
            <w:tcW w:w="1308" w:type="dxa"/>
            <w:vMerge/>
            <w:tcBorders>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即时偿还</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3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3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3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sz w:val="21"/>
              </w:rPr>
              <w:t>3-</w:t>
            </w:r>
          </w:p>
          <w:p>
            <w:pPr>
              <w:pStyle w:val="TableParagraph"/>
              <w:spacing w:line="227" w:lineRule="exact" w:before="1"/>
              <w:ind w:right="0"/>
              <w:jc w:val="center"/>
              <w:rPr>
                <w:rFonts w:ascii="Times New Roman" w:hAnsi="Times New Roman" w:cs="Times New Roman" w:eastAsia="Times New Roman" w:hint="default"/>
                <w:sz w:val="21"/>
                <w:szCs w:val="21"/>
              </w:rPr>
            </w:pPr>
            <w:r>
              <w:rPr>
                <w:rFonts w:ascii="Times New Roman"/>
                <w:w w:val="100"/>
                <w:sz w:val="21"/>
              </w:rPr>
              <w:t>5</w:t>
            </w:r>
          </w:p>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年</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center"/>
              <w:rPr>
                <w:rFonts w:ascii="Times New Roman" w:hAnsi="Times New Roman" w:cs="Times New Roman" w:eastAsia="Times New Roman" w:hint="default"/>
                <w:sz w:val="21"/>
                <w:szCs w:val="21"/>
              </w:rPr>
            </w:pPr>
            <w:r>
              <w:rPr>
                <w:rFonts w:ascii="Times New Roman"/>
                <w:w w:val="100"/>
                <w:sz w:val="21"/>
              </w:rPr>
              <w:t>5</w:t>
            </w:r>
          </w:p>
          <w:p>
            <w:pPr>
              <w:pStyle w:val="TableParagraph"/>
              <w:spacing w:line="237" w:lineRule="auto"/>
              <w:ind w:left="105" w:right="11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上</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19,775,879.58</w:t>
            </w:r>
          </w:p>
        </w:tc>
        <w:tc>
          <w:tcPr>
            <w:tcW w:w="13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19,775,879.58</w:t>
            </w:r>
          </w:p>
        </w:tc>
      </w:tr>
      <w:tr>
        <w:trPr>
          <w:trHeight w:val="350"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95,100,582.60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95,100,582.60</w:t>
            </w:r>
          </w:p>
        </w:tc>
      </w:tr>
      <w:tr>
        <w:trPr>
          <w:trHeight w:val="350"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438,240,105.33</w:t>
            </w:r>
          </w:p>
        </w:tc>
        <w:tc>
          <w:tcPr>
            <w:tcW w:w="14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438,240,105.33</w:t>
            </w:r>
          </w:p>
        </w:tc>
      </w:tr>
      <w:tr>
        <w:trPr>
          <w:trHeight w:val="348"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31,128,729.77</w:t>
            </w:r>
          </w:p>
        </w:tc>
        <w:tc>
          <w:tcPr>
            <w:tcW w:w="14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31,128,729.77</w:t>
            </w:r>
          </w:p>
        </w:tc>
      </w:tr>
      <w:tr>
        <w:trPr>
          <w:trHeight w:val="350"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661,475,833.33</w:t>
            </w:r>
          </w:p>
        </w:tc>
        <w:tc>
          <w:tcPr>
            <w:tcW w:w="13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661,475,833.33</w:t>
            </w:r>
          </w:p>
        </w:tc>
      </w:tr>
      <w:tr>
        <w:trPr>
          <w:trHeight w:val="828"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长期应付款</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pacing w:val="6"/>
                <w:sz w:val="21"/>
                <w:szCs w:val="21"/>
              </w:rPr>
              <w:t>（含一年内</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到期）</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150,797,690.00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41,472,112.50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42,697,690.00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234,967,492.50</w:t>
            </w:r>
          </w:p>
        </w:tc>
      </w:tr>
      <w:tr>
        <w:trPr>
          <w:trHeight w:val="350"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财务担保</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8,586,153.82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8,586,153.82</w:t>
            </w:r>
          </w:p>
        </w:tc>
      </w:tr>
      <w:tr>
        <w:trPr>
          <w:trHeight w:val="350"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469,368,835.10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935,736,139.33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41,472,112.50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42,697,690.00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1,489,274,776.93</w:t>
            </w:r>
          </w:p>
        </w:tc>
      </w:tr>
    </w:tbl>
    <w:p>
      <w:pPr>
        <w:spacing w:line="240" w:lineRule="auto" w:before="10"/>
        <w:rPr>
          <w:rFonts w:ascii="宋体" w:hAnsi="宋体" w:cs="宋体" w:eastAsia="宋体" w:hint="default"/>
          <w:sz w:val="23"/>
          <w:szCs w:val="23"/>
        </w:rPr>
      </w:pPr>
    </w:p>
    <w:p>
      <w:pPr>
        <w:pStyle w:val="BodyText"/>
        <w:spacing w:line="266" w:lineRule="auto" w:before="36"/>
        <w:ind w:left="518" w:right="188" w:firstLine="419"/>
        <w:jc w:val="both"/>
      </w:pPr>
      <w:r>
        <w:rPr>
          <w:spacing w:val="-2"/>
        </w:rPr>
        <w:t>根据《南威软件股份有限公司公开发行可转换公司债券募集说明书》约定，在本次发行的可</w:t>
      </w:r>
      <w:r>
        <w:rPr>
          <w:w w:val="100"/>
        </w:rPr>
        <w:t> </w:t>
      </w:r>
      <w:r>
        <w:rPr>
          <w:spacing w:val="-4"/>
        </w:rPr>
        <w:t>转换公司债券转股期内，如果公司</w:t>
      </w:r>
      <w:r>
        <w:rPr>
          <w:spacing w:val="-46"/>
        </w:rPr>
        <w:t> </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t>股股票连续三十个交易日中至少有十五个交易日的收盘价格</w:t>
      </w:r>
      <w:r>
        <w:rPr>
          <w:spacing w:val="-102"/>
        </w:rPr>
        <w:t> </w:t>
      </w:r>
      <w:r>
        <w:rPr>
          <w:spacing w:val="-102"/>
        </w:rPr>
      </w:r>
      <w:r>
        <w:rPr/>
        <w:t>不低于当期转股价格的</w:t>
      </w:r>
      <w:r>
        <w:rPr>
          <w:spacing w:val="-58"/>
        </w:rPr>
        <w:t> </w:t>
      </w:r>
      <w:r>
        <w:rPr>
          <w:rFonts w:ascii="Times New Roman" w:hAnsi="Times New Roman" w:cs="Times New Roman" w:eastAsia="Times New Roman" w:hint="default"/>
          <w:spacing w:val="-3"/>
        </w:rPr>
        <w:t>130%</w:t>
      </w:r>
      <w:r>
        <w:rPr>
          <w:spacing w:val="-3"/>
        </w:rPr>
        <w:t>（含</w:t>
      </w:r>
      <w:r>
        <w:rPr>
          <w:spacing w:val="-59"/>
        </w:rPr>
        <w:t> </w:t>
      </w:r>
      <w:r>
        <w:rPr>
          <w:rFonts w:ascii="Times New Roman" w:hAnsi="Times New Roman" w:cs="Times New Roman" w:eastAsia="Times New Roman" w:hint="default"/>
        </w:rPr>
        <w:t>130%</w:t>
      </w:r>
      <w:r>
        <w:rPr/>
        <w:t>）。公司董事会有权决定按照债券面值加当期应计利息的</w:t>
      </w:r>
      <w:r>
        <w:rPr>
          <w:w w:val="100"/>
        </w:rPr>
        <w:t> </w:t>
      </w:r>
      <w:r>
        <w:rPr>
          <w:spacing w:val="-4"/>
        </w:rPr>
        <w:t>价格赎回全部或部分未转股的可转换公司债券。因此，在假定 </w:t>
      </w:r>
      <w:r>
        <w:rPr>
          <w:rFonts w:ascii="Times New Roman" w:hAnsi="Times New Roman" w:cs="Times New Roman" w:eastAsia="Times New Roman" w:hint="default"/>
        </w:rPr>
        <w:t>2020 </w:t>
      </w:r>
      <w:r>
        <w:rPr>
          <w:spacing w:val="-4"/>
        </w:rPr>
        <w:t>年触发可赎回条款，公司行使</w:t>
      </w:r>
      <w:r>
        <w:rPr>
          <w:spacing w:val="-95"/>
        </w:rPr>
        <w:t> </w:t>
      </w:r>
      <w:r>
        <w:rPr>
          <w:spacing w:val="-95"/>
        </w:rPr>
      </w:r>
      <w:r>
        <w:rPr>
          <w:rFonts w:ascii="Times New Roman" w:hAnsi="Times New Roman" w:cs="Times New Roman" w:eastAsia="Times New Roman" w:hint="default"/>
          <w:spacing w:val="-2"/>
        </w:rPr>
        <w:t>“</w:t>
      </w:r>
      <w:r>
        <w:rPr>
          <w:spacing w:val="-2"/>
        </w:rPr>
        <w:t>南威转债</w:t>
      </w:r>
      <w:r>
        <w:rPr>
          <w:rFonts w:ascii="Times New Roman" w:hAnsi="Times New Roman" w:cs="Times New Roman" w:eastAsia="Times New Roman" w:hint="default"/>
          <w:spacing w:val="-2"/>
        </w:rPr>
        <w:t>”</w:t>
      </w:r>
      <w:r>
        <w:rPr>
          <w:spacing w:val="-2"/>
        </w:rPr>
        <w:t>的提前赎回权并赎回全部可转债的前提下，公司将应付债券合同现金流量剩余期限列</w:t>
      </w:r>
      <w:r>
        <w:rPr>
          <w:spacing w:val="-25"/>
        </w:rPr>
        <w:t> </w:t>
      </w:r>
      <w:r>
        <w:rPr>
          <w:spacing w:val="-25"/>
        </w:rPr>
      </w:r>
      <w:r>
        <w:rPr/>
        <w:t>示为</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年以内到期。</w:t>
      </w:r>
    </w:p>
    <w:p>
      <w:pPr>
        <w:pStyle w:val="BodyText"/>
        <w:spacing w:line="278" w:lineRule="auto" w:before="3"/>
        <w:ind w:left="938" w:right="0"/>
        <w:jc w:val="left"/>
      </w:pPr>
      <w:r>
        <w:rPr/>
        <w:t>（三）市场风险</w:t>
      </w:r>
      <w:r>
        <w:rPr>
          <w:spacing w:val="-103"/>
        </w:rPr>
        <w:t> </w:t>
      </w:r>
      <w:r>
        <w:rPr>
          <w:spacing w:val="-103"/>
        </w:rPr>
      </w:r>
      <w:r>
        <w:rPr>
          <w:spacing w:val="-2"/>
        </w:rPr>
        <w:t>市场风险，是指金融工具的公允价值或未来现金流量因市场价格变动而发生波动的风险，主</w:t>
      </w:r>
    </w:p>
    <w:p>
      <w:pPr>
        <w:pStyle w:val="BodyText"/>
        <w:spacing w:line="240" w:lineRule="auto" w:before="13"/>
        <w:ind w:left="518" w:right="0"/>
        <w:jc w:val="left"/>
      </w:pPr>
      <w:r>
        <w:rPr/>
        <w:t>要包括汇率风险、利率风险和其他价格风险。</w:t>
      </w:r>
    </w:p>
    <w:p>
      <w:pPr>
        <w:pStyle w:val="BodyText"/>
        <w:spacing w:line="264" w:lineRule="auto" w:before="44"/>
        <w:ind w:left="938" w:right="0"/>
        <w:jc w:val="left"/>
      </w:pPr>
      <w:r>
        <w:rPr>
          <w:rFonts w:ascii="Times New Roman" w:hAnsi="Times New Roman" w:cs="Times New Roman" w:eastAsia="Times New Roman" w:hint="default"/>
        </w:rPr>
        <w:t>1</w:t>
      </w:r>
      <w:r>
        <w:rPr/>
        <w:t>．汇率风险</w:t>
      </w:r>
      <w:r>
        <w:rPr>
          <w:w w:val="100"/>
        </w:rPr>
        <w:t> </w:t>
      </w:r>
      <w:r>
        <w:rPr>
          <w:spacing w:val="-2"/>
        </w:rPr>
        <w:t>汇率风险，是指金融工具的公允价值或未来现金流量因外汇汇率变动而发生波动的风险。截</w:t>
      </w:r>
    </w:p>
    <w:p>
      <w:pPr>
        <w:pStyle w:val="BodyText"/>
        <w:spacing w:line="240" w:lineRule="auto" w:before="25"/>
        <w:ind w:left="518" w:right="0"/>
        <w:jc w:val="left"/>
        <w:rPr>
          <w:rFonts w:ascii="Times New Roman" w:hAnsi="Times New Roman" w:cs="Times New Roman" w:eastAsia="Times New Roman" w:hint="default"/>
        </w:rPr>
      </w:pPr>
      <w:r>
        <w:rPr/>
        <w:t>至</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5"/>
        </w:rPr>
        <w:t>日，本公司以外币计价的金融资产款及金融负债金额很小，仅为货币资金</w:t>
      </w:r>
      <w:r>
        <w:rPr>
          <w:spacing w:val="-43"/>
        </w:rPr>
        <w:t> </w:t>
      </w:r>
      <w:r>
        <w:rPr>
          <w:rFonts w:ascii="Times New Roman" w:hAnsi="Times New Roman" w:cs="Times New Roman" w:eastAsia="Times New Roman" w:hint="default"/>
        </w:rPr>
        <w:t>0.85</w:t>
      </w:r>
    </w:p>
    <w:p>
      <w:pPr>
        <w:pStyle w:val="BodyText"/>
        <w:spacing w:line="240" w:lineRule="auto" w:before="28"/>
        <w:ind w:left="518" w:right="0"/>
        <w:jc w:val="left"/>
      </w:pPr>
      <w:r>
        <w:rPr/>
        <w:t>美元，因此无汇率风险。</w:t>
      </w:r>
    </w:p>
    <w:p>
      <w:pPr>
        <w:spacing w:after="0" w:line="240" w:lineRule="auto"/>
        <w:jc w:val="left"/>
        <w:sectPr>
          <w:pgSz w:w="11910" w:h="16840"/>
          <w:pgMar w:header="0" w:footer="979" w:top="1120" w:bottom="1160" w:left="1280" w:right="1080"/>
        </w:sectPr>
      </w:pPr>
    </w:p>
    <w:p>
      <w:pPr>
        <w:spacing w:line="240" w:lineRule="auto" w:before="5"/>
        <w:rPr>
          <w:rFonts w:ascii="宋体" w:hAnsi="宋体" w:cs="宋体" w:eastAsia="宋体" w:hint="default"/>
          <w:sz w:val="28"/>
          <w:szCs w:val="28"/>
        </w:rPr>
      </w:pPr>
    </w:p>
    <w:p>
      <w:pPr>
        <w:pStyle w:val="BodyText"/>
        <w:spacing w:line="266" w:lineRule="auto" w:before="36"/>
        <w:ind w:left="558" w:right="0"/>
        <w:jc w:val="left"/>
      </w:pPr>
      <w:r>
        <w:rPr>
          <w:rFonts w:ascii="Times New Roman" w:hAnsi="Times New Roman" w:cs="Times New Roman" w:eastAsia="Times New Roman" w:hint="default"/>
        </w:rPr>
        <w:t>2</w:t>
      </w:r>
      <w:r>
        <w:rPr/>
        <w:t>．利率风险</w:t>
      </w:r>
      <w:r>
        <w:rPr>
          <w:w w:val="100"/>
        </w:rPr>
        <w:t> </w:t>
      </w:r>
      <w:r>
        <w:rPr>
          <w:spacing w:val="-2"/>
        </w:rPr>
        <w:t>利率风险，是指金融工具的公允价值或未来现金流量因市场利率变动而发生波动的风险。本</w:t>
      </w:r>
    </w:p>
    <w:p>
      <w:pPr>
        <w:pStyle w:val="BodyText"/>
        <w:spacing w:line="240" w:lineRule="auto" w:before="21"/>
        <w:ind w:left="138" w:right="0"/>
        <w:jc w:val="left"/>
      </w:pPr>
      <w:r>
        <w:rPr/>
        <w:t>公司与银行签订的短期借款协议，约定了固定的借款利率，暂无利率风险。</w:t>
      </w:r>
    </w:p>
    <w:p>
      <w:pPr>
        <w:pStyle w:val="BodyText"/>
        <w:spacing w:line="266" w:lineRule="auto" w:before="44"/>
        <w:ind w:left="558" w:right="0"/>
        <w:jc w:val="left"/>
      </w:pPr>
      <w:r>
        <w:rPr>
          <w:rFonts w:ascii="Times New Roman" w:hAnsi="Times New Roman" w:cs="Times New Roman" w:eastAsia="Times New Roman" w:hint="default"/>
        </w:rPr>
        <w:t>3</w:t>
      </w:r>
      <w:r>
        <w:rPr/>
        <w:t>．价格风险</w:t>
      </w:r>
      <w:r>
        <w:rPr>
          <w:w w:val="100"/>
        </w:rPr>
        <w:t> </w:t>
      </w:r>
      <w:r>
        <w:rPr>
          <w:spacing w:val="-4"/>
          <w:w w:val="100"/>
        </w:rPr>
        <w:t>价格风险指汇率风险和利率风险以外的市场价格变动而发生波动的风险，主要源于商品价格、</w:t>
      </w:r>
    </w:p>
    <w:p>
      <w:pPr>
        <w:pStyle w:val="BodyText"/>
        <w:spacing w:line="240" w:lineRule="auto" w:before="21"/>
        <w:ind w:left="138" w:right="2819"/>
        <w:jc w:val="left"/>
      </w:pPr>
      <w:r>
        <w:rPr/>
        <w:t>股票市场指数、权益工具价格以及其他风险变量的变化。</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979" w:top="1120" w:bottom="1160" w:left="1660" w:right="1060"/>
        </w:sectPr>
      </w:pPr>
    </w:p>
    <w:p>
      <w:pPr>
        <w:pStyle w:val="Heading4"/>
        <w:spacing w:line="240" w:lineRule="auto" w:before="36"/>
        <w:ind w:left="138" w:right="-18"/>
        <w:jc w:val="left"/>
        <w:rPr>
          <w:rFonts w:ascii="宋体" w:hAnsi="宋体" w:cs="宋体" w:eastAsia="宋体" w:hint="default"/>
          <w:b w:val="0"/>
          <w:bCs w:val="0"/>
        </w:rPr>
      </w:pPr>
      <w:r>
        <w:rPr/>
        <w:t>十一、公允价值的披露</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left="138" w:right="-18"/>
        <w:jc w:val="left"/>
        <w:rPr>
          <w:b w:val="0"/>
          <w:bCs w:val="0"/>
        </w:rPr>
      </w:pPr>
      <w:r>
        <w:rPr>
          <w:rFonts w:ascii="Times New Roman" w:hAnsi="Times New Roman" w:cs="Times New Roman" w:eastAsia="Times New Roman" w:hint="default"/>
        </w:rPr>
        <w:t>1</w:t>
      </w:r>
      <w:r>
        <w:rPr/>
        <w:t>、</w:t>
      </w:r>
      <w:r>
        <w:rPr>
          <w:spacing w:val="4"/>
        </w:rPr>
        <w:t> </w:t>
      </w:r>
      <w:r>
        <w:rPr/>
        <w:t>以公允价值计量的资产和负债的期末公允价值</w:t>
      </w:r>
      <w:r>
        <w:rPr>
          <w:b w:val="0"/>
          <w:bCs w:val="0"/>
        </w:rPr>
      </w:r>
    </w:p>
    <w:p>
      <w:pPr>
        <w:pStyle w:val="BodyText"/>
        <w:spacing w:line="240" w:lineRule="auto" w:before="43"/>
        <w:ind w:left="138" w:right="-1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660" w:right="1060"/>
          <w:cols w:num="2" w:equalWidth="0">
            <w:col w:w="4783" w:space="1950"/>
            <w:col w:w="245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1"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2,000,000.00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1,920,405.10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1,920,405.10</w:t>
            </w: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3,920,405.10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3,920,405.10</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108,571,428.54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108,571,428.54</w:t>
            </w: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108,571,428.54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108,571,428.54</w:t>
            </w: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4"/>
        <w:spacing w:line="240" w:lineRule="auto" w:before="56"/>
        <w:ind w:left="138" w:right="2819"/>
        <w:jc w:val="left"/>
        <w:rPr>
          <w:rFonts w:ascii="宋体" w:hAnsi="宋体" w:cs="宋体" w:eastAsia="宋体" w:hint="default"/>
          <w:b w:val="0"/>
          <w:bCs w:val="0"/>
        </w:rPr>
      </w:pPr>
      <w:r>
        <w:rPr>
          <w:rFonts w:ascii="Times New Roman" w:hAnsi="Times New Roman" w:cs="Times New Roman" w:eastAsia="Times New Roman" w:hint="default"/>
        </w:rPr>
        <w:t>2</w:t>
      </w:r>
      <w:r>
        <w:rPr/>
        <w:t>、 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43"/>
        <w:ind w:left="138" w:right="2819"/>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2"/>
        <w:spacing w:line="309" w:lineRule="exact"/>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ind w:left="138" w:right="0"/>
        <w:jc w:val="left"/>
        <w:rPr>
          <w:b w:val="0"/>
          <w:bCs w:val="0"/>
        </w:rPr>
      </w:pPr>
      <w:r>
        <w:rPr>
          <w:rFonts w:ascii="Times New Roman" w:hAnsi="Times New Roman" w:cs="Times New Roman" w:eastAsia="Times New Roman"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40"/>
        <w:ind w:left="138" w:right="2819"/>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40" w:lineRule="auto" w:before="9"/>
        <w:ind w:left="618" w:right="0"/>
        <w:jc w:val="left"/>
      </w:pPr>
      <w:r>
        <w:rPr/>
        <w:t> </w:t>
      </w:r>
    </w:p>
    <w:p>
      <w:pPr>
        <w:pStyle w:val="Heading4"/>
        <w:spacing w:line="240" w:lineRule="auto" w:before="55"/>
        <w:ind w:left="138" w:right="0"/>
        <w:jc w:val="left"/>
        <w:rPr>
          <w:b w:val="0"/>
          <w:bCs w:val="0"/>
        </w:rPr>
      </w:pPr>
      <w:r>
        <w:rPr>
          <w:rFonts w:ascii="Times New Roman" w:hAnsi="Times New Roman" w:cs="Times New Roman" w:eastAsia="Times New Roman"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76" w:lineRule="auto" w:before="43"/>
        <w:ind w:left="618" w:right="0" w:hanging="48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spacing w:val="-3"/>
        </w:rPr>
        <w:t>持续第三层次公允价值计量的应收款项融资主要为本公司持有的承兑汇票。本公司采用票面</w:t>
      </w:r>
    </w:p>
    <w:p>
      <w:pPr>
        <w:pStyle w:val="BodyText"/>
        <w:spacing w:line="280" w:lineRule="auto" w:before="13"/>
        <w:ind w:left="558" w:right="0" w:hanging="420"/>
        <w:jc w:val="left"/>
      </w:pPr>
      <w:r>
        <w:rPr/>
        <w:t>金额确定公允价值。</w:t>
      </w:r>
      <w:r>
        <w:rPr>
          <w:w w:val="100"/>
        </w:rPr>
        <w:t> </w:t>
      </w:r>
      <w:r>
        <w:rPr>
          <w:spacing w:val="-2"/>
        </w:rPr>
        <w:t>持续第三层次公允价值计量的其他权益工具主要为本公司持有的无控制、共同控制、重大影</w:t>
      </w:r>
    </w:p>
    <w:p>
      <w:pPr>
        <w:pStyle w:val="BodyText"/>
        <w:spacing w:line="278" w:lineRule="auto" w:before="8"/>
        <w:ind w:left="138" w:right="0"/>
        <w:jc w:val="left"/>
      </w:pPr>
      <w:r>
        <w:rPr>
          <w:spacing w:val="-2"/>
        </w:rPr>
        <w:t>响的“三无”投资。由于被投资单位经营环境和经营情况、财务状况未发生重大变化，所以公司</w:t>
      </w:r>
      <w:r>
        <w:rPr>
          <w:spacing w:val="-25"/>
        </w:rPr>
        <w:t> </w:t>
      </w:r>
      <w:r>
        <w:rPr>
          <w:spacing w:val="-25"/>
        </w:rPr>
      </w:r>
      <w:r>
        <w:rPr/>
        <w:t>按投资成本作为公允价值的合理估计进行计量。</w:t>
      </w:r>
    </w:p>
    <w:p>
      <w:pPr>
        <w:pStyle w:val="BodyText"/>
        <w:spacing w:line="278" w:lineRule="auto" w:before="13"/>
        <w:ind w:left="138" w:right="0" w:firstLine="419"/>
        <w:jc w:val="left"/>
      </w:pPr>
      <w:r>
        <w:rPr>
          <w:spacing w:val="-2"/>
        </w:rPr>
        <w:t>持续第三层次公允价值计量的其他金融负债系以公允价值计量的其他负债系附回售选择权金</w:t>
      </w:r>
      <w:r>
        <w:rPr>
          <w:w w:val="100"/>
        </w:rPr>
        <w:t> </w:t>
      </w:r>
      <w:r>
        <w:rPr>
          <w:spacing w:val="-2"/>
        </w:rPr>
        <w:t>融工具摊余成本根据公司、福建南威及电子信息集团签署的《福建南威软件有限公司增资扩股协</w:t>
      </w:r>
    </w:p>
    <w:p>
      <w:pPr>
        <w:spacing w:after="0" w:line="278" w:lineRule="auto"/>
        <w:jc w:val="left"/>
        <w:sectPr>
          <w:type w:val="continuous"/>
          <w:pgSz w:w="11910" w:h="16840"/>
          <w:pgMar w:top="1500" w:bottom="280" w:left="1660" w:right="1060"/>
        </w:sectPr>
      </w:pPr>
    </w:p>
    <w:p>
      <w:pPr>
        <w:spacing w:line="240" w:lineRule="auto" w:before="5"/>
        <w:rPr>
          <w:rFonts w:ascii="宋体" w:hAnsi="宋体" w:cs="宋体" w:eastAsia="宋体" w:hint="default"/>
          <w:sz w:val="28"/>
          <w:szCs w:val="28"/>
        </w:rPr>
      </w:pPr>
    </w:p>
    <w:p>
      <w:pPr>
        <w:pStyle w:val="BodyText"/>
        <w:spacing w:line="266" w:lineRule="auto" w:before="36"/>
        <w:ind w:right="0"/>
        <w:jc w:val="left"/>
      </w:pPr>
      <w:r>
        <w:rPr>
          <w:spacing w:val="-4"/>
        </w:rPr>
        <w:t>议》及《福建南威软件有限公司增资扩股协议之补充协议》，该项负债根据福建南威</w:t>
      </w:r>
      <w:r>
        <w:rPr>
          <w:spacing w:val="-3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年的业</w:t>
      </w:r>
      <w:r>
        <w:rPr>
          <w:spacing w:val="-97"/>
        </w:rPr>
        <w:t> </w:t>
      </w:r>
      <w:r>
        <w:rPr>
          <w:spacing w:val="-97"/>
        </w:rPr>
      </w:r>
      <w:r>
        <w:rPr/>
        <w:t>绩来确定公允价值。</w:t>
      </w:r>
    </w:p>
    <w:p>
      <w:pPr>
        <w:spacing w:line="240" w:lineRule="auto" w:before="1"/>
        <w:rPr>
          <w:rFonts w:ascii="宋体" w:hAnsi="宋体" w:cs="宋体" w:eastAsia="宋体" w:hint="default"/>
          <w:sz w:val="29"/>
          <w:szCs w:val="29"/>
        </w:rPr>
      </w:pPr>
    </w:p>
    <w:p>
      <w:pPr>
        <w:pStyle w:val="Heading4"/>
        <w:spacing w:line="274" w:lineRule="exact" w:before="0"/>
        <w:ind w:left="642" w:right="217" w:hanging="425"/>
        <w:jc w:val="left"/>
        <w:rPr>
          <w:b w:val="0"/>
          <w:bCs w:val="0"/>
        </w:rPr>
      </w:pPr>
      <w:r>
        <w:rPr>
          <w:rFonts w:ascii="Times New Roman" w:hAnsi="Times New Roman" w:cs="Times New Roman" w:eastAsia="Times New Roman"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71" w:lineRule="exact" w:before="31"/>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2"/>
        <w:spacing w:line="310" w:lineRule="exact"/>
        <w:ind w:left="218" w:right="0"/>
        <w:jc w:val="left"/>
        <w:rPr>
          <w:rFonts w:ascii="宋体" w:hAnsi="宋体" w:cs="宋体" w:eastAsia="宋体" w:hint="default"/>
          <w:b w:val="0"/>
          <w:bCs w:val="0"/>
        </w:rPr>
      </w:pPr>
      <w:r>
        <w:rPr>
          <w:rFonts w:ascii="宋体"/>
          <w:w w:val="99"/>
        </w:rPr>
        <w:t> </w:t>
      </w:r>
      <w:r>
        <w:rPr>
          <w:rFonts w:ascii="宋体"/>
          <w:b w:val="0"/>
        </w:rPr>
      </w:r>
    </w:p>
    <w:p>
      <w:pPr>
        <w:pStyle w:val="Heading4"/>
        <w:spacing w:line="272" w:lineRule="exact" w:before="92"/>
        <w:ind w:left="642" w:right="217" w:hanging="425"/>
        <w:jc w:val="left"/>
        <w:rPr>
          <w:b w:val="0"/>
          <w:bCs w:val="0"/>
        </w:rPr>
      </w:pPr>
      <w:r>
        <w:rPr>
          <w:rFonts w:ascii="Times New Roman" w:hAnsi="Times New Roman" w:cs="Times New Roman" w:eastAsia="Times New Roman" w:hint="default"/>
        </w:rPr>
        <w:t>6</w:t>
      </w:r>
      <w:r>
        <w:rPr/>
        <w:t>、</w:t>
      </w:r>
      <w:r>
        <w:rPr>
          <w:spacing w:val="-23"/>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71" w:lineRule="exact" w:before="31"/>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2"/>
        <w:spacing w:line="310" w:lineRule="exact"/>
        <w:ind w:left="218"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ind w:right="0"/>
        <w:jc w:val="left"/>
        <w:rPr>
          <w:b w:val="0"/>
          <w:bCs w:val="0"/>
        </w:rPr>
      </w:pPr>
      <w:r>
        <w:rPr>
          <w:rFonts w:ascii="Times New Roman" w:hAnsi="Times New Roman" w:cs="Times New Roman" w:eastAsia="Times New Roman" w:hint="default"/>
        </w:rPr>
        <w:t>7</w:t>
      </w:r>
      <w:r>
        <w:rPr/>
        <w:t>、</w:t>
      </w:r>
      <w:r>
        <w:rPr>
          <w:spacing w:val="3"/>
        </w:rPr>
        <w:t> </w:t>
      </w:r>
      <w:r>
        <w:rPr/>
        <w:t>本期内发生的估值技术变更及变更原因</w:t>
      </w:r>
      <w:r>
        <w:rPr>
          <w:b w:val="0"/>
          <w:bCs w:val="0"/>
        </w:rPr>
      </w:r>
    </w:p>
    <w:p>
      <w:pPr>
        <w:pStyle w:val="BodyText"/>
        <w:spacing w:line="271" w:lineRule="exact" w:before="40"/>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8" w:right="0"/>
        <w:jc w:val="left"/>
      </w:pPr>
      <w:r>
        <w:rPr/>
        <w:t> </w:t>
      </w:r>
    </w:p>
    <w:p>
      <w:pPr>
        <w:pStyle w:val="Heading4"/>
        <w:spacing w:line="240" w:lineRule="auto" w:before="61"/>
        <w:ind w:right="0"/>
        <w:jc w:val="left"/>
        <w:rPr>
          <w:b w:val="0"/>
          <w:bCs w:val="0"/>
        </w:rPr>
      </w:pPr>
      <w:r>
        <w:rPr>
          <w:rFonts w:ascii="Times New Roman" w:hAnsi="Times New Roman" w:cs="Times New Roman" w:eastAsia="Times New Roman" w:hint="default"/>
        </w:rPr>
        <w:t>8</w:t>
      </w:r>
      <w:r>
        <w:rPr/>
        <w:t>、 不以公允价值计量的金融资产和金融负债的公允价值情况</w:t>
      </w:r>
      <w:r>
        <w:rPr>
          <w:b w:val="0"/>
          <w:bCs w:val="0"/>
        </w:rPr>
      </w:r>
    </w:p>
    <w:p>
      <w:pPr>
        <w:pStyle w:val="BodyText"/>
        <w:spacing w:line="270" w:lineRule="exact" w:before="43"/>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218" w:right="0"/>
        <w:jc w:val="left"/>
      </w:pPr>
      <w:r>
        <w:rPr/>
        <w:t> </w:t>
      </w:r>
    </w:p>
    <w:p>
      <w:pPr>
        <w:pStyle w:val="Heading4"/>
        <w:spacing w:line="240" w:lineRule="auto"/>
        <w:ind w:right="0"/>
        <w:jc w:val="left"/>
        <w:rPr>
          <w:b w:val="0"/>
          <w:bCs w:val="0"/>
        </w:rPr>
      </w:pPr>
      <w:r>
        <w:rPr>
          <w:rFonts w:ascii="Times New Roman" w:hAnsi="Times New Roman" w:cs="Times New Roman" w:eastAsia="Times New Roman" w:hint="default"/>
        </w:rPr>
        <w:t>9</w:t>
      </w:r>
      <w:r>
        <w:rPr/>
        <w:t>、</w:t>
      </w:r>
      <w:r>
        <w:rPr>
          <w:spacing w:val="3"/>
        </w:rPr>
        <w:t> </w:t>
      </w:r>
      <w:r>
        <w:rPr/>
        <w:t>其他</w:t>
      </w:r>
      <w:r>
        <w:rPr>
          <w:b w:val="0"/>
          <w:bCs w:val="0"/>
        </w:rPr>
      </w:r>
    </w:p>
    <w:p>
      <w:pPr>
        <w:spacing w:line="290" w:lineRule="auto" w:before="40"/>
        <w:ind w:left="218" w:right="666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z w:val="21"/>
          <w:szCs w:val="21"/>
        </w:rPr>
        <w:t>十二、关联方及关联交易</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BodyText"/>
        <w:spacing w:line="26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1" w:lineRule="exact"/>
        <w:ind w:right="0"/>
        <w:jc w:val="left"/>
        <w:rPr>
          <w:rFonts w:ascii="Times New Roman" w:hAnsi="Times New Roman" w:cs="Times New Roman" w:eastAsia="Times New Roman" w:hint="default"/>
        </w:rPr>
      </w:pPr>
      <w:r>
        <w:rPr>
          <w:spacing w:val="-3"/>
        </w:rPr>
        <w:t>本公司实际控制人为吴志雄，报告期内直接持有公司 </w:t>
      </w:r>
      <w:r>
        <w:rPr>
          <w:rFonts w:ascii="Times New Roman" w:hAnsi="Times New Roman" w:cs="Times New Roman" w:eastAsia="Times New Roman" w:hint="default"/>
          <w:spacing w:val="-6"/>
        </w:rPr>
        <w:t>45.4296%</w:t>
      </w:r>
      <w:r>
        <w:rPr>
          <w:spacing w:val="-6"/>
        </w:rPr>
        <w:t>股权。鉴于“南威转债”已于</w:t>
      </w:r>
      <w:r>
        <w:rPr>
          <w:spacing w:val="-26"/>
        </w:rPr>
        <w:t> </w:t>
      </w:r>
      <w:r>
        <w:rPr>
          <w:rFonts w:ascii="Times New Roman" w:hAnsi="Times New Roman" w:cs="Times New Roman" w:eastAsia="Times New Roman" w:hint="default"/>
        </w:rPr>
        <w:t>2020</w:t>
      </w:r>
    </w:p>
    <w:p>
      <w:pPr>
        <w:pStyle w:val="BodyText"/>
        <w:spacing w:line="272" w:lineRule="exact"/>
        <w:ind w:right="0"/>
        <w:jc w:val="left"/>
      </w:pP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25 </w:t>
      </w:r>
      <w:r>
        <w:rPr/>
        <w:t>日完成提前转股并摘牌，公司总股本增至</w:t>
      </w:r>
      <w:r>
        <w:rPr>
          <w:spacing w:val="-54"/>
        </w:rPr>
        <w:t> </w:t>
      </w:r>
      <w:r>
        <w:rPr>
          <w:rFonts w:ascii="Times New Roman" w:hAnsi="Times New Roman" w:cs="Times New Roman" w:eastAsia="Times New Roman" w:hint="default"/>
        </w:rPr>
        <w:t>590,808,578 </w:t>
      </w:r>
      <w:r>
        <w:rPr/>
        <w:t>股，吴志雄先生持股比例下降至</w:t>
      </w:r>
    </w:p>
    <w:p>
      <w:pPr>
        <w:pStyle w:val="BodyText"/>
        <w:spacing w:line="281" w:lineRule="exact"/>
        <w:ind w:right="0"/>
        <w:jc w:val="left"/>
      </w:pPr>
      <w:r>
        <w:rPr>
          <w:rFonts w:ascii="Times New Roman" w:hAnsi="Times New Roman" w:cs="Times New Roman" w:eastAsia="Times New Roman" w:hint="default"/>
        </w:rPr>
        <w:t>40.48%</w:t>
      </w:r>
      <w:r>
        <w:rPr/>
        <w:t>。</w:t>
      </w:r>
    </w:p>
    <w:p>
      <w:pPr>
        <w:spacing w:line="240" w:lineRule="auto" w:before="8"/>
        <w:rPr>
          <w:rFonts w:ascii="宋体" w:hAnsi="宋体" w:cs="宋体" w:eastAsia="宋体" w:hint="default"/>
          <w:sz w:val="21"/>
          <w:szCs w:val="21"/>
        </w:rPr>
      </w:pPr>
    </w:p>
    <w:p>
      <w:pPr>
        <w:spacing w:line="276" w:lineRule="auto" w:before="0"/>
        <w:ind w:left="218" w:right="57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39" w:lineRule="exact"/>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73" w:lineRule="auto" w:before="0"/>
        <w:ind w:left="218" w:right="3371" w:firstLine="0"/>
        <w:jc w:val="left"/>
        <w:rPr>
          <w:rFonts w:ascii="宋体" w:hAnsi="宋体" w:cs="宋体" w:eastAsia="宋体" w:hint="default"/>
          <w:sz w:val="21"/>
          <w:szCs w:val="21"/>
        </w:rPr>
      </w:pPr>
      <w:r>
        <w:rPr>
          <w:rFonts w:ascii="宋体" w:hAnsi="宋体" w:cs="宋体" w:eastAsia="宋体" w:hint="default"/>
          <w:sz w:val="21"/>
          <w:szCs w:val="21"/>
        </w:rPr>
        <w:t>本企业子公司的情况详见“九、其他主体中的权益附注</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z w:val="24"/>
          <w:szCs w:val="24"/>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4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spacing w:val="-2"/>
        </w:rPr>
        <w:t>本期与本公司发生关联方交易，或前期与本公司发生关联方交易形成余额的其他合营或联营企业</w:t>
      </w:r>
      <w:r>
        <w:rPr>
          <w:spacing w:val="-25"/>
        </w:rPr>
        <w:t> </w:t>
      </w:r>
      <w:r>
        <w:rPr>
          <w:spacing w:val="-25"/>
        </w:rPr>
      </w:r>
      <w:r>
        <w:rPr/>
        <w:t>情况如下</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33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center"/>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329"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福建省应急通信运营有限公司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33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南京伍安信息科技有限公司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329"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成都四方伟业软件股份有限公司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33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福建神威系统集成有限责任公司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329"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福建金证智城科技有限公司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33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泉州市数字云谷信息产业发展有限公司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0" w:footer="979" w:top="1120" w:bottom="1160" w:left="1580" w:right="1040"/>
        </w:sectPr>
      </w:pPr>
    </w:p>
    <w:p>
      <w:pPr>
        <w:spacing w:line="240" w:lineRule="auto" w:before="12"/>
        <w:rPr>
          <w:rFonts w:ascii="宋体" w:hAnsi="宋体" w:cs="宋体" w:eastAsia="宋体" w:hint="default"/>
          <w:sz w:val="24"/>
          <w:szCs w:val="24"/>
        </w:rPr>
      </w:pPr>
    </w:p>
    <w:p>
      <w:pPr>
        <w:pStyle w:val="BodyText"/>
        <w:spacing w:line="274" w:lineRule="exact"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218" w:right="0"/>
        <w:jc w:val="left"/>
      </w:pPr>
      <w:r>
        <w:rPr/>
        <w:t> </w:t>
      </w:r>
    </w:p>
    <w:p>
      <w:pPr>
        <w:pStyle w:val="Heading4"/>
        <w:spacing w:line="240" w:lineRule="auto"/>
        <w:ind w:right="0"/>
        <w:jc w:val="left"/>
        <w:rPr>
          <w:b w:val="0"/>
          <w:bCs w:val="0"/>
        </w:rPr>
      </w:pPr>
      <w:r>
        <w:rPr>
          <w:rFonts w:ascii="Times New Roman" w:hAnsi="Times New Roman" w:cs="Times New Roman" w:eastAsia="Times New Roman" w:hint="default"/>
        </w:rPr>
        <w:t>4</w:t>
      </w:r>
      <w:r>
        <w:rPr/>
        <w:t>、</w:t>
      </w:r>
      <w:r>
        <w:rPr>
          <w:spacing w:val="5"/>
        </w:rPr>
        <w:t> </w:t>
      </w:r>
      <w:r>
        <w:rPr/>
        <w:t>其他关联方情况</w:t>
      </w:r>
      <w:r>
        <w:rPr>
          <w:b w:val="0"/>
          <w:bCs w:val="0"/>
        </w:rPr>
      </w:r>
    </w:p>
    <w:p>
      <w:pPr>
        <w:pStyle w:val="BodyText"/>
        <w:spacing w:line="240" w:lineRule="auto"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9"/>
        <w:gridCol w:w="4400"/>
      </w:tblGrid>
      <w:tr>
        <w:trPr>
          <w:trHeight w:val="33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83"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329"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福建新微科技有限公司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关联人（与公司同一董事长）</w:t>
            </w:r>
            <w:r>
              <w:rPr>
                <w:rFonts w:ascii="宋体" w:hAnsi="宋体" w:cs="宋体" w:eastAsia="宋体" w:hint="default"/>
                <w:sz w:val="21"/>
                <w:szCs w:val="21"/>
              </w:rPr>
              <w:t> </w:t>
            </w:r>
          </w:p>
        </w:tc>
      </w:tr>
      <w:tr>
        <w:trPr>
          <w:trHeight w:val="33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福建海丝博亚国际酒店有限公司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关联人（与公司同一董事长）</w:t>
            </w:r>
            <w:r>
              <w:rPr>
                <w:rFonts w:ascii="宋体" w:hAnsi="宋体" w:cs="宋体" w:eastAsia="宋体" w:hint="default"/>
                <w:sz w:val="21"/>
                <w:szCs w:val="21"/>
              </w:rPr>
              <w:t> </w:t>
            </w:r>
          </w:p>
        </w:tc>
      </w:tr>
      <w:tr>
        <w:trPr>
          <w:trHeight w:val="329"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福建省星云大数据应用服务有限公司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3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福建省枢建通信技术有限公司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29"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福建省和格实业集团有限公司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32"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1"/>
                <w:szCs w:val="21"/>
              </w:rPr>
              <w:t>福建瑞达精工股份有限公司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29"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福建星网物联信息系统有限公司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3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福建省晋华集成电路有限公司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29"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锐捷网络股份有限公司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3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福建升腾资讯有限公司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29"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福建省电子信息应用技术研究院有限公司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3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杭州海康威视科技有限公司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29"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浙江海康科技有限公司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3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太极计算机股份有限公司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29"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成都卫士通信息安全技术有限公司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3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杭州海康威视数字技术股份有限公司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29"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1"/>
                <w:szCs w:val="21"/>
              </w:rPr>
              <w:t>中电科新型智慧城市研究院有限公司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3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蚂蚁区块链科技</w:t>
            </w:r>
            <w:r>
              <w:rPr>
                <w:rFonts w:ascii="Calibri" w:hAnsi="Calibri" w:cs="Calibri" w:eastAsia="Calibri" w:hint="default"/>
                <w:sz w:val="21"/>
                <w:szCs w:val="21"/>
              </w:rPr>
              <w:t>(</w:t>
            </w:r>
            <w:r>
              <w:rPr>
                <w:rFonts w:ascii="宋体" w:hAnsi="宋体" w:cs="宋体" w:eastAsia="宋体" w:hint="default"/>
                <w:sz w:val="21"/>
                <w:szCs w:val="21"/>
              </w:rPr>
              <w:t>上海</w:t>
            </w:r>
            <w:r>
              <w:rPr>
                <w:rFonts w:ascii="Calibri" w:hAnsi="Calibri" w:cs="Calibri" w:eastAsia="Calibri" w:hint="default"/>
                <w:sz w:val="21"/>
                <w:szCs w:val="21"/>
              </w:rPr>
              <w:t>)</w:t>
            </w:r>
            <w:r>
              <w:rPr>
                <w:rFonts w:ascii="宋体" w:hAnsi="宋体" w:cs="宋体" w:eastAsia="宋体" w:hint="default"/>
                <w:sz w:val="21"/>
                <w:szCs w:val="21"/>
              </w:rPr>
              <w:t>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29"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北京蚂蚁云金融信息服务有限公司</w:t>
            </w:r>
            <w:r>
              <w:rPr>
                <w:rFonts w:ascii="宋体" w:hAnsi="宋体" w:cs="宋体" w:eastAsia="宋体" w:hint="default"/>
                <w:sz w:val="24"/>
                <w:szCs w:val="24"/>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1" w:lineRule="auto" w:before="42"/>
        <w:ind w:right="227" w:firstLine="419"/>
        <w:jc w:val="both"/>
      </w:pPr>
      <w:r>
        <w:rPr/>
        <w:t>注</w:t>
      </w:r>
      <w:r>
        <w:rPr>
          <w:spacing w:val="-43"/>
        </w:rPr>
        <w:t> </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2019</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1"/>
        </w:rPr>
        <w:t>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spacing w:val="-4"/>
        </w:rPr>
        <w:t>日，公司控股股东、实际控制人吴志雄先生与上海云鑫创业投资有限公</w:t>
      </w:r>
      <w:r>
        <w:rPr>
          <w:w w:val="100"/>
        </w:rPr>
        <w:t> </w:t>
      </w:r>
      <w:r>
        <w:rPr>
          <w:spacing w:val="-1"/>
        </w:rPr>
        <w:t>司（系浙江蚂蚁小微金融服务集团股份有限公司全资子公司，以下简称“上海云鑫”）签署《股</w:t>
      </w:r>
      <w:r>
        <w:rPr>
          <w:spacing w:val="-56"/>
        </w:rPr>
        <w:t> </w:t>
      </w:r>
      <w:r>
        <w:rPr>
          <w:spacing w:val="-56"/>
        </w:rPr>
      </w:r>
      <w:r>
        <w:rPr>
          <w:spacing w:val="-4"/>
        </w:rPr>
        <w:t>份转让协议》，将其所持有的</w:t>
      </w:r>
      <w:r>
        <w:rPr>
          <w:spacing w:val="-50"/>
        </w:rPr>
        <w:t> </w:t>
      </w:r>
      <w:r>
        <w:rPr>
          <w:rFonts w:ascii="Times New Roman" w:hAnsi="Times New Roman" w:cs="Times New Roman" w:eastAsia="Times New Roman" w:hint="default"/>
        </w:rPr>
        <w:t>29,897,678</w:t>
      </w:r>
      <w:r>
        <w:rPr>
          <w:rFonts w:ascii="Times New Roman" w:hAnsi="Times New Roman" w:cs="Times New Roman" w:eastAsia="Times New Roman" w:hint="default"/>
          <w:spacing w:val="-1"/>
        </w:rPr>
        <w:t> </w:t>
      </w:r>
      <w:r>
        <w:rPr/>
        <w:t>股</w:t>
      </w:r>
      <w:r>
        <w:rPr>
          <w:spacing w:val="-53"/>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股无限售流通股股票转让给上海云鑫，所转让股份</w:t>
      </w:r>
      <w:r>
        <w:rPr>
          <w:w w:val="100"/>
        </w:rPr>
        <w:t> </w:t>
      </w:r>
      <w:r>
        <w:rPr/>
        <w:t>占公司总股本的</w:t>
      </w:r>
      <w:r>
        <w:rPr>
          <w:spacing w:val="-47"/>
        </w:rPr>
        <w:t> </w:t>
      </w:r>
      <w:r>
        <w:rPr>
          <w:rFonts w:ascii="Times New Roman" w:hAnsi="Times New Roman" w:cs="Times New Roman" w:eastAsia="Times New Roman" w:hint="default"/>
        </w:rPr>
        <w:t>5.68%</w:t>
      </w:r>
      <w:r>
        <w:rPr/>
        <w:t>。上述股份转让已于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日在中国证券登记结算有限责任公司</w:t>
      </w:r>
      <w:r>
        <w:rPr>
          <w:w w:val="100"/>
        </w:rPr>
        <w:t> </w:t>
      </w:r>
      <w:r>
        <w:rPr>
          <w:spacing w:val="-1"/>
        </w:rPr>
        <w:t>完成过户登记手续。同日，浙江蚂蚁小微金融服务集团股份有限公司、北京蚂蚁云金融信息服务</w:t>
      </w:r>
      <w:r>
        <w:rPr>
          <w:spacing w:val="-55"/>
        </w:rPr>
        <w:t> </w:t>
      </w:r>
      <w:r>
        <w:rPr>
          <w:spacing w:val="-55"/>
        </w:rPr>
      </w:r>
      <w:r>
        <w:rPr>
          <w:spacing w:val="-1"/>
        </w:rPr>
        <w:t>有限公司与公司及福建南威签署了《业务合作协议》，约定各方在数字政务平台的共同研发、创</w:t>
      </w:r>
      <w:r>
        <w:rPr>
          <w:spacing w:val="-55"/>
        </w:rPr>
        <w:t> </w:t>
      </w:r>
      <w:r>
        <w:rPr>
          <w:spacing w:val="-55"/>
        </w:rPr>
      </w:r>
      <w:r>
        <w:rPr>
          <w:spacing w:val="-1"/>
        </w:rPr>
        <w:t>新行业标准与联合市场推广等方面展开深度合作，在数字政务相关项目的交付、国产化自主可控</w:t>
      </w:r>
      <w:r>
        <w:rPr>
          <w:spacing w:val="-55"/>
        </w:rPr>
        <w:t> </w:t>
      </w:r>
      <w:r>
        <w:rPr>
          <w:spacing w:val="-55"/>
        </w:rPr>
      </w:r>
      <w:r>
        <w:rPr/>
        <w:t>技术产品的合作与推广、政府数据的运营支撑平台、创新互联网</w:t>
      </w:r>
      <w:r>
        <w:rPr>
          <w:rFonts w:ascii="Times New Roman" w:hAnsi="Times New Roman" w:cs="Times New Roman" w:eastAsia="Times New Roman" w:hint="default"/>
        </w:rPr>
        <w:t>+</w:t>
      </w:r>
      <w:r>
        <w:rPr/>
        <w:t>政务业务应用和政务领域相关</w:t>
      </w:r>
      <w:r>
        <w:rPr>
          <w:spacing w:val="-5"/>
        </w:rPr>
        <w:t> </w:t>
      </w:r>
      <w:r>
        <w:rPr>
          <w:spacing w:val="-5"/>
        </w:rPr>
      </w:r>
      <w:r>
        <w:rPr/>
        <w:t>标准上开展业务或技术合作。</w:t>
      </w:r>
    </w:p>
    <w:p>
      <w:pPr>
        <w:pStyle w:val="BodyText"/>
        <w:spacing w:line="273" w:lineRule="auto" w:before="17"/>
        <w:ind w:right="227" w:firstLine="419"/>
        <w:jc w:val="both"/>
      </w:pPr>
      <w:r>
        <w:rPr/>
        <w:t>注</w:t>
      </w:r>
      <w:r>
        <w:rPr>
          <w:spacing w:val="4"/>
        </w:rPr>
        <w:t> </w:t>
      </w:r>
      <w:r>
        <w:rPr>
          <w:rFonts w:ascii="Times New Roman" w:hAnsi="Times New Roman" w:cs="Times New Roman" w:eastAsia="Times New Roman" w:hint="default"/>
        </w:rPr>
        <w:t>2</w:t>
      </w:r>
      <w:r>
        <w:rPr/>
        <w:t>：为推进中国电子科技集团有限公司（以下简称“中国电科”）及其旗下子公司与南威</w:t>
      </w:r>
      <w:r>
        <w:rPr>
          <w:w w:val="100"/>
        </w:rPr>
        <w:t> </w:t>
      </w:r>
      <w:r>
        <w:rPr>
          <w:spacing w:val="-4"/>
        </w:rPr>
        <w:t>软件在智慧城市、自主创新国产软件、城市公共安全管理、物联网行业应用、互联网</w:t>
      </w:r>
      <w:r>
        <w:rPr>
          <w:rFonts w:ascii="宋体" w:hAnsi="宋体" w:cs="宋体" w:eastAsia="宋体" w:hint="default"/>
          <w:spacing w:val="-4"/>
        </w:rPr>
        <w:t>+</w:t>
      </w:r>
      <w:r>
        <w:rPr>
          <w:spacing w:val="-4"/>
        </w:rPr>
        <w:t>监管、大数</w:t>
      </w:r>
      <w:r>
        <w:rPr>
          <w:spacing w:val="-35"/>
        </w:rPr>
        <w:t> </w:t>
      </w:r>
      <w:r>
        <w:rPr>
          <w:spacing w:val="-35"/>
        </w:rPr>
      </w:r>
      <w:r>
        <w:rPr>
          <w:spacing w:val="-1"/>
        </w:rPr>
        <w:t>据产业等领域的深度产业合作，公司控股股东、实际控制人吴志雄先生与与中电科投资控股有限</w:t>
      </w:r>
      <w:r>
        <w:rPr>
          <w:spacing w:val="-55"/>
        </w:rPr>
        <w:t> </w:t>
      </w:r>
      <w:r>
        <w:rPr>
          <w:spacing w:val="-55"/>
        </w:rPr>
      </w:r>
      <w:r>
        <w:rPr>
          <w:spacing w:val="-8"/>
        </w:rPr>
        <w:t>公司（系中国电子科技集团有限公司全资子公司，以下简称“电科投资”）于</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19</w:t>
      </w:r>
      <w:r>
        <w:rPr>
          <w:rFonts w:ascii="Times New Roman" w:hAnsi="Times New Roman" w:cs="Times New Roman" w:eastAsia="Times New Roman" w:hint="default"/>
          <w:spacing w:val="12"/>
        </w:rPr>
        <w:t> </w:t>
      </w:r>
      <w:r>
        <w:rPr>
          <w:spacing w:val="-3"/>
        </w:rPr>
        <w:t>日、</w:t>
      </w:r>
      <w:r>
        <w:rPr/>
      </w:r>
    </w:p>
    <w:p>
      <w:pPr>
        <w:pStyle w:val="BodyText"/>
        <w:spacing w:line="287" w:lineRule="exact"/>
        <w:ind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22</w:t>
      </w:r>
      <w:r>
        <w:rPr>
          <w:rFonts w:ascii="Times New Roman" w:hAnsi="Times New Roman" w:cs="Times New Roman" w:eastAsia="Times New Roman" w:hint="default"/>
          <w:spacing w:val="12"/>
        </w:rPr>
        <w:t> </w:t>
      </w:r>
      <w:r>
        <w:rPr>
          <w:spacing w:val="-3"/>
        </w:rPr>
        <w:t>日分别签署了《股份转让协议》及《股份转让协议之补充协议》，将其所持有的</w:t>
      </w:r>
    </w:p>
    <w:p>
      <w:pPr>
        <w:pStyle w:val="BodyText"/>
        <w:spacing w:line="264" w:lineRule="auto" w:before="31"/>
        <w:ind w:right="223"/>
        <w:jc w:val="left"/>
      </w:pPr>
      <w:r>
        <w:rPr>
          <w:rFonts w:ascii="Times New Roman" w:hAnsi="Times New Roman" w:cs="Times New Roman" w:eastAsia="Times New Roman" w:hint="default"/>
        </w:rPr>
        <w:t>29,897,679 </w:t>
      </w:r>
      <w:r>
        <w:rPr/>
        <w:t>股 </w:t>
      </w:r>
      <w:r>
        <w:rPr>
          <w:rFonts w:ascii="Times New Roman" w:hAnsi="Times New Roman" w:cs="Times New Roman" w:eastAsia="Times New Roman" w:hint="default"/>
        </w:rPr>
        <w:t>A </w:t>
      </w:r>
      <w:r>
        <w:rPr/>
        <w:t>股无限售流通股股票转让给电科投资，所转让股份占公司总股本的</w:t>
      </w:r>
      <w:r>
        <w:rPr>
          <w:spacing w:val="-59"/>
        </w:rPr>
        <w:t> </w:t>
      </w:r>
      <w:r>
        <w:rPr>
          <w:rFonts w:ascii="Times New Roman" w:hAnsi="Times New Roman" w:cs="Times New Roman" w:eastAsia="Times New Roman" w:hint="default"/>
        </w:rPr>
        <w:t>5.68%</w:t>
      </w:r>
      <w:r>
        <w:rPr/>
        <w:t>。上述</w:t>
      </w:r>
      <w:r>
        <w:rPr>
          <w:w w:val="100"/>
        </w:rPr>
        <w:t> </w:t>
      </w:r>
      <w:r>
        <w:rPr/>
        <w:t>股份转让已于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日，在中国证券登记结算有限责任公司日完成过户登记手续。</w:t>
      </w:r>
    </w:p>
    <w:p>
      <w:pPr>
        <w:spacing w:after="0" w:line="264" w:lineRule="auto"/>
        <w:jc w:val="left"/>
        <w:sectPr>
          <w:pgSz w:w="11910" w:h="16840"/>
          <w:pgMar w:header="0" w:footer="979" w:top="1120" w:bottom="1160" w:left="1580" w:right="1040"/>
        </w:sectPr>
      </w:pPr>
    </w:p>
    <w:p>
      <w:pPr>
        <w:spacing w:line="240" w:lineRule="auto" w:before="5"/>
        <w:rPr>
          <w:rFonts w:ascii="宋体" w:hAnsi="宋体" w:cs="宋体" w:eastAsia="宋体" w:hint="default"/>
          <w:sz w:val="28"/>
          <w:szCs w:val="28"/>
        </w:rPr>
      </w:pPr>
    </w:p>
    <w:p>
      <w:pPr>
        <w:pStyle w:val="BodyText"/>
        <w:spacing w:line="280" w:lineRule="auto" w:before="36"/>
        <w:ind w:left="138" w:right="208" w:firstLine="419"/>
        <w:jc w:val="both"/>
      </w:pPr>
      <w:r>
        <w:rPr>
          <w:spacing w:val="-2"/>
        </w:rPr>
        <w:t>本报告中有关与中国电科及其控制的公司、北京蚂蚁云金融信息服务有限公司及其关联方等</w:t>
      </w:r>
      <w:r>
        <w:rPr>
          <w:w w:val="100"/>
        </w:rPr>
        <w:t> </w:t>
      </w:r>
      <w:r>
        <w:rPr>
          <w:spacing w:val="-1"/>
        </w:rPr>
        <w:t>受蚂蚁金服控制的关联方交易均为本次《股权转让协议》签署日后全部交易，及期末往来余额均</w:t>
      </w:r>
      <w:r>
        <w:rPr>
          <w:spacing w:val="-55"/>
        </w:rPr>
        <w:t> </w:t>
      </w:r>
      <w:r>
        <w:rPr>
          <w:spacing w:val="-55"/>
        </w:rPr>
      </w:r>
      <w:r>
        <w:rPr/>
        <w:t>作为关联交易披露。</w:t>
      </w:r>
    </w:p>
    <w:p>
      <w:pPr>
        <w:pStyle w:val="Heading2"/>
        <w:spacing w:line="271" w:lineRule="exact"/>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ind w:left="138" w:right="2819"/>
        <w:jc w:val="left"/>
        <w:rPr>
          <w:b w:val="0"/>
          <w:bCs w:val="0"/>
        </w:rPr>
      </w:pPr>
      <w:r>
        <w:rPr>
          <w:rFonts w:ascii="Times New Roman" w:hAnsi="Times New Roman" w:cs="Times New Roman" w:eastAsia="Times New Roman" w:hint="default"/>
        </w:rPr>
        <w:t>5</w:t>
      </w:r>
      <w:r>
        <w:rPr/>
        <w:t>、</w:t>
      </w:r>
      <w:r>
        <w:rPr>
          <w:spacing w:val="5"/>
        </w:rPr>
        <w:t> </w:t>
      </w:r>
      <w:r>
        <w:rPr/>
        <w:t>关联交易情况</w:t>
      </w:r>
      <w:r>
        <w:rPr>
          <w:b w:val="0"/>
          <w:bCs w:val="0"/>
        </w:rPr>
      </w:r>
    </w:p>
    <w:p>
      <w:pPr>
        <w:spacing w:line="273" w:lineRule="auto" w:before="43"/>
        <w:ind w:left="138" w:right="28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0"/>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44" w:lineRule="exact"/>
        <w:ind w:left="138" w:right="2819"/>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4"/>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3713"/>
        <w:gridCol w:w="1570"/>
        <w:gridCol w:w="1858"/>
        <w:gridCol w:w="1755"/>
      </w:tblGrid>
      <w:tr>
        <w:trPr>
          <w:trHeight w:val="307"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关联交易内容</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9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4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福建海丝博亚国际酒店有限公司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酒店服务</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6,941,664.89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5,109,110.99</w:t>
            </w:r>
          </w:p>
        </w:tc>
      </w:tr>
      <w:tr>
        <w:trPr>
          <w:trHeight w:val="283"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福建省应急通信运营有限公司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项目采购</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4,417,201.89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1,288,180.19</w:t>
            </w:r>
          </w:p>
        </w:tc>
      </w:tr>
      <w:tr>
        <w:trPr>
          <w:trHeight w:val="284"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杭州海康威视科技有限公司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项目采购</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3,362,322.13</w:t>
            </w:r>
          </w:p>
        </w:tc>
        <w:tc>
          <w:tcPr>
            <w:tcW w:w="17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成都四方伟业软件股份有限公司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项目采购</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3,404,302.88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3,161,190.63</w:t>
            </w:r>
          </w:p>
        </w:tc>
      </w:tr>
      <w:tr>
        <w:trPr>
          <w:trHeight w:val="283"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物业管理服务</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2,815,558.31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1,810,459.99</w:t>
            </w:r>
          </w:p>
        </w:tc>
      </w:tr>
      <w:tr>
        <w:trPr>
          <w:trHeight w:val="281"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浙江海康科技有限公司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项目采购</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1,591,100.01</w:t>
            </w:r>
          </w:p>
        </w:tc>
        <w:tc>
          <w:tcPr>
            <w:tcW w:w="1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1"/>
              <w:jc w:val="left"/>
              <w:rPr>
                <w:rFonts w:ascii="宋体" w:hAnsi="宋体" w:cs="宋体" w:eastAsia="宋体" w:hint="default"/>
                <w:sz w:val="21"/>
                <w:szCs w:val="21"/>
              </w:rPr>
            </w:pPr>
            <w:r>
              <w:rPr>
                <w:rFonts w:ascii="宋体" w:hAnsi="宋体" w:cs="宋体" w:eastAsia="宋体" w:hint="default"/>
                <w:sz w:val="21"/>
                <w:szCs w:val="21"/>
              </w:rPr>
              <w:t>泉州市数字云谷信息产业发展有限公司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9" w:right="0"/>
              <w:jc w:val="left"/>
              <w:rPr>
                <w:rFonts w:ascii="宋体" w:hAnsi="宋体" w:cs="宋体" w:eastAsia="宋体" w:hint="default"/>
                <w:sz w:val="21"/>
                <w:szCs w:val="21"/>
              </w:rPr>
            </w:pPr>
            <w:r>
              <w:rPr>
                <w:rFonts w:ascii="宋体" w:hAnsi="宋体" w:cs="宋体" w:eastAsia="宋体" w:hint="default"/>
                <w:sz w:val="21"/>
                <w:szCs w:val="21"/>
              </w:rPr>
              <w:t>项目采购</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1,309,601.43</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426,272.67</w:t>
            </w:r>
          </w:p>
        </w:tc>
      </w:tr>
      <w:tr>
        <w:trPr>
          <w:trHeight w:val="283"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福建省信安商业物业管理有限公司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物业管理</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524,555.23</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411,411.54</w:t>
            </w:r>
          </w:p>
        </w:tc>
      </w:tr>
      <w:tr>
        <w:trPr>
          <w:trHeight w:val="281"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蚂蚁区块链科技（上海）有限公司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项目采购</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471,698.10</w:t>
            </w:r>
          </w:p>
        </w:tc>
        <w:tc>
          <w:tcPr>
            <w:tcW w:w="1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福建升腾资讯有限公司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固定资产采购</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5,575.22</w:t>
            </w:r>
          </w:p>
        </w:tc>
        <w:tc>
          <w:tcPr>
            <w:tcW w:w="1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锐捷网络股份有限公司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项目采购</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3,539.82</w:t>
            </w:r>
          </w:p>
        </w:tc>
        <w:tc>
          <w:tcPr>
            <w:tcW w:w="17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福建省和格实业集团有限公司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物业管理等</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83,230.07</w:t>
            </w:r>
          </w:p>
        </w:tc>
      </w:tr>
      <w:tr>
        <w:trPr>
          <w:trHeight w:val="283"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福建星网物联信息系统有限公司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采购物资</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310,344.83</w:t>
            </w:r>
          </w:p>
        </w:tc>
      </w:tr>
      <w:tr>
        <w:trPr>
          <w:trHeight w:val="283"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南京伍安信息科技有限公司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采购物资</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68,965.53</w:t>
            </w:r>
          </w:p>
        </w:tc>
      </w:tr>
      <w:tr>
        <w:trPr>
          <w:trHeight w:val="281"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24,847,119.91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12,669,166.44</w:t>
            </w:r>
          </w:p>
        </w:tc>
      </w:tr>
    </w:tbl>
    <w:p>
      <w:pPr>
        <w:spacing w:after="0" w:line="235" w:lineRule="exact"/>
        <w:jc w:val="right"/>
        <w:rPr>
          <w:rFonts w:ascii="Times New Roman" w:hAnsi="Times New Roman" w:cs="Times New Roman" w:eastAsia="Times New Roman" w:hint="default"/>
          <w:sz w:val="21"/>
          <w:szCs w:val="21"/>
        </w:rPr>
        <w:sectPr>
          <w:pgSz w:w="11910" w:h="16840"/>
          <w:pgMar w:header="0" w:footer="979" w:top="1120" w:bottom="1160" w:left="1660" w:right="1060"/>
        </w:sectPr>
      </w:pPr>
    </w:p>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660" w:right="1060"/>
          <w:cols w:num="2" w:equalWidth="0">
            <w:col w:w="2659" w:space="3863"/>
            <w:col w:w="26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69"/>
        <w:gridCol w:w="1431"/>
        <w:gridCol w:w="1572"/>
        <w:gridCol w:w="2324"/>
      </w:tblGrid>
      <w:tr>
        <w:trPr>
          <w:trHeight w:val="331"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9" w:right="-25"/>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2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9"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成都卫士通信息安全技术有限公司</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项目实施</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4"/>
              <w:jc w:val="right"/>
              <w:rPr>
                <w:rFonts w:ascii="Times New Roman" w:hAnsi="Times New Roman" w:cs="Times New Roman" w:eastAsia="Times New Roman" w:hint="default"/>
                <w:sz w:val="21"/>
                <w:szCs w:val="21"/>
              </w:rPr>
            </w:pPr>
            <w:r>
              <w:rPr>
                <w:rFonts w:ascii="Times New Roman"/>
                <w:spacing w:val="-1"/>
                <w:sz w:val="21"/>
              </w:rPr>
              <w:t>2,150,443.48</w:t>
            </w: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4"/>
              <w:jc w:val="right"/>
              <w:rPr>
                <w:rFonts w:ascii="Times New Roman" w:hAnsi="Times New Roman" w:cs="Times New Roman" w:eastAsia="Times New Roman" w:hint="default"/>
                <w:sz w:val="21"/>
                <w:szCs w:val="21"/>
              </w:rPr>
            </w:pPr>
            <w:r>
              <w:rPr>
                <w:rFonts w:ascii="Times New Roman"/>
                <w:spacing w:val="-1"/>
                <w:sz w:val="21"/>
              </w:rPr>
              <w:t>2,112,681.52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259,095.89</w:t>
            </w:r>
          </w:p>
        </w:tc>
      </w:tr>
      <w:tr>
        <w:trPr>
          <w:trHeight w:val="329"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北京蚂蚁云金融信息服务有限公司</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项目实施</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1,047,697.86</w:t>
            </w: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太极计算机股份有限公司</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项目实施</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264,258.49</w:t>
            </w: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福建省应急通信运营有限公司</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4"/>
              <w:jc w:val="right"/>
              <w:rPr>
                <w:rFonts w:ascii="Times New Roman" w:hAnsi="Times New Roman" w:cs="Times New Roman" w:eastAsia="Times New Roman" w:hint="default"/>
                <w:sz w:val="21"/>
                <w:szCs w:val="21"/>
              </w:rPr>
            </w:pPr>
            <w:r>
              <w:rPr>
                <w:rFonts w:ascii="Times New Roman"/>
                <w:spacing w:val="-1"/>
                <w:sz w:val="21"/>
              </w:rPr>
              <w:t>188,362.07</w:t>
            </w: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福建海丝博亚国际酒店有限公司</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智能化项目</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4"/>
              <w:jc w:val="right"/>
              <w:rPr>
                <w:rFonts w:ascii="Times New Roman" w:hAnsi="Times New Roman" w:cs="Times New Roman" w:eastAsia="Times New Roman" w:hint="default"/>
                <w:sz w:val="21"/>
                <w:szCs w:val="21"/>
              </w:rPr>
            </w:pPr>
            <w:r>
              <w:rPr>
                <w:rFonts w:ascii="Times New Roman"/>
                <w:spacing w:val="-1"/>
                <w:sz w:val="21"/>
              </w:rPr>
              <w:t>38,432.56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2,677,272.73</w:t>
            </w:r>
          </w:p>
        </w:tc>
      </w:tr>
      <w:tr>
        <w:trPr>
          <w:trHeight w:val="329"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福建省星云大数据应用服务有限公司</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40,864,793.14</w:t>
            </w:r>
          </w:p>
        </w:tc>
      </w:tr>
      <w:tr>
        <w:trPr>
          <w:trHeight w:val="331"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福建省晋华集成电路有限公司</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其他业务服务</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26,974.36</w:t>
            </w:r>
          </w:p>
        </w:tc>
      </w:tr>
      <w:tr>
        <w:trPr>
          <w:trHeight w:val="329"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4"/>
                <w:szCs w:val="24"/>
              </w:rPr>
            </w:pPr>
            <w:r>
              <w:rPr>
                <w:rFonts w:ascii="宋体" w:hAnsi="宋体" w:cs="宋体" w:eastAsia="宋体" w:hint="default"/>
                <w:sz w:val="21"/>
                <w:szCs w:val="21"/>
              </w:rPr>
              <w:t>合计</w:t>
            </w:r>
            <w:r>
              <w:rPr>
                <w:rFonts w:ascii="宋体" w:hAnsi="宋体" w:cs="宋体" w:eastAsia="宋体" w:hint="default"/>
                <w:sz w:val="24"/>
                <w:szCs w:val="24"/>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3" w:right="0"/>
              <w:jc w:val="left"/>
              <w:rPr>
                <w:rFonts w:ascii="宋体" w:hAnsi="宋体" w:cs="宋体" w:eastAsia="宋体" w:hint="default"/>
                <w:sz w:val="24"/>
                <w:szCs w:val="24"/>
              </w:rPr>
            </w:pPr>
            <w:r>
              <w:rPr>
                <w:rFonts w:ascii="宋体"/>
                <w:sz w:val="24"/>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5,801,875.98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43,828,136.12</w:t>
            </w:r>
          </w:p>
        </w:tc>
      </w:tr>
    </w:tbl>
    <w:p>
      <w:pPr>
        <w:pStyle w:val="BodyText"/>
        <w:spacing w:line="237" w:lineRule="exact"/>
        <w:ind w:left="138" w:right="0"/>
        <w:jc w:val="left"/>
        <w:rPr>
          <w:rFonts w:ascii="宋体" w:hAnsi="宋体" w:cs="宋体" w:eastAsia="宋体" w:hint="default"/>
        </w:rPr>
      </w:pPr>
      <w:r>
        <w:rPr>
          <w:rFonts w:ascii="宋体"/>
          <w:w w:val="100"/>
        </w:rPr>
        <w:t> </w:t>
      </w:r>
    </w:p>
    <w:p>
      <w:pPr>
        <w:pStyle w:val="Heading3"/>
        <w:spacing w:line="310" w:lineRule="exact"/>
        <w:ind w:left="138" w:right="2819"/>
        <w:jc w:val="left"/>
      </w:pPr>
      <w:r>
        <w:rPr>
          <w:rFonts w:ascii="宋体" w:hAnsi="宋体" w:cs="宋体" w:eastAsia="宋体" w:hint="default"/>
        </w:rPr>
        <w:t>购销商品、提供和接受劳务的关联交易说明</w:t>
      </w:r>
      <w:r>
        <w:rPr/>
        <w:t> </w:t>
      </w:r>
    </w:p>
    <w:p>
      <w:pPr>
        <w:pStyle w:val="BodyText"/>
        <w:spacing w:line="270" w:lineRule="exact" w:before="4"/>
        <w:ind w:left="138" w:right="2819"/>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138" w:right="0"/>
        <w:jc w:val="left"/>
      </w:pPr>
      <w:r>
        <w:rPr/>
        <w:t> </w:t>
      </w:r>
    </w:p>
    <w:p>
      <w:pPr>
        <w:spacing w:line="273" w:lineRule="auto" w:before="64"/>
        <w:ind w:left="138" w:right="28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26"/>
          <w:sz w:val="21"/>
          <w:szCs w:val="21"/>
        </w:rPr>
        <w:t> </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r>
        <w:rPr>
          <w:rFonts w:ascii="宋体" w:hAnsi="宋体" w:cs="宋体" w:eastAsia="宋体" w:hint="default"/>
          <w:sz w:val="21"/>
          <w:szCs w:val="21"/>
        </w:rPr>
        <w:t> </w:t>
      </w:r>
    </w:p>
    <w:p>
      <w:pPr>
        <w:pStyle w:val="BodyText"/>
        <w:spacing w:line="244" w:lineRule="exact"/>
        <w:ind w:left="138" w:right="28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spacing w:after="0" w:line="244" w:lineRule="exact"/>
        <w:jc w:val="left"/>
        <w:rPr>
          <w:rFonts w:ascii="宋体" w:hAnsi="宋体" w:cs="宋体" w:eastAsia="宋体" w:hint="default"/>
        </w:rPr>
        <w:sectPr>
          <w:type w:val="continuous"/>
          <w:pgSz w:w="11910" w:h="16840"/>
          <w:pgMar w:top="1500" w:bottom="280" w:left="1660" w:right="1060"/>
        </w:sect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79" w:top="1120" w:bottom="1160" w:left="1660" w:right="1060"/>
        </w:sectPr>
      </w:pPr>
    </w:p>
    <w:p>
      <w:pPr>
        <w:pStyle w:val="BodyText"/>
        <w:spacing w:line="240" w:lineRule="auto" w:before="36"/>
        <w:ind w:left="138" w:right="0"/>
        <w:jc w:val="left"/>
        <w:rPr>
          <w:rFonts w:ascii="宋体" w:hAnsi="宋体" w:cs="宋体" w:eastAsia="宋体" w:hint="default"/>
        </w:rPr>
      </w:pPr>
      <w:r>
        <w:rPr>
          <w:rFonts w:ascii="宋体" w:hAnsi="宋体" w:cs="宋体" w:eastAsia="宋体" w:hint="default"/>
          <w:w w:val="100"/>
        </w:rPr>
        <w:t>  </w:t>
      </w:r>
      <w:r>
        <w:rPr>
          <w:w w:val="100"/>
        </w:rPr>
        <w:t>关联</w:t>
      </w:r>
      <w:r>
        <w:rPr>
          <w:spacing w:val="-3"/>
          <w:w w:val="100"/>
        </w:rPr>
        <w:t>托</w:t>
      </w:r>
      <w:r>
        <w:rPr>
          <w:spacing w:val="-1"/>
          <w:w w:val="100"/>
        </w:rPr>
        <w:t>管</w:t>
      </w:r>
      <w:r>
        <w:rPr>
          <w:rFonts w:ascii="宋体" w:hAnsi="宋体" w:cs="宋体" w:eastAsia="宋体" w:hint="default"/>
          <w:spacing w:val="-3"/>
          <w:w w:val="100"/>
        </w:rPr>
        <w:t>/</w:t>
      </w:r>
      <w:r>
        <w:rPr>
          <w:w w:val="100"/>
        </w:rPr>
        <w:t>承</w:t>
      </w:r>
      <w:r>
        <w:rPr>
          <w:spacing w:val="-3"/>
          <w:w w:val="100"/>
        </w:rPr>
        <w:t>包</w:t>
      </w:r>
      <w:r>
        <w:rPr>
          <w:w w:val="100"/>
        </w:rPr>
        <w:t>情</w:t>
      </w:r>
      <w:r>
        <w:rPr>
          <w:spacing w:val="-3"/>
          <w:w w:val="100"/>
        </w:rPr>
        <w:t>况</w:t>
      </w:r>
      <w:r>
        <w:rPr>
          <w:w w:val="100"/>
        </w:rPr>
        <w:t>说</w:t>
      </w:r>
      <w:r>
        <w:rPr>
          <w:spacing w:val="-2"/>
          <w:w w:val="100"/>
        </w:rPr>
        <w:t>明</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委</w:t>
      </w:r>
      <w:r>
        <w:rPr>
          <w:spacing w:val="-3"/>
          <w:w w:val="100"/>
        </w:rPr>
        <w:t>托</w:t>
      </w:r>
      <w:r>
        <w:rPr>
          <w:w w:val="100"/>
        </w:rPr>
        <w:t>管</w:t>
      </w:r>
      <w:r>
        <w:rPr>
          <w:spacing w:val="-3"/>
          <w:w w:val="100"/>
        </w:rPr>
        <w:t>理</w:t>
      </w:r>
      <w:r>
        <w:rPr>
          <w:rFonts w:ascii="宋体" w:hAnsi="宋体" w:cs="宋体" w:eastAsia="宋体" w:hint="default"/>
          <w:w w:val="100"/>
        </w:rPr>
        <w:t>/</w:t>
      </w:r>
      <w:r>
        <w:rPr>
          <w:spacing w:val="-3"/>
          <w:w w:val="100"/>
        </w:rPr>
        <w:t>出</w:t>
      </w:r>
      <w:r>
        <w:rPr>
          <w:w w:val="100"/>
        </w:rPr>
        <w:t>包</w:t>
      </w:r>
      <w:r>
        <w:rPr>
          <w:spacing w:val="-3"/>
          <w:w w:val="100"/>
        </w:rPr>
        <w:t>情况</w:t>
      </w:r>
      <w:r>
        <w:rPr>
          <w:w w:val="100"/>
        </w:rPr>
        <w:t>表</w:t>
      </w:r>
      <w:r>
        <w:rPr>
          <w:rFonts w:ascii="宋体" w:hAnsi="宋体" w:cs="宋体" w:eastAsia="宋体" w:hint="default"/>
          <w:w w:val="100"/>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关联</w:t>
      </w:r>
      <w:r>
        <w:rPr>
          <w:spacing w:val="-3"/>
          <w:w w:val="100"/>
        </w:rPr>
        <w:t>管</w:t>
      </w:r>
      <w:r>
        <w:rPr>
          <w:spacing w:val="-1"/>
          <w:w w:val="100"/>
        </w:rPr>
        <w:t>理</w:t>
      </w:r>
      <w:r>
        <w:rPr>
          <w:rFonts w:ascii="宋体" w:hAnsi="宋体" w:cs="宋体" w:eastAsia="宋体" w:hint="default"/>
          <w:spacing w:val="-3"/>
          <w:w w:val="100"/>
        </w:rPr>
        <w:t>/</w:t>
      </w:r>
      <w:r>
        <w:rPr>
          <w:w w:val="100"/>
        </w:rPr>
        <w:t>出</w:t>
      </w:r>
      <w:r>
        <w:rPr>
          <w:spacing w:val="-3"/>
          <w:w w:val="100"/>
        </w:rPr>
        <w:t>包</w:t>
      </w:r>
      <w:r>
        <w:rPr>
          <w:w w:val="100"/>
        </w:rPr>
        <w:t>情</w:t>
      </w:r>
      <w:r>
        <w:rPr>
          <w:spacing w:val="-3"/>
          <w:w w:val="100"/>
        </w:rPr>
        <w:t>况</w:t>
      </w:r>
      <w:r>
        <w:rPr>
          <w:w w:val="100"/>
        </w:rPr>
        <w:t>说</w:t>
      </w:r>
      <w:r>
        <w:rPr>
          <w:spacing w:val="-2"/>
          <w:w w:val="100"/>
        </w:rPr>
        <w:t>明</w:t>
      </w:r>
      <w:r>
        <w:rPr>
          <w:rFonts w:ascii="宋体" w:hAnsi="宋体" w:cs="宋体" w:eastAsia="宋体" w:hint="default"/>
          <w:w w:val="100"/>
        </w:rPr>
        <w:t> </w:t>
      </w:r>
    </w:p>
    <w:p>
      <w:pPr>
        <w:pStyle w:val="BodyText"/>
        <w:spacing w:line="267" w:lineRule="exact"/>
        <w:ind w:left="1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138" w:right="0"/>
        <w:jc w:val="left"/>
      </w:pPr>
      <w:r>
        <w:rPr/>
        <w:t> </w:t>
      </w:r>
    </w:p>
    <w:p>
      <w:pPr>
        <w:spacing w:line="276" w:lineRule="auto" w:before="61"/>
        <w:ind w:left="1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28"/>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r>
        <w:rPr>
          <w:rFonts w:ascii="宋体" w:hAnsi="宋体" w:cs="宋体" w:eastAsia="宋体" w:hint="default"/>
          <w:sz w:val="21"/>
          <w:szCs w:val="21"/>
        </w:rPr>
        <w:t> </w:t>
      </w:r>
    </w:p>
    <w:p>
      <w:pPr>
        <w:pStyle w:val="BodyText"/>
        <w:spacing w:line="239"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作</w:t>
      </w:r>
      <w:r>
        <w:rPr>
          <w:spacing w:val="-3"/>
          <w:w w:val="100"/>
        </w:rPr>
        <w:t>为</w:t>
      </w:r>
      <w:r>
        <w:rPr>
          <w:w w:val="100"/>
        </w:rPr>
        <w:t>承</w:t>
      </w:r>
      <w:r>
        <w:rPr>
          <w:spacing w:val="-3"/>
          <w:w w:val="100"/>
        </w:rPr>
        <w:t>租</w:t>
      </w:r>
      <w:r>
        <w:rPr>
          <w:w w:val="100"/>
        </w:rPr>
        <w:t>方</w:t>
      </w:r>
      <w:r>
        <w:rPr>
          <w:spacing w:val="-3"/>
          <w:w w:val="100"/>
        </w:rPr>
        <w:t>：</w:t>
      </w:r>
      <w:r>
        <w:rPr>
          <w:rFonts w:ascii="宋体" w:hAnsi="宋体" w:cs="宋体" w:eastAsia="宋体" w:hint="default"/>
          <w:w w:val="100"/>
        </w:rPr>
        <w:t> </w:t>
      </w:r>
    </w:p>
    <w:p>
      <w:pPr>
        <w:pStyle w:val="BodyText"/>
        <w:spacing w:line="249"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660" w:right="1060"/>
          <w:cols w:num="2" w:equalWidth="0">
            <w:col w:w="2870" w:space="3651"/>
            <w:col w:w="266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83"/>
        <w:gridCol w:w="1488"/>
        <w:gridCol w:w="2460"/>
        <w:gridCol w:w="2665"/>
      </w:tblGrid>
      <w:tr>
        <w:trPr>
          <w:trHeight w:val="319"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center"/>
              <w:rPr>
                <w:rFonts w:ascii="宋体" w:hAnsi="宋体" w:cs="宋体" w:eastAsia="宋体" w:hint="default"/>
                <w:sz w:val="21"/>
                <w:szCs w:val="21"/>
              </w:rPr>
            </w:pPr>
            <w:r>
              <w:rPr>
                <w:rFonts w:ascii="宋体" w:hAnsi="宋体" w:cs="宋体" w:eastAsia="宋体" w:hint="default"/>
                <w:sz w:val="21"/>
                <w:szCs w:val="21"/>
              </w:rPr>
              <w:t>出租方名称</w:t>
            </w:r>
            <w:r>
              <w:rPr>
                <w:rFonts w:ascii="宋体" w:hAnsi="宋体" w:cs="宋体" w:eastAsia="宋体" w:hint="default"/>
                <w:sz w:val="21"/>
                <w:szCs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r>
              <w:rPr>
                <w:rFonts w:ascii="宋体" w:hAnsi="宋体" w:cs="宋体" w:eastAsia="宋体" w:hint="default"/>
                <w:sz w:val="21"/>
                <w:szCs w:val="21"/>
              </w:rPr>
              <w:t> </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r>
              <w:rPr>
                <w:rFonts w:ascii="宋体" w:hAnsi="宋体" w:cs="宋体" w:eastAsia="宋体" w:hint="default"/>
                <w:sz w:val="21"/>
                <w:szCs w:val="21"/>
              </w:rPr>
              <w:t> </w:t>
            </w:r>
          </w:p>
        </w:tc>
      </w:tr>
      <w:tr>
        <w:trPr>
          <w:trHeight w:val="283"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福建新微科技有限公司</w:t>
            </w:r>
            <w:r>
              <w:rPr>
                <w:rFonts w:ascii="宋体" w:hAnsi="宋体" w:cs="宋体" w:eastAsia="宋体" w:hint="default"/>
                <w:sz w:val="21"/>
                <w:szCs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仓库租赁</w:t>
            </w:r>
            <w:r>
              <w:rPr>
                <w:rFonts w:ascii="宋体" w:hAnsi="宋体" w:cs="宋体" w:eastAsia="宋体" w:hint="default"/>
                <w:sz w:val="21"/>
                <w:szCs w:val="21"/>
              </w:rPr>
              <w:t> </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81" w:right="0"/>
              <w:jc w:val="left"/>
              <w:rPr>
                <w:rFonts w:ascii="Times New Roman" w:hAnsi="Times New Roman" w:cs="Times New Roman" w:eastAsia="Times New Roman" w:hint="default"/>
                <w:sz w:val="21"/>
                <w:szCs w:val="21"/>
              </w:rPr>
            </w:pPr>
            <w:r>
              <w:rPr>
                <w:rFonts w:ascii="Times New Roman"/>
                <w:sz w:val="21"/>
              </w:rPr>
              <w:t>229,568.82</w:t>
            </w:r>
          </w:p>
        </w:tc>
        <w:tc>
          <w:tcPr>
            <w:tcW w:w="26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00" w:bottom="280" w:left="1660" w:right="1060"/>
        </w:sectPr>
      </w:pPr>
    </w:p>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关联租赁情况说明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left="138" w:right="0"/>
        <w:jc w:val="left"/>
        <w:rPr>
          <w:rFonts w:ascii="宋体" w:hAnsi="宋体" w:cs="宋体" w:eastAsia="宋体" w:hint="default"/>
        </w:rPr>
      </w:pPr>
      <w:r>
        <w:rPr>
          <w:rFonts w:ascii="宋体"/>
          <w:w w:val="100"/>
        </w:rPr>
        <w:t> </w:t>
      </w:r>
    </w:p>
    <w:p>
      <w:pPr>
        <w:spacing w:line="273" w:lineRule="auto" w:before="58"/>
        <w:ind w:left="1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27"/>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r>
        <w:rPr>
          <w:rFonts w:ascii="宋体" w:hAnsi="宋体" w:cs="宋体" w:eastAsia="宋体" w:hint="default"/>
          <w:sz w:val="21"/>
          <w:szCs w:val="21"/>
        </w:rPr>
        <w:t> </w:t>
      </w:r>
    </w:p>
    <w:p>
      <w:pPr>
        <w:pStyle w:val="BodyText"/>
        <w:spacing w:line="245"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87" w:val="left" w:leader="none"/>
        </w:tabs>
        <w:spacing w:line="240" w:lineRule="auto" w:before="160"/>
        <w:ind w:left="138" w:right="0"/>
        <w:jc w:val="left"/>
      </w:pPr>
      <w:r>
        <w:rPr>
          <w:spacing w:val="-1"/>
        </w:rPr>
        <w:t>单位：元</w:t>
        <w:tab/>
        <w:t>币种：人民币</w:t>
      </w:r>
    </w:p>
    <w:p>
      <w:pPr>
        <w:spacing w:after="0" w:line="240" w:lineRule="auto"/>
        <w:jc w:val="left"/>
        <w:sectPr>
          <w:type w:val="continuous"/>
          <w:pgSz w:w="11910" w:h="16840"/>
          <w:pgMar w:top="1500" w:bottom="280" w:left="1660" w:right="1060"/>
          <w:cols w:num="2" w:equalWidth="0">
            <w:col w:w="1994" w:space="4528"/>
            <w:col w:w="26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7"/>
        <w:gridCol w:w="1654"/>
        <w:gridCol w:w="1800"/>
        <w:gridCol w:w="1793"/>
        <w:gridCol w:w="2072"/>
      </w:tblGrid>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被担保方</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毕</w:t>
            </w:r>
            <w:r>
              <w:rPr>
                <w:rFonts w:ascii="宋体" w:hAnsi="宋体" w:cs="宋体" w:eastAsia="宋体" w:hint="default"/>
                <w:sz w:val="21"/>
                <w:szCs w:val="21"/>
              </w:rPr>
              <w:t> </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福建神威系统集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成有限责任公司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10" w:right="0"/>
              <w:jc w:val="left"/>
              <w:rPr>
                <w:rFonts w:ascii="Times New Roman" w:hAnsi="Times New Roman" w:cs="Times New Roman" w:eastAsia="Times New Roman" w:hint="default"/>
                <w:sz w:val="21"/>
                <w:szCs w:val="21"/>
              </w:rPr>
            </w:pPr>
            <w:r>
              <w:rPr>
                <w:rFonts w:ascii="Times New Roman"/>
                <w:sz w:val="21"/>
              </w:rPr>
              <w:t>30,000,000.00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2018-7-11-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2019-7-11-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1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福建神威系统集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成有限责任公司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10" w:right="0"/>
              <w:jc w:val="left"/>
              <w:rPr>
                <w:rFonts w:ascii="Times New Roman" w:hAnsi="Times New Roman" w:cs="Times New Roman" w:eastAsia="Times New Roman" w:hint="default"/>
                <w:sz w:val="21"/>
                <w:szCs w:val="21"/>
              </w:rPr>
            </w:pPr>
            <w:r>
              <w:rPr>
                <w:rFonts w:ascii="Times New Roman"/>
                <w:sz w:val="21"/>
              </w:rPr>
              <w:t>14,000,000.00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2018-9-12-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2019-9-12-</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1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line="240" w:lineRule="auto" w:before="9"/>
        <w:rPr>
          <w:rFonts w:ascii="宋体" w:hAnsi="宋体" w:cs="宋体" w:eastAsia="宋体" w:hint="default"/>
          <w:sz w:val="15"/>
          <w:szCs w:val="15"/>
        </w:rPr>
      </w:pPr>
    </w:p>
    <w:p>
      <w:pPr>
        <w:pStyle w:val="BodyText"/>
        <w:spacing w:line="274" w:lineRule="exact" w:before="36"/>
        <w:ind w:left="138" w:right="2819"/>
        <w:jc w:val="left"/>
      </w:pPr>
      <w:r>
        <w:rPr/>
        <w:t>本公司作为被担保方</w:t>
      </w:r>
    </w:p>
    <w:p>
      <w:pPr>
        <w:pStyle w:val="BodyText"/>
        <w:spacing w:line="272" w:lineRule="exact" w:before="27"/>
        <w:ind w:left="138" w:right="6393"/>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关联担保情况说明</w:t>
      </w:r>
    </w:p>
    <w:p>
      <w:pPr>
        <w:pStyle w:val="BodyText"/>
        <w:spacing w:line="249" w:lineRule="exact"/>
        <w:ind w:left="138" w:right="28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97" w:lineRule="auto" w:before="73"/>
        <w:ind w:left="138" w:right="207" w:firstLine="479"/>
        <w:jc w:val="both"/>
      </w:pPr>
      <w:r>
        <w:rPr>
          <w:spacing w:val="-3"/>
        </w:rPr>
        <w:t>（</w:t>
      </w:r>
      <w:r>
        <w:rPr>
          <w:rFonts w:ascii="Times New Roman" w:hAnsi="Times New Roman" w:cs="Times New Roman" w:eastAsia="Times New Roman" w:hint="default"/>
          <w:spacing w:val="-3"/>
        </w:rPr>
        <w:t>1</w:t>
      </w:r>
      <w:r>
        <w:rPr>
          <w:spacing w:val="-3"/>
        </w:rPr>
        <w:t>）福建神威系统集成有限责任公司（以下简称“福建神威”）自</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月设立时即为</w:t>
      </w:r>
      <w:r>
        <w:rPr>
          <w:w w:val="100"/>
        </w:rPr>
        <w:t> </w:t>
      </w:r>
      <w:r>
        <w:rPr>
          <w:spacing w:val="-4"/>
        </w:rPr>
        <w:t>公司之控股子公司；</w:t>
      </w:r>
      <w:r>
        <w:rPr>
          <w:rFonts w:ascii="Times New Roman" w:hAnsi="Times New Roman" w:cs="Times New Roman" w:eastAsia="Times New Roman" w:hint="default"/>
          <w:spacing w:val="-4"/>
        </w:rPr>
        <w:t>2017 </w:t>
      </w:r>
      <w:r>
        <w:rPr/>
        <w:t>年 </w:t>
      </w:r>
      <w:r>
        <w:rPr>
          <w:rFonts w:ascii="Times New Roman" w:hAnsi="Times New Roman" w:cs="Times New Roman" w:eastAsia="Times New Roman" w:hint="default"/>
        </w:rPr>
        <w:t>7 </w:t>
      </w:r>
      <w:r>
        <w:rPr>
          <w:spacing w:val="-5"/>
        </w:rPr>
        <w:t>月，公司与珠海汇垠意中投资合伙企业（有限合伙）（以下简称</w:t>
      </w:r>
      <w:r>
        <w:rPr>
          <w:rFonts w:ascii="Times New Roman" w:hAnsi="Times New Roman" w:cs="Times New Roman" w:eastAsia="Times New Roman" w:hint="default"/>
          <w:spacing w:val="-5"/>
        </w:rPr>
        <w:t>“</w:t>
      </w:r>
      <w:r>
        <w:rPr>
          <w:spacing w:val="-5"/>
        </w:rPr>
        <w:t>珠</w:t>
      </w:r>
      <w:r>
        <w:rPr>
          <w:spacing w:val="-94"/>
        </w:rPr>
        <w:t> </w:t>
      </w:r>
      <w:r>
        <w:rPr>
          <w:spacing w:val="-5"/>
        </w:rPr>
        <w:t>海汇垠</w:t>
      </w:r>
      <w:r>
        <w:rPr>
          <w:rFonts w:ascii="Times New Roman" w:hAnsi="Times New Roman" w:cs="Times New Roman" w:eastAsia="Times New Roman" w:hint="default"/>
          <w:spacing w:val="-5"/>
        </w:rPr>
        <w:t>”</w:t>
      </w:r>
      <w:r>
        <w:rPr>
          <w:spacing w:val="-5"/>
        </w:rPr>
        <w:t>）签订《股权转让协议书》，约定将其持有的福建神威 </w:t>
      </w:r>
      <w:r>
        <w:rPr>
          <w:rFonts w:ascii="Times New Roman" w:hAnsi="Times New Roman" w:cs="Times New Roman" w:eastAsia="Times New Roman" w:hint="default"/>
          <w:spacing w:val="-3"/>
        </w:rPr>
        <w:t>51%</w:t>
      </w:r>
      <w:r>
        <w:rPr>
          <w:spacing w:val="-3"/>
        </w:rPr>
        <w:t>的股权转让给珠海汇垠。</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日股权转让完成后，福建神威变更为公司持股</w:t>
      </w:r>
      <w:r>
        <w:rPr>
          <w:spacing w:val="-55"/>
        </w:rPr>
        <w:t> </w:t>
      </w:r>
      <w:r>
        <w:rPr>
          <w:rFonts w:ascii="Times New Roman" w:hAnsi="Times New Roman" w:cs="Times New Roman" w:eastAsia="Times New Roman" w:hint="default"/>
        </w:rPr>
        <w:t>49%</w:t>
      </w:r>
      <w:r>
        <w:rPr/>
        <w:t>的联营企业。珠海汇垠将其持有的福</w:t>
      </w:r>
      <w:r>
        <w:rPr>
          <w:w w:val="100"/>
        </w:rPr>
        <w:t> </w:t>
      </w:r>
      <w:r>
        <w:rPr>
          <w:spacing w:val="-1"/>
        </w:rPr>
        <w:t>建神威</w:t>
      </w:r>
      <w:r>
        <w:rPr/>
        <w:t> </w:t>
      </w:r>
      <w:r>
        <w:rPr>
          <w:rFonts w:ascii="Times New Roman" w:hAnsi="Times New Roman" w:cs="Times New Roman" w:eastAsia="Times New Roman" w:hint="default"/>
          <w:spacing w:val="-2"/>
        </w:rPr>
        <w:t>51%</w:t>
      </w:r>
      <w:r>
        <w:rPr>
          <w:spacing w:val="-2"/>
        </w:rPr>
        <w:t>股权质押予公司，向公司提供反担保，担保范围为公司向银行履行上述担保义务（如</w:t>
      </w:r>
      <w:r>
        <w:rPr>
          <w:spacing w:val="-87"/>
        </w:rPr>
        <w:t> </w:t>
      </w:r>
      <w:r>
        <w:rPr>
          <w:spacing w:val="-87"/>
        </w:rPr>
      </w:r>
      <w:r>
        <w:rPr/>
        <w:t>有）而形成的对福建神威的债权的</w:t>
      </w:r>
      <w:r>
        <w:rPr>
          <w:spacing w:val="-53"/>
        </w:rPr>
        <w:t> </w:t>
      </w:r>
      <w:r>
        <w:rPr>
          <w:rFonts w:ascii="Times New Roman" w:hAnsi="Times New Roman" w:cs="Times New Roman" w:eastAsia="Times New Roman" w:hint="default"/>
        </w:rPr>
        <w:t>51%</w:t>
      </w:r>
      <w:r>
        <w:rPr/>
        <w:t>。截止</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日，上述担保合同担保余额为人</w:t>
      </w:r>
    </w:p>
    <w:p>
      <w:pPr>
        <w:pStyle w:val="BodyText"/>
        <w:spacing w:line="240" w:lineRule="auto" w:before="13"/>
        <w:ind w:left="138" w:right="2819"/>
        <w:jc w:val="left"/>
      </w:pPr>
      <w:r>
        <w:rPr/>
        <w:t>民币</w:t>
      </w:r>
      <w:r>
        <w:rPr>
          <w:spacing w:val="-54"/>
        </w:rPr>
        <w:t> </w:t>
      </w:r>
      <w:r>
        <w:rPr>
          <w:rFonts w:ascii="Times New Roman" w:hAnsi="Times New Roman" w:cs="Times New Roman" w:eastAsia="Times New Roman" w:hint="default"/>
        </w:rPr>
        <w:t>8,586,153.81</w:t>
      </w:r>
      <w:r>
        <w:rPr>
          <w:rFonts w:ascii="Times New Roman" w:hAnsi="Times New Roman" w:cs="Times New Roman" w:eastAsia="Times New Roman" w:hint="default"/>
          <w:spacing w:val="-1"/>
        </w:rPr>
        <w:t> </w:t>
      </w:r>
      <w:r>
        <w:rPr/>
        <w:t>元。</w:t>
      </w:r>
    </w:p>
    <w:p>
      <w:pPr>
        <w:pStyle w:val="BodyText"/>
        <w:spacing w:line="240" w:lineRule="auto" w:before="69"/>
        <w:ind w:left="558" w:right="2819"/>
        <w:jc w:val="left"/>
      </w:pPr>
      <w:r>
        <w:rPr/>
        <w:t>（</w:t>
      </w:r>
      <w:r>
        <w:rPr>
          <w:rFonts w:ascii="Times New Roman" w:hAnsi="Times New Roman" w:cs="Times New Roman" w:eastAsia="Times New Roman" w:hint="default"/>
        </w:rPr>
        <w:t>2</w:t>
      </w:r>
      <w:r>
        <w:rPr/>
        <w:t>）实际控制人提供担保</w:t>
      </w:r>
    </w:p>
    <w:p>
      <w:pPr>
        <w:spacing w:after="0" w:line="240" w:lineRule="auto"/>
        <w:jc w:val="left"/>
        <w:sectPr>
          <w:type w:val="continuous"/>
          <w:pgSz w:w="11910" w:h="16840"/>
          <w:pgMar w:top="1500" w:bottom="280" w:left="1660" w:right="1060"/>
        </w:sectPr>
      </w:pPr>
    </w:p>
    <w:p>
      <w:pPr>
        <w:spacing w:line="240" w:lineRule="auto" w:before="0"/>
        <w:rPr>
          <w:rFonts w:ascii="宋体" w:hAnsi="宋体" w:cs="宋体" w:eastAsia="宋体" w:hint="default"/>
          <w:sz w:val="20"/>
          <w:szCs w:val="20"/>
        </w:rPr>
      </w:pPr>
    </w:p>
    <w:p>
      <w:pPr>
        <w:pStyle w:val="BodyText"/>
        <w:spacing w:line="304" w:lineRule="auto" w:before="177"/>
        <w:ind w:right="228"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25</w:t>
      </w:r>
      <w:r>
        <w:rPr>
          <w:rFonts w:ascii="Times New Roman" w:hAnsi="Times New Roman" w:cs="Times New Roman" w:eastAsia="Times New Roman" w:hint="default"/>
          <w:spacing w:val="10"/>
        </w:rPr>
        <w:t> </w:t>
      </w:r>
      <w:r>
        <w:rPr>
          <w:spacing w:val="-9"/>
        </w:rPr>
        <w:t>日，公司实际控制人吴志雄向福建省电子信息（集团）有限责任公司出具《个</w:t>
      </w:r>
      <w:r>
        <w:rPr>
          <w:w w:val="100"/>
        </w:rPr>
        <w:t> </w:t>
      </w:r>
      <w:r>
        <w:rPr>
          <w:spacing w:val="-2"/>
        </w:rPr>
        <w:t>人不可撤销承诺函》，同意为福建南威未能按照增资扩股协议的约定完成业绩承诺及部分回购事</w:t>
      </w:r>
      <w:r>
        <w:rPr>
          <w:spacing w:val="-25"/>
        </w:rPr>
        <w:t> </w:t>
      </w:r>
      <w:r>
        <w:rPr>
          <w:spacing w:val="-25"/>
        </w:rPr>
      </w:r>
      <w:r>
        <w:rPr/>
        <w:t>项承担连带责任</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979" w:top="1120" w:bottom="1160" w:left="1580" w:right="1040"/>
        </w:sectPr>
      </w:pPr>
    </w:p>
    <w:p>
      <w:pPr>
        <w:pStyle w:val="Heading4"/>
        <w:spacing w:line="240" w:lineRule="auto" w:before="36"/>
        <w:ind w:right="0"/>
        <w:jc w:val="left"/>
        <w:rPr>
          <w:rFonts w:ascii="宋体" w:hAnsi="宋体" w:cs="宋体" w:eastAsia="宋体" w:hint="default"/>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27"/>
        </w:rPr>
        <w:t> </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43"/>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sz w:val="24"/>
          <w:szCs w:val="24"/>
        </w:rPr>
        <w:t> </w:t>
      </w:r>
      <w:r>
        <w:rPr>
          <w:rFonts w:ascii="宋体" w:hAnsi="宋体" w:cs="宋体" w:eastAsia="宋体" w:hint="default"/>
          <w:sz w:val="24"/>
          <w:szCs w:val="24"/>
        </w:rPr>
        <w:t> </w:t>
      </w:r>
    </w:p>
    <w:p>
      <w:pPr>
        <w:pStyle w:val="Heading3"/>
        <w:spacing w:line="309" w:lineRule="exact"/>
        <w:ind w:left="218" w:right="0"/>
        <w:jc w:val="left"/>
      </w:pPr>
      <w:r>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27"/>
        </w:rPr>
        <w:t> </w:t>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Times New Roman" w:hAnsi="Times New Roman" w:cs="Times New Roman" w:eastAsia="Times New Roman" w:hint="default"/>
        </w:rPr>
        <w:t>(7).  </w:t>
      </w:r>
      <w:r>
        <w:rPr>
          <w:rFonts w:ascii="Times New Roman" w:hAnsi="Times New Roman" w:cs="Times New Roman" w:eastAsia="Times New Roman" w:hint="default"/>
          <w:spacing w:val="29"/>
        </w:rPr>
        <w:t> </w:t>
      </w:r>
      <w:r>
        <w:rPr/>
        <w:t>关键管理人员报酬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478"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500" w:bottom="280" w:left="1580" w:right="1040"/>
          <w:cols w:num="2" w:equalWidth="0">
            <w:col w:w="3762" w:space="2549"/>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581.03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574.2</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500" w:bottom="280" w:left="1580" w:right="1040"/>
        </w:sectPr>
      </w:pPr>
    </w:p>
    <w:p>
      <w:pPr>
        <w:pStyle w:val="Heading3"/>
        <w:spacing w:line="274" w:lineRule="exact"/>
        <w:ind w:left="218" w:right="0"/>
        <w:jc w:val="left"/>
      </w:pPr>
      <w:r>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(8).  </w:t>
      </w:r>
      <w:r>
        <w:rPr>
          <w:rFonts w:ascii="Times New Roman" w:hAnsi="Times New Roman" w:cs="Times New Roman" w:eastAsia="Times New Roman" w:hint="default"/>
          <w:spacing w:val="27"/>
        </w:rPr>
        <w:t> </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40"/>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8" w:right="0"/>
        <w:jc w:val="left"/>
      </w:pPr>
      <w:r>
        <w:rPr/>
        <w:t> </w:t>
      </w:r>
    </w:p>
    <w:p>
      <w:pPr>
        <w:pStyle w:val="Heading4"/>
        <w:spacing w:line="240" w:lineRule="auto" w:before="61"/>
        <w:ind w:right="0"/>
        <w:jc w:val="left"/>
        <w:rPr>
          <w:rFonts w:ascii="宋体" w:hAnsi="宋体" w:cs="宋体" w:eastAsia="宋体" w:hint="default"/>
          <w:b w:val="0"/>
          <w:bCs w:val="0"/>
        </w:rPr>
      </w:pPr>
      <w:r>
        <w:rPr>
          <w:rFonts w:ascii="Times New Roman" w:hAnsi="Times New Roman" w:cs="Times New Roman" w:eastAsia="Times New Roman" w:hint="default"/>
        </w:rPr>
        <w:t>6</w:t>
      </w:r>
      <w:r>
        <w:rPr/>
        <w:t>、</w:t>
      </w:r>
      <w:r>
        <w:rPr>
          <w:spacing w:val="4"/>
        </w:rPr>
        <w:t> </w:t>
      </w:r>
      <w:r>
        <w:rPr/>
        <w:t>关联方应收应付款项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43"/>
        <w:ind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6"/>
        </w:rPr>
        <w:t> </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580" w:right="1040"/>
          <w:cols w:num="2" w:equalWidth="0">
            <w:col w:w="2648" w:space="4085"/>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82"/>
        <w:gridCol w:w="1529"/>
        <w:gridCol w:w="1366"/>
        <w:gridCol w:w="1364"/>
        <w:gridCol w:w="1490"/>
        <w:gridCol w:w="1865"/>
      </w:tblGrid>
      <w:tr>
        <w:trPr>
          <w:trHeight w:val="331" w:hRule="exact"/>
        </w:trPr>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177"/>
              <w:ind w:left="215"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177"/>
              <w:ind w:left="443"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3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9" w:hRule="exact"/>
        </w:trPr>
        <w:tc>
          <w:tcPr>
            <w:tcW w:w="1282" w:type="dxa"/>
            <w:vMerge/>
            <w:tcBorders>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97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6" w:right="228"/>
              <w:jc w:val="both"/>
              <w:rPr>
                <w:rFonts w:ascii="宋体" w:hAnsi="宋体" w:cs="宋体" w:eastAsia="宋体" w:hint="default"/>
                <w:sz w:val="21"/>
                <w:szCs w:val="21"/>
              </w:rPr>
            </w:pPr>
            <w:r>
              <w:rPr>
                <w:rFonts w:ascii="宋体" w:hAnsi="宋体" w:cs="宋体" w:eastAsia="宋体" w:hint="default"/>
                <w:sz w:val="21"/>
                <w:szCs w:val="21"/>
              </w:rPr>
              <w:t>福建省应急通</w:t>
            </w:r>
            <w:r>
              <w:rPr>
                <w:rFonts w:ascii="宋体" w:hAnsi="宋体" w:cs="宋体" w:eastAsia="宋体" w:hint="default"/>
                <w:w w:val="100"/>
                <w:sz w:val="21"/>
                <w:szCs w:val="21"/>
              </w:rPr>
              <w:t> </w:t>
            </w:r>
            <w:r>
              <w:rPr>
                <w:rFonts w:ascii="宋体" w:hAnsi="宋体" w:cs="宋体" w:eastAsia="宋体" w:hint="default"/>
                <w:sz w:val="21"/>
                <w:szCs w:val="21"/>
              </w:rPr>
              <w:t>信运营有限公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20,650,000.00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6,608,000.00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20,650,000.00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2,684,500.00</w:t>
            </w:r>
          </w:p>
        </w:tc>
      </w:tr>
      <w:tr>
        <w:trPr>
          <w:trHeight w:val="97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26" w:right="228"/>
              <w:jc w:val="both"/>
              <w:rPr>
                <w:rFonts w:ascii="宋体" w:hAnsi="宋体" w:cs="宋体" w:eastAsia="宋体" w:hint="default"/>
                <w:sz w:val="21"/>
                <w:szCs w:val="21"/>
              </w:rPr>
            </w:pPr>
            <w:r>
              <w:rPr>
                <w:rFonts w:ascii="宋体" w:hAnsi="宋体" w:cs="宋体" w:eastAsia="宋体" w:hint="default"/>
                <w:sz w:val="21"/>
                <w:szCs w:val="21"/>
              </w:rPr>
              <w:t>成都卫士通信</w:t>
            </w:r>
            <w:r>
              <w:rPr>
                <w:rFonts w:ascii="宋体" w:hAnsi="宋体" w:cs="宋体" w:eastAsia="宋体" w:hint="default"/>
                <w:w w:val="100"/>
                <w:sz w:val="21"/>
                <w:szCs w:val="21"/>
              </w:rPr>
              <w:t> </w:t>
            </w:r>
            <w:r>
              <w:rPr>
                <w:rFonts w:ascii="宋体" w:hAnsi="宋体" w:cs="宋体" w:eastAsia="宋体" w:hint="default"/>
                <w:sz w:val="21"/>
                <w:szCs w:val="21"/>
              </w:rPr>
              <w:t>息安全技术有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2,430,000.00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97,200.00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26" w:right="228"/>
              <w:jc w:val="both"/>
              <w:rPr>
                <w:rFonts w:ascii="宋体" w:hAnsi="宋体" w:cs="宋体" w:eastAsia="宋体" w:hint="default"/>
                <w:sz w:val="21"/>
                <w:szCs w:val="21"/>
              </w:rPr>
            </w:pPr>
            <w:r>
              <w:rPr>
                <w:rFonts w:ascii="宋体" w:hAnsi="宋体" w:cs="宋体" w:eastAsia="宋体" w:hint="default"/>
                <w:sz w:val="21"/>
                <w:szCs w:val="21"/>
              </w:rPr>
              <w:t>福建省星云大</w:t>
            </w:r>
            <w:r>
              <w:rPr>
                <w:rFonts w:ascii="宋体" w:hAnsi="宋体" w:cs="宋体" w:eastAsia="宋体" w:hint="default"/>
                <w:w w:val="100"/>
                <w:sz w:val="21"/>
                <w:szCs w:val="21"/>
              </w:rPr>
              <w:t> </w:t>
            </w:r>
            <w:r>
              <w:rPr>
                <w:rFonts w:ascii="宋体" w:hAnsi="宋体" w:cs="宋体" w:eastAsia="宋体" w:hint="default"/>
                <w:sz w:val="21"/>
                <w:szCs w:val="21"/>
              </w:rPr>
              <w:t>数据应用服务</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2,392,850.00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311,070.50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3,722,234.00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148,889.36</w:t>
            </w:r>
          </w:p>
        </w:tc>
      </w:tr>
      <w:tr>
        <w:trPr>
          <w:trHeight w:val="97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6" w:right="228"/>
              <w:jc w:val="both"/>
              <w:rPr>
                <w:rFonts w:ascii="宋体" w:hAnsi="宋体" w:cs="宋体" w:eastAsia="宋体" w:hint="default"/>
                <w:sz w:val="21"/>
                <w:szCs w:val="21"/>
              </w:rPr>
            </w:pPr>
            <w:r>
              <w:rPr>
                <w:rFonts w:ascii="宋体" w:hAnsi="宋体" w:cs="宋体" w:eastAsia="宋体" w:hint="default"/>
                <w:sz w:val="21"/>
                <w:szCs w:val="21"/>
              </w:rPr>
              <w:t>福建海丝博亚</w:t>
            </w:r>
            <w:r>
              <w:rPr>
                <w:rFonts w:ascii="宋体" w:hAnsi="宋体" w:cs="宋体" w:eastAsia="宋体" w:hint="default"/>
                <w:w w:val="100"/>
                <w:sz w:val="21"/>
                <w:szCs w:val="21"/>
              </w:rPr>
              <w:t> </w:t>
            </w:r>
            <w:r>
              <w:rPr>
                <w:rFonts w:ascii="宋体" w:hAnsi="宋体" w:cs="宋体" w:eastAsia="宋体" w:hint="default"/>
                <w:sz w:val="21"/>
                <w:szCs w:val="21"/>
              </w:rPr>
              <w:t>国际酒店有限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986,089.00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39,443.56</w:t>
            </w:r>
          </w:p>
        </w:tc>
      </w:tr>
      <w:tr>
        <w:trPr>
          <w:trHeight w:val="97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6" w:right="228"/>
              <w:jc w:val="both"/>
              <w:rPr>
                <w:rFonts w:ascii="宋体" w:hAnsi="宋体" w:cs="宋体" w:eastAsia="宋体" w:hint="default"/>
                <w:sz w:val="21"/>
                <w:szCs w:val="21"/>
              </w:rPr>
            </w:pPr>
            <w:r>
              <w:rPr>
                <w:rFonts w:ascii="宋体" w:hAnsi="宋体" w:cs="宋体" w:eastAsia="宋体" w:hint="default"/>
                <w:sz w:val="21"/>
                <w:szCs w:val="21"/>
              </w:rPr>
              <w:t>福建省晋华集</w:t>
            </w:r>
            <w:r>
              <w:rPr>
                <w:rFonts w:ascii="宋体" w:hAnsi="宋体" w:cs="宋体" w:eastAsia="宋体" w:hint="default"/>
                <w:w w:val="100"/>
                <w:sz w:val="21"/>
                <w:szCs w:val="21"/>
              </w:rPr>
              <w:t> </w:t>
            </w:r>
            <w:r>
              <w:rPr>
                <w:rFonts w:ascii="宋体" w:hAnsi="宋体" w:cs="宋体" w:eastAsia="宋体" w:hint="default"/>
                <w:sz w:val="21"/>
                <w:szCs w:val="21"/>
              </w:rPr>
              <w:t>成电路有限公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2,000,000.00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260,000.00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6" w:right="228"/>
              <w:jc w:val="left"/>
              <w:rPr>
                <w:rFonts w:ascii="宋体" w:hAnsi="宋体" w:cs="宋体" w:eastAsia="宋体" w:hint="default"/>
                <w:sz w:val="21"/>
                <w:szCs w:val="21"/>
              </w:rPr>
            </w:pPr>
            <w:r>
              <w:rPr>
                <w:rFonts w:ascii="宋体" w:hAnsi="宋体" w:cs="宋体" w:eastAsia="宋体" w:hint="default"/>
                <w:sz w:val="21"/>
                <w:szCs w:val="21"/>
              </w:rPr>
              <w:t>福建新微科技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150.00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4.50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28,487.42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1,139.50</w:t>
            </w:r>
          </w:p>
        </w:tc>
      </w:tr>
      <w:tr>
        <w:trPr>
          <w:trHeight w:val="33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杭州海康威视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6,000.00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3"/>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w w:val="100"/>
                <w:sz w:val="21"/>
              </w:rPr>
              <w:t>-</w:t>
            </w: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00" w:bottom="2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282"/>
        <w:gridCol w:w="1529"/>
        <w:gridCol w:w="1366"/>
        <w:gridCol w:w="1364"/>
        <w:gridCol w:w="1490"/>
        <w:gridCol w:w="1865"/>
      </w:tblGrid>
      <w:tr>
        <w:trPr>
          <w:trHeight w:val="332" w:hRule="exact"/>
        </w:trPr>
        <w:tc>
          <w:tcPr>
            <w:tcW w:w="128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1289"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26" w:right="228"/>
              <w:jc w:val="both"/>
              <w:rPr>
                <w:rFonts w:ascii="宋体" w:hAnsi="宋体" w:cs="宋体" w:eastAsia="宋体" w:hint="default"/>
                <w:sz w:val="21"/>
                <w:szCs w:val="21"/>
              </w:rPr>
            </w:pPr>
            <w:r>
              <w:rPr>
                <w:rFonts w:ascii="宋体" w:hAnsi="宋体" w:cs="宋体" w:eastAsia="宋体" w:hint="default"/>
                <w:sz w:val="21"/>
                <w:szCs w:val="21"/>
              </w:rPr>
              <w:t>杭州海康威视</w:t>
            </w:r>
            <w:r>
              <w:rPr>
                <w:rFonts w:ascii="宋体" w:hAnsi="宋体" w:cs="宋体" w:eastAsia="宋体" w:hint="default"/>
                <w:w w:val="100"/>
                <w:sz w:val="21"/>
                <w:szCs w:val="21"/>
              </w:rPr>
              <w:t> </w:t>
            </w:r>
            <w:r>
              <w:rPr>
                <w:rFonts w:ascii="宋体" w:hAnsi="宋体" w:cs="宋体" w:eastAsia="宋体" w:hint="default"/>
                <w:sz w:val="21"/>
                <w:szCs w:val="21"/>
              </w:rPr>
              <w:t>数字技术股份</w:t>
            </w:r>
            <w:r>
              <w:rPr>
                <w:rFonts w:ascii="宋体" w:hAnsi="宋体" w:cs="宋体" w:eastAsia="宋体" w:hint="default"/>
                <w:w w:val="100"/>
                <w:sz w:val="21"/>
                <w:szCs w:val="21"/>
              </w:rPr>
              <w:t> </w:t>
            </w:r>
            <w:r>
              <w:rPr>
                <w:rFonts w:ascii="宋体" w:hAnsi="宋体" w:cs="宋体" w:eastAsia="宋体" w:hint="default"/>
                <w:sz w:val="21"/>
                <w:szCs w:val="21"/>
              </w:rPr>
              <w:t>有限公司福州</w:t>
            </w:r>
            <w:r>
              <w:rPr>
                <w:rFonts w:ascii="宋体" w:hAnsi="宋体" w:cs="宋体" w:eastAsia="宋体" w:hint="default"/>
                <w:w w:val="100"/>
                <w:sz w:val="21"/>
                <w:szCs w:val="21"/>
              </w:rPr>
              <w:t> </w:t>
            </w:r>
            <w:r>
              <w:rPr>
                <w:rFonts w:ascii="宋体" w:hAnsi="宋体" w:cs="宋体" w:eastAsia="宋体" w:hint="default"/>
                <w:sz w:val="21"/>
                <w:szCs w:val="21"/>
              </w:rPr>
              <w:t>分公司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459.00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21"/>
                <w:szCs w:val="21"/>
              </w:rPr>
            </w:pPr>
            <w:r>
              <w:rPr>
                <w:rFonts w:ascii="Times New Roman"/>
                <w:spacing w:val="-1"/>
                <w:sz w:val="21"/>
              </w:rPr>
              <w:t>27,479,459.00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21"/>
                <w:szCs w:val="21"/>
              </w:rPr>
            </w:pPr>
            <w:r>
              <w:rPr>
                <w:rFonts w:ascii="Times New Roman"/>
                <w:spacing w:val="-1"/>
                <w:sz w:val="21"/>
              </w:rPr>
              <w:t>7,276,275.00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21"/>
                <w:szCs w:val="21"/>
              </w:rPr>
            </w:pPr>
            <w:r>
              <w:rPr>
                <w:rFonts w:ascii="Times New Roman"/>
                <w:spacing w:val="-1"/>
                <w:sz w:val="21"/>
              </w:rPr>
              <w:t>25,386,810.42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0" w:right="0"/>
              <w:jc w:val="left"/>
              <w:rPr>
                <w:rFonts w:ascii="Times New Roman" w:hAnsi="Times New Roman" w:cs="Times New Roman" w:eastAsia="Times New Roman" w:hint="default"/>
                <w:sz w:val="21"/>
                <w:szCs w:val="21"/>
              </w:rPr>
            </w:pPr>
            <w:r>
              <w:rPr>
                <w:rFonts w:ascii="Times New Roman"/>
                <w:sz w:val="21"/>
              </w:rPr>
              <w:t>2,873,972.42</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979" w:top="1120" w:bottom="1160" w:left="1660" w:right="1060"/>
        </w:sectPr>
      </w:pPr>
    </w:p>
    <w:p>
      <w:pPr>
        <w:pStyle w:val="Heading4"/>
        <w:spacing w:line="240" w:lineRule="auto" w:before="36"/>
        <w:ind w:left="138"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6"/>
        </w:rPr>
        <w:t> </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left="138"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660" w:right="1060"/>
          <w:cols w:num="2" w:equalWidth="0">
            <w:col w:w="2044" w:space="4689"/>
            <w:col w:w="24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284"/>
        <w:gridCol w:w="3142"/>
        <w:gridCol w:w="1798"/>
        <w:gridCol w:w="2672"/>
      </w:tblGrid>
      <w:tr>
        <w:trPr>
          <w:trHeight w:val="33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5"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6"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3"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32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21"/>
                <w:szCs w:val="21"/>
              </w:rPr>
            </w:pPr>
            <w:r>
              <w:rPr>
                <w:rFonts w:ascii="宋体" w:hAnsi="宋体" w:cs="宋体" w:eastAsia="宋体" w:hint="default"/>
                <w:sz w:val="21"/>
                <w:szCs w:val="21"/>
              </w:rPr>
              <w:t>杭州海康威视科技有限公司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21"/>
                <w:szCs w:val="21"/>
              </w:rPr>
            </w:pPr>
            <w:r>
              <w:rPr>
                <w:rFonts w:ascii="Times New Roman"/>
                <w:spacing w:val="-1"/>
                <w:sz w:val="21"/>
              </w:rPr>
              <w:t>9,759,451.96</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福建省枢建通信技术有限公司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9,347,940.36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22,659,802.70</w:t>
            </w:r>
          </w:p>
        </w:tc>
      </w:tr>
      <w:tr>
        <w:trPr>
          <w:trHeight w:val="32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福建省应急通信运营有限公司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8,934,173.64</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611,503.76</w:t>
            </w:r>
          </w:p>
        </w:tc>
      </w:tr>
      <w:tr>
        <w:trPr>
          <w:trHeight w:val="33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成都四方伟业软件股份有限公司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1,464,876.23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3,161,190.63</w:t>
            </w:r>
          </w:p>
        </w:tc>
      </w:tr>
      <w:tr>
        <w:trPr>
          <w:trHeight w:val="6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23" w:right="161"/>
              <w:jc w:val="left"/>
              <w:rPr>
                <w:rFonts w:ascii="宋体" w:hAnsi="宋体" w:cs="宋体" w:eastAsia="宋体" w:hint="default"/>
                <w:sz w:val="21"/>
                <w:szCs w:val="21"/>
              </w:rPr>
            </w:pPr>
            <w:r>
              <w:rPr>
                <w:rFonts w:ascii="宋体" w:hAnsi="宋体" w:cs="宋体" w:eastAsia="宋体" w:hint="default"/>
                <w:spacing w:val="-2"/>
                <w:sz w:val="21"/>
                <w:szCs w:val="21"/>
              </w:rPr>
              <w:t>泉州市数字云谷信息产业发展有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578,122.41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312,580.12</w:t>
            </w:r>
          </w:p>
        </w:tc>
      </w:tr>
      <w:tr>
        <w:trPr>
          <w:trHeight w:val="32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南京伍安信息科技有限公司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80,000.00</w:t>
            </w:r>
          </w:p>
        </w:tc>
      </w:tr>
      <w:tr>
        <w:trPr>
          <w:trHeight w:val="33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浙江海康科技有限公司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4,800,470.92</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64,751.26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119,476.00</w:t>
            </w:r>
          </w:p>
        </w:tc>
      </w:tr>
      <w:tr>
        <w:trPr>
          <w:trHeight w:val="33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福建瑞达精工股份有限公司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10,000.00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10,000.00</w:t>
            </w:r>
          </w:p>
        </w:tc>
      </w:tr>
      <w:tr>
        <w:trPr>
          <w:trHeight w:val="32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福建海丝博亚国际酒店有限公司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7,681.59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z w:val="21"/>
              </w:rPr>
              <w:t>0.59</w:t>
            </w:r>
          </w:p>
        </w:tc>
      </w:tr>
      <w:tr>
        <w:trPr>
          <w:trHeight w:val="33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21"/>
                <w:szCs w:val="21"/>
              </w:rPr>
            </w:pPr>
            <w:r>
              <w:rPr>
                <w:rFonts w:ascii="宋体" w:hAnsi="宋体" w:cs="宋体" w:eastAsia="宋体" w:hint="default"/>
                <w:sz w:val="21"/>
                <w:szCs w:val="21"/>
              </w:rPr>
              <w:t>福建省晋华集成电路有限公司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21"/>
                <w:szCs w:val="21"/>
              </w:rPr>
            </w:pPr>
            <w:r>
              <w:rPr>
                <w:rFonts w:ascii="Times New Roman"/>
                <w:spacing w:val="-1"/>
                <w:sz w:val="21"/>
              </w:rPr>
              <w:t>27,927,900.00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21"/>
                <w:szCs w:val="21"/>
              </w:rPr>
            </w:pPr>
            <w:r>
              <w:rPr>
                <w:rFonts w:ascii="Times New Roman"/>
                <w:spacing w:val="-1"/>
                <w:sz w:val="21"/>
              </w:rPr>
              <w:t>27,927,900.00</w:t>
            </w:r>
          </w:p>
        </w:tc>
      </w:tr>
      <w:tr>
        <w:trPr>
          <w:trHeight w:val="64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23" w:right="161"/>
              <w:jc w:val="left"/>
              <w:rPr>
                <w:rFonts w:ascii="宋体" w:hAnsi="宋体" w:cs="宋体" w:eastAsia="宋体" w:hint="default"/>
                <w:sz w:val="21"/>
                <w:szCs w:val="21"/>
              </w:rPr>
            </w:pPr>
            <w:r>
              <w:rPr>
                <w:rFonts w:ascii="宋体" w:hAnsi="宋体" w:cs="宋体" w:eastAsia="宋体" w:hint="default"/>
                <w:spacing w:val="-2"/>
                <w:sz w:val="21"/>
                <w:szCs w:val="21"/>
              </w:rPr>
              <w:t>福建省电子信息应用技术研究院</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9,212,174.50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4,199,895.00</w:t>
            </w:r>
          </w:p>
        </w:tc>
      </w:tr>
      <w:tr>
        <w:trPr>
          <w:trHeight w:val="33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太极计算机股份有限公司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21"/>
                <w:szCs w:val="21"/>
              </w:rPr>
            </w:pPr>
            <w:r>
              <w:rPr>
                <w:rFonts w:ascii="Times New Roman"/>
                <w:spacing w:val="-1"/>
                <w:sz w:val="21"/>
              </w:rPr>
              <w:t>3,257,386.00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23" w:right="161"/>
              <w:jc w:val="left"/>
              <w:rPr>
                <w:rFonts w:ascii="宋体" w:hAnsi="宋体" w:cs="宋体" w:eastAsia="宋体" w:hint="default"/>
                <w:sz w:val="21"/>
                <w:szCs w:val="21"/>
              </w:rPr>
            </w:pPr>
            <w:r>
              <w:rPr>
                <w:rFonts w:ascii="宋体" w:hAnsi="宋体" w:cs="宋体" w:eastAsia="宋体" w:hint="default"/>
                <w:spacing w:val="-2"/>
                <w:sz w:val="21"/>
                <w:szCs w:val="21"/>
              </w:rPr>
              <w:t>中电科新型智慧城市研究院有限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900,000.00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1,929,668.06</w:t>
            </w:r>
          </w:p>
        </w:tc>
      </w:tr>
      <w:tr>
        <w:trPr>
          <w:trHeight w:val="33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福建金证智城科技有限公司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45,300.00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杭州海康威视科技有限公司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10,734,146.00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65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3" w:right="161"/>
              <w:jc w:val="left"/>
              <w:rPr>
                <w:rFonts w:ascii="宋体" w:hAnsi="宋体" w:cs="宋体" w:eastAsia="宋体" w:hint="default"/>
                <w:sz w:val="21"/>
                <w:szCs w:val="21"/>
              </w:rPr>
            </w:pPr>
            <w:r>
              <w:rPr>
                <w:rFonts w:ascii="宋体" w:hAnsi="宋体" w:cs="宋体" w:eastAsia="宋体" w:hint="default"/>
                <w:spacing w:val="-2"/>
                <w:sz w:val="21"/>
                <w:szCs w:val="21"/>
              </w:rPr>
              <w:t>泉州市数字云谷信息产业发展有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1,316,250.00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成都四方伟业软件股份有限公司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1,262,800.00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7" w:right="0"/>
              <w:jc w:val="left"/>
              <w:rPr>
                <w:rFonts w:ascii="宋体" w:hAnsi="宋体" w:cs="宋体" w:eastAsia="宋体" w:hint="default"/>
                <w:sz w:val="24"/>
                <w:szCs w:val="24"/>
              </w:rPr>
            </w:pPr>
            <w:r>
              <w:rPr>
                <w:rFonts w:ascii="宋体" w:hAnsi="宋体" w:cs="宋体" w:eastAsia="宋体" w:hint="default"/>
                <w:sz w:val="21"/>
                <w:szCs w:val="21"/>
              </w:rPr>
              <w:t>合计</w:t>
            </w:r>
            <w:r>
              <w:rPr>
                <w:rFonts w:ascii="宋体" w:hAnsi="宋体" w:cs="宋体" w:eastAsia="宋体" w:hint="default"/>
                <w:sz w:val="24"/>
                <w:szCs w:val="24"/>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3" w:right="0"/>
              <w:jc w:val="left"/>
              <w:rPr>
                <w:rFonts w:ascii="宋体" w:hAnsi="宋体" w:cs="宋体" w:eastAsia="宋体" w:hint="default"/>
                <w:sz w:val="24"/>
                <w:szCs w:val="24"/>
              </w:rPr>
            </w:pPr>
            <w:r>
              <w:rPr>
                <w:rFonts w:ascii="宋体"/>
                <w:sz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89,623,424.87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61,012,016.86</w:t>
            </w:r>
          </w:p>
        </w:tc>
      </w:tr>
    </w:tbl>
    <w:p>
      <w:pPr>
        <w:spacing w:line="240" w:lineRule="auto" w:before="1"/>
        <w:rPr>
          <w:rFonts w:ascii="宋体" w:hAnsi="宋体" w:cs="宋体" w:eastAsia="宋体" w:hint="default"/>
          <w:sz w:val="23"/>
          <w:szCs w:val="23"/>
        </w:rPr>
      </w:pPr>
    </w:p>
    <w:p>
      <w:pPr>
        <w:pStyle w:val="Heading4"/>
        <w:spacing w:line="240" w:lineRule="auto" w:before="36"/>
        <w:ind w:left="138" w:right="2819"/>
        <w:jc w:val="left"/>
        <w:rPr>
          <w:b w:val="0"/>
          <w:bCs w:val="0"/>
        </w:rPr>
      </w:pPr>
      <w:r>
        <w:rPr>
          <w:rFonts w:ascii="Times New Roman" w:hAnsi="Times New Roman" w:cs="Times New Roman" w:eastAsia="Times New Roman" w:hint="default"/>
        </w:rPr>
        <w:t>7</w:t>
      </w:r>
      <w:r>
        <w:rPr/>
        <w:t>、</w:t>
      </w:r>
      <w:r>
        <w:rPr>
          <w:spacing w:val="4"/>
        </w:rPr>
        <w:t> </w:t>
      </w:r>
      <w:r>
        <w:rPr/>
        <w:t>关联方承诺</w:t>
      </w:r>
      <w:r>
        <w:rPr>
          <w:b w:val="0"/>
          <w:bCs w:val="0"/>
        </w:rPr>
      </w:r>
    </w:p>
    <w:p>
      <w:pPr>
        <w:pStyle w:val="BodyText"/>
        <w:spacing w:line="240" w:lineRule="auto" w:before="40"/>
        <w:ind w:left="138" w:right="2819"/>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6"/>
        <w:rPr>
          <w:rFonts w:ascii="宋体" w:hAnsi="宋体" w:cs="宋体" w:eastAsia="宋体" w:hint="default"/>
          <w:sz w:val="22"/>
          <w:szCs w:val="22"/>
        </w:rPr>
      </w:pPr>
    </w:p>
    <w:p>
      <w:pPr>
        <w:pStyle w:val="Heading4"/>
        <w:spacing w:line="240" w:lineRule="auto" w:before="0"/>
        <w:ind w:left="138" w:right="2819"/>
        <w:jc w:val="left"/>
        <w:rPr>
          <w:b w:val="0"/>
          <w:bCs w:val="0"/>
        </w:rPr>
      </w:pPr>
      <w:r>
        <w:rPr>
          <w:rFonts w:ascii="Times New Roman" w:hAnsi="Times New Roman" w:cs="Times New Roman" w:eastAsia="Times New Roman" w:hint="default"/>
        </w:rPr>
        <w:t>8</w:t>
      </w:r>
      <w:r>
        <w:rPr/>
        <w:t>、</w:t>
      </w:r>
      <w:r>
        <w:rPr>
          <w:spacing w:val="3"/>
        </w:rPr>
        <w:t> </w:t>
      </w:r>
      <w:r>
        <w:rPr/>
        <w:t>其他</w:t>
      </w:r>
      <w:r>
        <w:rPr>
          <w:b w:val="0"/>
          <w:bCs w:val="0"/>
        </w:rPr>
      </w:r>
    </w:p>
    <w:p>
      <w:pPr>
        <w:pStyle w:val="BodyText"/>
        <w:spacing w:line="270" w:lineRule="exact" w:before="40"/>
        <w:ind w:left="138" w:right="281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Heading3"/>
        <w:spacing w:line="309" w:lineRule="exact"/>
        <w:ind w:left="138" w:right="0"/>
        <w:jc w:val="left"/>
      </w:pPr>
      <w:r>
        <w:rPr/>
        <w:t> </w:t>
      </w:r>
    </w:p>
    <w:p>
      <w:pPr>
        <w:spacing w:after="0" w:line="309" w:lineRule="exact"/>
        <w:jc w:val="left"/>
        <w:sectPr>
          <w:type w:val="continuous"/>
          <w:pgSz w:w="11910" w:h="16840"/>
          <w:pgMar w:top="1500" w:bottom="280" w:left="1660" w:right="1060"/>
        </w:sect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79" w:top="1120" w:bottom="1160" w:left="1580" w:right="1040"/>
        </w:sectPr>
      </w:pPr>
    </w:p>
    <w:p>
      <w:pPr>
        <w:pStyle w:val="Heading4"/>
        <w:spacing w:line="240" w:lineRule="auto" w:before="36"/>
        <w:ind w:right="-20"/>
        <w:jc w:val="left"/>
        <w:rPr>
          <w:b w:val="0"/>
          <w:bCs w:val="0"/>
        </w:rPr>
      </w:pPr>
      <w:r>
        <w:rPr/>
        <w:t>十三、股份支付</w:t>
      </w:r>
      <w:r>
        <w:rPr>
          <w:b w:val="0"/>
          <w:bCs w:val="0"/>
        </w:rPr>
      </w:r>
    </w:p>
    <w:p>
      <w:pPr>
        <w:pStyle w:val="Heading4"/>
        <w:spacing w:line="240" w:lineRule="auto" w:before="59"/>
        <w:ind w:right="-20"/>
        <w:jc w:val="left"/>
        <w:rPr>
          <w:b w:val="0"/>
          <w:bCs w:val="0"/>
        </w:rPr>
      </w:pPr>
      <w:r>
        <w:rPr>
          <w:rFonts w:ascii="Times New Roman" w:hAnsi="Times New Roman" w:cs="Times New Roman" w:eastAsia="Times New Roman" w:hint="default"/>
        </w:rPr>
        <w:t>1</w:t>
      </w:r>
      <w:r>
        <w:rPr/>
        <w:t>、</w:t>
      </w:r>
      <w:r>
        <w:rPr>
          <w:spacing w:val="6"/>
        </w:rPr>
        <w:t> </w:t>
      </w:r>
      <w:r>
        <w:rPr/>
        <w:t>股份支付总体情况</w:t>
      </w:r>
      <w:r>
        <w:rPr>
          <w:b w:val="0"/>
          <w:bCs w:val="0"/>
        </w:rPr>
      </w:r>
    </w:p>
    <w:p>
      <w:pPr>
        <w:pStyle w:val="BodyText"/>
        <w:spacing w:line="240" w:lineRule="auto" w:before="40"/>
        <w:ind w:right="-2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sz w:val="24"/>
          <w:szCs w:val="24"/>
        </w:rPr>
      </w:pPr>
      <w:r>
        <w:rPr/>
        <w:t>单位：股</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973"/>
        <w:gridCol w:w="2077"/>
      </w:tblGrid>
      <w:tr>
        <w:trPr>
          <w:trHeight w:val="283" w:hRule="exact"/>
        </w:trPr>
        <w:tc>
          <w:tcPr>
            <w:tcW w:w="6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6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1" w:hRule="exact"/>
        </w:trPr>
        <w:tc>
          <w:tcPr>
            <w:tcW w:w="6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6" w:right="0"/>
              <w:jc w:val="left"/>
              <w:rPr>
                <w:rFonts w:ascii="Times New Roman" w:hAnsi="Times New Roman" w:cs="Times New Roman" w:eastAsia="Times New Roman" w:hint="default"/>
                <w:sz w:val="21"/>
                <w:szCs w:val="21"/>
              </w:rPr>
            </w:pPr>
            <w:r>
              <w:rPr>
                <w:rFonts w:ascii="Times New Roman"/>
                <w:sz w:val="21"/>
              </w:rPr>
              <w:t>196,560</w:t>
            </w:r>
          </w:p>
        </w:tc>
      </w:tr>
      <w:tr>
        <w:trPr>
          <w:trHeight w:val="283" w:hRule="exact"/>
        </w:trPr>
        <w:tc>
          <w:tcPr>
            <w:tcW w:w="6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公司期末发行在外的股票期权行权价格的范围和合同剩余期限</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6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公司期末发行在外的其他权益工具行权价格的范围和合同剩余期限</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42"/>
        <w:ind w:left="698" w:right="0"/>
        <w:jc w:val="left"/>
      </w:pPr>
      <w:r>
        <w:rPr>
          <w:rFonts w:ascii="Times New Roman" w:hAnsi="Times New Roman" w:cs="Times New Roman" w:eastAsia="Times New Roman" w:hint="default"/>
        </w:rPr>
        <w:t>2019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日，公司完成股权激励计划首次授予及预留部分限制性股票回购注销工作，</w:t>
      </w:r>
    </w:p>
    <w:p>
      <w:pPr>
        <w:pStyle w:val="BodyText"/>
        <w:spacing w:line="264" w:lineRule="auto" w:before="31"/>
        <w:ind w:right="223"/>
        <w:jc w:val="left"/>
        <w:rPr>
          <w:rFonts w:ascii="宋体" w:hAnsi="宋体" w:cs="宋体" w:eastAsia="宋体" w:hint="default"/>
          <w:sz w:val="24"/>
          <w:szCs w:val="24"/>
        </w:rPr>
      </w:pPr>
      <w:r>
        <w:rPr/>
        <w:t>董事会根据股东大会的授权对不符合解锁条件的</w:t>
      </w:r>
      <w:r>
        <w:rPr>
          <w:spacing w:val="-63"/>
        </w:rPr>
        <w:t> </w:t>
      </w:r>
      <w:r>
        <w:rPr>
          <w:rFonts w:ascii="Times New Roman" w:hAnsi="Times New Roman" w:cs="Times New Roman" w:eastAsia="Times New Roman" w:hint="default"/>
        </w:rPr>
        <w:t>15</w:t>
      </w:r>
      <w:r>
        <w:rPr>
          <w:rFonts w:ascii="Times New Roman" w:hAnsi="Times New Roman" w:cs="Times New Roman" w:eastAsia="Times New Roman" w:hint="default"/>
          <w:spacing w:val="-13"/>
        </w:rPr>
        <w:t> </w:t>
      </w:r>
      <w:r>
        <w:rPr/>
        <w:t>名激励对象合计持有的</w:t>
      </w:r>
      <w:r>
        <w:rPr>
          <w:spacing w:val="-64"/>
        </w:rPr>
        <w:t> </w:t>
      </w:r>
      <w:r>
        <w:rPr>
          <w:rFonts w:ascii="Times New Roman" w:hAnsi="Times New Roman" w:cs="Times New Roman" w:eastAsia="Times New Roman" w:hint="default"/>
        </w:rPr>
        <w:t>196,560</w:t>
      </w:r>
      <w:r>
        <w:rPr>
          <w:rFonts w:ascii="Times New Roman" w:hAnsi="Times New Roman" w:cs="Times New Roman" w:eastAsia="Times New Roman" w:hint="default"/>
          <w:spacing w:val="-13"/>
        </w:rPr>
        <w:t> </w:t>
      </w:r>
      <w:r>
        <w:rPr/>
        <w:t>股已获授但尚</w:t>
      </w:r>
      <w:r>
        <w:rPr>
          <w:w w:val="100"/>
        </w:rPr>
        <w:t> </w:t>
      </w:r>
      <w:r>
        <w:rPr/>
        <w:t>未解锁的限制性股票进行回购注销。</w:t>
      </w:r>
      <w:r>
        <w:rPr>
          <w:rFonts w:ascii="宋体" w:hAnsi="宋体" w:cs="宋体" w:eastAsia="宋体" w:hint="default"/>
          <w:sz w:val="24"/>
          <w:szCs w:val="24"/>
        </w:rPr>
        <w:t> </w:t>
      </w:r>
    </w:p>
    <w:p>
      <w:pPr>
        <w:pStyle w:val="Heading4"/>
        <w:spacing w:line="240" w:lineRule="auto" w:before="37"/>
        <w:ind w:right="0"/>
        <w:jc w:val="left"/>
        <w:rPr>
          <w:b w:val="0"/>
          <w:bCs w:val="0"/>
        </w:rPr>
      </w:pPr>
      <w:r>
        <w:rPr>
          <w:rFonts w:ascii="Times New Roman" w:hAnsi="Times New Roman" w:cs="Times New Roman" w:eastAsia="Times New Roman" w:hint="default"/>
        </w:rPr>
        <w:t>2</w:t>
      </w:r>
      <w:r>
        <w:rPr/>
        <w:t>、</w:t>
      </w:r>
      <w:r>
        <w:rPr>
          <w:spacing w:val="1"/>
        </w:rPr>
        <w:t> </w:t>
      </w:r>
      <w:r>
        <w:rPr/>
        <w:t>以权益结算的股份支付情况</w:t>
      </w:r>
      <w:r>
        <w:rPr>
          <w:b w:val="0"/>
          <w:bCs w:val="0"/>
        </w:rPr>
      </w:r>
    </w:p>
    <w:p>
      <w:pPr>
        <w:pStyle w:val="BodyText"/>
        <w:spacing w:line="240" w:lineRule="auto"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94"/>
        <w:gridCol w:w="4256"/>
      </w:tblGrid>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布莱克</w:t>
            </w:r>
            <w:r>
              <w:rPr>
                <w:rFonts w:ascii="Times New Roman" w:hAnsi="Times New Roman" w:cs="Times New Roman" w:eastAsia="Times New Roman" w:hint="default"/>
                <w:sz w:val="21"/>
                <w:szCs w:val="21"/>
              </w:rPr>
              <w:t>-</w:t>
            </w:r>
            <w:r>
              <w:rPr>
                <w:rFonts w:ascii="宋体" w:hAnsi="宋体" w:cs="宋体" w:eastAsia="宋体" w:hint="default"/>
                <w:sz w:val="21"/>
                <w:szCs w:val="21"/>
              </w:rPr>
              <w:t>斯科尔斯期权定价模型</w:t>
            </w:r>
          </w:p>
        </w:tc>
      </w:tr>
      <w:tr>
        <w:trPr>
          <w:trHeight w:val="55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预计可以达到行权条件，被授予对象均可行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权</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22,743,642.05</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653,706.73</w:t>
            </w:r>
          </w:p>
        </w:tc>
      </w:tr>
    </w:tbl>
    <w:p>
      <w:pPr>
        <w:pStyle w:val="BodyText"/>
        <w:spacing w:line="240"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69" w:lineRule="exact"/>
        <w:ind w:right="0"/>
        <w:jc w:val="left"/>
        <w:rPr>
          <w:rFonts w:ascii="宋体" w:hAnsi="宋体" w:cs="宋体" w:eastAsia="宋体" w:hint="default"/>
        </w:rPr>
      </w:pPr>
      <w:r>
        <w:rPr>
          <w:rFonts w:ascii="宋体"/>
          <w:w w:val="100"/>
        </w:rPr>
        <w:t> </w:t>
      </w:r>
    </w:p>
    <w:p>
      <w:pPr>
        <w:pStyle w:val="Heading3"/>
        <w:spacing w:line="310" w:lineRule="exact"/>
        <w:ind w:left="218" w:right="0"/>
        <w:jc w:val="left"/>
      </w:pPr>
      <w:r>
        <w:rPr/>
        <w:t> </w:t>
      </w:r>
    </w:p>
    <w:p>
      <w:pPr>
        <w:pStyle w:val="Heading4"/>
        <w:spacing w:line="240" w:lineRule="auto"/>
        <w:ind w:right="0"/>
        <w:jc w:val="left"/>
        <w:rPr>
          <w:b w:val="0"/>
          <w:bCs w:val="0"/>
        </w:rPr>
      </w:pPr>
      <w:r>
        <w:rPr>
          <w:rFonts w:ascii="Times New Roman" w:hAnsi="Times New Roman" w:cs="Times New Roman" w:eastAsia="Times New Roman" w:hint="default"/>
        </w:rPr>
        <w:t>3</w:t>
      </w:r>
      <w:r>
        <w:rPr/>
        <w:t>、</w:t>
      </w:r>
      <w:r>
        <w:rPr>
          <w:spacing w:val="1"/>
        </w:rPr>
        <w:t> </w:t>
      </w:r>
      <w:r>
        <w:rPr/>
        <w:t>以现金结算的股份支付情况</w:t>
      </w:r>
      <w:r>
        <w:rPr>
          <w:b w:val="0"/>
          <w:bCs w:val="0"/>
        </w:rPr>
      </w:r>
    </w:p>
    <w:p>
      <w:pPr>
        <w:pStyle w:val="BodyText"/>
        <w:spacing w:line="271" w:lineRule="exact"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0" w:lineRule="exact"/>
        <w:ind w:left="218" w:right="0"/>
        <w:jc w:val="left"/>
      </w:pPr>
      <w:r>
        <w:rPr/>
        <w:t> </w:t>
      </w:r>
    </w:p>
    <w:p>
      <w:pPr>
        <w:pStyle w:val="Heading4"/>
        <w:spacing w:line="240" w:lineRule="auto" w:before="61"/>
        <w:ind w:right="0"/>
        <w:jc w:val="left"/>
        <w:rPr>
          <w:b w:val="0"/>
          <w:bCs w:val="0"/>
        </w:rPr>
      </w:pPr>
      <w:r>
        <w:rPr>
          <w:rFonts w:ascii="Times New Roman" w:hAnsi="Times New Roman" w:cs="Times New Roman" w:eastAsia="Times New Roman" w:hint="default"/>
        </w:rPr>
        <w:t>4</w:t>
      </w:r>
      <w:r>
        <w:rPr/>
        <w:t>、</w:t>
      </w:r>
      <w:r>
        <w:rPr>
          <w:spacing w:val="1"/>
        </w:rPr>
        <w:t> </w:t>
      </w:r>
      <w:r>
        <w:rPr/>
        <w:t>股份支付的修改、终止情况</w:t>
      </w:r>
      <w:r>
        <w:rPr>
          <w:b w:val="0"/>
          <w:bCs w:val="0"/>
        </w:rPr>
      </w:r>
    </w:p>
    <w:p>
      <w:pPr>
        <w:pStyle w:val="BodyText"/>
        <w:spacing w:line="270" w:lineRule="exact" w:before="4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Heading3"/>
        <w:spacing w:line="309" w:lineRule="exact"/>
        <w:ind w:left="458" w:right="0"/>
        <w:jc w:val="left"/>
      </w:pPr>
      <w:r>
        <w:rPr/>
        <w:t> </w:t>
      </w:r>
    </w:p>
    <w:p>
      <w:pPr>
        <w:pStyle w:val="Heading4"/>
        <w:spacing w:line="240" w:lineRule="auto"/>
        <w:ind w:right="0"/>
        <w:jc w:val="left"/>
        <w:rPr>
          <w:b w:val="0"/>
          <w:bCs w:val="0"/>
        </w:rPr>
      </w:pPr>
      <w:r>
        <w:rPr>
          <w:rFonts w:ascii="Times New Roman" w:hAnsi="Times New Roman" w:cs="Times New Roman" w:eastAsia="Times New Roman" w:hint="default"/>
        </w:rPr>
        <w:t>5</w:t>
      </w:r>
      <w:r>
        <w:rPr/>
        <w:t>、</w:t>
      </w:r>
      <w:r>
        <w:rPr>
          <w:spacing w:val="3"/>
        </w:rPr>
        <w:t> </w:t>
      </w:r>
      <w:r>
        <w:rPr/>
        <w:t>其他</w:t>
      </w:r>
      <w:r>
        <w:rPr>
          <w:b w:val="0"/>
          <w:bCs w:val="0"/>
        </w:rPr>
      </w:r>
    </w:p>
    <w:p>
      <w:pPr>
        <w:pStyle w:val="BodyText"/>
        <w:spacing w:line="271" w:lineRule="exact" w:before="40"/>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4"/>
        <w:spacing w:line="290" w:lineRule="auto" w:before="0"/>
        <w:ind w:right="6937"/>
        <w:jc w:val="left"/>
        <w:rPr>
          <w:rFonts w:ascii="宋体" w:hAnsi="宋体" w:cs="宋体" w:eastAsia="宋体" w:hint="default"/>
          <w:b w:val="0"/>
          <w:bCs w:val="0"/>
        </w:rPr>
      </w:pPr>
      <w:r>
        <w:rPr>
          <w:rFonts w:ascii="宋体" w:hAnsi="宋体" w:cs="宋体" w:eastAsia="宋体" w:hint="default"/>
          <w:b w:val="0"/>
          <w:bCs w:val="0"/>
          <w:sz w:val="24"/>
          <w:szCs w:val="24"/>
        </w:rPr>
        <w:t> </w:t>
      </w:r>
      <w:r>
        <w:rPr>
          <w:w w:val="100"/>
        </w:rPr>
        <w:t>十四</w:t>
      </w:r>
      <w:r>
        <w:rPr>
          <w:spacing w:val="-1"/>
          <w:w w:val="100"/>
        </w:rPr>
        <w:t>、</w:t>
      </w:r>
      <w:r>
        <w:rPr>
          <w:w w:val="100"/>
        </w:rPr>
        <w:t>承诺及或有事项</w:t>
      </w:r>
      <w:r>
        <w:rPr>
          <w:w w:val="100"/>
        </w:rPr>
        <w:t> </w:t>
      </w:r>
      <w:r>
        <w:rPr>
          <w:rFonts w:ascii="Times New Roman" w:hAnsi="Times New Roman" w:cs="Times New Roman" w:eastAsia="Times New Roman" w:hint="default"/>
          <w:w w:val="100"/>
        </w:rPr>
        <w:t>1</w:t>
      </w:r>
      <w:r>
        <w:rPr>
          <w:w w:val="100"/>
        </w:rPr>
        <w:t>、</w:t>
      </w:r>
      <w:r>
        <w:rPr>
          <w:spacing w:val="2"/>
        </w:rPr>
        <w:t> </w:t>
      </w:r>
      <w:r>
        <w:rPr>
          <w:w w:val="100"/>
        </w:rPr>
        <w:t>重要承诺事</w:t>
      </w:r>
      <w:r>
        <w:rPr>
          <w:spacing w:val="-3"/>
          <w:w w:val="100"/>
        </w:rPr>
        <w:t>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7"/>
        <w:ind w:right="329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资产负债表日存在的对外重要承诺、性质、金额</w:t>
      </w:r>
      <w:r>
        <w:rPr>
          <w:rFonts w:ascii="宋体" w:hAnsi="宋体" w:cs="宋体" w:eastAsia="宋体" w:hint="default"/>
        </w:rPr>
        <w:t> </w:t>
      </w:r>
    </w:p>
    <w:p>
      <w:pPr>
        <w:pStyle w:val="BodyText"/>
        <w:spacing w:line="240" w:lineRule="auto" w:before="16"/>
        <w:ind w:left="698" w:right="0"/>
        <w:jc w:val="left"/>
      </w:pPr>
      <w:r>
        <w:rPr>
          <w:rFonts w:ascii="Times New Roman" w:hAnsi="Times New Roman" w:cs="Times New Roman" w:eastAsia="Times New Roman" w:hint="default"/>
        </w:rPr>
        <w:t>1</w:t>
      </w:r>
      <w:r>
        <w:rPr/>
        <w:t>、助学社会公益活动承诺</w:t>
      </w:r>
    </w:p>
    <w:p>
      <w:pPr>
        <w:pStyle w:val="BodyText"/>
        <w:spacing w:line="240" w:lineRule="auto" w:before="31"/>
        <w:ind w:left="638"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22</w:t>
      </w:r>
      <w:r>
        <w:rPr>
          <w:rFonts w:ascii="Times New Roman" w:hAnsi="Times New Roman" w:cs="Times New Roman" w:eastAsia="Times New Roman" w:hint="default"/>
          <w:spacing w:val="11"/>
        </w:rPr>
        <w:t> </w:t>
      </w:r>
      <w:r>
        <w:rPr>
          <w:spacing w:val="-3"/>
        </w:rPr>
        <w:t>日召开的第二届董事会第三十次会议审议通过《关于设立南威助学基金会的</w:t>
      </w:r>
    </w:p>
    <w:p>
      <w:pPr>
        <w:pStyle w:val="BodyText"/>
        <w:spacing w:line="240" w:lineRule="auto" w:before="28"/>
        <w:ind w:right="0"/>
        <w:jc w:val="left"/>
        <w:rPr>
          <w:rFonts w:ascii="Times New Roman" w:hAnsi="Times New Roman" w:cs="Times New Roman" w:eastAsia="Times New Roman" w:hint="default"/>
        </w:rPr>
      </w:pPr>
      <w:r>
        <w:rPr/>
        <w:t>议案》，公司拟作为独立发起组织，以自筹资金设立南威助学基金会。该基金投资规模为</w:t>
      </w:r>
      <w:r>
        <w:rPr>
          <w:spacing w:val="66"/>
        </w:rPr>
        <w:t> </w:t>
      </w:r>
      <w:r>
        <w:rPr>
          <w:rFonts w:ascii="Times New Roman" w:hAnsi="Times New Roman" w:cs="Times New Roman" w:eastAsia="Times New Roman" w:hint="default"/>
        </w:rPr>
        <w:t>1,000</w:t>
      </w:r>
    </w:p>
    <w:p>
      <w:pPr>
        <w:pStyle w:val="BodyText"/>
        <w:spacing w:line="266" w:lineRule="auto" w:before="28"/>
        <w:ind w:right="0"/>
        <w:jc w:val="left"/>
      </w:pPr>
      <w:r>
        <w:rPr>
          <w:spacing w:val="-3"/>
        </w:rPr>
        <w:t>万元公司，公司预计</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年内以出资不低于</w:t>
      </w:r>
      <w:r>
        <w:rPr>
          <w:spacing w:val="-4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8"/>
        </w:rPr>
        <w:t> </w:t>
      </w:r>
      <w:r>
        <w:rPr>
          <w:spacing w:val="-3"/>
        </w:rPr>
        <w:t>万元。基金会主要从事助学社会公益活动，以及</w:t>
      </w:r>
      <w:r>
        <w:rPr>
          <w:spacing w:val="-102"/>
        </w:rPr>
        <w:t> </w:t>
      </w:r>
      <w:r>
        <w:rPr>
          <w:spacing w:val="-102"/>
        </w:rPr>
      </w:r>
      <w:r>
        <w:rPr/>
        <w:t>经过合法程序开展的其他教育公益事业。</w:t>
      </w:r>
    </w:p>
    <w:p>
      <w:pPr>
        <w:spacing w:after="0" w:line="266" w:lineRule="auto"/>
        <w:jc w:val="left"/>
        <w:sectPr>
          <w:type w:val="continuous"/>
          <w:pgSz w:w="11910" w:h="16840"/>
          <w:pgMar w:top="1500" w:bottom="280" w:left="1580" w:right="1040"/>
        </w:sectPr>
      </w:pPr>
    </w:p>
    <w:p>
      <w:pPr>
        <w:spacing w:line="240" w:lineRule="auto" w:before="5"/>
        <w:rPr>
          <w:rFonts w:ascii="宋体" w:hAnsi="宋体" w:cs="宋体" w:eastAsia="宋体" w:hint="default"/>
          <w:sz w:val="28"/>
          <w:szCs w:val="28"/>
        </w:rPr>
      </w:pPr>
    </w:p>
    <w:p>
      <w:pPr>
        <w:pStyle w:val="BodyText"/>
        <w:spacing w:line="240" w:lineRule="auto" w:before="36"/>
        <w:ind w:left="638" w:right="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3"/>
        </w:rPr>
        <w:t>月，公司与丰泽区教育发展基金会签订了《南威助学基金会协议书》，公司计划出</w:t>
      </w:r>
    </w:p>
    <w:p>
      <w:pPr>
        <w:pStyle w:val="BodyText"/>
        <w:spacing w:line="240" w:lineRule="auto" w:before="31"/>
        <w:ind w:right="0"/>
        <w:jc w:val="left"/>
      </w:pPr>
      <w:r>
        <w:rPr/>
        <w:t>资</w:t>
      </w:r>
      <w:r>
        <w:rPr>
          <w:spacing w:val="-4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1"/>
        </w:rPr>
        <w:t> </w:t>
      </w:r>
      <w:r>
        <w:rPr>
          <w:spacing w:val="-3"/>
        </w:rPr>
        <w:t>万元作为助学金用于贫困学生及特殊学生群体的资助，原则上公司将于</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年内进行分批</w:t>
      </w:r>
    </w:p>
    <w:p>
      <w:pPr>
        <w:pStyle w:val="BodyText"/>
        <w:spacing w:line="240" w:lineRule="auto" w:before="28"/>
        <w:ind w:right="0"/>
        <w:jc w:val="left"/>
        <w:rPr>
          <w:rFonts w:ascii="Times New Roman" w:hAnsi="Times New Roman" w:cs="Times New Roman" w:eastAsia="Times New Roman" w:hint="default"/>
        </w:rPr>
      </w:pPr>
      <w:r>
        <w:rPr>
          <w:spacing w:val="-8"/>
        </w:rPr>
        <w:t>次捐款，每年捐资 </w:t>
      </w:r>
      <w:r>
        <w:rPr>
          <w:rFonts w:ascii="Times New Roman" w:hAnsi="Times New Roman" w:cs="Times New Roman" w:eastAsia="Times New Roman" w:hint="default"/>
        </w:rPr>
        <w:t>100 </w:t>
      </w:r>
      <w:r>
        <w:rPr>
          <w:spacing w:val="-5"/>
        </w:rPr>
        <w:t>万元（亦可根据情况随时追加当年捐赠金额，每年出资额最高不得超过</w:t>
      </w:r>
      <w:r>
        <w:rPr>
          <w:spacing w:val="-26"/>
        </w:rPr>
        <w:t> </w:t>
      </w:r>
      <w:r>
        <w:rPr>
          <w:rFonts w:ascii="Times New Roman" w:hAnsi="Times New Roman" w:cs="Times New Roman" w:eastAsia="Times New Roman" w:hint="default"/>
          <w:spacing w:val="-3"/>
        </w:rPr>
        <w:t>200</w:t>
      </w:r>
      <w:r>
        <w:rPr>
          <w:rFonts w:ascii="Times New Roman" w:hAnsi="Times New Roman" w:cs="Times New Roman" w:eastAsia="Times New Roman" w:hint="default"/>
        </w:rPr>
      </w:r>
    </w:p>
    <w:p>
      <w:pPr>
        <w:pStyle w:val="BodyText"/>
        <w:spacing w:line="240" w:lineRule="auto" w:before="28"/>
        <w:ind w:right="0"/>
        <w:jc w:val="left"/>
      </w:pPr>
      <w:r>
        <w:rPr>
          <w:spacing w:val="-4"/>
        </w:rPr>
        <w:t>万元）。公司未来将根据经营状况及实际情况进行出资。截至</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5"/>
        </w:rPr>
        <w:t>日，公司累计已出</w:t>
      </w:r>
    </w:p>
    <w:p>
      <w:pPr>
        <w:pStyle w:val="BodyText"/>
        <w:spacing w:line="240" w:lineRule="auto" w:before="31"/>
        <w:ind w:right="2005"/>
        <w:jc w:val="left"/>
      </w:pPr>
      <w:r>
        <w:rPr/>
        <w:t>资</w:t>
      </w:r>
      <w:r>
        <w:rPr>
          <w:spacing w:val="-52"/>
        </w:rPr>
        <w:t> </w:t>
      </w:r>
      <w:r>
        <w:rPr>
          <w:rFonts w:ascii="Times New Roman" w:hAnsi="Times New Roman" w:cs="Times New Roman" w:eastAsia="Times New Roman" w:hint="default"/>
        </w:rPr>
        <w:t>300</w:t>
      </w:r>
      <w:r>
        <w:rPr>
          <w:rFonts w:ascii="Times New Roman" w:hAnsi="Times New Roman" w:cs="Times New Roman" w:eastAsia="Times New Roman" w:hint="default"/>
          <w:spacing w:val="-2"/>
        </w:rPr>
        <w:t> </w:t>
      </w:r>
      <w:r>
        <w:rPr/>
        <w:t>万元。</w:t>
      </w:r>
    </w:p>
    <w:p>
      <w:pPr>
        <w:pStyle w:val="BodyText"/>
        <w:spacing w:line="264" w:lineRule="auto" w:before="28"/>
        <w:ind w:right="0" w:firstLine="419"/>
        <w:jc w:val="left"/>
      </w:pPr>
      <w:r>
        <w:rPr>
          <w:spacing w:val="-5"/>
        </w:rPr>
        <w:t>除存在上述承诺事项外，截止</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4"/>
        </w:rPr>
        <w:t>日，本公司无其他应披露未披露的重大承诺事</w:t>
      </w:r>
      <w:r>
        <w:rPr>
          <w:w w:val="100"/>
        </w:rPr>
        <w:t> </w:t>
      </w:r>
      <w:r>
        <w:rPr/>
        <w:t>项。</w:t>
      </w:r>
    </w:p>
    <w:p>
      <w:pPr>
        <w:pStyle w:val="BodyText"/>
        <w:spacing w:line="255" w:lineRule="exact"/>
        <w:ind w:right="0"/>
        <w:jc w:val="left"/>
        <w:rPr>
          <w:rFonts w:ascii="宋体" w:hAnsi="宋体" w:cs="宋体" w:eastAsia="宋体" w:hint="default"/>
        </w:rPr>
      </w:pPr>
      <w:r>
        <w:rPr>
          <w:rFonts w:ascii="宋体"/>
          <w:w w:val="100"/>
        </w:rPr>
        <w:t> </w:t>
      </w:r>
    </w:p>
    <w:p>
      <w:pPr>
        <w:pStyle w:val="Heading4"/>
        <w:spacing w:line="240" w:lineRule="auto" w:before="56"/>
        <w:ind w:right="2005"/>
        <w:jc w:val="left"/>
        <w:rPr>
          <w:b w:val="0"/>
          <w:bCs w:val="0"/>
        </w:rPr>
      </w:pPr>
      <w:r>
        <w:rPr>
          <w:rFonts w:ascii="Times New Roman" w:hAnsi="Times New Roman" w:cs="Times New Roman" w:eastAsia="Times New Roman" w:hint="default"/>
        </w:rPr>
        <w:t>2</w:t>
      </w:r>
      <w:r>
        <w:rPr/>
        <w:t>、</w:t>
      </w:r>
      <w:r>
        <w:rPr>
          <w:spacing w:val="4"/>
        </w:rPr>
        <w:t> </w:t>
      </w:r>
      <w:r>
        <w:rPr/>
        <w:t>或有事项</w:t>
      </w:r>
      <w:r>
        <w:rPr>
          <w:b w:val="0"/>
          <w:bCs w:val="0"/>
        </w:rPr>
      </w:r>
    </w:p>
    <w:p>
      <w:pPr>
        <w:pStyle w:val="Heading4"/>
        <w:spacing w:line="240" w:lineRule="auto" w:before="43"/>
        <w:ind w:right="2005"/>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8"/>
        </w:rPr>
        <w:t> </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00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45"/>
        <w:ind w:left="698" w:right="2005"/>
        <w:jc w:val="left"/>
      </w:pPr>
      <w:r>
        <w:rPr>
          <w:rFonts w:ascii="Times New Roman" w:hAnsi="Times New Roman" w:cs="Times New Roman" w:eastAsia="Times New Roman" w:hint="default"/>
        </w:rPr>
        <w:t>1</w:t>
      </w:r>
      <w:r>
        <w:rPr/>
        <w:t>、未决诉讼或仲裁形成的或有事项及其财务影响</w:t>
      </w:r>
    </w:p>
    <w:p>
      <w:pPr>
        <w:pStyle w:val="BodyText"/>
        <w:spacing w:line="264" w:lineRule="auto" w:before="28"/>
        <w:ind w:left="638" w:right="2005"/>
        <w:jc w:val="left"/>
      </w:pPr>
      <w:r>
        <w:rPr/>
        <w:t>截止</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 </w:t>
      </w:r>
      <w:r>
        <w:rPr/>
        <w:t>日，不存在对公司有重大影响的诉讼事项</w:t>
      </w:r>
      <w:r>
        <w:rPr>
          <w:w w:val="100"/>
        </w:rPr>
        <w:t> </w:t>
      </w:r>
      <w:r>
        <w:rPr>
          <w:rFonts w:ascii="Times New Roman" w:hAnsi="Times New Roman" w:cs="Times New Roman" w:eastAsia="Times New Roman" w:hint="default"/>
        </w:rPr>
        <w:t>2</w:t>
      </w:r>
      <w:r>
        <w:rPr/>
        <w:t>、对外提供债务担保形成的或有事项及其财务影响</w:t>
      </w:r>
      <w:r>
        <w:rPr>
          <w:w w:val="100"/>
        </w:rPr>
        <w:t> </w:t>
      </w:r>
      <w:r>
        <w:rPr/>
        <w:t>为关联方提供担保详见“本附注十二、关联方交易之（五）、</w:t>
      </w:r>
      <w:r>
        <w:rPr>
          <w:rFonts w:ascii="Times New Roman" w:hAnsi="Times New Roman" w:cs="Times New Roman" w:eastAsia="Times New Roman" w:hint="default"/>
        </w:rPr>
        <w:t>4</w:t>
      </w:r>
      <w:r>
        <w:rPr/>
        <w:t>”</w:t>
      </w:r>
      <w:r>
        <w:rPr>
          <w:rFonts w:ascii="宋体" w:hAnsi="宋体" w:cs="宋体" w:eastAsia="宋体" w:hint="default"/>
          <w:w w:val="100"/>
        </w:rPr>
        <w:t> </w:t>
      </w:r>
      <w:r>
        <w:rPr>
          <w:rFonts w:ascii="宋体" w:hAnsi="宋体" w:cs="宋体" w:eastAsia="宋体" w:hint="default"/>
          <w:w w:val="100"/>
        </w:rPr>
        <w:t>  </w:t>
      </w:r>
      <w:r>
        <w:rPr/>
        <w:t>截止</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 </w:t>
      </w:r>
      <w:r>
        <w:rPr/>
        <w:t>日，本公司不存在为非关联方单位提供保证情况。</w:t>
      </w:r>
      <w:r>
        <w:rPr>
          <w:w w:val="100"/>
        </w:rPr>
        <w:t> </w:t>
      </w:r>
      <w:r>
        <w:rPr>
          <w:rFonts w:ascii="Times New Roman" w:hAnsi="Times New Roman" w:cs="Times New Roman" w:eastAsia="Times New Roman" w:hint="default"/>
        </w:rPr>
        <w:t>3</w:t>
      </w:r>
      <w:r>
        <w:rPr/>
        <w:t>、合并报表范围内公司间的提供</w:t>
      </w:r>
    </w:p>
    <w:tbl>
      <w:tblPr>
        <w:tblW w:w="0" w:type="auto"/>
        <w:jc w:val="left"/>
        <w:tblInd w:w="105" w:type="dxa"/>
        <w:tblLayout w:type="fixed"/>
        <w:tblCellMar>
          <w:top w:w="0" w:type="dxa"/>
          <w:left w:w="0" w:type="dxa"/>
          <w:bottom w:w="0" w:type="dxa"/>
          <w:right w:w="0" w:type="dxa"/>
        </w:tblCellMar>
        <w:tblLook w:val="01E0"/>
      </w:tblPr>
      <w:tblGrid>
        <w:gridCol w:w="1702"/>
        <w:gridCol w:w="1414"/>
        <w:gridCol w:w="1558"/>
        <w:gridCol w:w="1560"/>
        <w:gridCol w:w="1133"/>
        <w:gridCol w:w="1560"/>
      </w:tblGrid>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5" w:right="0"/>
              <w:jc w:val="center"/>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z w:val="21"/>
                <w:szCs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78" w:right="0"/>
              <w:jc w:val="left"/>
              <w:rPr>
                <w:rFonts w:ascii="宋体" w:hAnsi="宋体" w:cs="宋体" w:eastAsia="宋体" w:hint="default"/>
                <w:sz w:val="21"/>
                <w:szCs w:val="21"/>
              </w:rPr>
            </w:pPr>
            <w:r>
              <w:rPr>
                <w:rFonts w:ascii="宋体" w:hAnsi="宋体" w:cs="宋体" w:eastAsia="宋体" w:hint="default"/>
                <w:sz w:val="21"/>
                <w:szCs w:val="21"/>
              </w:rPr>
              <w:t>被担保方</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55" w:right="0"/>
              <w:jc w:val="left"/>
              <w:rPr>
                <w:rFonts w:ascii="宋体" w:hAnsi="宋体" w:cs="宋体" w:eastAsia="宋体" w:hint="default"/>
                <w:sz w:val="21"/>
                <w:szCs w:val="21"/>
              </w:rPr>
            </w:pPr>
            <w:r>
              <w:rPr>
                <w:rFonts w:ascii="宋体" w:hAnsi="宋体" w:cs="宋体" w:eastAsia="宋体" w:hint="default"/>
                <w:sz w:val="21"/>
                <w:szCs w:val="21"/>
              </w:rPr>
              <w:t>担保余额</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7" w:right="0"/>
              <w:jc w:val="center"/>
              <w:rPr>
                <w:rFonts w:ascii="宋体" w:hAnsi="宋体" w:cs="宋体" w:eastAsia="宋体" w:hint="default"/>
                <w:sz w:val="21"/>
                <w:szCs w:val="21"/>
              </w:rPr>
            </w:pPr>
            <w:r>
              <w:rPr>
                <w:rFonts w:ascii="宋体" w:hAnsi="宋体" w:cs="宋体" w:eastAsia="宋体" w:hint="default"/>
                <w:sz w:val="21"/>
                <w:szCs w:val="21"/>
              </w:rPr>
              <w:t>起始日</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58" w:right="0"/>
              <w:jc w:val="left"/>
              <w:rPr>
                <w:rFonts w:ascii="宋体" w:hAnsi="宋体" w:cs="宋体" w:eastAsia="宋体" w:hint="default"/>
                <w:sz w:val="21"/>
                <w:szCs w:val="21"/>
              </w:rPr>
            </w:pPr>
            <w:r>
              <w:rPr>
                <w:rFonts w:ascii="宋体" w:hAnsi="宋体" w:cs="宋体" w:eastAsia="宋体" w:hint="default"/>
                <w:sz w:val="21"/>
                <w:szCs w:val="21"/>
              </w:rPr>
              <w:t>到期日</w:t>
            </w:r>
            <w:r>
              <w:rPr>
                <w:rFonts w:ascii="宋体" w:hAnsi="宋体" w:cs="宋体" w:eastAsia="宋体" w:hint="default"/>
                <w:sz w:val="21"/>
                <w:szCs w:val="21"/>
              </w:rPr>
              <w:t> </w:t>
            </w:r>
          </w:p>
        </w:tc>
      </w:tr>
      <w:tr>
        <w:trPr>
          <w:trHeight w:val="350"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南威软件股份有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414" w:type="dxa"/>
            <w:vMerge w:val="restart"/>
            <w:tcBorders>
              <w:top w:val="single" w:sz="4" w:space="0" w:color="000000"/>
              <w:left w:val="single" w:sz="4" w:space="0" w:color="000000"/>
              <w:right w:val="single" w:sz="4" w:space="0" w:color="000000"/>
            </w:tcBorders>
          </w:tcPr>
          <w:p>
            <w:pPr>
              <w:pStyle w:val="TableParagraph"/>
              <w:spacing w:line="272" w:lineRule="exact" w:before="64"/>
              <w:ind w:left="100" w:right="65"/>
              <w:jc w:val="left"/>
              <w:rPr>
                <w:rFonts w:ascii="宋体" w:hAnsi="宋体" w:cs="宋体" w:eastAsia="宋体" w:hint="default"/>
                <w:sz w:val="21"/>
                <w:szCs w:val="21"/>
              </w:rPr>
            </w:pPr>
            <w:r>
              <w:rPr>
                <w:rFonts w:ascii="宋体" w:hAnsi="宋体" w:cs="宋体" w:eastAsia="宋体" w:hint="default"/>
                <w:spacing w:val="28"/>
                <w:sz w:val="21"/>
                <w:szCs w:val="21"/>
              </w:rPr>
              <w:t>福建南威软</w:t>
            </w:r>
            <w:r>
              <w:rPr>
                <w:rFonts w:ascii="宋体" w:hAnsi="宋体" w:cs="宋体" w:eastAsia="宋体" w:hint="default"/>
                <w:spacing w:val="-95"/>
                <w:sz w:val="21"/>
                <w:szCs w:val="21"/>
              </w:rPr>
              <w:t> </w:t>
            </w:r>
            <w:r>
              <w:rPr>
                <w:rFonts w:ascii="宋体" w:hAnsi="宋体" w:cs="宋体" w:eastAsia="宋体" w:hint="default"/>
                <w:sz w:val="21"/>
                <w:szCs w:val="21"/>
              </w:rPr>
              <w:t>件有限公司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36" w:right="0"/>
              <w:jc w:val="center"/>
              <w:rPr>
                <w:rFonts w:ascii="Times New Roman" w:hAnsi="Times New Roman" w:cs="Times New Roman" w:eastAsia="Times New Roman" w:hint="default"/>
                <w:sz w:val="21"/>
                <w:szCs w:val="21"/>
              </w:rPr>
            </w:pPr>
            <w:r>
              <w:rPr>
                <w:rFonts w:ascii="Times New Roman"/>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21"/>
                <w:szCs w:val="21"/>
              </w:rPr>
            </w:pPr>
            <w:r>
              <w:rPr>
                <w:rFonts w:ascii="Times New Roman"/>
                <w:spacing w:val="-1"/>
                <w:sz w:val="21"/>
              </w:rPr>
              <w:t>826,440.00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38" w:right="0"/>
              <w:jc w:val="center"/>
              <w:rPr>
                <w:rFonts w:ascii="Times New Roman" w:hAnsi="Times New Roman" w:cs="Times New Roman" w:eastAsia="Times New Roman" w:hint="default"/>
                <w:sz w:val="21"/>
                <w:szCs w:val="21"/>
              </w:rPr>
            </w:pPr>
            <w:r>
              <w:rPr>
                <w:rFonts w:ascii="Times New Roman"/>
                <w:sz w:val="21"/>
              </w:rPr>
              <w:t>2018-9-5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1"/>
                <w:szCs w:val="21"/>
              </w:rPr>
            </w:pPr>
            <w:r>
              <w:rPr>
                <w:rFonts w:ascii="Times New Roman"/>
                <w:spacing w:val="-1"/>
                <w:sz w:val="21"/>
              </w:rPr>
              <w:t>2019-9-5</w:t>
            </w:r>
          </w:p>
        </w:tc>
      </w:tr>
      <w:tr>
        <w:trPr>
          <w:trHeight w:val="350" w:hRule="exact"/>
        </w:trPr>
        <w:tc>
          <w:tcPr>
            <w:tcW w:w="1702" w:type="dxa"/>
            <w:vMerge/>
            <w:tcBorders>
              <w:left w:val="single" w:sz="4" w:space="0" w:color="000000"/>
              <w:right w:val="single" w:sz="4" w:space="0" w:color="000000"/>
            </w:tcBorders>
          </w:tcPr>
          <w:p>
            <w:pPr/>
          </w:p>
        </w:tc>
        <w:tc>
          <w:tcPr>
            <w:tcW w:w="1414"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36" w:right="0"/>
              <w:jc w:val="center"/>
              <w:rPr>
                <w:rFonts w:ascii="Times New Roman" w:hAnsi="Times New Roman" w:cs="Times New Roman" w:eastAsia="Times New Roman" w:hint="default"/>
                <w:sz w:val="21"/>
                <w:szCs w:val="21"/>
              </w:rPr>
            </w:pPr>
            <w:r>
              <w:rPr>
                <w:rFonts w:ascii="Times New Roman"/>
                <w:sz w:val="21"/>
              </w:rPr>
              <w:t>21,000,000.00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21"/>
                <w:szCs w:val="21"/>
              </w:rPr>
            </w:pPr>
            <w:r>
              <w:rPr>
                <w:rFonts w:ascii="Times New Roman"/>
                <w:spacing w:val="-1"/>
                <w:sz w:val="21"/>
              </w:rPr>
              <w:t>2,096,641.82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38" w:right="0"/>
              <w:jc w:val="center"/>
              <w:rPr>
                <w:rFonts w:ascii="Times New Roman" w:hAnsi="Times New Roman" w:cs="Times New Roman" w:eastAsia="Times New Roman" w:hint="default"/>
                <w:sz w:val="21"/>
                <w:szCs w:val="21"/>
              </w:rPr>
            </w:pPr>
            <w:r>
              <w:rPr>
                <w:rFonts w:ascii="Times New Roman"/>
                <w:sz w:val="21"/>
              </w:rPr>
              <w:t>2019-7-2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1"/>
                <w:szCs w:val="21"/>
              </w:rPr>
            </w:pPr>
            <w:r>
              <w:rPr>
                <w:rFonts w:ascii="Times New Roman"/>
                <w:spacing w:val="-1"/>
                <w:sz w:val="21"/>
              </w:rPr>
              <w:t>2019-12-6</w:t>
            </w:r>
          </w:p>
        </w:tc>
      </w:tr>
      <w:tr>
        <w:trPr>
          <w:trHeight w:val="350" w:hRule="exact"/>
        </w:trPr>
        <w:tc>
          <w:tcPr>
            <w:tcW w:w="1702" w:type="dxa"/>
            <w:vMerge/>
            <w:tcBorders>
              <w:left w:val="single" w:sz="4" w:space="0" w:color="000000"/>
              <w:right w:val="single" w:sz="4" w:space="0" w:color="000000"/>
            </w:tcBorders>
          </w:tcPr>
          <w:p>
            <w:pPr/>
          </w:p>
        </w:tc>
        <w:tc>
          <w:tcPr>
            <w:tcW w:w="1414" w:type="dxa"/>
            <w:vMerge w:val="restart"/>
            <w:tcBorders>
              <w:top w:val="single" w:sz="4" w:space="0" w:color="000000"/>
              <w:left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深圳太极云</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2" w:lineRule="exact" w:before="27"/>
              <w:ind w:left="100" w:right="65"/>
              <w:jc w:val="left"/>
              <w:rPr>
                <w:rFonts w:ascii="宋体" w:hAnsi="宋体" w:cs="宋体" w:eastAsia="宋体" w:hint="default"/>
                <w:sz w:val="21"/>
                <w:szCs w:val="21"/>
              </w:rPr>
            </w:pPr>
            <w:r>
              <w:rPr>
                <w:rFonts w:ascii="宋体" w:hAnsi="宋体" w:cs="宋体" w:eastAsia="宋体" w:hint="default"/>
                <w:spacing w:val="28"/>
                <w:sz w:val="21"/>
                <w:szCs w:val="21"/>
              </w:rPr>
              <w:t>软技术有限</w:t>
            </w:r>
            <w:r>
              <w:rPr>
                <w:rFonts w:ascii="宋体" w:hAnsi="宋体" w:cs="宋体" w:eastAsia="宋体" w:hint="default"/>
                <w:spacing w:val="-95"/>
                <w:sz w:val="21"/>
                <w:szCs w:val="21"/>
              </w:rPr>
              <w:t> </w:t>
            </w:r>
            <w:r>
              <w:rPr>
                <w:rFonts w:ascii="宋体" w:hAnsi="宋体" w:cs="宋体" w:eastAsia="宋体" w:hint="default"/>
                <w:sz w:val="21"/>
                <w:szCs w:val="21"/>
              </w:rPr>
              <w:t>公司</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36" w:right="0"/>
              <w:jc w:val="center"/>
              <w:rPr>
                <w:rFonts w:ascii="Times New Roman" w:hAnsi="Times New Roman" w:cs="Times New Roman" w:eastAsia="Times New Roman" w:hint="default"/>
                <w:sz w:val="21"/>
                <w:szCs w:val="21"/>
              </w:rPr>
            </w:pPr>
            <w:r>
              <w:rPr>
                <w:rFonts w:ascii="Times New Roman"/>
                <w:sz w:val="21"/>
              </w:rPr>
              <w:t>15,000,000.00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21"/>
                <w:szCs w:val="21"/>
              </w:rPr>
            </w:pPr>
            <w:r>
              <w:rPr>
                <w:rFonts w:ascii="Times New Roman"/>
                <w:spacing w:val="-2"/>
                <w:sz w:val="21"/>
              </w:rPr>
              <w:t>11,500,000.00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2" w:right="0"/>
              <w:jc w:val="center"/>
              <w:rPr>
                <w:rFonts w:ascii="Times New Roman" w:hAnsi="Times New Roman" w:cs="Times New Roman" w:eastAsia="Times New Roman" w:hint="default"/>
                <w:sz w:val="21"/>
                <w:szCs w:val="21"/>
              </w:rPr>
            </w:pPr>
            <w:r>
              <w:rPr>
                <w:rFonts w:ascii="Times New Roman"/>
                <w:sz w:val="21"/>
              </w:rPr>
              <w:t>2019-5-30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21"/>
                <w:szCs w:val="21"/>
              </w:rPr>
            </w:pPr>
            <w:r>
              <w:rPr>
                <w:rFonts w:ascii="Times New Roman"/>
                <w:spacing w:val="-1"/>
                <w:sz w:val="21"/>
              </w:rPr>
              <w:t>2020-5-30</w:t>
            </w:r>
          </w:p>
        </w:tc>
      </w:tr>
      <w:tr>
        <w:trPr>
          <w:trHeight w:val="478" w:hRule="exact"/>
        </w:trPr>
        <w:tc>
          <w:tcPr>
            <w:tcW w:w="1702" w:type="dxa"/>
            <w:vMerge/>
            <w:tcBorders>
              <w:left w:val="single" w:sz="4" w:space="0" w:color="000000"/>
              <w:bottom w:val="single" w:sz="4" w:space="0" w:color="000000"/>
              <w:right w:val="single" w:sz="4" w:space="0" w:color="000000"/>
            </w:tcBorders>
          </w:tcPr>
          <w:p>
            <w:pPr/>
          </w:p>
        </w:tc>
        <w:tc>
          <w:tcPr>
            <w:tcW w:w="1414"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Times New Roman"/>
                <w:sz w:val="21"/>
              </w:rPr>
              <w:t>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0"/>
              <w:jc w:val="left"/>
              <w:rPr>
                <w:rFonts w:ascii="Times New Roman" w:hAnsi="Times New Roman" w:cs="Times New Roman" w:eastAsia="Times New Roman" w:hint="default"/>
                <w:sz w:val="21"/>
                <w:szCs w:val="21"/>
              </w:rPr>
            </w:pPr>
            <w:r>
              <w:rPr>
                <w:rFonts w:ascii="Times New Roman"/>
                <w:sz w:val="21"/>
              </w:rPr>
              <w:t>8,000,000.00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 w:right="0"/>
              <w:jc w:val="center"/>
              <w:rPr>
                <w:rFonts w:ascii="Times New Roman" w:hAnsi="Times New Roman" w:cs="Times New Roman" w:eastAsia="Times New Roman" w:hint="default"/>
                <w:sz w:val="21"/>
                <w:szCs w:val="21"/>
              </w:rPr>
            </w:pPr>
            <w:r>
              <w:rPr>
                <w:rFonts w:ascii="Times New Roman"/>
                <w:sz w:val="21"/>
              </w:rPr>
              <w:t>2019-7-26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21"/>
                <w:szCs w:val="21"/>
              </w:rPr>
            </w:pPr>
            <w:r>
              <w:rPr>
                <w:rFonts w:ascii="Times New Roman"/>
                <w:spacing w:val="-1"/>
                <w:sz w:val="21"/>
              </w:rPr>
              <w:t>2020-7-26</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1"/>
                <w:szCs w:val="21"/>
              </w:rPr>
            </w:pPr>
            <w:r>
              <w:rPr>
                <w:rFonts w:ascii="Times New Roman"/>
                <w:sz w:val="21"/>
              </w:rPr>
              <w:t>96,000,000.00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70" w:right="0"/>
              <w:jc w:val="left"/>
              <w:rPr>
                <w:rFonts w:ascii="Times New Roman" w:hAnsi="Times New Roman" w:cs="Times New Roman" w:eastAsia="Times New Roman" w:hint="default"/>
                <w:sz w:val="21"/>
                <w:szCs w:val="21"/>
              </w:rPr>
            </w:pPr>
            <w:r>
              <w:rPr>
                <w:rFonts w:ascii="Times New Roman"/>
                <w:sz w:val="21"/>
              </w:rPr>
              <w:t>22,423,081.82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8" w:lineRule="auto" w:before="7"/>
        <w:ind w:left="638" w:right="2005"/>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4</w:t>
      </w:r>
      <w:r>
        <w:rPr>
          <w:spacing w:val="-2"/>
        </w:rPr>
        <w:t>、开出保函、信用证</w:t>
      </w:r>
      <w:r>
        <w:rPr>
          <w:rFonts w:ascii="宋体" w:hAnsi="宋体" w:cs="宋体" w:eastAsia="宋体" w:hint="default"/>
        </w:rPr>
        <w:t> </w:t>
      </w:r>
    </w:p>
    <w:p>
      <w:pPr>
        <w:pStyle w:val="BodyText"/>
        <w:spacing w:line="240" w:lineRule="auto" w:before="10"/>
        <w:ind w:left="638" w:right="0"/>
        <w:jc w:val="left"/>
      </w:pPr>
      <w:r>
        <w:rPr/>
        <w:t>截止</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日，公司开出保函未到期金额为</w:t>
      </w:r>
      <w:r>
        <w:rPr>
          <w:spacing w:val="-54"/>
        </w:rPr>
        <w:t> </w:t>
      </w:r>
      <w:r>
        <w:rPr>
          <w:rFonts w:ascii="Times New Roman" w:hAnsi="Times New Roman" w:cs="Times New Roman" w:eastAsia="Times New Roman" w:hint="default"/>
        </w:rPr>
        <w:t>42,671,508.33</w:t>
      </w:r>
      <w:r>
        <w:rPr>
          <w:rFonts w:ascii="Times New Roman" w:hAnsi="Times New Roman" w:cs="Times New Roman" w:eastAsia="Times New Roman" w:hint="default"/>
          <w:spacing w:val="-1"/>
        </w:rPr>
        <w:t> </w:t>
      </w:r>
      <w:r>
        <w:rPr>
          <w:spacing w:val="-3"/>
        </w:rPr>
        <w:t>元。</w:t>
      </w:r>
      <w:r>
        <w:rPr/>
      </w:r>
    </w:p>
    <w:p>
      <w:pPr>
        <w:pStyle w:val="BodyText"/>
        <w:spacing w:line="282" w:lineRule="exact" w:before="31"/>
        <w:ind w:right="0"/>
        <w:jc w:val="left"/>
      </w:pPr>
      <w:r>
        <w:rPr/>
        <w:t>除存在上述或有事项外，截止</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 </w:t>
      </w:r>
      <w:r>
        <w:rPr/>
        <w:t>日，本公司无其他应披露未披露的重要或有事项。</w:t>
      </w:r>
    </w:p>
    <w:p>
      <w:pPr>
        <w:pStyle w:val="BodyText"/>
        <w:spacing w:line="266" w:lineRule="exact"/>
        <w:ind w:right="0"/>
        <w:jc w:val="left"/>
        <w:rPr>
          <w:rFonts w:ascii="宋体" w:hAnsi="宋体" w:cs="宋体" w:eastAsia="宋体" w:hint="default"/>
        </w:rPr>
      </w:pPr>
      <w:r>
        <w:rPr>
          <w:rFonts w:ascii="宋体"/>
          <w:w w:val="100"/>
        </w:rPr>
        <w:t> </w:t>
      </w:r>
    </w:p>
    <w:p>
      <w:pPr>
        <w:pStyle w:val="Heading4"/>
        <w:spacing w:line="240" w:lineRule="auto" w:before="58"/>
        <w:ind w:right="2005"/>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9"/>
        </w:rPr>
        <w:t> </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00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6"/>
          <w:szCs w:val="26"/>
        </w:rPr>
      </w:pPr>
    </w:p>
    <w:p>
      <w:pPr>
        <w:pStyle w:val="Heading4"/>
        <w:spacing w:line="240" w:lineRule="auto" w:before="0"/>
        <w:ind w:right="2005"/>
        <w:jc w:val="left"/>
        <w:rPr>
          <w:b w:val="0"/>
          <w:bCs w:val="0"/>
        </w:rPr>
      </w:pPr>
      <w:r>
        <w:rPr>
          <w:rFonts w:ascii="Times New Roman" w:hAnsi="Times New Roman" w:cs="Times New Roman" w:eastAsia="Times New Roman" w:hint="default"/>
        </w:rPr>
        <w:t>3</w:t>
      </w:r>
      <w:r>
        <w:rPr/>
        <w:t>、</w:t>
      </w:r>
      <w:r>
        <w:rPr>
          <w:spacing w:val="3"/>
        </w:rPr>
        <w:t> </w:t>
      </w:r>
      <w:r>
        <w:rPr/>
        <w:t>其他</w:t>
      </w:r>
      <w:r>
        <w:rPr>
          <w:b w:val="0"/>
          <w:bCs w:val="0"/>
        </w:rPr>
      </w:r>
    </w:p>
    <w:p>
      <w:pPr>
        <w:pStyle w:val="BodyText"/>
        <w:spacing w:line="271" w:lineRule="exact" w:before="41"/>
        <w:ind w:right="200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6495"/>
        <w:jc w:val="left"/>
        <w:rPr>
          <w:b w:val="0"/>
          <w:bCs w:val="0"/>
        </w:rPr>
      </w:pPr>
      <w:r>
        <w:rPr>
          <w:rFonts w:ascii="宋体" w:hAnsi="宋体" w:cs="宋体" w:eastAsia="宋体" w:hint="default"/>
          <w:b w:val="0"/>
          <w:bCs w:val="0"/>
          <w:sz w:val="24"/>
          <w:szCs w:val="24"/>
        </w:rPr>
        <w:t> </w:t>
      </w:r>
      <w:r>
        <w:rPr>
          <w:w w:val="100"/>
        </w:rPr>
        <w:t>十五</w:t>
      </w:r>
      <w:r>
        <w:rPr>
          <w:spacing w:val="-1"/>
          <w:w w:val="100"/>
        </w:rPr>
        <w:t>、</w:t>
      </w:r>
      <w:r>
        <w:rPr>
          <w:w w:val="100"/>
        </w:rPr>
        <w:t>资产负债表日后事项</w:t>
      </w:r>
      <w:r>
        <w:rPr>
          <w:w w:val="100"/>
        </w:rPr>
        <w:t> </w:t>
      </w:r>
      <w:r>
        <w:rPr>
          <w:rFonts w:ascii="Times New Roman" w:hAnsi="Times New Roman" w:cs="Times New Roman" w:eastAsia="Times New Roman" w:hint="default"/>
          <w:w w:val="100"/>
        </w:rPr>
        <w:t>1</w:t>
      </w:r>
      <w:r>
        <w:rPr>
          <w:w w:val="100"/>
        </w:rPr>
        <w:t>、</w:t>
      </w:r>
      <w:r>
        <w:rPr>
          <w:spacing w:val="2"/>
        </w:rPr>
        <w:t> </w:t>
      </w:r>
      <w:r>
        <w:rPr>
          <w:w w:val="100"/>
        </w:rPr>
        <w:t>重要的非调整事项</w:t>
      </w:r>
      <w:r>
        <w:rPr>
          <w:b w:val="0"/>
          <w:bCs w:val="0"/>
          <w:w w:val="100"/>
        </w:rPr>
      </w:r>
    </w:p>
    <w:p>
      <w:pPr>
        <w:pStyle w:val="BodyText"/>
        <w:spacing w:line="266" w:lineRule="exact"/>
        <w:ind w:right="200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40" w:lineRule="auto" w:before="44"/>
        <w:ind w:left="638" w:right="2005"/>
        <w:jc w:val="left"/>
        <w:rPr>
          <w:rFonts w:ascii="宋体" w:hAnsi="宋体" w:cs="宋体" w:eastAsia="宋体" w:hint="default"/>
        </w:rPr>
      </w:pPr>
      <w:r>
        <w:rPr>
          <w:rFonts w:ascii="Times New Roman" w:hAnsi="Times New Roman" w:cs="Times New Roman" w:eastAsia="Times New Roman" w:hint="default"/>
        </w:rPr>
        <w:t>1.</w:t>
      </w:r>
      <w:r>
        <w:rPr/>
        <w:t>“南威转债”开始转股及行使提前赎回权</w:t>
      </w:r>
      <w:r>
        <w:rPr>
          <w:rFonts w:ascii="宋体" w:hAnsi="宋体" w:cs="宋体" w:eastAsia="宋体" w:hint="default"/>
        </w:rPr>
        <w:t> </w:t>
      </w:r>
    </w:p>
    <w:p>
      <w:pPr>
        <w:pStyle w:val="BodyText"/>
        <w:spacing w:line="240" w:lineRule="auto" w:before="28"/>
        <w:ind w:left="638" w:right="2005"/>
        <w:jc w:val="left"/>
      </w:pPr>
      <w:r>
        <w:rPr/>
        <w:t>（</w:t>
      </w:r>
      <w:r>
        <w:rPr>
          <w:rFonts w:ascii="宋体" w:hAnsi="宋体" w:cs="宋体" w:eastAsia="宋体" w:hint="default"/>
        </w:rPr>
        <w:t>1</w:t>
      </w:r>
      <w:r>
        <w:rPr/>
        <w:t>）“南威转债”开始转股</w:t>
      </w:r>
    </w:p>
    <w:p>
      <w:pPr>
        <w:pStyle w:val="BodyText"/>
        <w:spacing w:line="240" w:lineRule="auto" w:before="44"/>
        <w:ind w:left="638" w:right="0"/>
        <w:jc w:val="left"/>
        <w:rPr>
          <w:rFonts w:ascii="Times New Roman" w:hAnsi="Times New Roman" w:cs="Times New Roman" w:eastAsia="Times New Roman" w:hint="default"/>
        </w:rPr>
      </w:pPr>
      <w:r>
        <w:rPr/>
        <w:t>经上海证券交易所（</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164  </w:t>
      </w:r>
      <w:r>
        <w:rPr/>
        <w:t>号文同意，公司发行的 </w:t>
      </w:r>
      <w:r>
        <w:rPr>
          <w:rFonts w:ascii="Times New Roman" w:hAnsi="Times New Roman" w:cs="Times New Roman" w:eastAsia="Times New Roman" w:hint="default"/>
        </w:rPr>
        <w:t>66,000  </w:t>
      </w:r>
      <w:r>
        <w:rPr/>
        <w:t>万元可转换公司债券于</w:t>
      </w:r>
      <w:r>
        <w:rPr>
          <w:spacing w:val="-48"/>
        </w:rPr>
        <w:t> </w:t>
      </w:r>
      <w:r>
        <w:rPr>
          <w:rFonts w:ascii="Times New Roman" w:hAnsi="Times New Roman" w:cs="Times New Roman" w:eastAsia="Times New Roman" w:hint="default"/>
        </w:rPr>
        <w:t>2019</w:t>
      </w:r>
    </w:p>
    <w:p>
      <w:pPr>
        <w:pStyle w:val="BodyText"/>
        <w:spacing w:line="240" w:lineRule="auto" w:before="31"/>
        <w:ind w:right="0"/>
        <w:jc w:val="left"/>
      </w:pP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日在上海证券交易所挂牌交易，债券代码“</w:t>
      </w:r>
      <w:r>
        <w:rPr>
          <w:rFonts w:ascii="Times New Roman" w:hAnsi="Times New Roman" w:cs="Times New Roman" w:eastAsia="Times New Roman" w:hint="default"/>
        </w:rPr>
        <w:t>113540</w:t>
      </w:r>
      <w:r>
        <w:rPr/>
        <w:t>”债券简称“南威转债”。</w:t>
      </w:r>
    </w:p>
    <w:p>
      <w:pPr>
        <w:spacing w:after="0" w:line="240" w:lineRule="auto"/>
        <w:jc w:val="left"/>
        <w:sectPr>
          <w:pgSz w:w="11910" w:h="16840"/>
          <w:pgMar w:header="0" w:footer="979" w:top="1120" w:bottom="1160" w:left="1580" w:right="1060"/>
        </w:sectPr>
      </w:pPr>
    </w:p>
    <w:p>
      <w:pPr>
        <w:spacing w:line="240" w:lineRule="auto" w:before="5"/>
        <w:rPr>
          <w:rFonts w:ascii="宋体" w:hAnsi="宋体" w:cs="宋体" w:eastAsia="宋体" w:hint="default"/>
          <w:sz w:val="28"/>
          <w:szCs w:val="28"/>
        </w:rPr>
      </w:pPr>
    </w:p>
    <w:p>
      <w:pPr>
        <w:pStyle w:val="BodyText"/>
        <w:spacing w:line="280" w:lineRule="auto" w:before="36"/>
        <w:ind w:right="0" w:firstLine="419"/>
        <w:jc w:val="left"/>
      </w:pPr>
      <w:r>
        <w:rPr>
          <w:spacing w:val="-2"/>
        </w:rPr>
        <w:t>根据有关规定和《南威软件股份有限公司公开发行可转换公司债券募集说明书》，公司发行</w:t>
      </w:r>
      <w:r>
        <w:rPr>
          <w:w w:val="100"/>
        </w:rPr>
        <w:t> </w:t>
      </w:r>
      <w:r>
        <w:rPr>
          <w:spacing w:val="-3"/>
        </w:rPr>
        <w:t>的“南威转债”自发行结束之日（</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19</w:t>
      </w:r>
      <w:r>
        <w:rPr>
          <w:rFonts w:ascii="Times New Roman" w:hAnsi="Times New Roman" w:cs="Times New Roman" w:eastAsia="Times New Roman" w:hint="default"/>
          <w:spacing w:val="6"/>
        </w:rPr>
        <w:t> </w:t>
      </w:r>
      <w:r>
        <w:rPr>
          <w:spacing w:val="-3"/>
        </w:rPr>
        <w:t>日）起满六个月后的第一个交易日，即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6"/>
        </w:rPr>
        <w:t> </w:t>
      </w:r>
      <w:r>
        <w:rPr/>
        <w:t>年</w:t>
      </w:r>
    </w:p>
    <w:p>
      <w:pPr>
        <w:pStyle w:val="BodyText"/>
        <w:spacing w:line="280" w:lineRule="exact"/>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日起可转换为公司股份。</w:t>
      </w:r>
    </w:p>
    <w:p>
      <w:pPr>
        <w:pStyle w:val="BodyText"/>
        <w:spacing w:line="240" w:lineRule="auto" w:before="28"/>
        <w:ind w:left="638" w:right="0"/>
        <w:jc w:val="left"/>
      </w:pPr>
      <w:r>
        <w:rPr/>
        <w:t>持有人可在转股期间内（</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日至</w:t>
      </w:r>
      <w:r>
        <w:rPr>
          <w:spacing w:val="-50"/>
        </w:rPr>
        <w:t> </w:t>
      </w:r>
      <w:r>
        <w:rPr>
          <w:rFonts w:ascii="Times New Roman" w:hAnsi="Times New Roman" w:cs="Times New Roman" w:eastAsia="Times New Roman" w:hint="default"/>
        </w:rPr>
        <w:t>2025</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日）在上海证券交易所交易日</w:t>
      </w:r>
    </w:p>
    <w:p>
      <w:pPr>
        <w:pStyle w:val="BodyText"/>
        <w:spacing w:line="240" w:lineRule="auto" w:before="31"/>
        <w:ind w:right="0"/>
        <w:jc w:val="both"/>
      </w:pPr>
      <w:r>
        <w:rPr/>
        <w:t>的正常交易时间申报转股，初始转股价格</w:t>
      </w:r>
      <w:r>
        <w:rPr>
          <w:spacing w:val="-56"/>
        </w:rPr>
        <w:t> </w:t>
      </w:r>
      <w:r>
        <w:rPr>
          <w:rFonts w:ascii="Times New Roman" w:hAnsi="Times New Roman" w:cs="Times New Roman" w:eastAsia="Times New Roman" w:hint="default"/>
        </w:rPr>
        <w:t>10.13</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股，最新转股价格为</w:t>
      </w:r>
      <w:r>
        <w:rPr>
          <w:spacing w:val="-56"/>
        </w:rPr>
        <w:t> </w:t>
      </w:r>
      <w:r>
        <w:rPr>
          <w:rFonts w:ascii="Times New Roman" w:hAnsi="Times New Roman" w:cs="Times New Roman" w:eastAsia="Times New Roman" w:hint="default"/>
        </w:rPr>
        <w:t>10.13</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w:t>
      </w:r>
    </w:p>
    <w:p>
      <w:pPr>
        <w:pStyle w:val="BodyText"/>
        <w:spacing w:line="264" w:lineRule="auto" w:before="28"/>
        <w:ind w:left="638"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）“南威转债”行使提前赎回权</w:t>
      </w:r>
      <w:r>
        <w:rPr>
          <w:w w:val="100"/>
        </w:rPr>
        <w:t> </w:t>
      </w:r>
      <w:r>
        <w:rPr>
          <w:spacing w:val="-3"/>
        </w:rPr>
        <w:t>公司的股票在最近连续三十个交易日中，有十五个交易日（自</w:t>
      </w:r>
      <w:r>
        <w:rPr>
          <w:spacing w:val="-4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日至</w:t>
      </w:r>
      <w:r>
        <w:rPr>
          <w:spacing w:val="-5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3</w:t>
      </w:r>
    </w:p>
    <w:p>
      <w:pPr>
        <w:pStyle w:val="BodyText"/>
        <w:spacing w:line="268" w:lineRule="auto" w:before="7"/>
        <w:ind w:right="207"/>
        <w:jc w:val="both"/>
      </w:pPr>
      <w:r>
        <w:rPr/>
        <w:t>月</w:t>
      </w:r>
      <w:r>
        <w:rPr>
          <w:spacing w:val="-37"/>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spacing w:val="-3"/>
        </w:rPr>
        <w:t>日）的收盘价格不低于“南威转债（</w:t>
      </w:r>
      <w:r>
        <w:rPr>
          <w:rFonts w:ascii="Times New Roman" w:hAnsi="Times New Roman" w:cs="Times New Roman" w:eastAsia="Times New Roman" w:hint="default"/>
          <w:spacing w:val="-3"/>
        </w:rPr>
        <w:t>113540</w:t>
      </w:r>
      <w:r>
        <w:rPr>
          <w:spacing w:val="-3"/>
        </w:rPr>
        <w:t>）”当期转股价格（</w:t>
      </w:r>
      <w:r>
        <w:rPr>
          <w:rFonts w:ascii="Times New Roman" w:hAnsi="Times New Roman" w:cs="Times New Roman" w:eastAsia="Times New Roman" w:hint="default"/>
          <w:spacing w:val="-3"/>
        </w:rPr>
        <w:t>10.13</w:t>
      </w:r>
      <w:r>
        <w:rPr>
          <w:rFonts w:ascii="Times New Roman" w:hAnsi="Times New Roman" w:cs="Times New Roman" w:eastAsia="Times New Roman" w:hint="default"/>
          <w:spacing w:val="16"/>
        </w:rPr>
        <w:t> </w:t>
      </w:r>
      <w:r>
        <w:rPr>
          <w:spacing w:val="-4"/>
        </w:rPr>
        <w:t>元</w:t>
      </w:r>
      <w:r>
        <w:rPr>
          <w:rFonts w:ascii="Times New Roman" w:hAnsi="Times New Roman" w:cs="Times New Roman" w:eastAsia="Times New Roman" w:hint="default"/>
          <w:spacing w:val="-4"/>
        </w:rPr>
        <w:t>/</w:t>
      </w:r>
      <w:r>
        <w:rPr>
          <w:spacing w:val="-4"/>
        </w:rPr>
        <w:t>股）的</w:t>
      </w:r>
      <w:r>
        <w:rPr>
          <w:spacing w:val="-36"/>
        </w:rPr>
        <w:t> </w:t>
      </w:r>
      <w:r>
        <w:rPr>
          <w:rFonts w:ascii="Times New Roman" w:hAnsi="Times New Roman" w:cs="Times New Roman" w:eastAsia="Times New Roman" w:hint="default"/>
          <w:spacing w:val="-3"/>
        </w:rPr>
        <w:t>130%</w:t>
      </w:r>
      <w:r>
        <w:rPr>
          <w:spacing w:val="-3"/>
        </w:rPr>
        <w:t>（即不</w:t>
      </w:r>
      <w:r>
        <w:rPr>
          <w:spacing w:val="-98"/>
        </w:rPr>
        <w:t> </w:t>
      </w:r>
      <w:r>
        <w:rPr>
          <w:spacing w:val="-98"/>
        </w:rPr>
      </w:r>
      <w:r>
        <w:rPr/>
        <w:t>低于</w:t>
      </w:r>
      <w:r>
        <w:rPr>
          <w:spacing w:val="-46"/>
        </w:rPr>
        <w:t> </w:t>
      </w:r>
      <w:r>
        <w:rPr>
          <w:rFonts w:ascii="Times New Roman" w:hAnsi="Times New Roman" w:cs="Times New Roman" w:eastAsia="Times New Roman" w:hint="default"/>
        </w:rPr>
        <w:t>13.169</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r>
        <w:rPr/>
        <w:t>股），已触发“南威转债”赎回条款。</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日，公司召开第三届董事会</w:t>
      </w:r>
      <w:r>
        <w:rPr>
          <w:w w:val="100"/>
        </w:rPr>
        <w:t> </w:t>
      </w:r>
      <w:r>
        <w:rPr>
          <w:spacing w:val="-1"/>
        </w:rPr>
        <w:t>第四十五次会议，全票审议通过了《关于提前赎回“南威转债”的议案》，批准公司行使“南威</w:t>
      </w:r>
      <w:r>
        <w:rPr>
          <w:spacing w:val="-56"/>
        </w:rPr>
        <w:t> </w:t>
      </w:r>
      <w:r>
        <w:rPr>
          <w:spacing w:val="-56"/>
        </w:rPr>
      </w:r>
      <w:r>
        <w:rPr/>
        <w:t>转债”的提前赎回权，对赎回登记日登记在册的“南威转债”全部赎回。</w:t>
      </w:r>
    </w:p>
    <w:p>
      <w:pPr>
        <w:pStyle w:val="BodyText"/>
        <w:spacing w:line="240" w:lineRule="auto" w:before="19"/>
        <w:ind w:left="638" w:right="0"/>
        <w:jc w:val="left"/>
      </w:pPr>
      <w:r>
        <w:rPr>
          <w:spacing w:val="-3"/>
        </w:rPr>
        <w:t>截至“南威转债”赎回登记日（</w:t>
      </w:r>
      <w:r>
        <w:rPr>
          <w:rFonts w:ascii="Times New Roman" w:hAnsi="Times New Roman" w:cs="Times New Roman" w:eastAsia="Times New Roman" w:hint="default"/>
          <w:spacing w:val="-3"/>
        </w:rPr>
        <w:t>2020</w:t>
      </w:r>
      <w:r>
        <w:rPr>
          <w:rFonts w:ascii="Times New Roman" w:hAnsi="Times New Roman" w:cs="Times New Roman" w:eastAsia="Times New Roman" w:hint="default"/>
          <w:spacing w:val="8"/>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spacing w:val="-3"/>
        </w:rPr>
        <w:t>日）收市后，累计面值人民币</w:t>
      </w:r>
      <w:r>
        <w:rPr>
          <w:spacing w:val="-48"/>
        </w:rPr>
        <w:t> </w:t>
      </w:r>
      <w:r>
        <w:rPr>
          <w:rFonts w:ascii="Times New Roman" w:hAnsi="Times New Roman" w:cs="Times New Roman" w:eastAsia="Times New Roman" w:hint="default"/>
        </w:rPr>
        <w:t>651,587,000</w:t>
      </w:r>
      <w:r>
        <w:rPr>
          <w:rFonts w:ascii="Times New Roman" w:hAnsi="Times New Roman" w:cs="Times New Roman" w:eastAsia="Times New Roman" w:hint="default"/>
          <w:spacing w:val="8"/>
        </w:rPr>
        <w:t> </w:t>
      </w:r>
      <w:r>
        <w:rPr/>
        <w:t>元</w:t>
      </w:r>
    </w:p>
    <w:p>
      <w:pPr>
        <w:pStyle w:val="BodyText"/>
        <w:spacing w:line="240" w:lineRule="auto" w:before="28"/>
        <w:ind w:right="0"/>
        <w:jc w:val="both"/>
        <w:rPr>
          <w:rFonts w:ascii="Times New Roman" w:hAnsi="Times New Roman" w:cs="Times New Roman" w:eastAsia="Times New Roman" w:hint="default"/>
        </w:rPr>
      </w:pPr>
      <w:r>
        <w:rPr>
          <w:rFonts w:ascii="Times New Roman" w:hAnsi="Times New Roman" w:cs="Times New Roman" w:eastAsia="Times New Roman" w:hint="default"/>
          <w:spacing w:val="-4"/>
        </w:rPr>
        <w:t>“</w:t>
      </w:r>
      <w:r>
        <w:rPr>
          <w:spacing w:val="-4"/>
        </w:rPr>
        <w:t>南威转债”已转换为公司股票，占“南威转债”发行总额的 </w:t>
      </w:r>
      <w:r>
        <w:rPr>
          <w:rFonts w:ascii="Times New Roman" w:hAnsi="Times New Roman" w:cs="Times New Roman" w:eastAsia="Times New Roman" w:hint="default"/>
          <w:spacing w:val="-5"/>
        </w:rPr>
        <w:t>98.73%</w:t>
      </w:r>
      <w:r>
        <w:rPr>
          <w:spacing w:val="-5"/>
        </w:rPr>
        <w:t>；累计转股数量为</w:t>
      </w:r>
      <w:r>
        <w:rPr>
          <w:spacing w:val="-34"/>
        </w:rPr>
        <w:t> </w:t>
      </w:r>
      <w:r>
        <w:rPr>
          <w:rFonts w:ascii="Times New Roman" w:hAnsi="Times New Roman" w:cs="Times New Roman" w:eastAsia="Times New Roman" w:hint="default"/>
        </w:rPr>
        <w:t>64,320,666</w:t>
      </w:r>
    </w:p>
    <w:p>
      <w:pPr>
        <w:pStyle w:val="BodyText"/>
        <w:spacing w:line="240" w:lineRule="auto" w:before="31"/>
        <w:ind w:right="0"/>
        <w:jc w:val="both"/>
      </w:pPr>
      <w:r>
        <w:rPr>
          <w:spacing w:val="-3"/>
        </w:rPr>
        <w:t>股，占“南威转债”转股前公司已发行总数的</w:t>
      </w:r>
      <w:r>
        <w:rPr>
          <w:spacing w:val="-47"/>
        </w:rPr>
        <w:t> </w:t>
      </w:r>
      <w:r>
        <w:rPr>
          <w:rFonts w:ascii="Times New Roman" w:hAnsi="Times New Roman" w:cs="Times New Roman" w:eastAsia="Times New Roman" w:hint="default"/>
          <w:spacing w:val="-4"/>
        </w:rPr>
        <w:t>12.22%</w:t>
      </w:r>
      <w:r>
        <w:rPr>
          <w:spacing w:val="-4"/>
        </w:rPr>
        <w:t>。公司于</w:t>
      </w:r>
      <w:r>
        <w:rPr>
          <w:spacing w:val="-4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日完成尚未转股的</w:t>
      </w:r>
    </w:p>
    <w:p>
      <w:pPr>
        <w:pStyle w:val="BodyText"/>
        <w:spacing w:line="240" w:lineRule="auto" w:before="28"/>
        <w:ind w:right="0"/>
        <w:jc w:val="both"/>
      </w:pPr>
      <w:r>
        <w:rPr>
          <w:rFonts w:ascii="Times New Roman" w:hAnsi="Times New Roman" w:cs="Times New Roman" w:eastAsia="Times New Roman" w:hint="default"/>
          <w:spacing w:val="7"/>
        </w:rPr>
        <w:t>“</w:t>
      </w:r>
      <w:r>
        <w:rPr>
          <w:spacing w:val="7"/>
        </w:rPr>
        <w:t>南威转债”全部赎回工作，累计赎回可转债数量为 </w:t>
      </w:r>
      <w:r>
        <w:rPr>
          <w:rFonts w:ascii="Times New Roman" w:hAnsi="Times New Roman" w:cs="Times New Roman" w:eastAsia="Times New Roman" w:hint="default"/>
        </w:rPr>
        <w:t>84,130   </w:t>
      </w:r>
      <w:r>
        <w:rPr>
          <w:rFonts w:ascii="Times New Roman" w:hAnsi="Times New Roman" w:cs="Times New Roman" w:eastAsia="Times New Roman" w:hint="default"/>
          <w:spacing w:val="3"/>
        </w:rPr>
        <w:t> </w:t>
      </w:r>
      <w:r>
        <w:rPr>
          <w:spacing w:val="7"/>
        </w:rPr>
        <w:t>张（赎回兑付的总金额为人民币</w:t>
      </w:r>
    </w:p>
    <w:p>
      <w:pPr>
        <w:pStyle w:val="BodyText"/>
        <w:spacing w:line="240" w:lineRule="auto" w:before="28"/>
        <w:ind w:right="0"/>
        <w:jc w:val="both"/>
      </w:pPr>
      <w:r>
        <w:rPr>
          <w:rFonts w:ascii="Times New Roman" w:hAnsi="Times New Roman" w:cs="Times New Roman" w:eastAsia="Times New Roman" w:hint="default"/>
        </w:rPr>
        <w:t>8,442,193.11</w:t>
      </w:r>
      <w:r>
        <w:rPr>
          <w:rFonts w:ascii="Times New Roman" w:hAnsi="Times New Roman" w:cs="Times New Roman" w:eastAsia="Times New Roman" w:hint="default"/>
          <w:spacing w:val="-4"/>
        </w:rPr>
        <w:t> </w:t>
      </w:r>
      <w:r>
        <w:rPr/>
        <w:t>元），并办理要相关摘牌手续。</w:t>
      </w:r>
    </w:p>
    <w:p>
      <w:pPr>
        <w:pStyle w:val="BodyText"/>
        <w:spacing w:line="240" w:lineRule="auto" w:before="31"/>
        <w:ind w:left="638" w:right="2005"/>
        <w:jc w:val="left"/>
      </w:pPr>
      <w:r>
        <w:rPr>
          <w:rFonts w:ascii="Times New Roman" w:hAnsi="Times New Roman" w:cs="Times New Roman" w:eastAsia="Times New Roman" w:hint="default"/>
        </w:rPr>
        <w:t>2.</w:t>
      </w:r>
      <w:r>
        <w:rPr/>
        <w:t>中标海南省刑事案件只能辅助办案系统项目</w:t>
      </w:r>
    </w:p>
    <w:p>
      <w:pPr>
        <w:pStyle w:val="BodyText"/>
        <w:spacing w:line="240" w:lineRule="auto" w:before="28"/>
        <w:ind w:left="638" w:right="0"/>
        <w:jc w:val="left"/>
      </w:pPr>
      <w:r>
        <w:rPr>
          <w:rFonts w:ascii="Times New Roman" w:hAnsi="Times New Roman" w:cs="Times New Roman" w:eastAsia="Times New Roman" w:hint="default"/>
        </w:rPr>
        <w:t>2020</w:t>
      </w:r>
      <w:r>
        <w:rPr>
          <w:rFonts w:ascii="Times New Roman" w:hAnsi="Times New Roman" w:cs="Times New Roman" w:eastAsia="Times New Roman" w:hint="default"/>
          <w:spacing w:val="11"/>
        </w:rPr>
        <w:t> </w:t>
      </w:r>
      <w:r>
        <w:rPr/>
        <w:t>年</w:t>
      </w:r>
      <w:r>
        <w:rPr>
          <w:spacing w:val="-38"/>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38"/>
        </w:rPr>
        <w:t> </w:t>
      </w:r>
      <w:r>
        <w:rPr>
          <w:rFonts w:ascii="Times New Roman" w:hAnsi="Times New Roman" w:cs="Times New Roman" w:eastAsia="Times New Roman" w:hint="default"/>
        </w:rPr>
        <w:t>21</w:t>
      </w:r>
      <w:r>
        <w:rPr>
          <w:rFonts w:ascii="Times New Roman" w:hAnsi="Times New Roman" w:cs="Times New Roman" w:eastAsia="Times New Roman" w:hint="default"/>
          <w:spacing w:val="11"/>
        </w:rPr>
        <w:t> </w:t>
      </w:r>
      <w:r>
        <w:rPr>
          <w:spacing w:val="-3"/>
        </w:rPr>
        <w:t>日，全国公共资源交易平台（海南省）公示了</w:t>
      </w:r>
      <w:r>
        <w:rPr>
          <w:rFonts w:ascii="Times New Roman" w:hAnsi="Times New Roman" w:cs="Times New Roman" w:eastAsia="Times New Roman" w:hint="default"/>
          <w:spacing w:val="-3"/>
        </w:rPr>
        <w:t>“</w:t>
      </w:r>
      <w:r>
        <w:rPr>
          <w:spacing w:val="-3"/>
        </w:rPr>
        <w:t>海南省刑事案件智能辅助办案</w:t>
      </w:r>
    </w:p>
    <w:p>
      <w:pPr>
        <w:pStyle w:val="BodyText"/>
        <w:spacing w:line="266" w:lineRule="auto" w:before="28"/>
        <w:ind w:left="638" w:right="0" w:hanging="420"/>
        <w:jc w:val="left"/>
      </w:pPr>
      <w:r>
        <w:rPr/>
        <w:t>系统</w:t>
      </w:r>
      <w:r>
        <w:rPr>
          <w:rFonts w:ascii="Times New Roman" w:hAnsi="Times New Roman" w:cs="Times New Roman" w:eastAsia="Times New Roman" w:hint="default"/>
        </w:rPr>
        <w:t>”</w:t>
      </w:r>
      <w:r>
        <w:rPr/>
        <w:t>项目中的结果，南威软件股份有限公司为本项目的中标供应商，中标金额为 </w:t>
      </w:r>
      <w:r>
        <w:rPr>
          <w:rFonts w:ascii="Times New Roman" w:hAnsi="Times New Roman" w:cs="Times New Roman" w:eastAsia="Times New Roman" w:hint="default"/>
        </w:rPr>
        <w:t>3090.00 </w:t>
      </w:r>
      <w:r>
        <w:rPr/>
        <w:t>万元。</w:t>
      </w:r>
      <w:r>
        <w:rPr>
          <w:spacing w:val="-88"/>
        </w:rPr>
        <w:t> </w:t>
      </w:r>
      <w:r>
        <w:rPr>
          <w:spacing w:val="-88"/>
        </w:rPr>
      </w:r>
      <w:r>
        <w:rPr/>
        <w:t>本次中标的项目主要是将公安、检察院、法院、司法各单位的刑事案件进行有效整合。本项</w:t>
      </w:r>
    </w:p>
    <w:p>
      <w:pPr>
        <w:pStyle w:val="BodyText"/>
        <w:spacing w:line="278" w:lineRule="auto" w:before="21"/>
        <w:ind w:right="208"/>
        <w:jc w:val="both"/>
      </w:pPr>
      <w:r>
        <w:rPr>
          <w:spacing w:val="-1"/>
        </w:rPr>
        <w:t>目中标体现了公司在智慧政法领域的综合竞争力，有利于进一步增强公司的品牌影响力。项目中</w:t>
      </w:r>
      <w:r>
        <w:rPr>
          <w:spacing w:val="-55"/>
        </w:rPr>
        <w:t> </w:t>
      </w:r>
      <w:r>
        <w:rPr>
          <w:spacing w:val="-55"/>
        </w:rPr>
      </w:r>
      <w:r>
        <w:rPr/>
        <w:t>标预计将对公司未来年度业务发展及经营业绩产生积极影响。</w:t>
      </w:r>
    </w:p>
    <w:p>
      <w:pPr>
        <w:pStyle w:val="BodyText"/>
        <w:spacing w:line="264" w:lineRule="auto" w:before="13"/>
        <w:ind w:left="638" w:right="0"/>
        <w:jc w:val="left"/>
      </w:pPr>
      <w:r>
        <w:rPr>
          <w:rFonts w:ascii="Times New Roman" w:hAnsi="Times New Roman" w:cs="Times New Roman" w:eastAsia="Times New Roman" w:hint="default"/>
        </w:rPr>
        <w:t>3.</w:t>
      </w:r>
      <w:r>
        <w:rPr/>
        <w:t>新型冠状病毒疫情影响</w:t>
      </w:r>
      <w:r>
        <w:rPr>
          <w:w w:val="100"/>
        </w:rPr>
        <w:t> </w:t>
      </w:r>
      <w:r>
        <w:rPr>
          <w:spacing w:val="-2"/>
        </w:rPr>
        <w:t>新型冠状病毒疫情将对全国整体经济运行造成一定影响，从而可能在一定程度上影响本公司</w:t>
      </w:r>
    </w:p>
    <w:p>
      <w:pPr>
        <w:pStyle w:val="BodyText"/>
        <w:spacing w:line="280" w:lineRule="auto" w:before="23"/>
        <w:ind w:right="208"/>
        <w:jc w:val="both"/>
      </w:pPr>
      <w:r>
        <w:rPr>
          <w:spacing w:val="-6"/>
        </w:rPr>
        <w:t>生产、销售等经营情况，影响程度将取决于疫情防控的情况、持续时间以及各项调控政策的实施。</w:t>
      </w:r>
      <w:r>
        <w:rPr>
          <w:spacing w:val="-54"/>
        </w:rPr>
        <w:t> </w:t>
      </w:r>
      <w:r>
        <w:rPr>
          <w:spacing w:val="-54"/>
        </w:rPr>
      </w:r>
      <w:r>
        <w:rPr>
          <w:spacing w:val="-1"/>
        </w:rPr>
        <w:t>我们将继续密切关注肺炎疫情发展情况，评估和积极应对其对本公司财务状况、经营成果等方面</w:t>
      </w:r>
      <w:r>
        <w:rPr>
          <w:spacing w:val="-55"/>
        </w:rPr>
        <w:t> </w:t>
      </w:r>
      <w:r>
        <w:rPr>
          <w:spacing w:val="-55"/>
        </w:rPr>
      </w:r>
      <w:r>
        <w:rPr/>
        <w:t>的影响。</w:t>
      </w:r>
    </w:p>
    <w:p>
      <w:pPr>
        <w:pStyle w:val="Heading3"/>
        <w:spacing w:line="288" w:lineRule="exact"/>
        <w:ind w:left="698" w:right="0"/>
        <w:jc w:val="left"/>
      </w:pPr>
      <w:r>
        <w:rPr/>
        <w:t> </w:t>
      </w:r>
    </w:p>
    <w:p>
      <w:pPr>
        <w:pStyle w:val="Heading4"/>
        <w:spacing w:line="240" w:lineRule="auto" w:before="57"/>
        <w:ind w:right="0"/>
        <w:jc w:val="both"/>
        <w:rPr>
          <w:b w:val="0"/>
          <w:bCs w:val="0"/>
        </w:rPr>
      </w:pPr>
      <w:r>
        <w:rPr>
          <w:rFonts w:ascii="Times New Roman" w:hAnsi="Times New Roman" w:cs="Times New Roman" w:eastAsia="Times New Roman" w:hint="default"/>
        </w:rPr>
        <w:t>2</w:t>
      </w:r>
      <w:r>
        <w:rPr/>
        <w:t>、</w:t>
      </w:r>
      <w:r>
        <w:rPr>
          <w:spacing w:val="5"/>
        </w:rPr>
        <w:t> </w:t>
      </w:r>
      <w:r>
        <w:rPr/>
        <w:t>利润分配情况</w:t>
      </w:r>
      <w:r>
        <w:rPr>
          <w:b w:val="0"/>
          <w:bCs w:val="0"/>
        </w:rPr>
      </w:r>
    </w:p>
    <w:p>
      <w:pPr>
        <w:pStyle w:val="BodyText"/>
        <w:spacing w:line="240" w:lineRule="auto" w:before="40"/>
        <w:ind w:right="0"/>
        <w:jc w:val="both"/>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before="44"/>
        <w:ind w:left="638" w:right="0"/>
        <w:jc w:val="left"/>
      </w:pPr>
      <w:r>
        <w:rPr/>
        <w:t>根据公司</w:t>
      </w:r>
      <w:r>
        <w:rPr>
          <w:spacing w:val="-53"/>
        </w:rPr>
        <w:t> </w:t>
      </w:r>
      <w:r>
        <w:rPr>
          <w:rFonts w:ascii="Times New Roman" w:hAnsi="Times New Roman" w:cs="Times New Roman" w:eastAsia="Times New Roman" w:hint="default"/>
        </w:rPr>
        <w:t>2020 </w:t>
      </w:r>
      <w:r>
        <w:rPr/>
        <w:t>年</w:t>
      </w:r>
      <w:r>
        <w:rPr>
          <w:spacing w:val="-50"/>
        </w:rPr>
        <w:t> </w:t>
      </w:r>
      <w:r>
        <w:rPr>
          <w:rFonts w:ascii="Times New Roman" w:hAnsi="Times New Roman" w:cs="Times New Roman" w:eastAsia="Times New Roman" w:hint="default"/>
        </w:rPr>
        <w:t>4 </w:t>
      </w:r>
      <w:r>
        <w:rPr/>
        <w:t>月</w:t>
      </w:r>
      <w:r>
        <w:rPr>
          <w:spacing w:val="-53"/>
        </w:rPr>
        <w:t> </w:t>
      </w:r>
      <w:r>
        <w:rPr>
          <w:rFonts w:ascii="Times New Roman" w:hAnsi="Times New Roman" w:cs="Times New Roman" w:eastAsia="Times New Roman" w:hint="default"/>
        </w:rPr>
        <w:t>2 </w:t>
      </w:r>
      <w:r>
        <w:rPr/>
        <w:t>日第三届董事会第四十六次会议审议通过《关于公司</w:t>
      </w:r>
      <w:r>
        <w:rPr>
          <w:spacing w:val="-53"/>
        </w:rPr>
        <w:t> </w:t>
      </w:r>
      <w:r>
        <w:rPr>
          <w:rFonts w:ascii="Times New Roman" w:hAnsi="Times New Roman" w:cs="Times New Roman" w:eastAsia="Times New Roman" w:hint="default"/>
        </w:rPr>
        <w:t>2019 </w:t>
      </w:r>
      <w:r>
        <w:rPr/>
        <w:t>年度利润</w:t>
      </w:r>
    </w:p>
    <w:p>
      <w:pPr>
        <w:pStyle w:val="BodyText"/>
        <w:spacing w:line="240" w:lineRule="auto" w:before="28"/>
        <w:ind w:right="0"/>
        <w:jc w:val="both"/>
      </w:pPr>
      <w:r>
        <w:rPr/>
        <w:t>分配方案的议案》，公司拟以</w:t>
      </w:r>
      <w:r>
        <w:rPr>
          <w:spacing w:val="-53"/>
        </w:rPr>
        <w:t> </w:t>
      </w:r>
      <w:r>
        <w:rPr>
          <w:rFonts w:ascii="Times New Roman" w:hAnsi="Times New Roman" w:cs="Times New Roman" w:eastAsia="Times New Roman" w:hint="default"/>
        </w:rPr>
        <w:t>2020 </w:t>
      </w:r>
      <w:r>
        <w:rPr/>
        <w:t>年</w:t>
      </w:r>
      <w:r>
        <w:rPr>
          <w:spacing w:val="-50"/>
        </w:rPr>
        <w:t> </w:t>
      </w:r>
      <w:r>
        <w:rPr>
          <w:rFonts w:ascii="Times New Roman" w:hAnsi="Times New Roman" w:cs="Times New Roman" w:eastAsia="Times New Roman" w:hint="default"/>
        </w:rPr>
        <w:t>4 </w:t>
      </w:r>
      <w:r>
        <w:rPr/>
        <w:t>月</w:t>
      </w:r>
      <w:r>
        <w:rPr>
          <w:spacing w:val="-53"/>
        </w:rPr>
        <w:t> </w:t>
      </w:r>
      <w:r>
        <w:rPr>
          <w:rFonts w:ascii="Times New Roman" w:hAnsi="Times New Roman" w:cs="Times New Roman" w:eastAsia="Times New Roman" w:hint="default"/>
        </w:rPr>
        <w:t>2 </w:t>
      </w:r>
      <w:r>
        <w:rPr/>
        <w:t>日总股份数</w:t>
      </w:r>
      <w:r>
        <w:rPr>
          <w:spacing w:val="-52"/>
        </w:rPr>
        <w:t> </w:t>
      </w:r>
      <w:r>
        <w:rPr>
          <w:rFonts w:ascii="Times New Roman" w:hAnsi="Times New Roman" w:cs="Times New Roman" w:eastAsia="Times New Roman" w:hint="default"/>
        </w:rPr>
        <w:t>590,808,578 </w:t>
      </w:r>
      <w:r>
        <w:rPr/>
        <w:t>股，扣减公司回购专用证券</w:t>
      </w:r>
    </w:p>
    <w:p>
      <w:pPr>
        <w:pStyle w:val="BodyText"/>
        <w:spacing w:line="240" w:lineRule="auto" w:before="28"/>
        <w:ind w:right="0"/>
        <w:jc w:val="both"/>
      </w:pPr>
      <w:r>
        <w:rPr/>
        <w:t>账户上的公司股份</w:t>
      </w:r>
      <w:r>
        <w:rPr>
          <w:spacing w:val="-52"/>
        </w:rPr>
        <w:t> </w:t>
      </w:r>
      <w:r>
        <w:rPr>
          <w:rFonts w:ascii="Times New Roman" w:hAnsi="Times New Roman" w:cs="Times New Roman" w:eastAsia="Times New Roman" w:hint="default"/>
        </w:rPr>
        <w:t>5,070,208</w:t>
      </w:r>
      <w:r>
        <w:rPr>
          <w:rFonts w:ascii="Times New Roman" w:hAnsi="Times New Roman" w:cs="Times New Roman" w:eastAsia="Times New Roman" w:hint="default"/>
          <w:spacing w:val="1"/>
        </w:rPr>
        <w:t> </w:t>
      </w:r>
      <w:r>
        <w:rPr/>
        <w:t>股及拟回购注销的限制性股票</w:t>
      </w:r>
      <w:r>
        <w:rPr>
          <w:spacing w:val="-52"/>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2"/>
        </w:rPr>
        <w:t> </w:t>
      </w:r>
      <w:r>
        <w:rPr>
          <w:spacing w:val="-5"/>
        </w:rPr>
        <w:t>股为基数，向全体股东每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w:t>
      </w:r>
    </w:p>
    <w:p>
      <w:pPr>
        <w:pStyle w:val="BodyText"/>
        <w:spacing w:line="271" w:lineRule="auto" w:before="31"/>
        <w:ind w:right="208"/>
        <w:jc w:val="both"/>
      </w:pPr>
      <w:r>
        <w:rPr/>
        <w:t>分配现金股利</w:t>
      </w:r>
      <w:r>
        <w:rPr>
          <w:spacing w:val="-31"/>
        </w:rPr>
        <w:t> </w:t>
      </w:r>
      <w:r>
        <w:rPr>
          <w:rFonts w:ascii="Times New Roman" w:hAnsi="Times New Roman" w:cs="Times New Roman" w:eastAsia="Times New Roman" w:hint="default"/>
        </w:rPr>
        <w:t>1.60</w:t>
      </w:r>
      <w:r>
        <w:rPr>
          <w:rFonts w:ascii="Times New Roman" w:hAnsi="Times New Roman" w:cs="Times New Roman" w:eastAsia="Times New Roman" w:hint="default"/>
          <w:spacing w:val="18"/>
        </w:rPr>
        <w:t> </w:t>
      </w:r>
      <w:r>
        <w:rPr>
          <w:spacing w:val="-3"/>
        </w:rPr>
        <w:t>元（含税）。本次分配不送红股，也不进行转增股本。在实施权益分派的股权</w:t>
      </w:r>
      <w:r>
        <w:rPr>
          <w:spacing w:val="-96"/>
        </w:rPr>
        <w:t> </w:t>
      </w:r>
      <w:r>
        <w:rPr>
          <w:spacing w:val="-96"/>
        </w:rPr>
      </w:r>
      <w:r>
        <w:rPr>
          <w:spacing w:val="-1"/>
        </w:rPr>
        <w:t>登记日前公司总股本发生变动的，拟维持分配总额不变，相应调整每股分红比例。本次分配方案</w:t>
      </w:r>
      <w:r>
        <w:rPr>
          <w:spacing w:val="-55"/>
        </w:rPr>
        <w:t> </w:t>
      </w:r>
      <w:r>
        <w:rPr>
          <w:spacing w:val="-55"/>
        </w:rPr>
      </w:r>
      <w:r>
        <w:rPr/>
        <w:t>须经股东大会审议通过后实施。</w:t>
      </w:r>
    </w:p>
    <w:p>
      <w:pPr>
        <w:pStyle w:val="BodyText"/>
        <w:spacing w:line="249" w:lineRule="exact"/>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288"/>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93,715,739.20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93,715,739.20</w:t>
            </w:r>
          </w:p>
        </w:tc>
      </w:tr>
    </w:tbl>
    <w:p>
      <w:pPr>
        <w:pStyle w:val="Heading3"/>
        <w:spacing w:line="274" w:lineRule="exact"/>
        <w:ind w:left="218" w:right="0"/>
        <w:jc w:val="left"/>
      </w:pPr>
      <w:r>
        <w:rPr/>
        <w:t> </w:t>
      </w:r>
    </w:p>
    <w:p>
      <w:pPr>
        <w:pStyle w:val="Heading4"/>
        <w:spacing w:line="240" w:lineRule="auto" w:before="61"/>
        <w:ind w:right="2005"/>
        <w:jc w:val="left"/>
        <w:rPr>
          <w:b w:val="0"/>
          <w:bCs w:val="0"/>
        </w:rPr>
      </w:pPr>
      <w:r>
        <w:rPr>
          <w:rFonts w:ascii="Times New Roman" w:hAnsi="Times New Roman" w:cs="Times New Roman" w:eastAsia="Times New Roman" w:hint="default"/>
        </w:rPr>
        <w:t>3</w:t>
      </w:r>
      <w:r>
        <w:rPr/>
        <w:t>、</w:t>
      </w:r>
      <w:r>
        <w:rPr>
          <w:spacing w:val="4"/>
        </w:rPr>
        <w:t> </w:t>
      </w:r>
      <w:r>
        <w:rPr/>
        <w:t>销售退回</w:t>
      </w:r>
      <w:r>
        <w:rPr>
          <w:b w:val="0"/>
          <w:bCs w:val="0"/>
        </w:rPr>
      </w:r>
    </w:p>
    <w:p>
      <w:pPr>
        <w:pStyle w:val="BodyText"/>
        <w:spacing w:line="270" w:lineRule="exact" w:before="43"/>
        <w:ind w:right="2005"/>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218" w:right="0"/>
        <w:jc w:val="left"/>
      </w:pPr>
      <w:r>
        <w:rPr/>
        <w:t> </w:t>
      </w:r>
    </w:p>
    <w:p>
      <w:pPr>
        <w:spacing w:after="0" w:line="309" w:lineRule="exact"/>
        <w:jc w:val="left"/>
        <w:sectPr>
          <w:pgSz w:w="11910" w:h="16840"/>
          <w:pgMar w:header="0" w:footer="979" w:top="1120" w:bottom="1160" w:left="1580" w:right="1060"/>
        </w:sectPr>
      </w:pPr>
    </w:p>
    <w:p>
      <w:pPr>
        <w:spacing w:line="240" w:lineRule="auto" w:before="12"/>
        <w:rPr>
          <w:rFonts w:ascii="宋体" w:hAnsi="宋体" w:cs="宋体" w:eastAsia="宋体" w:hint="default"/>
          <w:sz w:val="24"/>
          <w:szCs w:val="24"/>
        </w:rPr>
      </w:pPr>
    </w:p>
    <w:p>
      <w:pPr>
        <w:pStyle w:val="Heading4"/>
        <w:spacing w:line="240" w:lineRule="auto" w:before="36"/>
        <w:ind w:left="138" w:right="0"/>
        <w:jc w:val="left"/>
        <w:rPr>
          <w:b w:val="0"/>
          <w:bCs w:val="0"/>
        </w:rPr>
      </w:pPr>
      <w:r>
        <w:rPr>
          <w:rFonts w:ascii="Times New Roman" w:hAnsi="Times New Roman" w:cs="Times New Roman" w:eastAsia="Times New Roman" w:hint="default"/>
        </w:rPr>
        <w:t>4</w:t>
      </w:r>
      <w:r>
        <w:rPr/>
        <w:t>、</w:t>
      </w:r>
      <w:r>
        <w:rPr>
          <w:spacing w:val="1"/>
        </w:rPr>
        <w:t> </w:t>
      </w:r>
      <w:r>
        <w:rPr/>
        <w:t>其他资产负债表日后事项说明</w:t>
      </w:r>
      <w:r>
        <w:rPr>
          <w:b w:val="0"/>
          <w:bCs w:val="0"/>
        </w:rPr>
      </w:r>
    </w:p>
    <w:p>
      <w:pPr>
        <w:pStyle w:val="BodyText"/>
        <w:spacing w:line="270" w:lineRule="exact" w:before="43"/>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85" w:lineRule="auto" w:before="0"/>
        <w:ind w:left="138" w:right="6840"/>
        <w:jc w:val="left"/>
        <w:rPr>
          <w:rFonts w:ascii="宋体" w:hAnsi="宋体" w:cs="宋体" w:eastAsia="宋体" w:hint="default"/>
          <w:b w:val="0"/>
          <w:bCs w:val="0"/>
        </w:rPr>
      </w:pPr>
      <w:r>
        <w:rPr>
          <w:rFonts w:ascii="宋体" w:hAnsi="宋体" w:cs="宋体" w:eastAsia="宋体" w:hint="default"/>
          <w:b w:val="0"/>
          <w:bCs w:val="0"/>
          <w:sz w:val="24"/>
          <w:szCs w:val="24"/>
        </w:rPr>
        <w:t>  </w:t>
      </w:r>
      <w:r>
        <w:rPr>
          <w:w w:val="100"/>
        </w:rPr>
        <w:t>十六</w:t>
      </w:r>
      <w:r>
        <w:rPr>
          <w:spacing w:val="-1"/>
          <w:w w:val="100"/>
        </w:rPr>
        <w:t>、</w:t>
      </w:r>
      <w:r>
        <w:rPr>
          <w:w w:val="100"/>
        </w:rPr>
        <w:t>其他重要事项</w:t>
      </w:r>
      <w:r>
        <w:rPr>
          <w:w w:val="100"/>
        </w:rPr>
        <w:t> </w:t>
      </w:r>
      <w:r>
        <w:rPr>
          <w:rFonts w:ascii="Times New Roman" w:hAnsi="Times New Roman" w:cs="Times New Roman" w:eastAsia="Times New Roman" w:hint="default"/>
        </w:rPr>
        <w:t>1</w:t>
      </w:r>
      <w:r>
        <w:rPr/>
        <w:t>、 前期会计差错更正    </w:t>
      </w:r>
      <w:r>
        <w:rPr>
          <w:spacing w:val="1"/>
        </w:rPr>
        <w:t> </w:t>
      </w:r>
      <w:r>
        <w:rPr>
          <w:spacing w:val="1"/>
        </w:rPr>
      </w:r>
      <w:r>
        <w:rPr>
          <w:rFonts w:ascii="宋体" w:hAnsi="宋体" w:cs="宋体" w:eastAsia="宋体" w:hint="default"/>
          <w:w w:val="99"/>
        </w:rPr>
        <w:t>(1).</w:t>
      </w:r>
      <w:r>
        <w:rPr>
          <w:rFonts w:ascii="宋体" w:hAnsi="宋体" w:cs="宋体" w:eastAsia="宋体" w:hint="default"/>
          <w:spacing w:val="-44"/>
        </w:rPr>
        <w:t> </w:t>
      </w:r>
      <w:r>
        <w:rPr>
          <w:w w:val="100"/>
        </w:rPr>
        <w:t>追溯重述</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16"/>
        <w:ind w:left="1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sz w:val="24"/>
          <w:szCs w:val="24"/>
        </w:rPr>
        <w:t> </w:t>
      </w:r>
      <w:r>
        <w:rPr>
          <w:rFonts w:ascii="宋体" w:hAnsi="宋体" w:cs="宋体" w:eastAsia="宋体" w:hint="default"/>
          <w:sz w:val="24"/>
          <w:szCs w:val="24"/>
        </w:rPr>
        <w:t> </w:t>
      </w:r>
    </w:p>
    <w:p>
      <w:pPr>
        <w:pStyle w:val="Heading3"/>
        <w:spacing w:line="310" w:lineRule="exact"/>
        <w:ind w:left="138" w:right="0"/>
        <w:jc w:val="left"/>
      </w:pPr>
      <w:r>
        <w:rPr/>
        <w:t> </w:t>
      </w: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6"/>
        </w:rPr>
        <w:t> </w:t>
      </w:r>
      <w:r>
        <w:rPr/>
        <w:t>未来适用法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before="57"/>
        <w:ind w:left="138" w:right="0"/>
        <w:jc w:val="left"/>
        <w:rPr>
          <w:b w:val="0"/>
          <w:bCs w:val="0"/>
        </w:rPr>
      </w:pPr>
      <w:r>
        <w:rPr>
          <w:rFonts w:ascii="Times New Roman" w:hAnsi="Times New Roman" w:cs="Times New Roman" w:eastAsia="Times New Roman" w:hint="default"/>
        </w:rPr>
        <w:t>2</w:t>
      </w:r>
      <w:r>
        <w:rPr/>
        <w:t>、</w:t>
      </w:r>
      <w:r>
        <w:rPr>
          <w:spacing w:val="4"/>
        </w:rPr>
        <w:t> </w:t>
      </w:r>
      <w:r>
        <w:rPr/>
        <w:t>债务重组</w:t>
      </w:r>
      <w:r>
        <w:rPr>
          <w:b w:val="0"/>
          <w:bCs w:val="0"/>
        </w:rPr>
      </w:r>
    </w:p>
    <w:p>
      <w:pPr>
        <w:pStyle w:val="BodyText"/>
        <w:spacing w:line="270" w:lineRule="exact" w:before="43"/>
        <w:ind w:left="1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138" w:right="0"/>
        <w:jc w:val="left"/>
      </w:pPr>
      <w:r>
        <w:rPr/>
        <w:t> </w:t>
      </w:r>
    </w:p>
    <w:p>
      <w:pPr>
        <w:pStyle w:val="Heading4"/>
        <w:spacing w:line="240" w:lineRule="auto"/>
        <w:ind w:left="138" w:right="0"/>
        <w:jc w:val="left"/>
        <w:rPr>
          <w:b w:val="0"/>
          <w:bCs w:val="0"/>
        </w:rPr>
      </w:pPr>
      <w:r>
        <w:rPr>
          <w:rFonts w:ascii="Times New Roman" w:hAnsi="Times New Roman" w:cs="Times New Roman" w:eastAsia="Times New Roman" w:hint="default"/>
        </w:rPr>
        <w:t>3</w:t>
      </w:r>
      <w:r>
        <w:rPr/>
        <w:t>、</w:t>
      </w:r>
      <w:r>
        <w:rPr>
          <w:spacing w:val="4"/>
        </w:rPr>
        <w:t> </w:t>
      </w:r>
      <w:r>
        <w:rPr/>
        <w:t>资产置换</w:t>
      </w:r>
      <w:r>
        <w:rPr>
          <w:b w:val="0"/>
          <w:bCs w:val="0"/>
        </w:rPr>
      </w:r>
    </w:p>
    <w:p>
      <w:pPr>
        <w:pStyle w:val="Heading4"/>
        <w:spacing w:line="240" w:lineRule="auto" w:before="40"/>
        <w:ind w:left="138"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9"/>
        </w:rPr>
        <w:t> </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9"/>
        <w:ind w:left="138"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40" w:lineRule="auto" w:before="2"/>
        <w:ind w:left="138" w:right="0"/>
        <w:jc w:val="left"/>
      </w:pPr>
      <w:r>
        <w:rPr/>
        <w:t> </w:t>
      </w:r>
    </w:p>
    <w:p>
      <w:pPr>
        <w:pStyle w:val="Heading4"/>
        <w:spacing w:line="240" w:lineRule="auto" w:before="61"/>
        <w:ind w:left="138"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7"/>
        </w:rPr>
        <w:t> </w:t>
      </w:r>
      <w:r>
        <w:rPr/>
        <w:t>其他资产置换</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left="138"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b w:val="0"/>
          <w:bCs w:val="0"/>
        </w:rPr>
      </w:pPr>
      <w:r>
        <w:rPr>
          <w:rFonts w:ascii="Times New Roman" w:hAnsi="Times New Roman" w:cs="Times New Roman" w:eastAsia="Times New Roman" w:hint="default"/>
        </w:rPr>
        <w:t>4</w:t>
      </w:r>
      <w:r>
        <w:rPr/>
        <w:t>、</w:t>
      </w:r>
      <w:r>
        <w:rPr>
          <w:spacing w:val="4"/>
        </w:rPr>
        <w:t> </w:t>
      </w:r>
      <w:r>
        <w:rPr/>
        <w:t>年金计划</w:t>
      </w:r>
      <w:r>
        <w:rPr>
          <w:b w:val="0"/>
          <w:bCs w:val="0"/>
        </w:rPr>
      </w:r>
    </w:p>
    <w:p>
      <w:pPr>
        <w:pStyle w:val="BodyText"/>
        <w:spacing w:line="271" w:lineRule="exact" w:before="41"/>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310" w:lineRule="exact"/>
        <w:ind w:left="138" w:right="0"/>
        <w:jc w:val="left"/>
      </w:pPr>
      <w:r>
        <w:rPr/>
        <w:t> </w:t>
      </w:r>
    </w:p>
    <w:p>
      <w:pPr>
        <w:pStyle w:val="Heading4"/>
        <w:spacing w:line="240" w:lineRule="auto" w:before="61"/>
        <w:ind w:left="138" w:right="0"/>
        <w:jc w:val="left"/>
        <w:rPr>
          <w:rFonts w:ascii="宋体" w:hAnsi="宋体" w:cs="宋体" w:eastAsia="宋体" w:hint="default"/>
          <w:b w:val="0"/>
          <w:bCs w:val="0"/>
        </w:rPr>
      </w:pPr>
      <w:r>
        <w:rPr>
          <w:rFonts w:ascii="Times New Roman" w:hAnsi="Times New Roman" w:cs="Times New Roman" w:eastAsia="Times New Roman" w:hint="default"/>
        </w:rPr>
        <w:t>5</w:t>
      </w:r>
      <w:r>
        <w:rPr/>
        <w:t>、</w:t>
      </w:r>
      <w:r>
        <w:rPr>
          <w:spacing w:val="1"/>
        </w:rPr>
        <w:t> </w:t>
      </w:r>
      <w:r>
        <w:rPr/>
        <w:t>终止经营</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43"/>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9" w:lineRule="exact"/>
        <w:ind w:left="138" w:right="0"/>
        <w:jc w:val="left"/>
      </w:pPr>
      <w:r>
        <w:rPr/>
        <w:t> </w:t>
      </w:r>
    </w:p>
    <w:p>
      <w:pPr>
        <w:pStyle w:val="Heading4"/>
        <w:spacing w:line="240" w:lineRule="auto"/>
        <w:ind w:left="138" w:right="0"/>
        <w:jc w:val="left"/>
        <w:rPr>
          <w:rFonts w:ascii="宋体" w:hAnsi="宋体" w:cs="宋体" w:eastAsia="宋体" w:hint="default"/>
          <w:b w:val="0"/>
          <w:bCs w:val="0"/>
        </w:rPr>
      </w:pPr>
      <w:r>
        <w:rPr>
          <w:rFonts w:ascii="Times New Roman" w:hAnsi="Times New Roman" w:cs="Times New Roman" w:eastAsia="Times New Roman"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43"/>
        <w:ind w:left="138"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7"/>
        </w:rPr>
        <w:t> </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78" w:lineRule="auto" w:before="40"/>
        <w:ind w:left="618" w:right="0" w:hanging="48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spacing w:val="-3"/>
        </w:rPr>
        <w:t>本公司以内部组织结构、管理要求、内部报告制度为依据确定业务分部。本公司的业务分部</w:t>
      </w:r>
    </w:p>
    <w:p>
      <w:pPr>
        <w:pStyle w:val="BodyText"/>
        <w:spacing w:line="240" w:lineRule="auto" w:before="10"/>
        <w:ind w:left="138" w:right="0"/>
        <w:jc w:val="left"/>
      </w:pPr>
      <w:r>
        <w:rPr/>
        <w:t>是指同时满足下列条件的组成部分：</w:t>
      </w:r>
    </w:p>
    <w:p>
      <w:pPr>
        <w:pStyle w:val="BodyText"/>
        <w:spacing w:line="240" w:lineRule="auto" w:before="44"/>
        <w:ind w:left="558" w:right="0"/>
        <w:jc w:val="left"/>
      </w:pPr>
      <w:r>
        <w:rPr/>
        <w:t>（</w:t>
      </w: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31"/>
        <w:ind w:left="558" w:right="0"/>
        <w:jc w:val="left"/>
      </w:pPr>
      <w:r>
        <w:rPr/>
        <w:t>（</w:t>
      </w:r>
      <w:r>
        <w:rPr>
          <w:rFonts w:ascii="Times New Roman" w:hAnsi="Times New Roman" w:cs="Times New Roman" w:eastAsia="Times New Roman" w:hint="default"/>
        </w:rPr>
        <w:t>2</w:t>
      </w:r>
      <w:r>
        <w:rPr/>
        <w:t>）管理层能够定期评价该组成部分的经营成果，以决定配置资源、评价其业绩；</w:t>
      </w:r>
    </w:p>
    <w:p>
      <w:pPr>
        <w:pStyle w:val="BodyText"/>
        <w:spacing w:line="264" w:lineRule="auto" w:before="28"/>
        <w:ind w:left="558" w:right="0"/>
        <w:jc w:val="left"/>
      </w:pPr>
      <w:r>
        <w:rPr/>
        <w:t>（</w:t>
      </w:r>
      <w:r>
        <w:rPr>
          <w:rFonts w:ascii="Times New Roman" w:hAnsi="Times New Roman" w:cs="Times New Roman" w:eastAsia="Times New Roman" w:hint="default"/>
        </w:rPr>
        <w:t>3</w:t>
      </w:r>
      <w:r>
        <w:rPr/>
        <w:t>）能够取得该组成部分的财务状况、经营成果和现金流量等有关会计信息。</w:t>
      </w:r>
      <w:r>
        <w:rPr>
          <w:w w:val="100"/>
        </w:rPr>
        <w:t> </w:t>
      </w:r>
      <w:r>
        <w:rPr>
          <w:spacing w:val="-2"/>
        </w:rPr>
        <w:t>公司以业务分部为基础确定报告分部，满足下列条件之一的业务分部确定为报告分部：</w:t>
      </w:r>
    </w:p>
    <w:p>
      <w:pPr>
        <w:pStyle w:val="BodyText"/>
        <w:spacing w:line="240" w:lineRule="auto" w:before="25"/>
        <w:ind w:left="558" w:right="0"/>
        <w:jc w:val="left"/>
      </w:pPr>
      <w:r>
        <w:rPr>
          <w:spacing w:val="-2"/>
        </w:rPr>
        <w:t>①该经营分部的分部收入占所有分部收入合计的</w:t>
      </w:r>
      <w:r>
        <w:rPr>
          <w:spacing w:val="-1"/>
        </w:rPr>
        <w:t> </w:t>
      </w:r>
      <w:r>
        <w:rPr>
          <w:rFonts w:ascii="Times New Roman" w:hAnsi="Times New Roman" w:cs="Times New Roman" w:eastAsia="Times New Roman" w:hint="default"/>
          <w:spacing w:val="-2"/>
        </w:rPr>
        <w:t>10%</w:t>
      </w:r>
      <w:r>
        <w:rPr>
          <w:spacing w:val="-2"/>
        </w:rPr>
        <w:t>或者以上；</w:t>
      </w:r>
    </w:p>
    <w:p>
      <w:pPr>
        <w:pStyle w:val="BodyText"/>
        <w:spacing w:line="278" w:lineRule="auto" w:before="28"/>
        <w:ind w:left="138" w:right="0" w:firstLine="419"/>
        <w:jc w:val="left"/>
      </w:pPr>
      <w:r>
        <w:rPr>
          <w:spacing w:val="-2"/>
        </w:rPr>
        <w:t>②该分部的分部利润（亏损）的绝对额，占所有盈利分部利润合计额或者所有亏损分部亏损</w:t>
      </w:r>
      <w:r>
        <w:rPr>
          <w:w w:val="100"/>
        </w:rPr>
        <w:t> </w:t>
      </w:r>
      <w:r>
        <w:rPr/>
        <w:t>合计额的绝对额两者中较大者的</w:t>
      </w:r>
      <w:r>
        <w:rPr>
          <w:spacing w:val="-56"/>
        </w:rPr>
        <w:t> </w:t>
      </w:r>
      <w:r>
        <w:rPr>
          <w:rFonts w:ascii="Times New Roman" w:hAnsi="Times New Roman" w:cs="Times New Roman" w:eastAsia="Times New Roman" w:hint="default"/>
        </w:rPr>
        <w:t>10%</w:t>
      </w:r>
      <w:r>
        <w:rPr/>
        <w:t>或者以上；</w:t>
      </w:r>
    </w:p>
    <w:p>
      <w:pPr>
        <w:pStyle w:val="BodyText"/>
        <w:spacing w:line="284" w:lineRule="exact"/>
        <w:ind w:left="558" w:right="0"/>
        <w:jc w:val="left"/>
      </w:pPr>
      <w:r>
        <w:rPr/>
        <w:t>③该分部的分部资产占所有分部资产合计额的</w:t>
      </w:r>
      <w:r>
        <w:rPr>
          <w:spacing w:val="-54"/>
        </w:rPr>
        <w:t> </w:t>
      </w:r>
      <w:r>
        <w:rPr>
          <w:rFonts w:ascii="Times New Roman" w:hAnsi="Times New Roman" w:cs="Times New Roman" w:eastAsia="Times New Roman" w:hint="default"/>
        </w:rPr>
        <w:t>10%</w:t>
      </w:r>
      <w:r>
        <w:rPr/>
        <w:t>或者以上。</w:t>
      </w:r>
    </w:p>
    <w:p>
      <w:pPr>
        <w:spacing w:after="0" w:line="284" w:lineRule="exact"/>
        <w:jc w:val="left"/>
        <w:sectPr>
          <w:pgSz w:w="11910" w:h="16840"/>
          <w:pgMar w:header="0" w:footer="979" w:top="1120" w:bottom="1160" w:left="1660" w:right="1140"/>
        </w:sectPr>
      </w:pPr>
    </w:p>
    <w:p>
      <w:pPr>
        <w:spacing w:line="240" w:lineRule="auto" w:before="5"/>
        <w:rPr>
          <w:rFonts w:ascii="宋体" w:hAnsi="宋体" w:cs="宋体" w:eastAsia="宋体" w:hint="default"/>
          <w:sz w:val="28"/>
          <w:szCs w:val="28"/>
        </w:rPr>
      </w:pPr>
    </w:p>
    <w:p>
      <w:pPr>
        <w:pStyle w:val="BodyText"/>
        <w:spacing w:line="271" w:lineRule="auto" w:before="36"/>
        <w:ind w:right="208" w:firstLine="419"/>
        <w:jc w:val="both"/>
      </w:pPr>
      <w:r>
        <w:rPr>
          <w:spacing w:val="-2"/>
        </w:rPr>
        <w:t>按上述会计政策确定的报告分部的经营分部的对外交易收入合计额占合并总收入的比重未达</w:t>
      </w:r>
      <w:r>
        <w:rPr>
          <w:w w:val="100"/>
        </w:rPr>
        <w:t> </w:t>
      </w:r>
      <w:r>
        <w:rPr/>
        <w:t>到 </w:t>
      </w:r>
      <w:r>
        <w:rPr>
          <w:rFonts w:ascii="Times New Roman" w:hAnsi="Times New Roman" w:cs="Times New Roman" w:eastAsia="Times New Roman" w:hint="default"/>
          <w:spacing w:val="-2"/>
        </w:rPr>
        <w:t>75%</w:t>
      </w:r>
      <w:r>
        <w:rPr>
          <w:spacing w:val="-2"/>
        </w:rPr>
        <w:t>时，增加报告分部的数量，按下述规定将其他未作为报告分部的经营分部纳入报告分部的</w:t>
      </w:r>
      <w:r>
        <w:rPr>
          <w:spacing w:val="-87"/>
        </w:rPr>
        <w:t> </w:t>
      </w:r>
      <w:r>
        <w:rPr>
          <w:spacing w:val="-87"/>
        </w:rPr>
      </w:r>
      <w:r>
        <w:rPr/>
        <w:t>范围，直到该比重达到</w:t>
      </w:r>
      <w:r>
        <w:rPr>
          <w:spacing w:val="-56"/>
        </w:rPr>
        <w:t> </w:t>
      </w:r>
      <w:r>
        <w:rPr>
          <w:rFonts w:ascii="Times New Roman" w:hAnsi="Times New Roman" w:cs="Times New Roman" w:eastAsia="Times New Roman" w:hint="default"/>
        </w:rPr>
        <w:t>75%</w:t>
      </w:r>
      <w:r>
        <w:rPr/>
        <w:t>：</w:t>
      </w:r>
    </w:p>
    <w:p>
      <w:pPr>
        <w:pStyle w:val="BodyText"/>
        <w:spacing w:line="273" w:lineRule="exact"/>
        <w:ind w:left="638" w:right="0"/>
        <w:jc w:val="left"/>
      </w:pPr>
      <w:r>
        <w:rPr/>
        <w:t>①将管理层认为披露该经营分部信息对会计信息使用者有用的经营分部确定为报告分部；</w:t>
      </w:r>
    </w:p>
    <w:p>
      <w:pPr>
        <w:pStyle w:val="BodyText"/>
        <w:spacing w:line="278" w:lineRule="auto" w:before="46"/>
        <w:ind w:right="217" w:firstLine="419"/>
        <w:jc w:val="both"/>
      </w:pPr>
      <w:r>
        <w:rPr>
          <w:spacing w:val="-2"/>
        </w:rPr>
        <w:t>②将该经营分部与一个或一个以上的具有相似经济特征、满足经营分部合并条件的其他经营</w:t>
      </w:r>
      <w:r>
        <w:rPr>
          <w:w w:val="100"/>
        </w:rPr>
        <w:t> </w:t>
      </w:r>
      <w:r>
        <w:rPr/>
        <w:t>分部合并，作为一个报告分部。</w:t>
      </w:r>
    </w:p>
    <w:p>
      <w:pPr>
        <w:pStyle w:val="BodyText"/>
        <w:spacing w:line="280" w:lineRule="auto" w:before="10"/>
        <w:ind w:right="217" w:firstLine="419"/>
        <w:jc w:val="both"/>
      </w:pPr>
      <w:r>
        <w:rPr>
          <w:spacing w:val="-2"/>
        </w:rPr>
        <w:t>分部间转移价格参照市场价格确定，与各分部共同使用的资产、相关的费用按照收入比例在</w:t>
      </w:r>
      <w:r>
        <w:rPr>
          <w:w w:val="100"/>
        </w:rPr>
        <w:t> </w:t>
      </w:r>
      <w:r>
        <w:rPr/>
        <w:t>不同的分部之间分配。</w:t>
      </w:r>
    </w:p>
    <w:p>
      <w:pPr>
        <w:pStyle w:val="Heading3"/>
        <w:spacing w:line="271" w:lineRule="exact"/>
        <w:ind w:left="218" w:right="0"/>
        <w:jc w:val="left"/>
      </w:pPr>
      <w:r>
        <w:rPr/>
        <w:t> </w:t>
      </w:r>
    </w:p>
    <w:p>
      <w:pPr>
        <w:pStyle w:val="Heading4"/>
        <w:spacing w:line="240" w:lineRule="auto"/>
        <w:ind w:right="2005"/>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9"/>
        </w:rPr>
        <w:t> </w:t>
      </w:r>
      <w:r>
        <w:rPr/>
        <w:t>报告分部的财务信息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200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pStyle w:val="BodyText"/>
        <w:spacing w:line="289" w:lineRule="exact"/>
        <w:ind w:left="638" w:right="2005"/>
        <w:jc w:val="left"/>
      </w:pPr>
      <w:r>
        <w:rPr/>
        <w:t>（</w:t>
      </w:r>
      <w:r>
        <w:rPr>
          <w:rFonts w:ascii="Times New Roman" w:hAnsi="Times New Roman" w:cs="Times New Roman" w:eastAsia="Times New Roman" w:hint="default"/>
        </w:rPr>
        <w:t>1</w:t>
      </w:r>
      <w:r>
        <w:rPr/>
        <w:t>）主营业务收入（分地区）</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980"/>
        <w:gridCol w:w="1777"/>
        <w:gridCol w:w="1632"/>
        <w:gridCol w:w="1630"/>
        <w:gridCol w:w="1630"/>
      </w:tblGrid>
      <w:tr>
        <w:trPr>
          <w:trHeight w:val="350" w:hRule="exact"/>
        </w:trPr>
        <w:tc>
          <w:tcPr>
            <w:tcW w:w="1980" w:type="dxa"/>
            <w:vMerge w:val="restart"/>
            <w:tcBorders>
              <w:top w:val="single" w:sz="4" w:space="0" w:color="000000"/>
              <w:left w:val="single" w:sz="4" w:space="0" w:color="000000"/>
              <w:right w:val="single" w:sz="4"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分部</w:t>
            </w:r>
          </w:p>
        </w:tc>
        <w:tc>
          <w:tcPr>
            <w:tcW w:w="34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0" w:hRule="exact"/>
        </w:trPr>
        <w:tc>
          <w:tcPr>
            <w:tcW w:w="1980" w:type="dxa"/>
            <w:vMerge/>
            <w:tcBorders>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35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1,095,234,172.86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674,216,665.13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811,162,208.72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460,702,909.66</w:t>
            </w:r>
          </w:p>
        </w:tc>
      </w:tr>
      <w:tr>
        <w:trPr>
          <w:trHeight w:val="35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175,948,866.47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88,313,529.89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68,969,102.69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38,049,009.10</w:t>
            </w:r>
          </w:p>
        </w:tc>
      </w:tr>
      <w:tr>
        <w:trPr>
          <w:trHeight w:val="35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63,518,942.87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18,372,510.26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56,071,203.38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19,350,485.37</w:t>
            </w:r>
          </w:p>
        </w:tc>
      </w:tr>
      <w:tr>
        <w:trPr>
          <w:trHeight w:val="34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西部区</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43,021,437.75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22,700,411.20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41,450,113.79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17,232,851.47</w:t>
            </w:r>
          </w:p>
        </w:tc>
      </w:tr>
      <w:tr>
        <w:trPr>
          <w:trHeight w:val="35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1,377,723,419.95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803,603,116.48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977,652,628.58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535,335,255.60</w:t>
            </w:r>
          </w:p>
        </w:tc>
      </w:tr>
    </w:tbl>
    <w:p>
      <w:pPr>
        <w:pStyle w:val="BodyText"/>
        <w:spacing w:line="257" w:lineRule="exact"/>
        <w:ind w:left="638" w:right="2005"/>
        <w:jc w:val="left"/>
      </w:pPr>
      <w:r>
        <w:rPr/>
        <w:t>（</w:t>
      </w:r>
      <w:r>
        <w:rPr>
          <w:rFonts w:ascii="Times New Roman" w:hAnsi="Times New Roman" w:cs="Times New Roman" w:eastAsia="Times New Roman" w:hint="default"/>
        </w:rPr>
        <w:t>1</w:t>
      </w:r>
      <w:r>
        <w:rPr/>
        <w:t>）主营业务收入（分行业）</w:t>
      </w:r>
    </w:p>
    <w:p>
      <w:pPr>
        <w:spacing w:line="240" w:lineRule="auto" w:before="1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126"/>
        <w:gridCol w:w="1697"/>
        <w:gridCol w:w="1565"/>
        <w:gridCol w:w="1630"/>
        <w:gridCol w:w="1630"/>
      </w:tblGrid>
      <w:tr>
        <w:trPr>
          <w:trHeight w:val="348" w:hRule="exact"/>
        </w:trPr>
        <w:tc>
          <w:tcPr>
            <w:tcW w:w="2126" w:type="dxa"/>
            <w:vMerge w:val="restart"/>
            <w:tcBorders>
              <w:top w:val="single" w:sz="4" w:space="0" w:color="000000"/>
              <w:left w:val="single" w:sz="4" w:space="0" w:color="000000"/>
              <w:right w:val="single" w:sz="4" w:space="0" w:color="000000"/>
            </w:tcBorders>
          </w:tcPr>
          <w:p>
            <w:pPr>
              <w:pStyle w:val="TableParagraph"/>
              <w:spacing w:line="240" w:lineRule="auto" w:before="175"/>
              <w:ind w:right="0"/>
              <w:jc w:val="center"/>
              <w:rPr>
                <w:rFonts w:ascii="宋体" w:hAnsi="宋体" w:cs="宋体" w:eastAsia="宋体" w:hint="default"/>
                <w:sz w:val="21"/>
                <w:szCs w:val="21"/>
              </w:rPr>
            </w:pPr>
            <w:r>
              <w:rPr>
                <w:rFonts w:ascii="宋体" w:hAnsi="宋体" w:cs="宋体" w:eastAsia="宋体" w:hint="default"/>
                <w:sz w:val="21"/>
                <w:szCs w:val="21"/>
              </w:rPr>
              <w:t>分部</w:t>
            </w:r>
          </w:p>
        </w:tc>
        <w:tc>
          <w:tcPr>
            <w:tcW w:w="32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0" w:hRule="exact"/>
        </w:trPr>
        <w:tc>
          <w:tcPr>
            <w:tcW w:w="2126" w:type="dxa"/>
            <w:vMerge/>
            <w:tcBorders>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350"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公安行业</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650,565,792.37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39" w:right="0"/>
              <w:jc w:val="left"/>
              <w:rPr>
                <w:rFonts w:ascii="Times New Roman" w:hAnsi="Times New Roman" w:cs="Times New Roman" w:eastAsia="Times New Roman" w:hint="default"/>
                <w:sz w:val="21"/>
                <w:szCs w:val="21"/>
              </w:rPr>
            </w:pPr>
            <w:r>
              <w:rPr>
                <w:rFonts w:ascii="Times New Roman"/>
                <w:sz w:val="21"/>
              </w:rPr>
              <w:t>424,500,001.45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303,854,109.25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214,531,827.98</w:t>
            </w:r>
          </w:p>
        </w:tc>
      </w:tr>
      <w:tr>
        <w:trPr>
          <w:trHeight w:val="350"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政务行业</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672,579,276.26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39" w:right="0"/>
              <w:jc w:val="left"/>
              <w:rPr>
                <w:rFonts w:ascii="Times New Roman" w:hAnsi="Times New Roman" w:cs="Times New Roman" w:eastAsia="Times New Roman" w:hint="default"/>
                <w:sz w:val="21"/>
                <w:szCs w:val="21"/>
              </w:rPr>
            </w:pPr>
            <w:r>
              <w:rPr>
                <w:rFonts w:ascii="Times New Roman"/>
                <w:sz w:val="21"/>
              </w:rPr>
              <w:t>335,307,762.69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520,439,665.61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233,395,342.95</w:t>
            </w:r>
          </w:p>
        </w:tc>
      </w:tr>
      <w:tr>
        <w:trPr>
          <w:trHeight w:val="350"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民生行业</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21,986,841.00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13,484,411.44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147,971,627.45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84,253,905.68</w:t>
            </w:r>
          </w:p>
        </w:tc>
      </w:tr>
      <w:tr>
        <w:trPr>
          <w:trHeight w:val="350"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其他行业</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32,591,510.32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30,310,940.90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5,387,226.27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3,154,178.99</w:t>
            </w:r>
          </w:p>
        </w:tc>
      </w:tr>
      <w:tr>
        <w:trPr>
          <w:trHeight w:val="350"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13" w:right="0"/>
              <w:jc w:val="left"/>
              <w:rPr>
                <w:rFonts w:ascii="Times New Roman" w:hAnsi="Times New Roman" w:cs="Times New Roman" w:eastAsia="Times New Roman" w:hint="default"/>
                <w:sz w:val="21"/>
                <w:szCs w:val="21"/>
              </w:rPr>
            </w:pPr>
            <w:r>
              <w:rPr>
                <w:rFonts w:ascii="Times New Roman"/>
                <w:sz w:val="21"/>
              </w:rPr>
              <w:t>1,377,723,419.95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39" w:right="0"/>
              <w:jc w:val="left"/>
              <w:rPr>
                <w:rFonts w:ascii="Times New Roman" w:hAnsi="Times New Roman" w:cs="Times New Roman" w:eastAsia="Times New Roman" w:hint="default"/>
                <w:sz w:val="21"/>
                <w:szCs w:val="21"/>
              </w:rPr>
            </w:pPr>
            <w:r>
              <w:rPr>
                <w:rFonts w:ascii="Times New Roman"/>
                <w:sz w:val="21"/>
              </w:rPr>
              <w:t>803,603,116.48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977,652,628.58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535,335,255.60</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2"/>
        </w:rPr>
        <w:t> </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43"/>
        <w:ind w:right="2005"/>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218" w:right="0"/>
        <w:jc w:val="left"/>
      </w:pPr>
      <w:r>
        <w:rPr/>
        <w:t> </w:t>
      </w:r>
    </w:p>
    <w:p>
      <w:pPr>
        <w:pStyle w:val="Heading4"/>
        <w:spacing w:line="240" w:lineRule="auto"/>
        <w:ind w:right="2005"/>
        <w:jc w:val="left"/>
        <w:rPr>
          <w:rFonts w:ascii="宋体" w:hAnsi="宋体" w:cs="宋体" w:eastAsia="宋体" w:hint="default"/>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6"/>
        </w:rPr>
        <w:t> </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40"/>
        <w:ind w:right="2005"/>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8" w:right="0"/>
        <w:jc w:val="left"/>
      </w:pPr>
      <w:r>
        <w:rPr/>
        <w:t> </w:t>
      </w:r>
    </w:p>
    <w:p>
      <w:pPr>
        <w:pStyle w:val="Heading4"/>
        <w:spacing w:line="240" w:lineRule="auto" w:before="61"/>
        <w:ind w:right="2005"/>
        <w:jc w:val="left"/>
        <w:rPr>
          <w:b w:val="0"/>
          <w:bCs w:val="0"/>
        </w:rPr>
      </w:pPr>
      <w:r>
        <w:rPr>
          <w:rFonts w:ascii="Times New Roman" w:hAnsi="Times New Roman" w:cs="Times New Roman" w:eastAsia="Times New Roman" w:hint="default"/>
        </w:rPr>
        <w:t>7</w:t>
      </w:r>
      <w:r>
        <w:rPr/>
        <w:t>、</w:t>
      </w:r>
      <w:r>
        <w:rPr>
          <w:spacing w:val="4"/>
        </w:rPr>
        <w:t> </w:t>
      </w:r>
      <w:r>
        <w:rPr/>
        <w:t>其他对投资者决策有影响的重要交易和事项</w:t>
      </w:r>
      <w:r>
        <w:rPr>
          <w:b w:val="0"/>
          <w:bCs w:val="0"/>
        </w:rPr>
      </w:r>
    </w:p>
    <w:p>
      <w:pPr>
        <w:pStyle w:val="BodyText"/>
        <w:spacing w:line="240" w:lineRule="auto" w:before="119"/>
        <w:ind w:right="2005"/>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before="85"/>
        <w:ind w:left="638" w:right="2005"/>
        <w:jc w:val="left"/>
      </w:pPr>
      <w:r>
        <w:rPr>
          <w:rFonts w:ascii="Times New Roman" w:hAnsi="Times New Roman" w:cs="Times New Roman" w:eastAsia="Times New Roman" w:hint="default"/>
        </w:rPr>
        <w:t>1</w:t>
      </w:r>
      <w:r>
        <w:rPr/>
        <w:t>、发行可转换公司债券</w:t>
      </w:r>
    </w:p>
    <w:p>
      <w:pPr>
        <w:pStyle w:val="BodyText"/>
        <w:spacing w:line="240" w:lineRule="auto" w:before="69"/>
        <w:ind w:left="638" w:right="0"/>
        <w:jc w:val="left"/>
      </w:pPr>
      <w:r>
        <w:rPr/>
        <w:t>经中国证券监督管理委员会证监许可证监许可</w:t>
      </w:r>
      <w:r>
        <w:rPr>
          <w:rFonts w:ascii="Times New Roman" w:hAnsi="Times New Roman" w:cs="Times New Roman" w:eastAsia="Times New Roman" w:hint="default"/>
        </w:rPr>
        <w:t>[2019]857</w:t>
      </w:r>
      <w:r>
        <w:rPr>
          <w:rFonts w:ascii="Times New Roman" w:hAnsi="Times New Roman" w:cs="Times New Roman" w:eastAsia="Times New Roman" w:hint="default"/>
          <w:spacing w:val="4"/>
        </w:rPr>
        <w:t> </w:t>
      </w:r>
      <w:r>
        <w:rPr/>
        <w:t>号文核准，于</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月采取公开</w:t>
      </w:r>
    </w:p>
    <w:p>
      <w:pPr>
        <w:pStyle w:val="BodyText"/>
        <w:spacing w:line="240" w:lineRule="auto" w:before="69"/>
        <w:ind w:right="0"/>
        <w:jc w:val="left"/>
      </w:pPr>
      <w:r>
        <w:rPr/>
        <w:t>发行的方式向社会公众发行可转换公司债券</w:t>
      </w:r>
      <w:r>
        <w:rPr>
          <w:spacing w:val="-48"/>
        </w:rPr>
        <w:t> </w:t>
      </w:r>
      <w:r>
        <w:rPr>
          <w:rFonts w:ascii="Times New Roman" w:hAnsi="Times New Roman" w:cs="Times New Roman" w:eastAsia="Times New Roman" w:hint="default"/>
        </w:rPr>
        <w:t>6,600,000</w:t>
      </w:r>
      <w:r>
        <w:rPr>
          <w:rFonts w:ascii="Times New Roman" w:hAnsi="Times New Roman" w:cs="Times New Roman" w:eastAsia="Times New Roman" w:hint="default"/>
          <w:spacing w:val="5"/>
        </w:rPr>
        <w:t> </w:t>
      </w:r>
      <w:r>
        <w:rPr>
          <w:spacing w:val="-7"/>
        </w:rPr>
        <w:t>份，每份发行价格为</w:t>
      </w:r>
      <w:r>
        <w:rPr>
          <w:spacing w:val="-51"/>
        </w:rPr>
        <w:t> </w:t>
      </w:r>
      <w:r>
        <w:rPr>
          <w:rFonts w:ascii="Times New Roman" w:hAnsi="Times New Roman" w:cs="Times New Roman" w:eastAsia="Times New Roman" w:hint="default"/>
        </w:rPr>
        <w:t>100</w:t>
      </w:r>
      <w:r>
        <w:rPr>
          <w:rFonts w:ascii="Times New Roman" w:hAnsi="Times New Roman" w:cs="Times New Roman" w:eastAsia="Times New Roman" w:hint="default"/>
          <w:spacing w:val="5"/>
        </w:rPr>
        <w:t> </w:t>
      </w:r>
      <w:r>
        <w:rPr>
          <w:spacing w:val="-7"/>
        </w:rPr>
        <w:t>元。本次发行募集</w:t>
      </w:r>
    </w:p>
    <w:p>
      <w:pPr>
        <w:spacing w:after="0" w:line="240" w:lineRule="auto"/>
        <w:jc w:val="left"/>
        <w:sectPr>
          <w:pgSz w:w="11910" w:h="16840"/>
          <w:pgMar w:header="0" w:footer="979" w:top="1120" w:bottom="1160" w:left="1580" w:right="1060"/>
        </w:sectPr>
      </w:pPr>
    </w:p>
    <w:p>
      <w:pPr>
        <w:spacing w:line="240" w:lineRule="auto" w:before="0"/>
        <w:rPr>
          <w:rFonts w:ascii="宋体" w:hAnsi="宋体" w:cs="宋体" w:eastAsia="宋体" w:hint="default"/>
          <w:sz w:val="20"/>
          <w:szCs w:val="20"/>
        </w:rPr>
      </w:pPr>
    </w:p>
    <w:p>
      <w:pPr>
        <w:pStyle w:val="BodyText"/>
        <w:spacing w:line="240" w:lineRule="auto" w:before="177"/>
        <w:ind w:right="0"/>
        <w:jc w:val="left"/>
      </w:pPr>
      <w:r>
        <w:rPr>
          <w:spacing w:val="19"/>
        </w:rPr>
        <w:t>资金共计额币 </w:t>
      </w:r>
      <w:r>
        <w:rPr>
          <w:rFonts w:ascii="Times New Roman" w:hAnsi="Times New Roman" w:cs="Times New Roman" w:eastAsia="Times New Roman" w:hint="default"/>
        </w:rPr>
        <w:t>660,000,000.00  </w:t>
      </w:r>
      <w:r>
        <w:rPr>
          <w:spacing w:val="11"/>
        </w:rPr>
        <w:t>元， </w:t>
      </w:r>
      <w:r>
        <w:rPr>
          <w:spacing w:val="19"/>
        </w:rPr>
        <w:t>扣除相关的发行费用 </w:t>
      </w:r>
      <w:r>
        <w:rPr>
          <w:rFonts w:ascii="Times New Roman" w:hAnsi="Times New Roman" w:cs="Times New Roman" w:eastAsia="Times New Roman" w:hint="default"/>
        </w:rPr>
        <w:t>10,385,000.00  </w:t>
      </w:r>
      <w:r>
        <w:rPr>
          <w:spacing w:val="11"/>
        </w:rPr>
        <w:t>元，</w:t>
      </w:r>
      <w:r>
        <w:rPr>
          <w:spacing w:val="-68"/>
        </w:rPr>
        <w:t> </w:t>
      </w:r>
      <w:r>
        <w:rPr>
          <w:spacing w:val="18"/>
        </w:rPr>
        <w:t>实际募集资金</w:t>
      </w:r>
    </w:p>
    <w:p>
      <w:pPr>
        <w:pStyle w:val="BodyText"/>
        <w:spacing w:line="240" w:lineRule="auto" w:before="69"/>
        <w:ind w:right="0"/>
        <w:jc w:val="left"/>
      </w:pPr>
      <w:r>
        <w:rPr>
          <w:rFonts w:ascii="Times New Roman" w:hAnsi="Times New Roman" w:cs="Times New Roman" w:eastAsia="Times New Roman" w:hint="default"/>
        </w:rPr>
        <w:t>649,615,000.00 </w:t>
      </w:r>
      <w:r>
        <w:rPr/>
        <w:t>元。</w:t>
      </w:r>
    </w:p>
    <w:p>
      <w:pPr>
        <w:pStyle w:val="BodyText"/>
        <w:spacing w:line="297" w:lineRule="auto" w:before="69"/>
        <w:ind w:right="230" w:firstLine="419"/>
        <w:jc w:val="both"/>
      </w:pPr>
      <w:r>
        <w:rPr>
          <w:spacing w:val="-1"/>
        </w:rPr>
        <w:t>本次发行的可转换公司债券简称为“南威转债”，债券代码为“</w:t>
      </w:r>
      <w:r>
        <w:rPr>
          <w:rFonts w:ascii="Times New Roman" w:hAnsi="Times New Roman" w:cs="Times New Roman" w:eastAsia="Times New Roman" w:hint="default"/>
          <w:spacing w:val="-1"/>
        </w:rPr>
        <w:t>113540</w:t>
      </w:r>
      <w:r>
        <w:rPr>
          <w:spacing w:val="-1"/>
        </w:rPr>
        <w:t>”，可转换公司债券</w:t>
      </w:r>
      <w:r>
        <w:rPr>
          <w:w w:val="100"/>
        </w:rPr>
        <w:t> </w:t>
      </w:r>
      <w:r>
        <w:rPr/>
        <w:t>存续的起止日期为</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日至</w:t>
      </w:r>
      <w:r>
        <w:rPr>
          <w:spacing w:val="-54"/>
        </w:rPr>
        <w:t> </w:t>
      </w:r>
      <w:r>
        <w:rPr>
          <w:rFonts w:ascii="Times New Roman" w:hAnsi="Times New Roman" w:cs="Times New Roman" w:eastAsia="Times New Roman" w:hint="default"/>
        </w:rPr>
        <w:t>2025</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日，并于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日上市。</w:t>
      </w:r>
    </w:p>
    <w:p>
      <w:pPr>
        <w:pStyle w:val="BodyText"/>
        <w:spacing w:line="240" w:lineRule="auto" w:before="13"/>
        <w:ind w:left="638" w:right="0"/>
        <w:jc w:val="left"/>
      </w:pPr>
      <w:r>
        <w:rPr>
          <w:rFonts w:ascii="Times New Roman" w:hAnsi="Times New Roman" w:cs="Times New Roman" w:eastAsia="Times New Roman" w:hint="default"/>
        </w:rPr>
        <w:t>2</w:t>
      </w:r>
      <w:r>
        <w:rPr/>
        <w:t>、引进战略投资者</w:t>
      </w:r>
    </w:p>
    <w:p>
      <w:pPr>
        <w:pStyle w:val="BodyText"/>
        <w:spacing w:line="304" w:lineRule="auto" w:before="69"/>
        <w:ind w:right="227" w:firstLine="419"/>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日，公司控股股东、实际控制人吴志雄先生与上海云鑫系浙江蚂蚁小微金融</w:t>
      </w:r>
      <w:r>
        <w:rPr>
          <w:w w:val="100"/>
        </w:rPr>
        <w:t> </w:t>
      </w:r>
      <w:r>
        <w:rPr>
          <w:spacing w:val="-1"/>
        </w:rPr>
        <w:t>服务集团股份有限公司（以下简称</w:t>
      </w:r>
      <w:r>
        <w:rPr>
          <w:rFonts w:ascii="Times New Roman" w:hAnsi="Times New Roman" w:cs="Times New Roman" w:eastAsia="Times New Roman" w:hint="default"/>
          <w:spacing w:val="-1"/>
        </w:rPr>
        <w:t>“</w:t>
      </w:r>
      <w:r>
        <w:rPr>
          <w:spacing w:val="-1"/>
        </w:rPr>
        <w:t>蚂蚁金服</w:t>
      </w:r>
      <w:r>
        <w:rPr>
          <w:rFonts w:ascii="Times New Roman" w:hAnsi="Times New Roman" w:cs="Times New Roman" w:eastAsia="Times New Roman" w:hint="default"/>
          <w:spacing w:val="-1"/>
        </w:rPr>
        <w:t>”</w:t>
      </w:r>
      <w:r>
        <w:rPr>
          <w:spacing w:val="-1"/>
        </w:rPr>
        <w:t>）全资子公司，以下简称“上海云鑫”）签署《股</w:t>
      </w:r>
      <w:r>
        <w:rPr>
          <w:spacing w:val="-26"/>
        </w:rPr>
        <w:t> </w:t>
      </w:r>
      <w:r>
        <w:rPr>
          <w:spacing w:val="-26"/>
        </w:rPr>
      </w:r>
      <w:r>
        <w:rPr>
          <w:spacing w:val="-4"/>
        </w:rPr>
        <w:t>份转让协议》，将其所持有的</w:t>
      </w:r>
      <w:r>
        <w:rPr>
          <w:spacing w:val="-50"/>
        </w:rPr>
        <w:t> </w:t>
      </w:r>
      <w:r>
        <w:rPr>
          <w:rFonts w:ascii="Times New Roman" w:hAnsi="Times New Roman" w:cs="Times New Roman" w:eastAsia="Times New Roman" w:hint="default"/>
        </w:rPr>
        <w:t>29,897,678</w:t>
      </w:r>
      <w:r>
        <w:rPr>
          <w:rFonts w:ascii="Times New Roman" w:hAnsi="Times New Roman" w:cs="Times New Roman" w:eastAsia="Times New Roman" w:hint="default"/>
          <w:spacing w:val="-1"/>
        </w:rPr>
        <w:t> </w:t>
      </w:r>
      <w:r>
        <w:rPr/>
        <w:t>股</w:t>
      </w:r>
      <w:r>
        <w:rPr>
          <w:spacing w:val="-53"/>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股无限售流通股股票转让给上海云鑫，所转让股份</w:t>
      </w:r>
      <w:r>
        <w:rPr>
          <w:w w:val="100"/>
        </w:rPr>
        <w:t> </w:t>
      </w:r>
      <w:r>
        <w:rPr/>
        <w:t>占公司总股本的</w:t>
      </w:r>
      <w:r>
        <w:rPr>
          <w:spacing w:val="-47"/>
        </w:rPr>
        <w:t> </w:t>
      </w:r>
      <w:r>
        <w:rPr>
          <w:rFonts w:ascii="Times New Roman" w:hAnsi="Times New Roman" w:cs="Times New Roman" w:eastAsia="Times New Roman" w:hint="default"/>
        </w:rPr>
        <w:t>5.68%</w:t>
      </w:r>
      <w:r>
        <w:rPr/>
        <w:t>。上述股份转让已于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日在中国证券登记结算有限责任公司</w:t>
      </w:r>
      <w:r>
        <w:rPr>
          <w:w w:val="100"/>
        </w:rPr>
        <w:t> </w:t>
      </w:r>
      <w:r>
        <w:rPr>
          <w:spacing w:val="-1"/>
        </w:rPr>
        <w:t>完成过户登记手续。同日，浙江蚂蚁小微金融服务集团股份有限公司、北京蚂蚁云金融信息服务</w:t>
      </w:r>
      <w:r>
        <w:rPr>
          <w:spacing w:val="-55"/>
        </w:rPr>
        <w:t> </w:t>
      </w:r>
      <w:r>
        <w:rPr>
          <w:spacing w:val="-55"/>
        </w:rPr>
      </w:r>
      <w:r>
        <w:rPr>
          <w:spacing w:val="-1"/>
        </w:rPr>
        <w:t>有限公司与公司及福建南威签署了《业务合作协议》，约定各方在数字政务平台的共同研发、创</w:t>
      </w:r>
      <w:r>
        <w:rPr>
          <w:spacing w:val="-55"/>
        </w:rPr>
        <w:t> </w:t>
      </w:r>
      <w:r>
        <w:rPr>
          <w:spacing w:val="-55"/>
        </w:rPr>
      </w:r>
      <w:r>
        <w:rPr>
          <w:spacing w:val="-1"/>
        </w:rPr>
        <w:t>新行业标准与联合市场推广等方面展开深度合作，在数字政务相关项目的交付、国产化自主可控</w:t>
      </w:r>
      <w:r>
        <w:rPr>
          <w:spacing w:val="-55"/>
        </w:rPr>
        <w:t> </w:t>
      </w:r>
      <w:r>
        <w:rPr>
          <w:spacing w:val="-55"/>
        </w:rPr>
      </w:r>
      <w:r>
        <w:rPr/>
        <w:t>技术产品的合作与推广、政府数据的运营支撑平台、创新互联网</w:t>
      </w:r>
      <w:r>
        <w:rPr>
          <w:rFonts w:ascii="Times New Roman" w:hAnsi="Times New Roman" w:cs="Times New Roman" w:eastAsia="Times New Roman" w:hint="default"/>
        </w:rPr>
        <w:t>+</w:t>
      </w:r>
      <w:r>
        <w:rPr/>
        <w:t>政务业务应用和政务领域相关</w:t>
      </w:r>
      <w:r>
        <w:rPr>
          <w:spacing w:val="-5"/>
        </w:rPr>
        <w:t> </w:t>
      </w:r>
      <w:r>
        <w:rPr>
          <w:spacing w:val="-5"/>
        </w:rPr>
      </w:r>
      <w:r>
        <w:rPr/>
        <w:t>标准上开展业务或技术合作。</w:t>
      </w:r>
    </w:p>
    <w:p>
      <w:pPr>
        <w:pStyle w:val="BodyText"/>
        <w:spacing w:line="304" w:lineRule="auto" w:before="28"/>
        <w:ind w:right="228" w:firstLine="419"/>
        <w:jc w:val="both"/>
      </w:pPr>
      <w:r>
        <w:rPr>
          <w:spacing w:val="-2"/>
        </w:rPr>
        <w:t>为推进中国电子科技集团有限公司（以下简称“中国电科”）及其旗下子公司与南威软件在</w:t>
      </w:r>
      <w:r>
        <w:rPr>
          <w:w w:val="100"/>
        </w:rPr>
        <w:t> </w:t>
      </w:r>
      <w:r>
        <w:rPr/>
        <w:t>智慧城市、自主创新国产软件、城市公共安全管理、物联网行业应用、互联网</w:t>
      </w:r>
      <w:r>
        <w:rPr>
          <w:rFonts w:ascii="Times New Roman" w:hAnsi="Times New Roman" w:cs="Times New Roman" w:eastAsia="Times New Roman" w:hint="default"/>
        </w:rPr>
        <w:t>+</w:t>
      </w:r>
      <w:r>
        <w:rPr/>
        <w:t>监管、大数据产</w:t>
      </w:r>
      <w:r>
        <w:rPr>
          <w:spacing w:val="-3"/>
        </w:rPr>
        <w:t> </w:t>
      </w:r>
      <w:r>
        <w:rPr>
          <w:spacing w:val="-3"/>
        </w:rPr>
      </w:r>
      <w:r>
        <w:rPr>
          <w:spacing w:val="-1"/>
        </w:rPr>
        <w:t>业等领域的深度产业合作，公司控股股东、实际控制人吴志雄先生与与中电科投资控股有限公司</w:t>
      </w:r>
    </w:p>
    <w:p>
      <w:pPr>
        <w:pStyle w:val="BodyText"/>
        <w:spacing w:line="240" w:lineRule="auto" w:before="28"/>
        <w:ind w:right="0"/>
        <w:jc w:val="left"/>
        <w:rPr>
          <w:rFonts w:ascii="Times New Roman" w:hAnsi="Times New Roman" w:cs="Times New Roman" w:eastAsia="Times New Roman" w:hint="default"/>
        </w:rPr>
      </w:pPr>
      <w:r>
        <w:rPr>
          <w:spacing w:val="-6"/>
        </w:rPr>
        <w:t>（系中国电子科技集团有限公司全资子公司，以下简称“电科投资”）于</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spacing w:val="-12"/>
        </w:rPr>
        <w:t>日、</w:t>
      </w:r>
      <w:r>
        <w:rPr>
          <w:rFonts w:ascii="Times New Roman" w:hAnsi="Times New Roman" w:cs="Times New Roman" w:eastAsia="Times New Roman" w:hint="default"/>
          <w:spacing w:val="-12"/>
        </w:rPr>
        <w:t>2019</w:t>
      </w:r>
    </w:p>
    <w:p>
      <w:pPr>
        <w:pStyle w:val="BodyText"/>
        <w:spacing w:line="297" w:lineRule="auto" w:before="69"/>
        <w:ind w:right="227"/>
        <w:jc w:val="both"/>
      </w:pPr>
      <w:r>
        <w:rPr>
          <w:w w:val="100"/>
        </w:rPr>
        <w:t>年</w:t>
      </w:r>
      <w:r>
        <w:rPr>
          <w:spacing w:val="-56"/>
          <w:w w:val="100"/>
        </w:rPr>
        <w:t> </w:t>
      </w:r>
      <w:r>
        <w:rPr>
          <w:rFonts w:ascii="Times New Roman" w:hAnsi="Times New Roman" w:cs="Times New Roman" w:eastAsia="Times New Roman" w:hint="default"/>
          <w:spacing w:val="-2"/>
          <w:w w:val="100"/>
        </w:rPr>
        <w:t>11</w:t>
      </w:r>
      <w:r>
        <w:rPr>
          <w:rFonts w:ascii="Times New Roman" w:hAnsi="Times New Roman" w:cs="Times New Roman" w:eastAsia="Times New Roman" w:hint="default"/>
          <w:spacing w:val="-6"/>
          <w:w w:val="100"/>
        </w:rPr>
        <w:t> </w:t>
      </w:r>
      <w:r>
        <w:rPr>
          <w:w w:val="100"/>
        </w:rPr>
        <w:t>月</w:t>
      </w:r>
      <w:r>
        <w:rPr>
          <w:spacing w:val="-56"/>
          <w:w w:val="100"/>
        </w:rPr>
        <w:t> </w:t>
      </w:r>
      <w:r>
        <w:rPr>
          <w:rFonts w:ascii="Times New Roman" w:hAnsi="Times New Roman" w:cs="Times New Roman" w:eastAsia="Times New Roman" w:hint="default"/>
          <w:spacing w:val="-2"/>
          <w:w w:val="100"/>
        </w:rPr>
        <w:t>22 </w:t>
      </w:r>
      <w:r>
        <w:rPr>
          <w:spacing w:val="-17"/>
          <w:w w:val="100"/>
        </w:rPr>
        <w:t>日分别签署了《股份转让协议》及《股份转让协议之补充协议》，将其所持有的</w:t>
      </w:r>
      <w:r>
        <w:rPr>
          <w:spacing w:val="-58"/>
          <w:w w:val="100"/>
        </w:rPr>
        <w:t> </w:t>
      </w:r>
      <w:r>
        <w:rPr>
          <w:rFonts w:ascii="Times New Roman" w:hAnsi="Times New Roman" w:cs="Times New Roman" w:eastAsia="Times New Roman" w:hint="default"/>
          <w:spacing w:val="-1"/>
          <w:w w:val="100"/>
        </w:rPr>
        <w:t>29,897,679</w:t>
      </w:r>
      <w:r>
        <w:rPr>
          <w:rFonts w:ascii="Times New Roman" w:hAnsi="Times New Roman" w:cs="Times New Roman" w:eastAsia="Times New Roman" w:hint="default"/>
          <w:spacing w:val="-51"/>
          <w:w w:val="100"/>
        </w:rPr>
        <w:t> </w:t>
      </w:r>
      <w:r>
        <w:rPr>
          <w:rFonts w:ascii="Times New Roman" w:hAnsi="Times New Roman" w:cs="Times New Roman" w:eastAsia="Times New Roman" w:hint="default"/>
          <w:spacing w:val="-51"/>
          <w:w w:val="100"/>
        </w:rPr>
      </w:r>
      <w:r>
        <w:rPr/>
        <w:t>股</w:t>
      </w:r>
      <w:r>
        <w:rPr>
          <w:spacing w:val="-55"/>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股无限售流通股股票转让给电科投资，所转让股份占公司总股本</w:t>
      </w:r>
      <w:r>
        <w:rPr>
          <w:spacing w:val="-55"/>
        </w:rPr>
        <w:t> </w:t>
      </w:r>
      <w:r>
        <w:rPr>
          <w:rFonts w:ascii="Times New Roman" w:hAnsi="Times New Roman" w:cs="Times New Roman" w:eastAsia="Times New Roman" w:hint="default"/>
        </w:rPr>
        <w:t>5.68%</w:t>
      </w:r>
      <w:r>
        <w:rPr/>
        <w:t>。本次股份转让已于</w:t>
      </w:r>
      <w:r>
        <w:rPr>
          <w:w w:val="10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日，在中国证券登记结算有限责任公司日完成过户登记手续。</w:t>
      </w:r>
    </w:p>
    <w:p>
      <w:pPr>
        <w:pStyle w:val="Heading3"/>
        <w:spacing w:line="293" w:lineRule="exact"/>
        <w:ind w:left="417" w:right="0"/>
        <w:jc w:val="left"/>
      </w:pPr>
      <w:r>
        <w:rPr/>
        <w:t> </w:t>
      </w:r>
    </w:p>
    <w:p>
      <w:pPr>
        <w:pStyle w:val="Heading4"/>
        <w:spacing w:line="240" w:lineRule="auto"/>
        <w:ind w:right="0"/>
        <w:jc w:val="left"/>
        <w:rPr>
          <w:b w:val="0"/>
          <w:bCs w:val="0"/>
        </w:rPr>
      </w:pPr>
      <w:r>
        <w:rPr>
          <w:rFonts w:ascii="Times New Roman" w:hAnsi="Times New Roman" w:cs="Times New Roman" w:eastAsia="Times New Roman" w:hint="default"/>
        </w:rPr>
        <w:t>8</w:t>
      </w:r>
      <w:r>
        <w:rPr/>
        <w:t>、</w:t>
      </w:r>
      <w:r>
        <w:rPr>
          <w:spacing w:val="3"/>
        </w:rPr>
        <w:t> </w:t>
      </w:r>
      <w:r>
        <w:rPr/>
        <w:t>其他</w:t>
      </w:r>
      <w:r>
        <w:rPr>
          <w:b w:val="0"/>
          <w:bCs w:val="0"/>
        </w:rPr>
      </w:r>
    </w:p>
    <w:p>
      <w:pPr>
        <w:pStyle w:val="BodyText"/>
        <w:spacing w:line="270" w:lineRule="exact" w:before="43"/>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4"/>
        <w:spacing w:line="290" w:lineRule="auto" w:before="0"/>
        <w:ind w:right="5570"/>
        <w:jc w:val="left"/>
        <w:rPr>
          <w:b w:val="0"/>
          <w:bCs w:val="0"/>
        </w:rPr>
      </w:pPr>
      <w:r>
        <w:rPr>
          <w:rFonts w:ascii="宋体" w:hAnsi="宋体" w:cs="宋体" w:eastAsia="宋体" w:hint="default"/>
          <w:b w:val="0"/>
          <w:bCs w:val="0"/>
          <w:sz w:val="24"/>
          <w:szCs w:val="24"/>
        </w:rPr>
        <w:t> </w:t>
      </w:r>
      <w:r>
        <w:rPr>
          <w:w w:val="100"/>
        </w:rPr>
        <w:t>十七</w:t>
      </w:r>
      <w:r>
        <w:rPr>
          <w:spacing w:val="-1"/>
          <w:w w:val="100"/>
        </w:rPr>
        <w:t>、</w:t>
      </w:r>
      <w:r>
        <w:rPr>
          <w:w w:val="100"/>
        </w:rPr>
        <w:t>母公司财务报表主</w:t>
      </w:r>
      <w:r>
        <w:rPr>
          <w:spacing w:val="-3"/>
          <w:w w:val="100"/>
        </w:rPr>
        <w:t>要</w:t>
      </w:r>
      <w:r>
        <w:rPr>
          <w:w w:val="100"/>
        </w:rPr>
        <w:t>项</w:t>
      </w:r>
      <w:r>
        <w:rPr>
          <w:spacing w:val="-3"/>
          <w:w w:val="100"/>
        </w:rPr>
        <w:t>目</w:t>
      </w:r>
      <w:r>
        <w:rPr>
          <w:w w:val="100"/>
        </w:rPr>
        <w:t>注释</w:t>
      </w:r>
      <w:r>
        <w:rPr>
          <w:rFonts w:ascii="宋体" w:hAnsi="宋体" w:cs="宋体" w:eastAsia="宋体" w:hint="default"/>
          <w:w w:val="99"/>
        </w:rPr>
        <w:t> </w:t>
      </w:r>
      <w:r>
        <w:rPr>
          <w:rFonts w:ascii="Times New Roman" w:hAnsi="Times New Roman" w:cs="Times New Roman" w:eastAsia="Times New Roman" w:hint="default"/>
          <w:w w:val="100"/>
        </w:rPr>
        <w:t>1</w:t>
      </w:r>
      <w:r>
        <w:rPr>
          <w:w w:val="100"/>
        </w:rPr>
        <w:t>、</w:t>
      </w:r>
      <w:r>
        <w:rPr>
          <w:spacing w:val="2"/>
        </w:rPr>
        <w:t> </w:t>
      </w:r>
      <w:r>
        <w:rPr>
          <w:w w:val="100"/>
        </w:rPr>
        <w:t>应收账款</w:t>
      </w:r>
      <w:r>
        <w:rPr>
          <w:b w:val="0"/>
          <w:bCs w:val="0"/>
          <w:w w:val="100"/>
        </w:rPr>
      </w:r>
    </w:p>
    <w:p>
      <w:pPr>
        <w:pStyle w:val="Heading4"/>
        <w:spacing w:line="282" w:lineRule="exact" w:before="0"/>
        <w:ind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7"/>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12"/>
        <w:jc w:val="righ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284"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一年内</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337,338,305.91</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337,338,305.91</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28,705,135.61</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36,880,400.86</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7,629,572.57</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6,882,419.42</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11,734,634.25</w:t>
            </w:r>
          </w:p>
        </w:tc>
      </w:tr>
      <w:tr>
        <w:trPr>
          <w:trHeight w:val="322"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59"/>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429,170,468.62</w:t>
            </w:r>
          </w:p>
        </w:tc>
      </w:tr>
    </w:tbl>
    <w:p>
      <w:pPr>
        <w:spacing w:after="0" w:line="235" w:lineRule="exact"/>
        <w:jc w:val="right"/>
        <w:rPr>
          <w:rFonts w:ascii="Times New Roman" w:hAnsi="Times New Roman" w:cs="Times New Roman" w:eastAsia="Times New Roman" w:hint="default"/>
          <w:sz w:val="21"/>
          <w:szCs w:val="21"/>
        </w:rPr>
        <w:sectPr>
          <w:pgSz w:w="11910" w:h="16840"/>
          <w:pgMar w:header="0" w:footer="979" w:top="1120" w:bottom="1160" w:left="1580" w:right="1040"/>
        </w:sectPr>
      </w:pPr>
    </w:p>
    <w:p>
      <w:pPr>
        <w:spacing w:line="240" w:lineRule="auto" w:before="3"/>
        <w:rPr>
          <w:rFonts w:ascii="宋体" w:hAnsi="宋体" w:cs="宋体" w:eastAsia="宋体" w:hint="default"/>
          <w:sz w:val="25"/>
          <w:szCs w:val="25"/>
        </w:rPr>
      </w:pPr>
    </w:p>
    <w:p>
      <w:pPr>
        <w:pStyle w:val="Heading3"/>
        <w:spacing w:line="240" w:lineRule="auto" w:before="26"/>
        <w:ind w:left="138" w:right="0"/>
        <w:jc w:val="left"/>
      </w:pPr>
      <w:r>
        <w:rPr/>
        <w:t> </w:t>
      </w:r>
    </w:p>
    <w:p>
      <w:pPr>
        <w:spacing w:after="0" w:line="240" w:lineRule="auto"/>
        <w:jc w:val="left"/>
        <w:sectPr>
          <w:pgSz w:w="11910" w:h="16840"/>
          <w:pgMar w:header="0" w:footer="979" w:top="1120" w:bottom="1160" w:left="1660" w:right="1140"/>
        </w:sectPr>
      </w:pPr>
    </w:p>
    <w:p>
      <w:pPr>
        <w:spacing w:before="45"/>
        <w:ind w:left="3836" w:right="0" w:firstLine="0"/>
        <w:jc w:val="left"/>
        <w:rPr>
          <w:rFonts w:ascii="宋体" w:hAnsi="宋体" w:cs="宋体" w:eastAsia="宋体" w:hint="default"/>
          <w:sz w:val="18"/>
          <w:szCs w:val="18"/>
        </w:rPr>
      </w:pPr>
      <w:r>
        <w:rPr/>
        <w:pict>
          <v:shape style="position:absolute;margin-left:205.449997pt;margin-top:3.521709pt;width:51.594pt;height:9.2pt;mso-position-horizontal-relative:page;mso-position-vertical-relative:paragraph;z-index:-1169848" type="#_x0000_t75" stroked="false">
            <v:imagedata r:id="rId18" o:title=""/>
          </v:shape>
        </w:pict>
      </w: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75"/>
          <w:footerReference w:type="default" r:id="rId76"/>
          <w:pgSz w:w="16840" w:h="11910" w:orient="landscape"/>
          <w:pgMar w:header="0" w:footer="0" w:top="780" w:bottom="280" w:left="1300" w:right="1380"/>
        </w:sectPr>
      </w:pPr>
    </w:p>
    <w:p>
      <w:pPr>
        <w:pStyle w:val="BodyText"/>
        <w:spacing w:line="240" w:lineRule="auto" w:before="36"/>
        <w:ind w:left="140" w:right="0"/>
        <w:jc w:val="left"/>
        <w:rPr>
          <w:rFonts w:ascii="宋体" w:hAnsi="宋体" w:cs="宋体" w:eastAsia="宋体" w:hint="default"/>
        </w:rPr>
      </w:pPr>
      <w:r>
        <w:rPr>
          <w:rFonts w:ascii="宋体"/>
          <w:w w:val="100"/>
        </w:rPr>
        <w:t> </w:t>
      </w:r>
    </w:p>
    <w:p>
      <w:pPr>
        <w:pStyle w:val="Heading4"/>
        <w:spacing w:line="240" w:lineRule="auto" w:before="56"/>
        <w:ind w:left="140"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7"/>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1"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500" w:bottom="280" w:left="1300" w:right="1380"/>
          <w:cols w:num="2" w:equalWidth="0">
            <w:col w:w="3050" w:space="8410"/>
            <w:col w:w="2700"/>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09"/>
        <w:gridCol w:w="1742"/>
        <w:gridCol w:w="709"/>
        <w:gridCol w:w="1622"/>
        <w:gridCol w:w="732"/>
        <w:gridCol w:w="1743"/>
        <w:gridCol w:w="1586"/>
        <w:gridCol w:w="641"/>
        <w:gridCol w:w="1321"/>
        <w:gridCol w:w="756"/>
        <w:gridCol w:w="1375"/>
      </w:tblGrid>
      <w:tr>
        <w:trPr>
          <w:trHeight w:val="329" w:hRule="exact"/>
        </w:trPr>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5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6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31" w:hRule="exact"/>
        </w:trPr>
        <w:tc>
          <w:tcPr>
            <w:tcW w:w="1709" w:type="dxa"/>
            <w:vMerge/>
            <w:tcBorders>
              <w:left w:val="single" w:sz="4" w:space="0" w:color="000000"/>
              <w:right w:val="single" w:sz="4" w:space="0" w:color="000000"/>
            </w:tcBorders>
          </w:tcPr>
          <w:p>
            <w:pPr/>
          </w:p>
        </w:tc>
        <w:tc>
          <w:tcPr>
            <w:tcW w:w="24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9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43" w:type="dxa"/>
            <w:vMerge w:val="restart"/>
            <w:tcBorders>
              <w:top w:val="single" w:sz="4" w:space="0" w:color="000000"/>
              <w:left w:val="single" w:sz="4" w:space="0" w:color="000000"/>
              <w:right w:val="single" w:sz="4" w:space="0" w:color="000000"/>
            </w:tcBorders>
          </w:tcPr>
          <w:p>
            <w:pPr>
              <w:pStyle w:val="TableParagraph"/>
              <w:spacing w:line="278" w:lineRule="auto" w:before="177"/>
              <w:ind w:left="655" w:right="55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8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0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1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375" w:type="dxa"/>
            <w:vMerge w:val="restart"/>
            <w:tcBorders>
              <w:top w:val="single" w:sz="4" w:space="0" w:color="000000"/>
              <w:left w:val="single" w:sz="4" w:space="0" w:color="000000"/>
              <w:right w:val="single" w:sz="4" w:space="0" w:color="000000"/>
            </w:tcBorders>
          </w:tcPr>
          <w:p>
            <w:pPr>
              <w:pStyle w:val="TableParagraph"/>
              <w:spacing w:line="278" w:lineRule="auto" w:before="177"/>
              <w:ind w:left="472" w:right="36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649" w:hRule="exact"/>
        </w:trPr>
        <w:tc>
          <w:tcPr>
            <w:tcW w:w="1709" w:type="dxa"/>
            <w:vMerge/>
            <w:tcBorders>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3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93"/>
              <w:ind w:left="189" w:right="0"/>
              <w:jc w:val="left"/>
              <w:rPr>
                <w:rFonts w:ascii="Times New Roman" w:hAnsi="Times New Roman" w:cs="Times New Roman" w:eastAsia="Times New Roman" w:hint="default"/>
                <w:sz w:val="21"/>
                <w:szCs w:val="21"/>
              </w:rPr>
            </w:pPr>
            <w:r>
              <w:rPr>
                <w:rFonts w:ascii="Times New Roman"/>
                <w:sz w:val="21"/>
              </w:rPr>
              <w:t>(%)</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98" w:right="41"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743" w:type="dxa"/>
            <w:vMerge/>
            <w:tcBorders>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93"/>
              <w:ind w:left="158" w:right="0"/>
              <w:jc w:val="left"/>
              <w:rPr>
                <w:rFonts w:ascii="Times New Roman" w:hAnsi="Times New Roman" w:cs="Times New Roman" w:eastAsia="Times New Roman" w:hint="default"/>
                <w:sz w:val="21"/>
                <w:szCs w:val="21"/>
              </w:rPr>
            </w:pPr>
            <w:r>
              <w:rPr>
                <w:rFonts w:ascii="Times New Roman"/>
                <w:sz w:val="21"/>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110" w:right="53"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375" w:type="dxa"/>
            <w:vMerge/>
            <w:tcBorders>
              <w:left w:val="single" w:sz="4" w:space="0" w:color="000000"/>
              <w:bottom w:val="single" w:sz="4" w:space="0" w:color="000000"/>
              <w:right w:val="single" w:sz="4" w:space="0" w:color="000000"/>
            </w:tcBorders>
          </w:tcPr>
          <w:p>
            <w:pPr/>
          </w:p>
        </w:tc>
      </w:tr>
      <w:tr>
        <w:trPr>
          <w:trHeight w:val="65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26" w:right="197"/>
              <w:jc w:val="left"/>
              <w:rPr>
                <w:rFonts w:ascii="宋体" w:hAnsi="宋体" w:cs="宋体" w:eastAsia="宋体" w:hint="default"/>
                <w:sz w:val="21"/>
                <w:szCs w:val="21"/>
              </w:rPr>
            </w:pPr>
            <w:r>
              <w:rPr>
                <w:rFonts w:ascii="宋体" w:hAnsi="宋体" w:cs="宋体" w:eastAsia="宋体" w:hint="default"/>
                <w:sz w:val="21"/>
                <w:szCs w:val="21"/>
              </w:rPr>
              <w:t>按单项计提坏账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1,117,022.34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75" w:right="0"/>
              <w:jc w:val="center"/>
              <w:rPr>
                <w:rFonts w:ascii="Times New Roman" w:hAnsi="Times New Roman" w:cs="Times New Roman" w:eastAsia="Times New Roman" w:hint="default"/>
                <w:sz w:val="21"/>
                <w:szCs w:val="21"/>
              </w:rPr>
            </w:pPr>
            <w:r>
              <w:rPr>
                <w:rFonts w:ascii="Times New Roman"/>
                <w:sz w:val="21"/>
              </w:rPr>
              <w:t>0.26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1,117,022.34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100"/>
                <w:sz w:val="21"/>
              </w:rPr>
              <w:t>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1,069,457.42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0.45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1,069,457.42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100"/>
                <w:sz w:val="21"/>
              </w:rPr>
              <w:t>0</w:t>
            </w:r>
          </w:p>
        </w:tc>
      </w:tr>
      <w:tr>
        <w:trPr>
          <w:trHeight w:val="331"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97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6" w:right="197"/>
              <w:jc w:val="both"/>
              <w:rPr>
                <w:rFonts w:ascii="宋体" w:hAnsi="宋体" w:cs="宋体" w:eastAsia="宋体" w:hint="default"/>
                <w:sz w:val="21"/>
                <w:szCs w:val="21"/>
              </w:rPr>
            </w:pPr>
            <w:r>
              <w:rPr>
                <w:rFonts w:ascii="宋体" w:hAnsi="宋体" w:cs="宋体" w:eastAsia="宋体" w:hint="default"/>
                <w:sz w:val="21"/>
                <w:szCs w:val="21"/>
              </w:rPr>
              <w:t>单项金额重大并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2"/>
              <w:ind w:left="26" w:right="95"/>
              <w:jc w:val="both"/>
              <w:rPr>
                <w:rFonts w:ascii="宋体" w:hAnsi="宋体" w:cs="宋体" w:eastAsia="宋体" w:hint="default"/>
                <w:sz w:val="21"/>
                <w:szCs w:val="21"/>
              </w:rPr>
            </w:pPr>
            <w:r>
              <w:rPr>
                <w:rFonts w:ascii="宋体" w:hAnsi="宋体" w:cs="宋体" w:eastAsia="宋体" w:hint="default"/>
                <w:sz w:val="21"/>
                <w:szCs w:val="21"/>
              </w:rPr>
              <w:t>单项金额不重大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准备的应收账款</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1,117,022.34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275" w:right="0"/>
              <w:jc w:val="center"/>
              <w:rPr>
                <w:rFonts w:ascii="Times New Roman" w:hAnsi="Times New Roman" w:cs="Times New Roman" w:eastAsia="Times New Roman" w:hint="default"/>
                <w:sz w:val="21"/>
                <w:szCs w:val="21"/>
              </w:rPr>
            </w:pPr>
            <w:r>
              <w:rPr>
                <w:rFonts w:ascii="Times New Roman"/>
                <w:sz w:val="21"/>
              </w:rPr>
              <w:t>0.26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1,117,022.34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100"/>
                <w:sz w:val="21"/>
              </w:rPr>
              <w:t>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1,069,457.42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0.45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1,069,457.42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100"/>
                <w:sz w:val="21"/>
              </w:rPr>
              <w:t>0</w:t>
            </w:r>
          </w:p>
        </w:tc>
      </w:tr>
      <w:tr>
        <w:trPr>
          <w:trHeight w:val="65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6" w:right="197"/>
              <w:jc w:val="left"/>
              <w:rPr>
                <w:rFonts w:ascii="宋体" w:hAnsi="宋体" w:cs="宋体" w:eastAsia="宋体" w:hint="default"/>
                <w:sz w:val="21"/>
                <w:szCs w:val="21"/>
              </w:rPr>
            </w:pPr>
            <w:r>
              <w:rPr>
                <w:rFonts w:ascii="宋体" w:hAnsi="宋体" w:cs="宋体" w:eastAsia="宋体" w:hint="default"/>
                <w:sz w:val="21"/>
                <w:szCs w:val="21"/>
              </w:rPr>
              <w:t>按组合计提坏账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428,053,446.28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69" w:right="0"/>
              <w:jc w:val="center"/>
              <w:rPr>
                <w:rFonts w:ascii="Times New Roman" w:hAnsi="Times New Roman" w:cs="Times New Roman" w:eastAsia="Times New Roman" w:hint="default"/>
                <w:sz w:val="21"/>
                <w:szCs w:val="21"/>
              </w:rPr>
            </w:pPr>
            <w:r>
              <w:rPr>
                <w:rFonts w:ascii="Times New Roman"/>
                <w:sz w:val="21"/>
              </w:rPr>
              <w:t>99.74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47,586,180.08</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11.12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380,467,266.20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235,894,659.81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99.55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45,039,656.37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19.09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190,855,003.44</w:t>
            </w:r>
          </w:p>
        </w:tc>
      </w:tr>
      <w:tr>
        <w:trPr>
          <w:trHeight w:val="329"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3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合并范围内组合</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21"/>
                <w:szCs w:val="21"/>
              </w:rPr>
            </w:pPr>
            <w:r>
              <w:rPr>
                <w:rFonts w:ascii="Times New Roman"/>
                <w:spacing w:val="-1"/>
                <w:sz w:val="21"/>
              </w:rPr>
              <w:t>6,296,642.88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5" w:right="0"/>
              <w:jc w:val="center"/>
              <w:rPr>
                <w:rFonts w:ascii="Times New Roman" w:hAnsi="Times New Roman" w:cs="Times New Roman" w:eastAsia="Times New Roman" w:hint="default"/>
                <w:sz w:val="21"/>
                <w:szCs w:val="21"/>
              </w:rPr>
            </w:pPr>
            <w:r>
              <w:rPr>
                <w:rFonts w:ascii="Times New Roman"/>
                <w:sz w:val="21"/>
              </w:rPr>
              <w:t>1.47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21"/>
                <w:szCs w:val="21"/>
              </w:rPr>
            </w:pPr>
            <w:r>
              <w:rPr>
                <w:rFonts w:ascii="Times New Roman"/>
                <w:w w:val="100"/>
                <w:sz w:val="21"/>
              </w:rPr>
              <w:t>-</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21"/>
                <w:szCs w:val="21"/>
              </w:rPr>
            </w:pPr>
            <w:r>
              <w:rPr>
                <w:rFonts w:ascii="Times New Roman"/>
                <w:w w:val="100"/>
                <w:sz w:val="21"/>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21"/>
                <w:szCs w:val="21"/>
              </w:rPr>
            </w:pPr>
            <w:r>
              <w:rPr>
                <w:rFonts w:ascii="Times New Roman"/>
                <w:spacing w:val="-1"/>
                <w:sz w:val="21"/>
              </w:rPr>
              <w:t>6,296,642.88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21"/>
                <w:szCs w:val="21"/>
              </w:rPr>
            </w:pPr>
            <w:r>
              <w:rPr>
                <w:rFonts w:ascii="Times New Roman"/>
                <w:spacing w:val="-1"/>
                <w:sz w:val="21"/>
              </w:rPr>
              <w:t>12,526,856.84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21"/>
                <w:szCs w:val="21"/>
              </w:rPr>
            </w:pPr>
            <w:r>
              <w:rPr>
                <w:rFonts w:ascii="Times New Roman"/>
                <w:sz w:val="21"/>
              </w:rPr>
              <w:t>5.29</w:t>
            </w:r>
          </w:p>
        </w:tc>
        <w:tc>
          <w:tcPr>
            <w:tcW w:w="132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21"/>
                <w:szCs w:val="21"/>
              </w:rPr>
            </w:pPr>
            <w:r>
              <w:rPr>
                <w:rFonts w:ascii="Times New Roman"/>
                <w:w w:val="100"/>
                <w:sz w:val="21"/>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21"/>
                <w:szCs w:val="21"/>
              </w:rPr>
            </w:pPr>
            <w:r>
              <w:rPr>
                <w:rFonts w:ascii="Times New Roman"/>
                <w:spacing w:val="-1"/>
                <w:sz w:val="21"/>
              </w:rPr>
              <w:t>12,526,856.84</w:t>
            </w:r>
          </w:p>
        </w:tc>
      </w:tr>
      <w:tr>
        <w:trPr>
          <w:trHeight w:val="65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26" w:right="22"/>
              <w:jc w:val="left"/>
              <w:rPr>
                <w:rFonts w:ascii="宋体" w:hAnsi="宋体" w:cs="宋体" w:eastAsia="宋体" w:hint="default"/>
                <w:sz w:val="21"/>
                <w:szCs w:val="21"/>
              </w:rPr>
            </w:pPr>
            <w:r>
              <w:rPr>
                <w:rFonts w:ascii="宋体" w:hAnsi="宋体" w:cs="宋体" w:eastAsia="宋体" w:hint="default"/>
                <w:spacing w:val="-6"/>
                <w:sz w:val="21"/>
                <w:szCs w:val="21"/>
              </w:rPr>
              <w:t>政府、事业单位组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合</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244,116,275.04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69" w:right="0"/>
              <w:jc w:val="center"/>
              <w:rPr>
                <w:rFonts w:ascii="Times New Roman" w:hAnsi="Times New Roman" w:cs="Times New Roman" w:eastAsia="Times New Roman" w:hint="default"/>
                <w:sz w:val="21"/>
                <w:szCs w:val="21"/>
              </w:rPr>
            </w:pPr>
            <w:r>
              <w:rPr>
                <w:rFonts w:ascii="Times New Roman"/>
                <w:sz w:val="21"/>
              </w:rPr>
              <w:t>56.88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26,856,907.68</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11.00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217,259,367.36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152,435,333.42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64.33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31,522,393.73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20.68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120,912,939.69</w:t>
            </w:r>
          </w:p>
        </w:tc>
      </w:tr>
      <w:tr>
        <w:trPr>
          <w:trHeight w:val="32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企业单位</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177,640,528.36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69" w:right="0"/>
              <w:jc w:val="center"/>
              <w:rPr>
                <w:rFonts w:ascii="Times New Roman" w:hAnsi="Times New Roman" w:cs="Times New Roman" w:eastAsia="Times New Roman" w:hint="default"/>
                <w:sz w:val="21"/>
                <w:szCs w:val="21"/>
              </w:rPr>
            </w:pPr>
            <w:r>
              <w:rPr>
                <w:rFonts w:ascii="Times New Roman"/>
                <w:sz w:val="21"/>
              </w:rPr>
              <w:t>41.39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20,729,272.40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3"/>
              <w:jc w:val="right"/>
              <w:rPr>
                <w:rFonts w:ascii="Times New Roman" w:hAnsi="Times New Roman" w:cs="Times New Roman" w:eastAsia="Times New Roman" w:hint="default"/>
                <w:sz w:val="21"/>
                <w:szCs w:val="21"/>
              </w:rPr>
            </w:pPr>
            <w:r>
              <w:rPr>
                <w:rFonts w:ascii="Times New Roman"/>
                <w:sz w:val="21"/>
              </w:rPr>
              <w:t>11.67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21"/>
                <w:szCs w:val="21"/>
              </w:rPr>
            </w:pPr>
            <w:r>
              <w:rPr>
                <w:rFonts w:ascii="Times New Roman"/>
                <w:spacing w:val="-1"/>
                <w:sz w:val="21"/>
              </w:rPr>
              <w:t>156,911,255.96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70,932,469.55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3"/>
              <w:jc w:val="right"/>
              <w:rPr>
                <w:rFonts w:ascii="Times New Roman" w:hAnsi="Times New Roman" w:cs="Times New Roman" w:eastAsia="Times New Roman" w:hint="default"/>
                <w:sz w:val="21"/>
                <w:szCs w:val="21"/>
              </w:rPr>
            </w:pPr>
            <w:r>
              <w:rPr>
                <w:rFonts w:ascii="Times New Roman"/>
                <w:sz w:val="21"/>
              </w:rPr>
              <w:t>29.93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21"/>
                <w:szCs w:val="21"/>
              </w:rPr>
            </w:pPr>
            <w:r>
              <w:rPr>
                <w:rFonts w:ascii="Times New Roman"/>
                <w:spacing w:val="-1"/>
                <w:sz w:val="21"/>
              </w:rPr>
              <w:t>13,517,262.64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z w:val="21"/>
              </w:rPr>
              <w:t>19.06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57,415,206.91</w:t>
            </w:r>
          </w:p>
        </w:tc>
      </w:tr>
      <w:tr>
        <w:trPr>
          <w:trHeight w:val="33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429,170,468.62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4" w:right="0"/>
              <w:jc w:val="center"/>
              <w:rPr>
                <w:rFonts w:ascii="Times New Roman" w:hAnsi="Times New Roman" w:cs="Times New Roman" w:eastAsia="Times New Roman" w:hint="default"/>
                <w:sz w:val="21"/>
                <w:szCs w:val="21"/>
              </w:rPr>
            </w:pPr>
            <w:r>
              <w:rPr>
                <w:rFonts w:ascii="Times New Roman"/>
                <w:sz w:val="21"/>
              </w:rPr>
              <w:t>100.00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48,703,202.42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3"/>
              <w:jc w:val="right"/>
              <w:rPr>
                <w:rFonts w:ascii="Times New Roman" w:hAnsi="Times New Roman" w:cs="Times New Roman" w:eastAsia="Times New Roman" w:hint="default"/>
                <w:sz w:val="21"/>
                <w:szCs w:val="21"/>
              </w:rPr>
            </w:pPr>
            <w:r>
              <w:rPr>
                <w:rFonts w:ascii="Times New Roman"/>
                <w:sz w:val="21"/>
              </w:rPr>
              <w:t>11.35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21"/>
                <w:szCs w:val="21"/>
              </w:rPr>
            </w:pPr>
            <w:r>
              <w:rPr>
                <w:rFonts w:ascii="Times New Roman"/>
                <w:spacing w:val="-1"/>
                <w:sz w:val="21"/>
              </w:rPr>
              <w:t>380,467,266.2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236,964,117.23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3"/>
              <w:jc w:val="right"/>
              <w:rPr>
                <w:rFonts w:ascii="Times New Roman" w:hAnsi="Times New Roman" w:cs="Times New Roman" w:eastAsia="Times New Roman" w:hint="default"/>
                <w:sz w:val="21"/>
                <w:szCs w:val="21"/>
              </w:rPr>
            </w:pPr>
            <w:r>
              <w:rPr>
                <w:rFonts w:ascii="Times New Roman"/>
                <w:sz w:val="21"/>
              </w:rPr>
              <w:t>100.00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21"/>
                <w:szCs w:val="21"/>
              </w:rPr>
            </w:pPr>
            <w:r>
              <w:rPr>
                <w:rFonts w:ascii="Times New Roman"/>
                <w:spacing w:val="-1"/>
                <w:sz w:val="21"/>
              </w:rPr>
              <w:t>46,109,113.79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z w:val="21"/>
              </w:rPr>
              <w:t>19.46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190,855,003.44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76"/>
        <w:ind w:left="6718" w:right="6721" w:firstLine="0"/>
        <w:jc w:val="center"/>
        <w:rPr>
          <w:rFonts w:ascii="Times New Roman" w:hAnsi="Times New Roman" w:cs="Times New Roman" w:eastAsia="Times New Roman" w:hint="default"/>
          <w:sz w:val="18"/>
          <w:szCs w:val="18"/>
        </w:rPr>
      </w:pPr>
      <w:r>
        <w:rPr>
          <w:rFonts w:ascii="Times New Roman"/>
          <w:b/>
          <w:sz w:val="18"/>
        </w:rPr>
        <w:t>222 </w:t>
      </w:r>
      <w:r>
        <w:rPr>
          <w:rFonts w:ascii="Times New Roman"/>
          <w:sz w:val="18"/>
        </w:rPr>
        <w:t>/</w:t>
      </w:r>
      <w:r>
        <w:rPr>
          <w:rFonts w:ascii="Times New Roman"/>
          <w:spacing w:val="-2"/>
          <w:sz w:val="18"/>
        </w:rPr>
        <w:t> </w:t>
      </w:r>
      <w:r>
        <w:rPr>
          <w:rFonts w:ascii="Times New Roman"/>
          <w:b/>
          <w:sz w:val="18"/>
        </w:rPr>
        <w:t>237</w:t>
      </w:r>
      <w:r>
        <w:rPr>
          <w:rFonts w:ascii="Times New Roman"/>
          <w:sz w:val="18"/>
        </w:rPr>
      </w:r>
    </w:p>
    <w:p>
      <w:pPr>
        <w:spacing w:after="0"/>
        <w:jc w:val="center"/>
        <w:rPr>
          <w:rFonts w:ascii="Times New Roman" w:hAnsi="Times New Roman" w:cs="Times New Roman" w:eastAsia="Times New Roman" w:hint="default"/>
          <w:sz w:val="18"/>
          <w:szCs w:val="18"/>
        </w:rPr>
        <w:sectPr>
          <w:type w:val="continuous"/>
          <w:pgSz w:w="16840" w:h="11910" w:orient="landscape"/>
          <w:pgMar w:top="1500" w:bottom="280" w:left="1300" w:right="1380"/>
        </w:sectPr>
      </w:pPr>
    </w:p>
    <w:p>
      <w:pPr>
        <w:spacing w:line="240" w:lineRule="auto" w:before="4"/>
        <w:rPr>
          <w:rFonts w:ascii="Times New Roman" w:hAnsi="Times New Roman" w:cs="Times New Roman" w:eastAsia="Times New Roman" w:hint="default"/>
          <w:b/>
          <w:bCs/>
          <w:sz w:val="28"/>
          <w:szCs w:val="28"/>
        </w:rPr>
      </w:pPr>
    </w:p>
    <w:p>
      <w:pPr>
        <w:spacing w:after="0" w:line="240" w:lineRule="auto"/>
        <w:rPr>
          <w:rFonts w:ascii="Times New Roman" w:hAnsi="Times New Roman" w:cs="Times New Roman" w:eastAsia="Times New Roman" w:hint="default"/>
          <w:sz w:val="28"/>
          <w:szCs w:val="28"/>
        </w:rPr>
        <w:sectPr>
          <w:footerReference w:type="default" r:id="rId77"/>
          <w:pgSz w:w="11910" w:h="16840"/>
          <w:pgMar w:footer="979" w:header="0" w:top="1120" w:bottom="1160" w:left="1580" w:right="1040"/>
          <w:pgNumType w:start="223"/>
        </w:sectPr>
      </w:pPr>
    </w:p>
    <w:p>
      <w:pPr>
        <w:pStyle w:val="BodyText"/>
        <w:spacing w:line="240" w:lineRule="auto" w:before="36"/>
        <w:ind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580" w:right="1040"/>
          <w:cols w:num="2" w:equalWidth="0">
            <w:col w:w="2425" w:space="3994"/>
            <w:col w:w="287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331"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17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9" w:hRule="exact"/>
        </w:trPr>
        <w:tc>
          <w:tcPr>
            <w:tcW w:w="21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9"/>
              <w:jc w:val="right"/>
              <w:rPr>
                <w:rFonts w:ascii="宋体" w:hAnsi="宋体" w:cs="宋体" w:eastAsia="宋体" w:hint="default"/>
                <w:sz w:val="21"/>
                <w:szCs w:val="21"/>
              </w:rPr>
            </w:pPr>
            <w:r>
              <w:rPr>
                <w:rFonts w:ascii="宋体" w:hAnsi="宋体" w:cs="宋体" w:eastAsia="宋体" w:hint="default"/>
                <w:spacing w:val="-2"/>
                <w:sz w:val="21"/>
                <w:szCs w:val="21"/>
              </w:rPr>
              <w:t>计提比例（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97" w:right="0"/>
              <w:jc w:val="left"/>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331"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4"/>
                <w:sz w:val="21"/>
                <w:szCs w:val="21"/>
              </w:rPr>
              <w:t> </w:t>
            </w:r>
            <w:r>
              <w:rPr>
                <w:rFonts w:ascii="Calibri" w:hAnsi="Calibri" w:cs="Calibri" w:eastAsia="Calibri" w:hint="default"/>
                <w:sz w:val="21"/>
                <w:szCs w:val="21"/>
              </w:rPr>
              <w:t>1</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474,800.00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474,800.00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100.00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胜诉执行未果</w:t>
            </w:r>
            <w:r>
              <w:rPr>
                <w:rFonts w:ascii="宋体" w:hAnsi="宋体" w:cs="宋体" w:eastAsia="宋体" w:hint="default"/>
                <w:sz w:val="21"/>
                <w:szCs w:val="21"/>
              </w:rPr>
              <w:t> </w:t>
            </w:r>
          </w:p>
        </w:tc>
      </w:tr>
      <w:tr>
        <w:trPr>
          <w:trHeight w:val="329"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合并范围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505,950.25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505,950.25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100.00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资不抵债拟清算</w:t>
            </w:r>
            <w:r>
              <w:rPr>
                <w:rFonts w:ascii="宋体" w:hAnsi="宋体" w:cs="宋体" w:eastAsia="宋体" w:hint="default"/>
                <w:sz w:val="21"/>
                <w:szCs w:val="21"/>
              </w:rPr>
              <w:t> </w:t>
            </w:r>
          </w:p>
        </w:tc>
      </w:tr>
      <w:tr>
        <w:trPr>
          <w:trHeight w:val="331"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合并范围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21,990.81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21,990.81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100.00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资不抵债拟清算</w:t>
            </w:r>
            <w:r>
              <w:rPr>
                <w:rFonts w:ascii="宋体" w:hAnsi="宋体" w:cs="宋体" w:eastAsia="宋体" w:hint="default"/>
                <w:sz w:val="21"/>
                <w:szCs w:val="21"/>
              </w:rPr>
              <w:t> </w:t>
            </w:r>
          </w:p>
        </w:tc>
      </w:tr>
      <w:tr>
        <w:trPr>
          <w:trHeight w:val="329"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合并范围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114,281.28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114,281.28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100.00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资不抵债拟清算</w:t>
            </w:r>
            <w:r>
              <w:rPr>
                <w:rFonts w:ascii="宋体" w:hAnsi="宋体" w:cs="宋体" w:eastAsia="宋体" w:hint="default"/>
                <w:sz w:val="21"/>
                <w:szCs w:val="21"/>
              </w:rPr>
              <w:t> </w:t>
            </w:r>
          </w:p>
        </w:tc>
      </w:tr>
      <w:tr>
        <w:trPr>
          <w:trHeight w:val="331"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1,117,022.34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1,117,022.34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100.00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115" w:right="0"/>
              <w:jc w:val="center"/>
              <w:rPr>
                <w:rFonts w:ascii="宋体" w:hAnsi="宋体" w:cs="宋体" w:eastAsia="宋体" w:hint="default"/>
                <w:sz w:val="24"/>
                <w:szCs w:val="24"/>
              </w:rPr>
            </w:pPr>
            <w:r>
              <w:rPr>
                <w:rFonts w:ascii="宋体"/>
                <w:sz w:val="24"/>
              </w:rPr>
              <w:t>/ </w:t>
            </w:r>
          </w:p>
        </w:tc>
      </w:tr>
    </w:tbl>
    <w:p>
      <w:pPr>
        <w:spacing w:after="0" w:line="291" w:lineRule="exact"/>
        <w:jc w:val="center"/>
        <w:rPr>
          <w:rFonts w:ascii="宋体" w:hAnsi="宋体" w:cs="宋体" w:eastAsia="宋体" w:hint="default"/>
          <w:sz w:val="24"/>
          <w:szCs w:val="24"/>
        </w:rPr>
        <w:sectPr>
          <w:type w:val="continuous"/>
          <w:pgSz w:w="11910" w:h="16840"/>
          <w:pgMar w:top="1500" w:bottom="2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4" w:lineRule="exact" w:before="22"/>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组合计提项目：按账龄</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580" w:right="1040"/>
          <w:cols w:num="2" w:equalWidth="0">
            <w:col w:w="3056" w:space="3363"/>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329"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7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31"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9"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政府事业单位</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244,116,275.04</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26,856,907.68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11.00</w:t>
            </w:r>
          </w:p>
        </w:tc>
      </w:tr>
      <w:tr>
        <w:trPr>
          <w:trHeight w:val="33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企业单位</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177,640,528.36</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20,729,272.40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11.67</w:t>
            </w:r>
          </w:p>
        </w:tc>
      </w:tr>
      <w:tr>
        <w:trPr>
          <w:trHeight w:val="329"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合并范围内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6,296,642.88</w:t>
            </w:r>
          </w:p>
        </w:tc>
        <w:tc>
          <w:tcPr>
            <w:tcW w:w="2352"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801"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428,053,446.28</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47,586,180.08</w:t>
            </w:r>
          </w:p>
        </w:tc>
        <w:tc>
          <w:tcPr>
            <w:tcW w:w="22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89" w:lineRule="exact"/>
        <w:ind w:right="0"/>
        <w:jc w:val="left"/>
        <w:rPr>
          <w:rFonts w:ascii="宋体" w:hAnsi="宋体" w:cs="宋体" w:eastAsia="宋体" w:hint="default"/>
        </w:rPr>
      </w:pPr>
      <w:r>
        <w:rPr/>
        <w:t>（</w:t>
      </w:r>
      <w:r>
        <w:rPr>
          <w:rFonts w:ascii="Times New Roman" w:hAnsi="Times New Roman" w:cs="Times New Roman" w:eastAsia="Times New Roman" w:hint="default"/>
        </w:rPr>
        <w:t>1</w:t>
      </w:r>
      <w:r>
        <w:rPr/>
        <w:t>）政府事业单位</w:t>
      </w:r>
      <w:r>
        <w:rPr>
          <w:rFonts w:ascii="宋体" w:hAnsi="宋体" w:cs="宋体" w:eastAsia="宋体" w:hint="default"/>
        </w:rPr>
        <w:t> </w:t>
      </w: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264" w:type="dxa"/>
            <w:vMerge/>
            <w:tcBorders>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1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200,741,449.58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6,022,243.50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z w:val="21"/>
              </w:rPr>
              <w:t>3.00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13,930,592.05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1,810,976.97</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13.00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2"/>
                <w:sz w:val="21"/>
              </w:rPr>
              <w:t>11,597,747.70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3,711,279.26</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32.00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3-4</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2,880,037.19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1,612,820.83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56.00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4-5</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6,334,307.00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5,067,445.60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80.00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8,632,141.52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8,632,141.52</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244,116,275.04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26,856,907.68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2"/>
                <w:sz w:val="21"/>
              </w:rPr>
              <w:t>11.00</w:t>
            </w:r>
          </w:p>
        </w:tc>
      </w:tr>
    </w:tbl>
    <w:p>
      <w:pPr>
        <w:pStyle w:val="BodyText"/>
        <w:spacing w:line="274" w:lineRule="exact"/>
        <w:ind w:right="0"/>
        <w:jc w:val="left"/>
        <w:rPr>
          <w:rFonts w:ascii="宋体" w:hAnsi="宋体" w:cs="宋体" w:eastAsia="宋体" w:hint="default"/>
        </w:rPr>
      </w:pPr>
      <w:r>
        <w:rPr/>
        <w:t>（</w:t>
      </w:r>
      <w:r>
        <w:rPr>
          <w:rFonts w:ascii="Times New Roman" w:hAnsi="Times New Roman" w:cs="Times New Roman" w:eastAsia="Times New Roman" w:hint="default"/>
        </w:rPr>
        <w:t>2</w:t>
      </w:r>
      <w:r>
        <w:rPr/>
        <w:t>）企业单位</w:t>
      </w:r>
      <w:r>
        <w:rPr>
          <w:rFonts w:ascii="宋体" w:hAnsi="宋体" w:cs="宋体" w:eastAsia="宋体" w:hint="default"/>
        </w:rPr>
        <w:t> </w:t>
      </w: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264" w:type="dxa"/>
            <w:vMerge/>
            <w:tcBorders>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130,889,537.55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5,235,581.49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4.00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13,981,261.36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1,817,563.98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13.00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24,844,388.92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7,950,204.45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32.00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4,749,535.38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2,659,739.81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56.00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548,112.42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438,489.94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80.00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2,627,692.73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2,627,692.73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37" w:right="0"/>
              <w:jc w:val="left"/>
              <w:rPr>
                <w:rFonts w:ascii="Times New Roman" w:hAnsi="Times New Roman" w:cs="Times New Roman" w:eastAsia="Times New Roman" w:hint="default"/>
                <w:sz w:val="21"/>
                <w:szCs w:val="21"/>
              </w:rPr>
            </w:pPr>
            <w:r>
              <w:rPr>
                <w:rFonts w:ascii="Times New Roman"/>
                <w:sz w:val="21"/>
              </w:rPr>
              <w:t>177,640,528.36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43" w:right="0"/>
              <w:jc w:val="left"/>
              <w:rPr>
                <w:rFonts w:ascii="Times New Roman" w:hAnsi="Times New Roman" w:cs="Times New Roman" w:eastAsia="Times New Roman" w:hint="default"/>
                <w:sz w:val="21"/>
                <w:szCs w:val="21"/>
              </w:rPr>
            </w:pPr>
            <w:r>
              <w:rPr>
                <w:rFonts w:ascii="Times New Roman"/>
                <w:sz w:val="21"/>
              </w:rPr>
              <w:t>20,729,272.40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2"/>
                <w:sz w:val="21"/>
              </w:rPr>
              <w:t>11.67</w:t>
            </w:r>
          </w:p>
        </w:tc>
      </w:tr>
    </w:tbl>
    <w:p>
      <w:pPr>
        <w:pStyle w:val="BodyText"/>
        <w:spacing w:line="257" w:lineRule="exact"/>
        <w:ind w:right="0"/>
        <w:jc w:val="left"/>
      </w:pPr>
      <w:r>
        <w:rPr/>
        <w:t>（</w:t>
      </w:r>
      <w:r>
        <w:rPr>
          <w:rFonts w:ascii="Times New Roman" w:hAnsi="Times New Roman" w:cs="Times New Roman" w:eastAsia="Times New Roman" w:hint="default"/>
        </w:rPr>
        <w:t>3</w:t>
      </w:r>
      <w:r>
        <w:rPr/>
        <w:t>）合并范围</w:t>
      </w: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107"/>
              <w:ind w:left="104"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6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264" w:type="dxa"/>
            <w:vMerge/>
            <w:tcBorders>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5,659,753.86</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636,889.02</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6,296,642.88</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20" w:bottom="1160" w:left="1580" w:right="1040"/>
        </w:sectPr>
      </w:pPr>
    </w:p>
    <w:p>
      <w:pPr>
        <w:pStyle w:val="Heading3"/>
        <w:spacing w:line="291" w:lineRule="exact"/>
        <w:ind w:left="218" w:right="0"/>
        <w:jc w:val="left"/>
      </w:pPr>
      <w:r>
        <w:rPr/>
        <w:t> </w:t>
      </w:r>
    </w:p>
    <w:p>
      <w:pPr>
        <w:pStyle w:val="BodyText"/>
        <w:spacing w:line="275" w:lineRule="exact" w:before="1"/>
        <w:ind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0"/>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tabs>
          <w:tab w:pos="1124" w:val="left" w:leader="none"/>
        </w:tabs>
        <w:spacing w:line="240" w:lineRule="auto"/>
        <w:ind w:left="72" w:right="0"/>
        <w:jc w:val="left"/>
      </w:pPr>
      <w:r>
        <w:rPr>
          <w:spacing w:val="-1"/>
        </w:rPr>
        <w:t>单位：元</w:t>
        <w:tab/>
      </w:r>
      <w:r>
        <w:rPr>
          <w:spacing w:val="-2"/>
        </w:rPr>
        <w:t>币种：人民币</w:t>
      </w:r>
    </w:p>
    <w:p>
      <w:pPr>
        <w:spacing w:after="0" w:line="240" w:lineRule="auto"/>
        <w:jc w:val="left"/>
        <w:sectPr>
          <w:type w:val="continuous"/>
          <w:pgSz w:w="11910" w:h="16840"/>
          <w:pgMar w:top="1500" w:bottom="280" w:left="1580" w:right="1040"/>
          <w:cols w:num="2" w:equalWidth="0">
            <w:col w:w="6628" w:space="40"/>
            <w:col w:w="2622"/>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40"/>
        <w:gridCol w:w="1601"/>
        <w:gridCol w:w="1604"/>
        <w:gridCol w:w="727"/>
        <w:gridCol w:w="1452"/>
        <w:gridCol w:w="440"/>
        <w:gridCol w:w="1498"/>
      </w:tblGrid>
      <w:tr>
        <w:trPr>
          <w:trHeight w:val="331" w:hRule="exact"/>
        </w:trPr>
        <w:tc>
          <w:tcPr>
            <w:tcW w:w="17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655"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37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2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73"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3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1289" w:hRule="exact"/>
        </w:trPr>
        <w:tc>
          <w:tcPr>
            <w:tcW w:w="1740" w:type="dxa"/>
            <w:vMerge/>
            <w:tcBorders>
              <w:left w:val="single" w:sz="4" w:space="0" w:color="000000"/>
              <w:bottom w:val="single" w:sz="4" w:space="0" w:color="000000"/>
              <w:right w:val="single" w:sz="4" w:space="0" w:color="000000"/>
            </w:tcBorders>
          </w:tcPr>
          <w:p>
            <w:pPr/>
          </w:p>
        </w:tc>
        <w:tc>
          <w:tcPr>
            <w:tcW w:w="1601" w:type="dxa"/>
            <w:vMerge/>
            <w:tcBorders>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85"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148" w:right="144"/>
              <w:jc w:val="both"/>
              <w:rPr>
                <w:rFonts w:ascii="宋体" w:hAnsi="宋体" w:cs="宋体" w:eastAsia="宋体" w:hint="default"/>
                <w:sz w:val="21"/>
                <w:szCs w:val="21"/>
              </w:rPr>
            </w:pPr>
            <w:r>
              <w:rPr>
                <w:rFonts w:ascii="宋体" w:hAnsi="宋体" w:cs="宋体" w:eastAsia="宋体" w:hint="default"/>
                <w:sz w:val="21"/>
                <w:szCs w:val="21"/>
              </w:rPr>
              <w:t>收回</w:t>
            </w:r>
            <w:r>
              <w:rPr>
                <w:rFonts w:ascii="宋体" w:hAnsi="宋体" w:cs="宋体" w:eastAsia="宋体" w:hint="default"/>
                <w:spacing w:val="-103"/>
                <w:sz w:val="21"/>
                <w:szCs w:val="21"/>
              </w:rPr>
              <w:t> </w:t>
            </w:r>
            <w:r>
              <w:rPr>
                <w:rFonts w:ascii="宋体" w:hAnsi="宋体" w:cs="宋体" w:eastAsia="宋体" w:hint="default"/>
                <w:sz w:val="21"/>
                <w:szCs w:val="21"/>
              </w:rPr>
              <w:t>或转</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89"/>
              <w:jc w:val="right"/>
              <w:rPr>
                <w:rFonts w:ascii="宋体" w:hAnsi="宋体" w:cs="宋体" w:eastAsia="宋体" w:hint="default"/>
                <w:sz w:val="21"/>
                <w:szCs w:val="21"/>
              </w:rPr>
            </w:pPr>
            <w:r>
              <w:rPr>
                <w:rFonts w:ascii="宋体" w:hAnsi="宋体" w:cs="宋体" w:eastAsia="宋体" w:hint="default"/>
                <w:spacing w:val="-2"/>
                <w:sz w:val="21"/>
                <w:szCs w:val="21"/>
              </w:rPr>
              <w:t>转销或核销</w:t>
            </w:r>
            <w:r>
              <w:rPr>
                <w:rFonts w:ascii="宋体" w:hAnsi="宋体" w:cs="宋体" w:eastAsia="宋体" w:hint="default"/>
                <w:sz w:val="21"/>
                <w:szCs w:val="21"/>
              </w:rPr>
              <w:t> </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7" w:right="2"/>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1498" w:type="dxa"/>
            <w:vMerge/>
            <w:tcBorders>
              <w:left w:val="single" w:sz="4" w:space="0" w:color="000000"/>
              <w:bottom w:val="single" w:sz="4" w:space="0" w:color="000000"/>
              <w:right w:val="single" w:sz="4" w:space="0" w:color="000000"/>
            </w:tcBorders>
          </w:tcPr>
          <w:p>
            <w:pPr/>
          </w:p>
        </w:tc>
      </w:tr>
      <w:tr>
        <w:trPr>
          <w:trHeight w:val="331"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7" w:right="0"/>
              <w:jc w:val="left"/>
              <w:rPr>
                <w:rFonts w:ascii="宋体" w:hAnsi="宋体" w:cs="宋体" w:eastAsia="宋体" w:hint="default"/>
                <w:sz w:val="21"/>
                <w:szCs w:val="21"/>
              </w:rPr>
            </w:pPr>
            <w:r>
              <w:rPr>
                <w:rFonts w:ascii="宋体" w:hAnsi="宋体" w:cs="宋体" w:eastAsia="宋体" w:hint="default"/>
                <w:sz w:val="21"/>
                <w:szCs w:val="21"/>
              </w:rPr>
              <w:t>政府事业单位</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1"/>
                <w:sz w:val="21"/>
              </w:rPr>
              <w:t>31,522,393.73</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21"/>
                <w:szCs w:val="21"/>
              </w:rPr>
            </w:pPr>
            <w:r>
              <w:rPr>
                <w:rFonts w:ascii="Times New Roman"/>
                <w:spacing w:val="-1"/>
                <w:sz w:val="21"/>
              </w:rPr>
              <w:t>4,459,576.55</w:t>
            </w:r>
          </w:p>
        </w:tc>
        <w:tc>
          <w:tcPr>
            <w:tcW w:w="72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1"/>
                <w:sz w:val="21"/>
              </w:rPr>
              <w:t>9,125,062.60</w:t>
            </w:r>
          </w:p>
        </w:tc>
        <w:tc>
          <w:tcPr>
            <w:tcW w:w="44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1"/>
                <w:sz w:val="21"/>
              </w:rPr>
              <w:t>26,856,907.68</w:t>
            </w:r>
          </w:p>
        </w:tc>
      </w:tr>
      <w:tr>
        <w:trPr>
          <w:trHeight w:val="329"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7" w:right="0"/>
              <w:jc w:val="left"/>
              <w:rPr>
                <w:rFonts w:ascii="宋体" w:hAnsi="宋体" w:cs="宋体" w:eastAsia="宋体" w:hint="default"/>
                <w:sz w:val="21"/>
                <w:szCs w:val="21"/>
              </w:rPr>
            </w:pPr>
            <w:r>
              <w:rPr>
                <w:rFonts w:ascii="宋体" w:hAnsi="宋体" w:cs="宋体" w:eastAsia="宋体" w:hint="default"/>
                <w:sz w:val="21"/>
                <w:szCs w:val="21"/>
              </w:rPr>
              <w:t>企业单位</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Times New Roman" w:hAnsi="Times New Roman" w:cs="Times New Roman" w:eastAsia="Times New Roman" w:hint="default"/>
                <w:sz w:val="21"/>
                <w:szCs w:val="21"/>
              </w:rPr>
            </w:pPr>
            <w:r>
              <w:rPr>
                <w:rFonts w:ascii="Times New Roman"/>
                <w:spacing w:val="-1"/>
                <w:sz w:val="21"/>
              </w:rPr>
              <w:t>13,517,262.64</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6"/>
              <w:jc w:val="right"/>
              <w:rPr>
                <w:rFonts w:ascii="Times New Roman" w:hAnsi="Times New Roman" w:cs="Times New Roman" w:eastAsia="Times New Roman" w:hint="default"/>
                <w:sz w:val="21"/>
                <w:szCs w:val="21"/>
              </w:rPr>
            </w:pPr>
            <w:r>
              <w:rPr>
                <w:rFonts w:ascii="Times New Roman"/>
                <w:spacing w:val="-1"/>
                <w:sz w:val="21"/>
              </w:rPr>
              <w:t>7,212,009.76</w:t>
            </w:r>
          </w:p>
        </w:tc>
        <w:tc>
          <w:tcPr>
            <w:tcW w:w="72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Times New Roman" w:hAnsi="Times New Roman" w:cs="Times New Roman" w:eastAsia="Times New Roman" w:hint="default"/>
                <w:sz w:val="21"/>
                <w:szCs w:val="21"/>
              </w:rPr>
            </w:pPr>
            <w:r>
              <w:rPr>
                <w:rFonts w:ascii="Times New Roman"/>
                <w:spacing w:val="-1"/>
                <w:sz w:val="21"/>
              </w:rPr>
              <w:t>20,729,272.40</w:t>
            </w:r>
          </w:p>
        </w:tc>
      </w:tr>
      <w:tr>
        <w:trPr>
          <w:trHeight w:val="970"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7" w:right="146"/>
              <w:jc w:val="both"/>
              <w:rPr>
                <w:rFonts w:ascii="宋体" w:hAnsi="宋体" w:cs="宋体" w:eastAsia="宋体" w:hint="default"/>
                <w:sz w:val="24"/>
                <w:szCs w:val="24"/>
              </w:rPr>
            </w:pPr>
            <w:r>
              <w:rPr>
                <w:rFonts w:ascii="宋体" w:hAnsi="宋体" w:cs="宋体" w:eastAsia="宋体" w:hint="default"/>
                <w:sz w:val="21"/>
                <w:szCs w:val="21"/>
              </w:rPr>
              <w:t>单项计提预期信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用损失的应收账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r>
              <w:rPr>
                <w:rFonts w:ascii="宋体" w:hAnsi="宋体" w:cs="宋体" w:eastAsia="宋体" w:hint="default"/>
                <w:sz w:val="24"/>
                <w:szCs w:val="24"/>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1,069,457.42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47,564.92</w:t>
            </w:r>
          </w:p>
        </w:tc>
        <w:tc>
          <w:tcPr>
            <w:tcW w:w="72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1,117,022.34</w:t>
            </w:r>
          </w:p>
        </w:tc>
      </w:tr>
      <w:tr>
        <w:trPr>
          <w:trHeight w:val="331"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623"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Times New Roman" w:hAnsi="Times New Roman" w:cs="Times New Roman" w:eastAsia="Times New Roman" w:hint="default"/>
                <w:sz w:val="21"/>
                <w:szCs w:val="21"/>
              </w:rPr>
            </w:pPr>
            <w:r>
              <w:rPr>
                <w:rFonts w:ascii="Times New Roman"/>
                <w:spacing w:val="-1"/>
                <w:sz w:val="21"/>
              </w:rPr>
              <w:t>46,109,113.79</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6"/>
              <w:jc w:val="right"/>
              <w:rPr>
                <w:rFonts w:ascii="Times New Roman" w:hAnsi="Times New Roman" w:cs="Times New Roman" w:eastAsia="Times New Roman" w:hint="default"/>
                <w:sz w:val="21"/>
                <w:szCs w:val="21"/>
              </w:rPr>
            </w:pPr>
            <w:r>
              <w:rPr>
                <w:rFonts w:ascii="Times New Roman"/>
                <w:spacing w:val="-1"/>
                <w:sz w:val="21"/>
              </w:rPr>
              <w:t>11,719,151.23</w:t>
            </w:r>
          </w:p>
        </w:tc>
        <w:tc>
          <w:tcPr>
            <w:tcW w:w="72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spacing w:val="-1"/>
                <w:sz w:val="21"/>
              </w:rPr>
              <w:t>9,125,062.60</w:t>
            </w:r>
          </w:p>
        </w:tc>
        <w:tc>
          <w:tcPr>
            <w:tcW w:w="44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spacing w:val="-1"/>
                <w:sz w:val="21"/>
              </w:rPr>
              <w:t>48,703,202.42</w:t>
            </w:r>
          </w:p>
        </w:tc>
      </w:tr>
    </w:tbl>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500" w:bottom="280" w:left="1580" w:right="1040"/>
        </w:sectPr>
      </w:pPr>
    </w:p>
    <w:p>
      <w:pPr>
        <w:pStyle w:val="BodyText"/>
        <w:spacing w:line="273" w:lineRule="exact" w:before="36"/>
        <w:ind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69" w:lineRule="exact"/>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8" w:right="0"/>
        <w:jc w:val="left"/>
      </w:pPr>
      <w:r>
        <w:rPr/>
        <w:t> </w:t>
      </w:r>
    </w:p>
    <w:p>
      <w:pPr>
        <w:pStyle w:val="Heading4"/>
        <w:spacing w:line="240" w:lineRule="auto" w:before="61"/>
        <w:ind w:right="0"/>
        <w:jc w:val="left"/>
        <w:rPr>
          <w:rFonts w:ascii="宋体" w:hAnsi="宋体" w:cs="宋体" w:eastAsia="宋体" w:hint="default"/>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8"/>
        </w:rPr>
        <w:t> </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580" w:right="1040"/>
          <w:cols w:num="2" w:equalWidth="0">
            <w:col w:w="4316" w:space="220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6"/>
              <w:jc w:val="right"/>
              <w:rPr>
                <w:rFonts w:ascii="宋体" w:hAnsi="宋体" w:cs="宋体" w:eastAsia="宋体" w:hint="default"/>
                <w:sz w:val="21"/>
                <w:szCs w:val="21"/>
              </w:rPr>
            </w:pPr>
            <w:r>
              <w:rPr>
                <w:rFonts w:ascii="宋体" w:hAnsi="宋体" w:cs="宋体" w:eastAsia="宋体" w:hint="default"/>
                <w:spacing w:val="-2"/>
                <w:sz w:val="21"/>
                <w:szCs w:val="21"/>
              </w:rPr>
              <w:t>核销金额</w:t>
            </w:r>
            <w:r>
              <w:rPr>
                <w:rFonts w:ascii="宋体" w:hAnsi="宋体" w:cs="宋体" w:eastAsia="宋体" w:hint="default"/>
                <w:sz w:val="21"/>
                <w:szCs w:val="21"/>
              </w:rPr>
              <w:t> </w:t>
            </w:r>
          </w:p>
        </w:tc>
      </w:tr>
      <w:tr>
        <w:trPr>
          <w:trHeight w:val="32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实际核销的应收账款</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829"/>
              <w:jc w:val="right"/>
              <w:rPr>
                <w:rFonts w:ascii="Times New Roman" w:hAnsi="Times New Roman" w:cs="Times New Roman" w:eastAsia="Times New Roman" w:hint="default"/>
                <w:sz w:val="21"/>
                <w:szCs w:val="21"/>
              </w:rPr>
            </w:pPr>
            <w:r>
              <w:rPr>
                <w:rFonts w:ascii="Times New Roman"/>
                <w:spacing w:val="-1"/>
                <w:sz w:val="21"/>
              </w:rPr>
              <w:t>9,125,062.60</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其中重要的应收账款核销情况</w:t>
      </w:r>
      <w:r>
        <w:rPr>
          <w:rFonts w:ascii="宋体" w:hAnsi="宋体" w:cs="宋体" w:eastAsia="宋体" w:hint="default"/>
        </w:rPr>
        <w:t> </w:t>
      </w:r>
    </w:p>
    <w:p>
      <w:pPr>
        <w:pStyle w:val="BodyText"/>
        <w:spacing w:line="272" w:lineRule="exact"/>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25"/>
        </w:rPr>
        <w:t> </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40"/>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8" w:right="0"/>
        <w:jc w:val="left"/>
      </w:pPr>
      <w:r>
        <w:rPr/>
        <w:t> </w:t>
      </w:r>
    </w:p>
    <w:p>
      <w:pPr>
        <w:spacing w:after="0" w:line="310" w:lineRule="exact"/>
        <w:jc w:val="left"/>
        <w:sectPr>
          <w:type w:val="continuous"/>
          <w:pgSz w:w="11910" w:h="16840"/>
          <w:pgMar w:top="1500" w:bottom="2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16"/>
        <w:gridCol w:w="1812"/>
        <w:gridCol w:w="1730"/>
        <w:gridCol w:w="1815"/>
      </w:tblGrid>
      <w:tr>
        <w:trPr>
          <w:trHeight w:val="557"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7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01" w:right="0" w:hanging="77"/>
              <w:jc w:val="left"/>
              <w:rPr>
                <w:rFonts w:ascii="宋体" w:hAnsi="宋体" w:cs="宋体" w:eastAsia="宋体" w:hint="default"/>
                <w:sz w:val="21"/>
                <w:szCs w:val="21"/>
              </w:rPr>
            </w:pPr>
            <w:r>
              <w:rPr>
                <w:rFonts w:ascii="宋体" w:hAnsi="宋体" w:cs="宋体" w:eastAsia="宋体" w:hint="default"/>
                <w:sz w:val="21"/>
                <w:szCs w:val="21"/>
              </w:rPr>
              <w:t>占应收账款期末</w:t>
            </w:r>
          </w:p>
          <w:p>
            <w:pPr>
              <w:pStyle w:val="TableParagraph"/>
              <w:spacing w:line="288" w:lineRule="exact"/>
              <w:ind w:left="201" w:right="0"/>
              <w:jc w:val="left"/>
              <w:rPr>
                <w:rFonts w:ascii="Arial" w:hAnsi="Arial" w:cs="Arial" w:eastAsia="Arial" w:hint="default"/>
                <w:sz w:val="21"/>
                <w:szCs w:val="21"/>
              </w:rPr>
            </w:pPr>
            <w:r>
              <w:rPr>
                <w:rFonts w:ascii="宋体" w:hAnsi="宋体" w:cs="宋体" w:eastAsia="宋体" w:hint="default"/>
                <w:sz w:val="21"/>
                <w:szCs w:val="21"/>
              </w:rPr>
              <w:t>余额的比例</w:t>
            </w:r>
            <w:r>
              <w:rPr>
                <w:rFonts w:ascii="Arial" w:hAnsi="Arial" w:cs="Arial" w:eastAsia="Arial" w:hint="default"/>
                <w:sz w:val="21"/>
                <w:szCs w:val="21"/>
              </w:rPr>
              <w:t>(%)</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5" w:right="0"/>
              <w:jc w:val="left"/>
              <w:rPr>
                <w:rFonts w:ascii="宋体" w:hAnsi="宋体" w:cs="宋体" w:eastAsia="宋体" w:hint="default"/>
                <w:sz w:val="21"/>
                <w:szCs w:val="21"/>
              </w:rPr>
            </w:pPr>
            <w:r>
              <w:rPr>
                <w:rFonts w:ascii="宋体" w:hAnsi="宋体" w:cs="宋体" w:eastAsia="宋体" w:hint="default"/>
                <w:sz w:val="21"/>
                <w:szCs w:val="21"/>
              </w:rPr>
              <w:t>已计提坏账准备</w:t>
            </w:r>
          </w:p>
        </w:tc>
      </w:tr>
      <w:tr>
        <w:trPr>
          <w:trHeight w:val="35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期末余额前五名应收账款汇总</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86" w:right="0"/>
              <w:jc w:val="left"/>
              <w:rPr>
                <w:rFonts w:ascii="Times New Roman" w:hAnsi="Times New Roman" w:cs="Times New Roman" w:eastAsia="Times New Roman" w:hint="default"/>
                <w:sz w:val="21"/>
                <w:szCs w:val="21"/>
              </w:rPr>
            </w:pPr>
            <w:r>
              <w:rPr>
                <w:rFonts w:ascii="Times New Roman"/>
                <w:sz w:val="21"/>
              </w:rPr>
              <w:t>108,258,636.58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25.23</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01" w:right="0"/>
              <w:jc w:val="left"/>
              <w:rPr>
                <w:rFonts w:ascii="Times New Roman" w:hAnsi="Times New Roman" w:cs="Times New Roman" w:eastAsia="Times New Roman" w:hint="default"/>
                <w:sz w:val="21"/>
                <w:szCs w:val="21"/>
              </w:rPr>
            </w:pPr>
            <w:r>
              <w:rPr>
                <w:rFonts w:ascii="Times New Roman"/>
                <w:sz w:val="21"/>
              </w:rPr>
              <w:t>10,112,345.47</w:t>
            </w:r>
          </w:p>
        </w:tc>
      </w:tr>
    </w:tbl>
    <w:p>
      <w:pPr>
        <w:pStyle w:val="Heading3"/>
        <w:spacing w:line="274" w:lineRule="exact"/>
        <w:ind w:left="218" w:right="0"/>
        <w:jc w:val="left"/>
      </w:pPr>
      <w:r>
        <w:rPr/>
        <w:t> </w:t>
      </w:r>
    </w:p>
    <w:p>
      <w:pPr>
        <w:pStyle w:val="Heading4"/>
        <w:spacing w:line="240" w:lineRule="auto" w:before="61"/>
        <w:ind w:right="2005"/>
        <w:jc w:val="left"/>
        <w:rPr>
          <w:rFonts w:ascii="宋体" w:hAnsi="宋体" w:cs="宋体" w:eastAsia="宋体" w:hint="default"/>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26"/>
        </w:rPr>
        <w:t> </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2005"/>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5"/>
        <w:rPr>
          <w:rFonts w:ascii="宋体" w:hAnsi="宋体" w:cs="宋体" w:eastAsia="宋体" w:hint="default"/>
          <w:sz w:val="25"/>
          <w:szCs w:val="25"/>
        </w:rPr>
      </w:pPr>
    </w:p>
    <w:p>
      <w:pPr>
        <w:pStyle w:val="Heading4"/>
        <w:spacing w:line="240" w:lineRule="auto" w:before="0"/>
        <w:ind w:right="2005"/>
        <w:jc w:val="left"/>
        <w:rPr>
          <w:rFonts w:ascii="宋体" w:hAnsi="宋体" w:cs="宋体" w:eastAsia="宋体" w:hint="default"/>
          <w:b w:val="0"/>
          <w:bCs w:val="0"/>
        </w:rPr>
      </w:pPr>
      <w:r>
        <w:rPr>
          <w:rFonts w:ascii="Times New Roman" w:hAnsi="Times New Roman" w:cs="Times New Roman" w:eastAsia="Times New Roman" w:hint="default"/>
        </w:rPr>
        <w:t>(7).  </w:t>
      </w:r>
      <w:r>
        <w:rPr>
          <w:rFonts w:ascii="Times New Roman" w:hAnsi="Times New Roman" w:cs="Times New Roman" w:eastAsia="Times New Roman" w:hint="default"/>
          <w:spacing w:val="25"/>
        </w:rPr>
        <w:t> </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200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79" w:top="1120" w:bottom="1160" w:left="1580" w:right="1060"/>
        </w:sectPr>
      </w:pPr>
    </w:p>
    <w:p>
      <w:pPr>
        <w:pStyle w:val="BodyText"/>
        <w:spacing w:line="274" w:lineRule="exact"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0"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9" w:lineRule="exact"/>
        <w:ind w:left="218" w:right="0"/>
        <w:jc w:val="left"/>
      </w:pPr>
      <w:r>
        <w:rPr/>
        <w:t> </w:t>
      </w:r>
    </w:p>
    <w:p>
      <w:pPr>
        <w:pStyle w:val="Heading4"/>
        <w:spacing w:line="273" w:lineRule="auto"/>
        <w:ind w:right="0" w:firstLine="7"/>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580" w:right="1060"/>
          <w:cols w:num="2" w:equalWidth="0">
            <w:col w:w="2004" w:space="4518"/>
            <w:col w:w="274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171,556,532.94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61,424,818.07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171,556,532.94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61,424,818.07</w:t>
            </w:r>
          </w:p>
        </w:tc>
      </w:tr>
    </w:tbl>
    <w:p>
      <w:pPr>
        <w:pStyle w:val="BodyText"/>
        <w:spacing w:line="237" w:lineRule="exact"/>
        <w:ind w:right="0"/>
        <w:jc w:val="left"/>
        <w:rPr>
          <w:rFonts w:ascii="宋体" w:hAnsi="宋体" w:cs="宋体" w:eastAsia="宋体" w:hint="default"/>
        </w:rPr>
      </w:pPr>
      <w:r>
        <w:rPr>
          <w:rFonts w:ascii="宋体"/>
          <w:w w:val="100"/>
        </w:rPr>
        <w:t> </w:t>
      </w:r>
    </w:p>
    <w:p>
      <w:pPr>
        <w:spacing w:line="310" w:lineRule="exact" w:before="0"/>
        <w:ind w:left="218" w:right="2005" w:firstLine="0"/>
        <w:jc w:val="left"/>
        <w:rPr>
          <w:rFonts w:ascii="宋体" w:hAnsi="宋体" w:cs="宋体" w:eastAsia="宋体" w:hint="default"/>
          <w:sz w:val="24"/>
          <w:szCs w:val="24"/>
        </w:rPr>
      </w:pPr>
      <w:r>
        <w:rPr>
          <w:rFonts w:ascii="宋体" w:hAnsi="宋体" w:cs="宋体" w:eastAsia="宋体" w:hint="default"/>
          <w:sz w:val="21"/>
          <w:szCs w:val="21"/>
        </w:rPr>
        <w:t>其他说明</w:t>
      </w:r>
      <w:r>
        <w:rPr>
          <w:rFonts w:ascii="宋体" w:hAnsi="宋体" w:cs="宋体" w:eastAsia="宋体" w:hint="default"/>
          <w:sz w:val="24"/>
          <w:szCs w:val="24"/>
        </w:rPr>
        <w:t>：</w:t>
      </w:r>
      <w:r>
        <w:rPr>
          <w:rFonts w:ascii="宋体" w:hAnsi="宋体" w:cs="宋体" w:eastAsia="宋体" w:hint="default"/>
          <w:sz w:val="24"/>
          <w:szCs w:val="24"/>
        </w:rPr>
        <w:t> </w:t>
      </w:r>
    </w:p>
    <w:p>
      <w:pPr>
        <w:pStyle w:val="BodyText"/>
        <w:spacing w:line="274" w:lineRule="exact" w:before="2"/>
        <w:ind w:right="2005"/>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90" w:lineRule="auto" w:before="0"/>
        <w:ind w:left="218" w:right="2005"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right="2005"/>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2"/>
        </w:rPr>
        <w:t> </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40"/>
        <w:ind w:right="2005"/>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sz w:val="24"/>
          <w:szCs w:val="24"/>
        </w:rPr>
        <w:t> </w:t>
      </w:r>
      <w:r>
        <w:rPr>
          <w:rFonts w:ascii="宋体" w:hAnsi="宋体" w:cs="宋体" w:eastAsia="宋体" w:hint="default"/>
          <w:sz w:val="24"/>
          <w:szCs w:val="24"/>
        </w:rPr>
        <w:t> </w:t>
      </w:r>
    </w:p>
    <w:p>
      <w:pPr>
        <w:pStyle w:val="Heading3"/>
        <w:spacing w:line="310" w:lineRule="exact"/>
        <w:ind w:left="218" w:right="0"/>
        <w:jc w:val="left"/>
      </w:pPr>
      <w:r>
        <w:rPr/>
        <w:t> </w:t>
      </w:r>
    </w:p>
    <w:p>
      <w:pPr>
        <w:pStyle w:val="Heading4"/>
        <w:spacing w:line="240" w:lineRule="auto" w:before="61"/>
        <w:ind w:right="2005"/>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2"/>
        </w:rPr>
        <w:t> </w:t>
      </w:r>
      <w:r>
        <w:rPr/>
        <w:t>重要逾期利息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right="200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2005"/>
        <w:jc w:val="left"/>
        <w:rPr>
          <w:rFonts w:ascii="宋体" w:hAnsi="宋体" w:cs="宋体" w:eastAsia="宋体" w:hint="default"/>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4"/>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40"/>
        <w:ind w:right="200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2005"/>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2005"/>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2005"/>
        <w:jc w:val="left"/>
        <w:rPr>
          <w:rFonts w:ascii="宋体" w:hAnsi="宋体" w:cs="宋体" w:eastAsia="宋体" w:hint="default"/>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2"/>
        </w:rPr>
        <w:t> </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40"/>
        <w:ind w:right="2005"/>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sz w:val="24"/>
          <w:szCs w:val="24"/>
        </w:rPr>
        <w:t> </w:t>
      </w:r>
      <w:r>
        <w:rPr>
          <w:rFonts w:ascii="宋体" w:hAnsi="宋体" w:cs="宋体" w:eastAsia="宋体" w:hint="default"/>
          <w:sz w:val="24"/>
          <w:szCs w:val="24"/>
        </w:rPr>
        <w:t> </w:t>
      </w:r>
    </w:p>
    <w:p>
      <w:pPr>
        <w:pStyle w:val="Heading3"/>
        <w:spacing w:line="310" w:lineRule="exact"/>
        <w:ind w:left="218" w:right="0"/>
        <w:jc w:val="left"/>
      </w:pPr>
      <w:r>
        <w:rPr/>
        <w:t> </w:t>
      </w:r>
    </w:p>
    <w:p>
      <w:pPr>
        <w:pStyle w:val="Heading4"/>
        <w:spacing w:line="240" w:lineRule="auto" w:before="61"/>
        <w:ind w:right="2005"/>
        <w:jc w:val="left"/>
        <w:rPr>
          <w:rFonts w:ascii="宋体" w:hAnsi="宋体" w:cs="宋体" w:eastAsia="宋体" w:hint="default"/>
          <w:b w:val="0"/>
          <w:bCs w:val="0"/>
        </w:rPr>
      </w:pPr>
      <w:r>
        <w:rPr>
          <w:rFonts w:ascii="Times New Roman" w:hAnsi="Times New Roman" w:cs="Times New Roman" w:eastAsia="Times New Roman" w:hint="default"/>
        </w:rPr>
        <w:t>(5).  </w:t>
      </w:r>
      <w:r>
        <w:rPr/>
        <w:t>重要的账龄超过 </w:t>
      </w:r>
      <w:r>
        <w:rPr>
          <w:rFonts w:ascii="宋体" w:hAnsi="宋体" w:cs="宋体" w:eastAsia="宋体" w:hint="default"/>
        </w:rPr>
        <w:t>1</w:t>
      </w:r>
      <w:r>
        <w:rPr>
          <w:rFonts w:ascii="宋体" w:hAnsi="宋体" w:cs="宋体" w:eastAsia="宋体" w:hint="default"/>
          <w:spacing w:val="-83"/>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right="200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500" w:bottom="280" w:left="1580" w:right="1060"/>
        </w:sect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79" w:top="1120" w:bottom="1160" w:left="1580" w:right="1040"/>
        </w:sectPr>
      </w:pPr>
    </w:p>
    <w:p>
      <w:pPr>
        <w:pStyle w:val="Heading4"/>
        <w:spacing w:line="240" w:lineRule="auto" w:before="36"/>
        <w:ind w:right="0"/>
        <w:jc w:val="left"/>
        <w:rPr>
          <w:rFonts w:ascii="宋体" w:hAnsi="宋体" w:cs="宋体" w:eastAsia="宋体" w:hint="default"/>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24"/>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right="0"/>
        <w:jc w:val="left"/>
        <w:rPr>
          <w:rFonts w:ascii="宋体" w:hAnsi="宋体" w:cs="宋体" w:eastAsia="宋体" w:hint="default"/>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580" w:right="1040"/>
          <w:cols w:num="2" w:equalWidth="0">
            <w:col w:w="2439" w:space="4083"/>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144,593,154.33</w:t>
            </w:r>
          </w:p>
        </w:tc>
      </w:tr>
      <w:tr>
        <w:trPr>
          <w:trHeight w:val="284"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144,593,154.33</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21,031,012.37</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15,036,188.62</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8,871,941.71</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2,371,656.00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859,485.93</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192,763,438.96</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500" w:bottom="2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580" w:right="1040"/>
          <w:cols w:num="2" w:equalWidth="0">
            <w:col w:w="2626" w:space="3895"/>
            <w:col w:w="2769"/>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35,712,684.15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32,695,106.10</w:t>
            </w:r>
          </w:p>
        </w:tc>
      </w:tr>
      <w:tr>
        <w:trPr>
          <w:trHeight w:val="37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投标保证金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14,730,613.00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3,854,640.00</w:t>
            </w:r>
          </w:p>
        </w:tc>
      </w:tr>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备用金、押金及日常业务款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3,404,695.29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1,480,779.38</w:t>
            </w:r>
          </w:p>
        </w:tc>
      </w:tr>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应收子公司股权转让款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98,652,266.76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子公司往来款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26,899,736.79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26,166,231.19</w:t>
            </w:r>
          </w:p>
        </w:tc>
      </w:tr>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13,363,442.97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9,533,889.22</w:t>
            </w:r>
          </w:p>
        </w:tc>
      </w:tr>
      <w:tr>
        <w:trPr>
          <w:trHeight w:val="37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192,763,438.96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76,730,645.89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Times New Roman" w:hAnsi="Times New Roman" w:cs="Times New Roman" w:eastAsia="Times New Roman" w:hint="default"/>
        </w:rPr>
        <w:t>(3).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580" w:right="1040"/>
          <w:cols w:num="2" w:equalWidth="0">
            <w:col w:w="2415" w:space="4003"/>
            <w:col w:w="287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442"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9"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28"/>
              <w:ind w:left="249" w:right="143"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6"/>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6"/>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9"/>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02" w:right="0"/>
              <w:jc w:val="left"/>
              <w:rPr>
                <w:rFonts w:ascii="Times New Roman" w:hAnsi="Times New Roman" w:cs="Times New Roman" w:eastAsia="Times New Roman" w:hint="default"/>
                <w:sz w:val="21"/>
                <w:szCs w:val="21"/>
              </w:rPr>
            </w:pPr>
            <w:r>
              <w:rPr>
                <w:rFonts w:ascii="Times New Roman"/>
                <w:sz w:val="21"/>
              </w:rPr>
              <w:t>648,116.35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70" w:right="0"/>
              <w:jc w:val="left"/>
              <w:rPr>
                <w:rFonts w:ascii="Times New Roman" w:hAnsi="Times New Roman" w:cs="Times New Roman" w:eastAsia="Times New Roman" w:hint="default"/>
                <w:sz w:val="21"/>
                <w:szCs w:val="21"/>
              </w:rPr>
            </w:pPr>
            <w:r>
              <w:rPr>
                <w:rFonts w:ascii="Times New Roman"/>
                <w:sz w:val="21"/>
              </w:rPr>
              <w:t>6,691,778.44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70" w:right="0"/>
              <w:jc w:val="left"/>
              <w:rPr>
                <w:rFonts w:ascii="Times New Roman" w:hAnsi="Times New Roman" w:cs="Times New Roman" w:eastAsia="Times New Roman" w:hint="default"/>
                <w:sz w:val="21"/>
                <w:szCs w:val="21"/>
              </w:rPr>
            </w:pPr>
            <w:r>
              <w:rPr>
                <w:rFonts w:ascii="Times New Roman"/>
                <w:sz w:val="21"/>
              </w:rPr>
              <w:t>7,965,933.03</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6" w:right="0"/>
              <w:jc w:val="left"/>
              <w:rPr>
                <w:rFonts w:ascii="Times New Roman" w:hAnsi="Times New Roman" w:cs="Times New Roman" w:eastAsia="Times New Roman" w:hint="default"/>
                <w:sz w:val="21"/>
                <w:szCs w:val="21"/>
              </w:rPr>
            </w:pPr>
            <w:r>
              <w:rPr>
                <w:rFonts w:ascii="Times New Roman"/>
                <w:sz w:val="21"/>
              </w:rPr>
              <w:t>15,305,827.82</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500" w:bottom="2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557"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9"/>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283,866.04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283,866.04</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283,866.04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283,866.04</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767,705.68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4,430,045.17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2,815,033.09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8,012,783.94</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364,250.31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1,350,789.39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1,715,039.70</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112,800.00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112,800.00</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557"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767,705.68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9,658,234.22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10,780,966.12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21,206,906.02</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对本期发生损失准备变动的其他应收款账面余额显著变动的情况说明：</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spacing w:val="-1"/>
          <w:w w:val="100"/>
        </w:rPr>
        <w:t>据</w:t>
      </w:r>
      <w:r>
        <w:rPr>
          <w:spacing w:val="-2"/>
          <w:w w:val="100"/>
        </w:rPr>
        <w:t>：</w:t>
      </w:r>
      <w:r>
        <w:rPr>
          <w:rFonts w:ascii="宋体" w:hAnsi="宋体" w:cs="宋体" w:eastAsia="宋体" w:hint="default"/>
          <w:w w:val="100"/>
        </w:rPr>
        <w:t> </w:t>
      </w:r>
    </w:p>
    <w:p>
      <w:pPr>
        <w:pStyle w:val="BodyText"/>
        <w:spacing w:line="26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77"/>
        <w:gridCol w:w="1433"/>
        <w:gridCol w:w="1330"/>
        <w:gridCol w:w="1330"/>
        <w:gridCol w:w="1171"/>
        <w:gridCol w:w="1085"/>
        <w:gridCol w:w="1435"/>
      </w:tblGrid>
      <w:tr>
        <w:trPr>
          <w:trHeight w:val="28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9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3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1277" w:type="dxa"/>
            <w:vMerge/>
            <w:tcBorders>
              <w:left w:val="single" w:sz="4" w:space="0" w:color="000000"/>
              <w:bottom w:val="single" w:sz="4" w:space="0" w:color="000000"/>
              <w:right w:val="single" w:sz="4" w:space="0" w:color="000000"/>
            </w:tcBorders>
          </w:tcPr>
          <w:p>
            <w:pPr/>
          </w:p>
        </w:tc>
        <w:tc>
          <w:tcPr>
            <w:tcW w:w="1433" w:type="dxa"/>
            <w:vMerge/>
            <w:tcBorders>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hAnsi="宋体" w:cs="宋体" w:eastAsia="宋体" w:hint="default"/>
                <w:spacing w:val="-2"/>
                <w:sz w:val="21"/>
                <w:szCs w:val="21"/>
              </w:rPr>
              <w:t>收回或转回</w:t>
            </w:r>
            <w:r>
              <w:rPr>
                <w:rFonts w:ascii="宋体" w:hAnsi="宋体" w:cs="宋体" w:eastAsia="宋体" w:hint="default"/>
                <w:sz w:val="21"/>
                <w:szCs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435" w:type="dxa"/>
            <w:vMerge/>
            <w:tcBorders>
              <w:left w:val="single" w:sz="4" w:space="0" w:color="000000"/>
              <w:bottom w:val="single" w:sz="4" w:space="0" w:color="000000"/>
              <w:right w:val="single" w:sz="4" w:space="0" w:color="000000"/>
            </w:tcBorders>
          </w:tcPr>
          <w:p>
            <w:pPr/>
          </w:p>
        </w:tc>
      </w:tr>
      <w:tr>
        <w:trPr>
          <w:trHeight w:val="8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单项计提预</w:t>
            </w:r>
          </w:p>
          <w:p>
            <w:pPr>
              <w:pStyle w:val="TableParagraph"/>
              <w:spacing w:line="272" w:lineRule="exact" w:before="27"/>
              <w:ind w:left="107" w:right="0"/>
              <w:jc w:val="left"/>
              <w:rPr>
                <w:rFonts w:ascii="宋体" w:hAnsi="宋体" w:cs="宋体" w:eastAsia="宋体" w:hint="default"/>
                <w:sz w:val="21"/>
                <w:szCs w:val="21"/>
              </w:rPr>
            </w:pPr>
            <w:r>
              <w:rPr>
                <w:rFonts w:ascii="宋体" w:hAnsi="宋体" w:cs="宋体" w:eastAsia="宋体" w:hint="default"/>
                <w:sz w:val="21"/>
                <w:szCs w:val="21"/>
              </w:rPr>
              <w:t>期信用损失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的应收账款</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7,965,933.03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2,815,033.09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10,780,966.12</w:t>
            </w:r>
          </w:p>
        </w:tc>
      </w:tr>
      <w:tr>
        <w:trPr>
          <w:trHeight w:val="109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both"/>
              <w:rPr>
                <w:rFonts w:ascii="宋体" w:hAnsi="宋体" w:cs="宋体" w:eastAsia="宋体" w:hint="default"/>
                <w:sz w:val="21"/>
                <w:szCs w:val="21"/>
              </w:rPr>
            </w:pPr>
            <w:r>
              <w:rPr>
                <w:rFonts w:ascii="宋体" w:hAnsi="宋体" w:cs="宋体" w:eastAsia="宋体" w:hint="default"/>
                <w:sz w:val="21"/>
                <w:szCs w:val="21"/>
              </w:rPr>
              <w:t>按组合计提</w:t>
            </w:r>
          </w:p>
          <w:p>
            <w:pPr>
              <w:pStyle w:val="TableParagraph"/>
              <w:spacing w:line="237" w:lineRule="auto"/>
              <w:ind w:left="107" w:right="103"/>
              <w:jc w:val="both"/>
              <w:rPr>
                <w:rFonts w:ascii="宋体" w:hAnsi="宋体" w:cs="宋体" w:eastAsia="宋体" w:hint="default"/>
                <w:sz w:val="21"/>
                <w:szCs w:val="21"/>
              </w:rPr>
            </w:pPr>
            <w:r>
              <w:rPr>
                <w:rFonts w:ascii="宋体" w:hAnsi="宋体" w:cs="宋体" w:eastAsia="宋体" w:hint="default"/>
                <w:sz w:val="21"/>
                <w:szCs w:val="21"/>
              </w:rPr>
              <w:t>预期信用损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失的应收账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7,339,894.79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4" w:right="0"/>
              <w:jc w:val="center"/>
              <w:rPr>
                <w:rFonts w:ascii="Times New Roman" w:hAnsi="Times New Roman" w:cs="Times New Roman" w:eastAsia="Times New Roman" w:hint="default"/>
                <w:sz w:val="21"/>
                <w:szCs w:val="21"/>
              </w:rPr>
            </w:pPr>
            <w:r>
              <w:rPr>
                <w:rFonts w:ascii="Times New Roman"/>
                <w:sz w:val="21"/>
              </w:rPr>
              <w:t>4,913,884.81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10" w:right="0"/>
              <w:jc w:val="left"/>
              <w:rPr>
                <w:rFonts w:ascii="Times New Roman" w:hAnsi="Times New Roman" w:cs="Times New Roman" w:eastAsia="Times New Roman" w:hint="default"/>
                <w:sz w:val="21"/>
                <w:szCs w:val="21"/>
              </w:rPr>
            </w:pPr>
            <w:r>
              <w:rPr>
                <w:rFonts w:ascii="Times New Roman"/>
                <w:sz w:val="21"/>
              </w:rPr>
              <w:t>1,715,039.70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112,800.00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7"/>
              <w:jc w:val="right"/>
              <w:rPr>
                <w:rFonts w:ascii="Times New Roman" w:hAnsi="Times New Roman" w:cs="Times New Roman" w:eastAsia="Times New Roman" w:hint="default"/>
                <w:sz w:val="21"/>
                <w:szCs w:val="21"/>
              </w:rPr>
            </w:pPr>
            <w:r>
              <w:rPr>
                <w:rFonts w:ascii="Times New Roman"/>
                <w:w w:val="100"/>
                <w:sz w:val="21"/>
              </w:rPr>
              <w:t>-</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
                <w:sz w:val="21"/>
              </w:rPr>
              <w:t>10,425,939.90</w:t>
            </w: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3"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pacing w:val="-1"/>
                <w:sz w:val="21"/>
              </w:rPr>
              <w:t>15,305,827.82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center"/>
              <w:rPr>
                <w:rFonts w:ascii="Times New Roman" w:hAnsi="Times New Roman" w:cs="Times New Roman" w:eastAsia="Times New Roman" w:hint="default"/>
                <w:sz w:val="21"/>
                <w:szCs w:val="21"/>
              </w:rPr>
            </w:pPr>
            <w:r>
              <w:rPr>
                <w:rFonts w:ascii="Times New Roman"/>
                <w:sz w:val="21"/>
              </w:rPr>
              <w:t>7,728,917.90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0" w:right="0"/>
              <w:jc w:val="left"/>
              <w:rPr>
                <w:rFonts w:ascii="Times New Roman" w:hAnsi="Times New Roman" w:cs="Times New Roman" w:eastAsia="Times New Roman" w:hint="default"/>
                <w:sz w:val="21"/>
                <w:szCs w:val="21"/>
              </w:rPr>
            </w:pPr>
            <w:r>
              <w:rPr>
                <w:rFonts w:ascii="Times New Roman"/>
                <w:sz w:val="21"/>
              </w:rPr>
              <w:t>1,715,039.70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112,800.00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7"/>
              <w:jc w:val="right"/>
              <w:rPr>
                <w:rFonts w:ascii="Times New Roman" w:hAnsi="Times New Roman" w:cs="Times New Roman" w:eastAsia="Times New Roman" w:hint="default"/>
                <w:sz w:val="21"/>
                <w:szCs w:val="21"/>
              </w:rPr>
            </w:pPr>
            <w:r>
              <w:rPr>
                <w:rFonts w:ascii="Times New Roman"/>
                <w:w w:val="100"/>
                <w:sz w:val="21"/>
              </w:rPr>
              <w:t>-</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21,206,906.02</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20" w:bottom="116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4" w:lineRule="exact"/>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4"/>
        <w:spacing w:line="240" w:lineRule="auto" w:before="56"/>
        <w:ind w:right="0"/>
        <w:jc w:val="left"/>
        <w:rPr>
          <w:rFonts w:ascii="宋体" w:hAnsi="宋体" w:cs="宋体" w:eastAsia="宋体" w:hint="default"/>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580" w:right="1040"/>
          <w:cols w:num="2" w:equalWidth="0">
            <w:col w:w="4316" w:space="2206"/>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31"/>
        <w:gridCol w:w="4465"/>
      </w:tblGrid>
      <w:tr>
        <w:trPr>
          <w:trHeight w:val="281"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112,800.00</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其中重要的其他应收款核销情况：</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应</w:t>
      </w:r>
      <w:r>
        <w:rPr>
          <w:w w:val="100"/>
        </w:rPr>
        <w:t>收</w:t>
      </w:r>
      <w:r>
        <w:rPr>
          <w:spacing w:val="-3"/>
          <w:w w:val="100"/>
        </w:rPr>
        <w:t>款</w:t>
      </w:r>
      <w:r>
        <w:rPr>
          <w:w w:val="100"/>
        </w:rPr>
        <w:t>核</w:t>
      </w:r>
      <w:r>
        <w:rPr>
          <w:spacing w:val="-3"/>
          <w:w w:val="100"/>
        </w:rPr>
        <w:t>销</w:t>
      </w:r>
      <w:r>
        <w:rPr>
          <w:w w:val="100"/>
        </w:rPr>
        <w:t>说</w:t>
      </w:r>
      <w:r>
        <w:rPr>
          <w:spacing w:val="-3"/>
          <w:w w:val="100"/>
        </w:rPr>
        <w:t>明：</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500" w:bottom="280" w:left="1580" w:right="1040"/>
        </w:sect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79" w:top="1120" w:bottom="1160" w:left="1580" w:right="1040"/>
        </w:sectPr>
      </w:pPr>
    </w:p>
    <w:p>
      <w:pPr>
        <w:pStyle w:val="Heading4"/>
        <w:spacing w:line="240" w:lineRule="auto" w:before="36"/>
        <w:ind w:right="0"/>
        <w:jc w:val="left"/>
        <w:rPr>
          <w:rFonts w:ascii="宋体" w:hAnsi="宋体" w:cs="宋体" w:eastAsia="宋体" w:hint="default"/>
          <w:b w:val="0"/>
          <w:bCs w:val="0"/>
        </w:rPr>
      </w:pPr>
      <w:r>
        <w:rPr>
          <w:rFonts w:ascii="Times New Roman" w:hAnsi="Times New Roman" w:cs="Times New Roman" w:eastAsia="Times New Roman" w:hint="default"/>
        </w:rPr>
        <w:t>(6).</w:t>
      </w:r>
      <w:r>
        <w:rPr>
          <w:rFonts w:ascii="Times New Roman" w:hAnsi="Times New Roman" w:cs="Times New Roman" w:eastAsia="Times New Roman" w:hint="default"/>
          <w:spacing w:val="49"/>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00" w:bottom="280" w:left="1580" w:right="1040"/>
          <w:cols w:num="2" w:equalWidth="0">
            <w:col w:w="5365" w:space="1157"/>
            <w:col w:w="2768"/>
          </w:cols>
        </w:sectPr>
      </w:pPr>
    </w:p>
    <w:p>
      <w:pPr>
        <w:spacing w:line="240" w:lineRule="auto" w:before="7"/>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1826"/>
        <w:gridCol w:w="1589"/>
        <w:gridCol w:w="1450"/>
        <w:gridCol w:w="1291"/>
        <w:gridCol w:w="1424"/>
        <w:gridCol w:w="1397"/>
      </w:tblGrid>
      <w:tr>
        <w:trPr>
          <w:trHeight w:val="826"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ind w:left="127" w:right="24"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71" w:right="16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其他应收客户一</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应收子公司股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权转让款</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98,652,266.76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6"/>
              <w:jc w:val="right"/>
              <w:rPr>
                <w:rFonts w:ascii="Times New Roman" w:hAnsi="Times New Roman" w:cs="Times New Roman" w:eastAsia="Times New Roman" w:hint="default"/>
                <w:sz w:val="21"/>
                <w:szCs w:val="21"/>
              </w:rPr>
            </w:pPr>
            <w:r>
              <w:rPr>
                <w:rFonts w:ascii="Times New Roman"/>
                <w:sz w:val="21"/>
              </w:rPr>
              <w:t>51.18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0.00</w:t>
            </w:r>
          </w:p>
        </w:tc>
      </w:tr>
      <w:tr>
        <w:trPr>
          <w:trHeight w:val="281"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其他应收客户二</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子公司往来款</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8,262,399.41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z w:val="21"/>
              </w:rPr>
              <w:t>4.29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其他应收客户三</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子公司往来款</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7,216,735.89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z w:val="21"/>
              </w:rPr>
              <w:t>3.74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0.00</w:t>
            </w:r>
          </w:p>
        </w:tc>
      </w:tr>
      <w:tr>
        <w:trPr>
          <w:trHeight w:val="281"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其他应收客户四</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子公司往来款</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6,237,062.73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z w:val="21"/>
              </w:rPr>
              <w:t>3.24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6,237,062.73</w:t>
            </w:r>
          </w:p>
        </w:tc>
      </w:tr>
      <w:tr>
        <w:trPr>
          <w:trHeight w:val="283"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其他应收客户五</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投标保证金</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5,645,007.00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z w:val="21"/>
              </w:rPr>
              <w:t>2.93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169,350.21</w:t>
            </w:r>
          </w:p>
        </w:tc>
      </w:tr>
      <w:tr>
        <w:trPr>
          <w:trHeight w:val="283"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ight="0"/>
              <w:jc w:val="center"/>
              <w:rPr>
                <w:rFonts w:ascii="宋体" w:hAnsi="宋体" w:cs="宋体" w:eastAsia="宋体" w:hint="default"/>
                <w:sz w:val="21"/>
                <w:szCs w:val="21"/>
              </w:rPr>
            </w:pPr>
            <w:r>
              <w:rPr>
                <w:rFonts w:ascii="宋体"/>
                <w:sz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126,013,471.79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w w:val="100"/>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z w:val="21"/>
              </w:rPr>
              <w:t>65.38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6,406,412.94</w:t>
            </w:r>
          </w:p>
        </w:tc>
      </w:tr>
    </w:tbl>
    <w:p>
      <w:pPr>
        <w:pStyle w:val="BodyText"/>
        <w:spacing w:line="236" w:lineRule="exact"/>
        <w:ind w:right="0"/>
        <w:jc w:val="left"/>
        <w:rPr>
          <w:rFonts w:ascii="宋体" w:hAnsi="宋体" w:cs="宋体" w:eastAsia="宋体" w:hint="default"/>
        </w:rPr>
      </w:pPr>
      <w:r>
        <w:rPr>
          <w:rFonts w:ascii="宋体"/>
          <w:w w:val="100"/>
        </w:rPr>
        <w:t> </w:t>
      </w:r>
    </w:p>
    <w:p>
      <w:pPr>
        <w:pStyle w:val="Heading3"/>
        <w:spacing w:line="309" w:lineRule="exact"/>
        <w:ind w:left="218" w:right="0"/>
        <w:jc w:val="left"/>
      </w:pPr>
      <w:r>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(7).</w:t>
      </w:r>
      <w:r>
        <w:rPr>
          <w:rFonts w:ascii="Times New Roman" w:hAnsi="Times New Roman" w:cs="Times New Roman" w:eastAsia="Times New Roman" w:hint="default"/>
          <w:spacing w:val="51"/>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9" w:lineRule="exact"/>
        <w:ind w:left="218" w:right="0"/>
        <w:jc w:val="left"/>
      </w:pPr>
      <w:r>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(8).</w:t>
      </w:r>
      <w:r>
        <w:rPr>
          <w:rFonts w:ascii="Times New Roman" w:hAnsi="Times New Roman" w:cs="Times New Roman" w:eastAsia="Times New Roman" w:hint="default"/>
          <w:spacing w:val="51"/>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40"/>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8" w:right="0"/>
        <w:jc w:val="left"/>
      </w:pPr>
      <w:r>
        <w:rPr/>
        <w:t> </w:t>
      </w:r>
    </w:p>
    <w:p>
      <w:pPr>
        <w:pStyle w:val="Heading4"/>
        <w:spacing w:line="240" w:lineRule="auto" w:before="61"/>
        <w:ind w:right="0"/>
        <w:jc w:val="left"/>
        <w:rPr>
          <w:rFonts w:ascii="宋体" w:hAnsi="宋体" w:cs="宋体" w:eastAsia="宋体" w:hint="default"/>
          <w:b w:val="0"/>
          <w:bCs w:val="0"/>
        </w:rPr>
      </w:pPr>
      <w:r>
        <w:rPr>
          <w:rFonts w:ascii="Times New Roman" w:hAnsi="Times New Roman" w:cs="Times New Roman" w:eastAsia="Times New Roman" w:hint="default"/>
        </w:rPr>
        <w:t>(9).</w:t>
      </w:r>
      <w:r>
        <w:rPr>
          <w:rFonts w:ascii="Times New Roman" w:hAnsi="Times New Roman" w:cs="Times New Roman" w:eastAsia="Times New Roman" w:hint="default"/>
          <w:spacing w:val="49"/>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43"/>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09" w:lineRule="exact"/>
        <w:ind w:left="218" w:right="0"/>
        <w:jc w:val="left"/>
      </w:pPr>
      <w:r>
        <w:rPr/>
        <w:t> </w:t>
      </w:r>
    </w:p>
    <w:p>
      <w:pPr>
        <w:pStyle w:val="BodyText"/>
        <w:spacing w:line="274" w:lineRule="exact" w:before="4"/>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27"/>
        <w:ind w:right="394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t>按组合计提预期信用损失的其他应收款</w:t>
      </w:r>
      <w:r>
        <w:rPr>
          <w:rFonts w:ascii="宋体" w:hAnsi="宋体" w:cs="宋体" w:eastAsia="宋体" w:hint="default"/>
        </w:rPr>
        <w:t> </w:t>
      </w:r>
    </w:p>
    <w:tbl>
      <w:tblPr>
        <w:tblW w:w="0" w:type="auto"/>
        <w:jc w:val="left"/>
        <w:tblInd w:w="100" w:type="dxa"/>
        <w:tblLayout w:type="fixed"/>
        <w:tblCellMar>
          <w:top w:w="0" w:type="dxa"/>
          <w:left w:w="0" w:type="dxa"/>
          <w:bottom w:w="0" w:type="dxa"/>
          <w:right w:w="0" w:type="dxa"/>
        </w:tblCellMar>
        <w:tblLook w:val="01E0"/>
      </w:tblPr>
      <w:tblGrid>
        <w:gridCol w:w="2902"/>
        <w:gridCol w:w="2328"/>
        <w:gridCol w:w="2040"/>
        <w:gridCol w:w="1779"/>
      </w:tblGrid>
      <w:tr>
        <w:trPr>
          <w:trHeight w:val="341" w:hRule="exact"/>
        </w:trPr>
        <w:tc>
          <w:tcPr>
            <w:tcW w:w="2902"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14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41" w:hRule="exact"/>
        </w:trPr>
        <w:tc>
          <w:tcPr>
            <w:tcW w:w="2902" w:type="dxa"/>
            <w:vMerge/>
            <w:tcBorders>
              <w:left w:val="single" w:sz="8" w:space="0" w:color="000000"/>
              <w:bottom w:val="single" w:sz="8" w:space="0" w:color="000000"/>
              <w:right w:val="single" w:sz="8" w:space="0" w:color="000000"/>
            </w:tcBorders>
          </w:tcPr>
          <w:p>
            <w:pP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6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9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89"/>
              <w:jc w:val="right"/>
              <w:rPr>
                <w:rFonts w:ascii="宋体" w:hAnsi="宋体" w:cs="宋体" w:eastAsia="宋体" w:hint="default"/>
                <w:sz w:val="21"/>
                <w:szCs w:val="21"/>
              </w:rPr>
            </w:pPr>
            <w:r>
              <w:rPr>
                <w:rFonts w:ascii="宋体" w:hAnsi="宋体" w:cs="宋体" w:eastAsia="宋体" w:hint="default"/>
                <w:spacing w:val="-2"/>
                <w:sz w:val="21"/>
                <w:szCs w:val="21"/>
              </w:rPr>
              <w:t>计提比例（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346" w:hRule="exact"/>
        </w:trPr>
        <w:tc>
          <w:tcPr>
            <w:tcW w:w="2902"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4"/>
                <w:szCs w:val="24"/>
              </w:rPr>
              <w:t>范围</w:t>
            </w:r>
            <w:r>
              <w:rPr>
                <w:rFonts w:ascii="宋体" w:hAnsi="宋体" w:cs="宋体" w:eastAsia="宋体" w:hint="default"/>
                <w:sz w:val="21"/>
                <w:szCs w:val="21"/>
              </w:rPr>
              <w:t>组合</w:t>
            </w:r>
            <w:r>
              <w:rPr>
                <w:rFonts w:ascii="宋体" w:hAnsi="宋体" w:cs="宋体" w:eastAsia="宋体" w:hint="default"/>
                <w:sz w:val="21"/>
                <w:szCs w:val="21"/>
              </w:rPr>
              <w:t> </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pacing w:val="-1"/>
                <w:sz w:val="21"/>
              </w:rPr>
              <w:t>125,552,003.55</w:t>
            </w:r>
          </w:p>
        </w:tc>
        <w:tc>
          <w:tcPr>
            <w:tcW w:w="2040" w:type="dxa"/>
            <w:tcBorders>
              <w:top w:val="single" w:sz="8" w:space="0" w:color="000000"/>
              <w:left w:val="single" w:sz="8" w:space="0" w:color="000000"/>
              <w:bottom w:val="single" w:sz="8" w:space="0" w:color="000000"/>
              <w:right w:val="single" w:sz="8" w:space="0" w:color="000000"/>
            </w:tcBorders>
          </w:tcPr>
          <w:p>
            <w:pPr/>
          </w:p>
        </w:tc>
        <w:tc>
          <w:tcPr>
            <w:tcW w:w="1779" w:type="dxa"/>
            <w:tcBorders>
              <w:top w:val="single" w:sz="8" w:space="0" w:color="000000"/>
              <w:left w:val="single" w:sz="8" w:space="0" w:color="000000"/>
              <w:bottom w:val="single" w:sz="8" w:space="0" w:color="000000"/>
              <w:right w:val="single" w:sz="8" w:space="0" w:color="000000"/>
            </w:tcBorders>
          </w:tcPr>
          <w:p>
            <w:pPr/>
          </w:p>
        </w:tc>
      </w:tr>
      <w:tr>
        <w:trPr>
          <w:trHeight w:val="420" w:hRule="exact"/>
        </w:trPr>
        <w:tc>
          <w:tcPr>
            <w:tcW w:w="29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21"/>
                <w:szCs w:val="21"/>
              </w:rPr>
            </w:pPr>
            <w:r>
              <w:rPr>
                <w:rFonts w:ascii="宋体" w:hAnsi="宋体" w:cs="宋体" w:eastAsia="宋体" w:hint="default"/>
                <w:sz w:val="21"/>
                <w:szCs w:val="21"/>
              </w:rPr>
              <w:t>政府、事业单位履约保证金</w:t>
            </w:r>
            <w:r>
              <w:rPr>
                <w:rFonts w:ascii="宋体" w:hAnsi="宋体" w:cs="宋体" w:eastAsia="宋体" w:hint="default"/>
                <w:sz w:val="21"/>
                <w:szCs w:val="21"/>
              </w:rPr>
              <w:t> </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pacing w:val="-1"/>
                <w:sz w:val="21"/>
              </w:rPr>
              <w:t>30,343,116.10</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pacing w:val="-1"/>
                <w:sz w:val="21"/>
              </w:rPr>
              <w:t>9,180,401.13</w:t>
            </w:r>
          </w:p>
        </w:tc>
        <w:tc>
          <w:tcPr>
            <w:tcW w:w="17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Times New Roman" w:hAnsi="Times New Roman" w:cs="Times New Roman" w:eastAsia="Times New Roman" w:hint="default"/>
                <w:sz w:val="21"/>
                <w:szCs w:val="21"/>
              </w:rPr>
            </w:pPr>
            <w:r>
              <w:rPr>
                <w:rFonts w:ascii="Times New Roman"/>
                <w:sz w:val="21"/>
              </w:rPr>
              <w:t>30.26</w:t>
            </w:r>
          </w:p>
        </w:tc>
      </w:tr>
      <w:tr>
        <w:trPr>
          <w:trHeight w:val="540" w:hRule="exact"/>
        </w:trPr>
        <w:tc>
          <w:tcPr>
            <w:tcW w:w="29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2"/>
              <w:ind w:left="98" w:right="0"/>
              <w:jc w:val="left"/>
              <w:rPr>
                <w:rFonts w:ascii="宋体" w:hAnsi="宋体" w:cs="宋体" w:eastAsia="宋体" w:hint="default"/>
                <w:sz w:val="21"/>
                <w:szCs w:val="21"/>
              </w:rPr>
            </w:pPr>
            <w:r>
              <w:rPr>
                <w:rFonts w:ascii="宋体" w:hAnsi="宋体" w:cs="宋体" w:eastAsia="宋体" w:hint="default"/>
                <w:sz w:val="21"/>
                <w:szCs w:val="21"/>
              </w:rPr>
              <w:t>企业单位履约保证金</w:t>
            </w:r>
            <w:r>
              <w:rPr>
                <w:rFonts w:ascii="宋体" w:hAnsi="宋体" w:cs="宋体" w:eastAsia="宋体" w:hint="default"/>
                <w:sz w:val="21"/>
                <w:szCs w:val="21"/>
              </w:rPr>
              <w:t> </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5,369,568.05</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1"/>
              <w:ind w:right="96"/>
              <w:jc w:val="right"/>
              <w:rPr>
                <w:rFonts w:ascii="Times New Roman" w:hAnsi="Times New Roman" w:cs="Times New Roman" w:eastAsia="Times New Roman" w:hint="default"/>
                <w:sz w:val="21"/>
                <w:szCs w:val="21"/>
              </w:rPr>
            </w:pPr>
            <w:r>
              <w:rPr>
                <w:rFonts w:ascii="Times New Roman"/>
                <w:spacing w:val="-1"/>
                <w:sz w:val="21"/>
              </w:rPr>
              <w:t>664,724.23</w:t>
            </w:r>
          </w:p>
        </w:tc>
        <w:tc>
          <w:tcPr>
            <w:tcW w:w="17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1"/>
              <w:ind w:right="96"/>
              <w:jc w:val="right"/>
              <w:rPr>
                <w:rFonts w:ascii="Times New Roman" w:hAnsi="Times New Roman" w:cs="Times New Roman" w:eastAsia="Times New Roman" w:hint="default"/>
                <w:sz w:val="21"/>
                <w:szCs w:val="21"/>
              </w:rPr>
            </w:pPr>
            <w:r>
              <w:rPr>
                <w:rFonts w:ascii="Times New Roman"/>
                <w:sz w:val="21"/>
              </w:rPr>
              <w:t>12.38</w:t>
            </w:r>
          </w:p>
        </w:tc>
      </w:tr>
      <w:tr>
        <w:trPr>
          <w:trHeight w:val="547" w:hRule="exact"/>
        </w:trPr>
        <w:tc>
          <w:tcPr>
            <w:tcW w:w="29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4"/>
              <w:ind w:left="98" w:right="0"/>
              <w:jc w:val="left"/>
              <w:rPr>
                <w:rFonts w:ascii="宋体" w:hAnsi="宋体" w:cs="宋体" w:eastAsia="宋体" w:hint="default"/>
                <w:sz w:val="21"/>
                <w:szCs w:val="21"/>
              </w:rPr>
            </w:pPr>
            <w:r>
              <w:rPr>
                <w:rFonts w:ascii="宋体" w:hAnsi="宋体" w:cs="宋体" w:eastAsia="宋体" w:hint="default"/>
                <w:sz w:val="21"/>
                <w:szCs w:val="21"/>
              </w:rPr>
              <w:t>押金、备用金等</w:t>
            </w:r>
            <w:r>
              <w:rPr>
                <w:rFonts w:ascii="宋体" w:hAnsi="宋体" w:cs="宋体" w:eastAsia="宋体" w:hint="default"/>
                <w:sz w:val="21"/>
                <w:szCs w:val="21"/>
              </w:rPr>
              <w:t> </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99"/>
              <w:jc w:val="right"/>
              <w:rPr>
                <w:rFonts w:ascii="Times New Roman" w:hAnsi="Times New Roman" w:cs="Times New Roman" w:eastAsia="Times New Roman" w:hint="default"/>
                <w:sz w:val="21"/>
                <w:szCs w:val="21"/>
              </w:rPr>
            </w:pPr>
            <w:r>
              <w:rPr>
                <w:rFonts w:ascii="Times New Roman"/>
                <w:spacing w:val="-1"/>
                <w:sz w:val="21"/>
              </w:rPr>
              <w:t>3,404,695.29</w:t>
            </w:r>
          </w:p>
        </w:tc>
        <w:tc>
          <w:tcPr>
            <w:tcW w:w="2040" w:type="dxa"/>
            <w:tcBorders>
              <w:top w:val="single" w:sz="8" w:space="0" w:color="000000"/>
              <w:left w:val="single" w:sz="8" w:space="0" w:color="000000"/>
              <w:bottom w:val="single" w:sz="8" w:space="0" w:color="000000"/>
              <w:right w:val="single" w:sz="8" w:space="0" w:color="000000"/>
            </w:tcBorders>
          </w:tcPr>
          <w:p>
            <w:pPr/>
          </w:p>
        </w:tc>
        <w:tc>
          <w:tcPr>
            <w:tcW w:w="1779" w:type="dxa"/>
            <w:tcBorders>
              <w:top w:val="single" w:sz="8" w:space="0" w:color="000000"/>
              <w:left w:val="single" w:sz="8" w:space="0" w:color="000000"/>
              <w:bottom w:val="single" w:sz="8" w:space="0" w:color="000000"/>
              <w:right w:val="single" w:sz="8" w:space="0" w:color="000000"/>
            </w:tcBorders>
          </w:tcPr>
          <w:p>
            <w:pPr/>
          </w:p>
        </w:tc>
      </w:tr>
      <w:tr>
        <w:trPr>
          <w:trHeight w:val="605" w:hRule="exact"/>
        </w:trPr>
        <w:tc>
          <w:tcPr>
            <w:tcW w:w="29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98" w:right="0"/>
              <w:jc w:val="left"/>
              <w:rPr>
                <w:rFonts w:ascii="宋体" w:hAnsi="宋体" w:cs="宋体" w:eastAsia="宋体" w:hint="default"/>
                <w:sz w:val="21"/>
                <w:szCs w:val="21"/>
              </w:rPr>
            </w:pPr>
            <w:r>
              <w:rPr>
                <w:rFonts w:ascii="宋体" w:hAnsi="宋体" w:cs="宋体" w:eastAsia="宋体" w:hint="default"/>
                <w:sz w:val="21"/>
                <w:szCs w:val="21"/>
              </w:rPr>
              <w:t>除上述外其他组合</w:t>
            </w:r>
            <w:r>
              <w:rPr>
                <w:rFonts w:ascii="宋体" w:hAnsi="宋体" w:cs="宋体" w:eastAsia="宋体" w:hint="default"/>
                <w:sz w:val="21"/>
                <w:szCs w:val="21"/>
              </w:rPr>
              <w:t> </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17,313,089.85</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580,814.54</w:t>
            </w:r>
          </w:p>
        </w:tc>
        <w:tc>
          <w:tcPr>
            <w:tcW w:w="17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3.35</w:t>
            </w:r>
          </w:p>
        </w:tc>
      </w:tr>
      <w:tr>
        <w:trPr>
          <w:trHeight w:val="341" w:hRule="exact"/>
        </w:trPr>
        <w:tc>
          <w:tcPr>
            <w:tcW w:w="29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181,982,472.84</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10,425,939.90</w:t>
            </w:r>
          </w:p>
        </w:tc>
        <w:tc>
          <w:tcPr>
            <w:tcW w:w="17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5.73</w:t>
            </w:r>
          </w:p>
        </w:tc>
      </w:tr>
    </w:tbl>
    <w:p>
      <w:pPr>
        <w:pStyle w:val="BodyText"/>
        <w:spacing w:line="240" w:lineRule="auto" w:before="91"/>
        <w:ind w:right="0"/>
        <w:jc w:val="left"/>
        <w:rPr>
          <w:rFonts w:ascii="宋体" w:hAnsi="宋体" w:cs="宋体" w:eastAsia="宋体" w:hint="default"/>
        </w:rPr>
      </w:pPr>
      <w:r>
        <w:rPr/>
        <w:t>（</w:t>
      </w:r>
      <w:r>
        <w:rPr>
          <w:rFonts w:ascii="宋体" w:hAnsi="宋体" w:cs="宋体" w:eastAsia="宋体" w:hint="default"/>
        </w:rPr>
        <w:t>1</w:t>
      </w:r>
      <w:r>
        <w:rPr/>
        <w:t>）合并范围组合</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1995"/>
        <w:gridCol w:w="1810"/>
        <w:gridCol w:w="1851"/>
      </w:tblGrid>
      <w:tr>
        <w:trPr>
          <w:trHeight w:val="341" w:hRule="exact"/>
        </w:trPr>
        <w:tc>
          <w:tcPr>
            <w:tcW w:w="3394" w:type="dxa"/>
            <w:vMerge w:val="restart"/>
            <w:tcBorders>
              <w:top w:val="single" w:sz="4" w:space="0" w:color="000000"/>
              <w:left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394" w:type="dxa"/>
            <w:vMerge/>
            <w:tcBorders>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113,465,374.99</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4,653,176.82</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4,783,183.68</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2,650,268.06</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00" w:bottom="2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4"/>
        <w:gridCol w:w="1995"/>
        <w:gridCol w:w="1810"/>
        <w:gridCol w:w="1851"/>
      </w:tblGrid>
      <w:tr>
        <w:trPr>
          <w:trHeight w:val="28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95"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8" w:right="0"/>
              <w:jc w:val="left"/>
              <w:rPr>
                <w:rFonts w:ascii="Times New Roman" w:hAnsi="Times New Roman" w:cs="Times New Roman" w:eastAsia="Times New Roman" w:hint="default"/>
                <w:sz w:val="21"/>
                <w:szCs w:val="21"/>
              </w:rPr>
            </w:pPr>
            <w:r>
              <w:rPr>
                <w:rFonts w:ascii="Times New Roman"/>
                <w:sz w:val="21"/>
              </w:rPr>
              <w:t>125,552,003.55</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right="0"/>
        <w:jc w:val="left"/>
        <w:rPr>
          <w:rFonts w:ascii="宋体" w:hAnsi="宋体" w:cs="宋体" w:eastAsia="宋体" w:hint="default"/>
        </w:rPr>
      </w:pPr>
      <w:r>
        <w:rPr/>
        <w:t>（</w:t>
      </w:r>
      <w:r>
        <w:rPr>
          <w:rFonts w:ascii="宋体" w:hAnsi="宋体" w:cs="宋体" w:eastAsia="宋体" w:hint="default"/>
        </w:rPr>
        <w:t>2</w:t>
      </w:r>
      <w:r>
        <w:rPr/>
        <w:t>）政府、事业单位履约保证金</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1995"/>
        <w:gridCol w:w="1810"/>
        <w:gridCol w:w="1851"/>
      </w:tblGrid>
      <w:tr>
        <w:trPr>
          <w:trHeight w:val="283" w:hRule="exact"/>
        </w:trPr>
        <w:tc>
          <w:tcPr>
            <w:tcW w:w="339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394" w:type="dxa"/>
            <w:vMerge/>
            <w:tcBorders>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5,707,601.00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171,228.03</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3.00</w:t>
            </w: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9,658,554.95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1,255,612.14</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13.00</w:t>
            </w:r>
          </w:p>
        </w:tc>
      </w:tr>
      <w:tr>
        <w:trPr>
          <w:trHeight w:val="281"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6,162,077.50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1,971,864.80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32.00</w:t>
            </w: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5,837,625.65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3,269,070.36</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56.00</w:t>
            </w:r>
          </w:p>
        </w:tc>
      </w:tr>
      <w:tr>
        <w:trPr>
          <w:trHeight w:val="281"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2,323,156.00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1,858,524.80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80.00</w:t>
            </w: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654,101.00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654,101.00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30,343,116.10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9,180,401.13</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30.26</w:t>
            </w:r>
          </w:p>
        </w:tc>
      </w:tr>
    </w:tbl>
    <w:p>
      <w:pPr>
        <w:pStyle w:val="BodyText"/>
        <w:spacing w:line="240" w:lineRule="auto" w:before="86"/>
        <w:ind w:right="0"/>
        <w:jc w:val="left"/>
        <w:rPr>
          <w:rFonts w:ascii="宋体" w:hAnsi="宋体" w:cs="宋体" w:eastAsia="宋体" w:hint="default"/>
        </w:rPr>
      </w:pPr>
      <w:r>
        <w:rPr/>
        <w:t>（</w:t>
      </w:r>
      <w:r>
        <w:rPr>
          <w:rFonts w:ascii="宋体" w:hAnsi="宋体" w:cs="宋体" w:eastAsia="宋体" w:hint="default"/>
        </w:rPr>
        <w:t>3</w:t>
      </w:r>
      <w:r>
        <w:rPr/>
        <w:t>）企业单位单位履约保证金</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1995"/>
        <w:gridCol w:w="1810"/>
        <w:gridCol w:w="1851"/>
      </w:tblGrid>
      <w:tr>
        <w:trPr>
          <w:trHeight w:val="341" w:hRule="exact"/>
        </w:trPr>
        <w:tc>
          <w:tcPr>
            <w:tcW w:w="3394" w:type="dxa"/>
            <w:vMerge w:val="restart"/>
            <w:tcBorders>
              <w:top w:val="single" w:sz="4" w:space="0" w:color="000000"/>
              <w:left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394" w:type="dxa"/>
            <w:vMerge/>
            <w:tcBorders>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2,416,225.05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96,649.00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4.00</w:t>
            </w: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2,469,295.00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321,008.35</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13.00</w:t>
            </w: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100,000.00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32,000.00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32.00</w:t>
            </w:r>
          </w:p>
        </w:tc>
      </w:tr>
      <w:tr>
        <w:trPr>
          <w:trHeight w:val="281"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384,048.00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215,066.88</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56.00</w:t>
            </w: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80.00</w:t>
            </w: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95"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1"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5,369,568.05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664,724.23</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12.38</w:t>
            </w:r>
          </w:p>
        </w:tc>
      </w:tr>
    </w:tbl>
    <w:p>
      <w:pPr>
        <w:pStyle w:val="BodyText"/>
        <w:spacing w:line="240" w:lineRule="auto" w:before="86"/>
        <w:ind w:right="0"/>
        <w:jc w:val="left"/>
        <w:rPr>
          <w:rFonts w:ascii="宋体" w:hAnsi="宋体" w:cs="宋体" w:eastAsia="宋体" w:hint="default"/>
        </w:rPr>
      </w:pPr>
      <w:r>
        <w:rPr/>
        <w:t>（</w:t>
      </w:r>
      <w:r>
        <w:rPr>
          <w:rFonts w:ascii="宋体" w:hAnsi="宋体" w:cs="宋体" w:eastAsia="宋体" w:hint="default"/>
        </w:rPr>
        <w:t>4</w:t>
      </w:r>
      <w:r>
        <w:rPr/>
        <w:t>）押金、备用金</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1995"/>
        <w:gridCol w:w="1810"/>
        <w:gridCol w:w="1851"/>
      </w:tblGrid>
      <w:tr>
        <w:trPr>
          <w:trHeight w:val="341" w:hRule="exact"/>
        </w:trPr>
        <w:tc>
          <w:tcPr>
            <w:tcW w:w="3394" w:type="dxa"/>
            <w:vMerge w:val="restart"/>
            <w:tcBorders>
              <w:top w:val="single" w:sz="4" w:space="0" w:color="000000"/>
              <w:left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394" w:type="dxa"/>
            <w:vMerge/>
            <w:tcBorders>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3,010,965.25</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151,045.11</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2,300.00</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35,000.00</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205,384.93</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3,404,695.29</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right="0"/>
        <w:jc w:val="left"/>
        <w:rPr>
          <w:rFonts w:ascii="宋体" w:hAnsi="宋体" w:cs="宋体" w:eastAsia="宋体" w:hint="default"/>
        </w:rPr>
      </w:pPr>
      <w:r>
        <w:rPr/>
        <w:t>（</w:t>
      </w:r>
      <w:r>
        <w:rPr>
          <w:rFonts w:ascii="宋体" w:hAnsi="宋体" w:cs="宋体" w:eastAsia="宋体" w:hint="default"/>
        </w:rPr>
        <w:t>5</w:t>
      </w:r>
      <w:r>
        <w:rPr/>
        <w:t>）除上述外其他组合</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1995"/>
        <w:gridCol w:w="1810"/>
        <w:gridCol w:w="1851"/>
      </w:tblGrid>
      <w:tr>
        <w:trPr>
          <w:trHeight w:val="283" w:hRule="exact"/>
        </w:trPr>
        <w:tc>
          <w:tcPr>
            <w:tcW w:w="339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3394" w:type="dxa"/>
            <w:vMerge/>
            <w:tcBorders>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16,660,954.95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499,828.65</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3.00</w:t>
            </w: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575,410.90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57,541.09</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63,224.00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12,644.80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20.00</w:t>
            </w:r>
          </w:p>
        </w:tc>
      </w:tr>
      <w:tr>
        <w:trPr>
          <w:trHeight w:val="281"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50.00</w:t>
            </w: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13,500.00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10,800.00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80.00</w:t>
            </w:r>
          </w:p>
        </w:tc>
      </w:tr>
      <w:tr>
        <w:trPr>
          <w:trHeight w:val="281"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95"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17,313,089.85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580,814.54</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3.35</w:t>
            </w:r>
          </w:p>
        </w:tc>
      </w:tr>
    </w:tbl>
    <w:p>
      <w:pPr>
        <w:spacing w:line="240" w:lineRule="auto" w:before="7"/>
        <w:rPr>
          <w:rFonts w:ascii="宋体" w:hAnsi="宋体" w:cs="宋体" w:eastAsia="宋体" w:hint="default"/>
          <w:sz w:val="14"/>
          <w:szCs w:val="14"/>
        </w:rPr>
      </w:pPr>
    </w:p>
    <w:p>
      <w:pPr>
        <w:pStyle w:val="Heading3"/>
        <w:spacing w:line="240" w:lineRule="auto" w:before="26"/>
        <w:ind w:left="218" w:right="0"/>
        <w:jc w:val="left"/>
      </w:pPr>
      <w:r>
        <w:rPr/>
        <w:t> </w:t>
      </w:r>
    </w:p>
    <w:p>
      <w:pPr>
        <w:spacing w:after="0" w:line="240" w:lineRule="auto"/>
        <w:jc w:val="left"/>
        <w:sectPr>
          <w:pgSz w:w="11910" w:h="16840"/>
          <w:pgMar w:header="0" w:footer="979" w:top="1120" w:bottom="116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78"/>
          <w:footerReference w:type="default" r:id="rId79"/>
          <w:pgSz w:w="16840" w:h="11910" w:orient="landscape"/>
          <w:pgMar w:header="857" w:footer="980" w:top="1120" w:bottom="1160" w:left="1220" w:right="1300"/>
          <w:pgNumType w:start="230"/>
        </w:sectPr>
      </w:pPr>
    </w:p>
    <w:p>
      <w:pPr>
        <w:pStyle w:val="Heading3"/>
        <w:spacing w:line="240" w:lineRule="auto" w:before="26"/>
        <w:ind w:left="220" w:right="0"/>
        <w:jc w:val="left"/>
      </w:pPr>
      <w:r>
        <w:rPr/>
        <w:t> </w:t>
      </w:r>
    </w:p>
    <w:p>
      <w:pPr>
        <w:pStyle w:val="Heading4"/>
        <w:spacing w:line="240" w:lineRule="auto" w:before="61"/>
        <w:ind w:left="227" w:right="0"/>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2"/>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20" w:right="15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00" w:bottom="280" w:left="1220" w:right="1300"/>
          <w:cols w:num="2" w:equalWidth="0">
            <w:col w:w="2023" w:space="9539"/>
            <w:col w:w="2758"/>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567"/>
        <w:gridCol w:w="1750"/>
        <w:gridCol w:w="1711"/>
        <w:gridCol w:w="1712"/>
        <w:gridCol w:w="1752"/>
        <w:gridCol w:w="1731"/>
        <w:gridCol w:w="1714"/>
      </w:tblGrid>
      <w:tr>
        <w:trPr>
          <w:trHeight w:val="283" w:hRule="exact"/>
        </w:trPr>
        <w:tc>
          <w:tcPr>
            <w:tcW w:w="3567"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1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567"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4"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875,739,087.89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7" w:right="0"/>
              <w:jc w:val="left"/>
              <w:rPr>
                <w:rFonts w:ascii="Times New Roman" w:hAnsi="Times New Roman" w:cs="Times New Roman" w:eastAsia="Times New Roman" w:hint="default"/>
                <w:sz w:val="21"/>
                <w:szCs w:val="21"/>
              </w:rPr>
            </w:pPr>
            <w:r>
              <w:rPr>
                <w:rFonts w:ascii="Times New Roman"/>
                <w:sz w:val="21"/>
              </w:rPr>
              <w:t>21,103,652.21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854,635,435.68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1,026,544,203.65</w:t>
            </w:r>
          </w:p>
        </w:tc>
        <w:tc>
          <w:tcPr>
            <w:tcW w:w="1731"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1,026,544,203.65</w:t>
            </w:r>
          </w:p>
        </w:tc>
      </w:tr>
      <w:tr>
        <w:trPr>
          <w:trHeight w:val="281"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289,452,674.15</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289,452,674.15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195,504,596.31</w:t>
            </w:r>
          </w:p>
        </w:tc>
        <w:tc>
          <w:tcPr>
            <w:tcW w:w="1731"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195,504,596.31</w:t>
            </w: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Times New Roman" w:hAnsi="Times New Roman" w:cs="Times New Roman" w:eastAsia="Times New Roman" w:hint="default"/>
                <w:sz w:val="21"/>
                <w:szCs w:val="21"/>
              </w:rPr>
            </w:pPr>
            <w:r>
              <w:rPr>
                <w:rFonts w:ascii="Times New Roman"/>
                <w:spacing w:val="-1"/>
                <w:sz w:val="21"/>
              </w:rPr>
              <w:t>1,165,191,762.04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67" w:right="0"/>
              <w:jc w:val="left"/>
              <w:rPr>
                <w:rFonts w:ascii="Times New Roman" w:hAnsi="Times New Roman" w:cs="Times New Roman" w:eastAsia="Times New Roman" w:hint="default"/>
                <w:sz w:val="21"/>
                <w:szCs w:val="21"/>
              </w:rPr>
            </w:pPr>
            <w:r>
              <w:rPr>
                <w:rFonts w:ascii="Times New Roman"/>
                <w:sz w:val="21"/>
              </w:rPr>
              <w:t>21,103,652.21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1,144,088,109.83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1,222,048,799.96</w:t>
            </w:r>
          </w:p>
        </w:tc>
        <w:tc>
          <w:tcPr>
            <w:tcW w:w="1731"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1,222,048,799.96</w:t>
            </w:r>
          </w:p>
        </w:tc>
      </w:tr>
    </w:tbl>
    <w:p>
      <w:pPr>
        <w:spacing w:after="0" w:line="237" w:lineRule="exact"/>
        <w:jc w:val="right"/>
        <w:rPr>
          <w:rFonts w:ascii="Times New Roman" w:hAnsi="Times New Roman" w:cs="Times New Roman" w:eastAsia="Times New Roman" w:hint="default"/>
          <w:sz w:val="21"/>
          <w:szCs w:val="21"/>
        </w:rPr>
        <w:sectPr>
          <w:type w:val="continuous"/>
          <w:pgSz w:w="16840" w:h="11910" w:orient="landscape"/>
          <w:pgMar w:top="1500" w:bottom="280" w:left="1220" w:right="1300"/>
        </w:sectPr>
      </w:pPr>
    </w:p>
    <w:p>
      <w:pPr>
        <w:pStyle w:val="Heading3"/>
        <w:spacing w:line="274" w:lineRule="exact"/>
        <w:ind w:left="220" w:right="0"/>
        <w:jc w:val="left"/>
      </w:pPr>
      <w:r>
        <w:rPr/>
        <w:t> </w:t>
      </w:r>
    </w:p>
    <w:p>
      <w:pPr>
        <w:pStyle w:val="Heading4"/>
        <w:spacing w:line="240" w:lineRule="auto"/>
        <w:ind w:left="220"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00" w:bottom="280" w:left="1220" w:right="1300"/>
          <w:cols w:num="2" w:equalWidth="0">
            <w:col w:w="2119" w:space="9443"/>
            <w:col w:w="275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022"/>
        <w:gridCol w:w="1873"/>
        <w:gridCol w:w="1805"/>
        <w:gridCol w:w="1928"/>
        <w:gridCol w:w="1927"/>
        <w:gridCol w:w="1760"/>
        <w:gridCol w:w="1776"/>
      </w:tblGrid>
      <w:tr>
        <w:trPr>
          <w:trHeight w:val="650"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979"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5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477"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53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53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768" w:right="135" w:hanging="630"/>
              <w:jc w:val="left"/>
              <w:rPr>
                <w:rFonts w:ascii="宋体" w:hAnsi="宋体" w:cs="宋体" w:eastAsia="宋体" w:hint="default"/>
                <w:sz w:val="21"/>
                <w:szCs w:val="21"/>
              </w:rPr>
            </w:pPr>
            <w:r>
              <w:rPr>
                <w:rFonts w:ascii="宋体" w:hAnsi="宋体" w:cs="宋体" w:eastAsia="宋体" w:hint="default"/>
                <w:sz w:val="21"/>
                <w:szCs w:val="21"/>
              </w:rPr>
              <w:t>本期计提减值准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w:t>
            </w:r>
            <w:r>
              <w:rPr>
                <w:rFonts w:ascii="宋体" w:hAnsi="宋体" w:cs="宋体" w:eastAsia="宋体" w:hint="default"/>
                <w:sz w:val="21"/>
                <w:szCs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777" w:right="141" w:hanging="629"/>
              <w:jc w:val="left"/>
              <w:rPr>
                <w:rFonts w:ascii="宋体" w:hAnsi="宋体" w:cs="宋体" w:eastAsia="宋体" w:hint="default"/>
                <w:sz w:val="21"/>
                <w:szCs w:val="21"/>
              </w:rPr>
            </w:pPr>
            <w:r>
              <w:rPr>
                <w:rFonts w:ascii="宋体" w:hAnsi="宋体" w:cs="宋体" w:eastAsia="宋体" w:hint="default"/>
                <w:sz w:val="21"/>
                <w:szCs w:val="21"/>
              </w:rPr>
              <w:t>减值准备期末余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r>
      <w:tr>
        <w:trPr>
          <w:trHeight w:val="65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2"/>
              <w:ind w:left="103" w:right="173"/>
              <w:jc w:val="left"/>
              <w:rPr>
                <w:rFonts w:ascii="宋体" w:hAnsi="宋体" w:cs="宋体" w:eastAsia="宋体" w:hint="default"/>
                <w:sz w:val="24"/>
                <w:szCs w:val="24"/>
              </w:rPr>
            </w:pPr>
            <w:r>
              <w:rPr>
                <w:rFonts w:ascii="宋体" w:hAnsi="宋体" w:cs="宋体" w:eastAsia="宋体" w:hint="default"/>
                <w:spacing w:val="-2"/>
                <w:sz w:val="21"/>
                <w:szCs w:val="21"/>
              </w:rPr>
              <w:t>智慧城市（泉州丰泽）运营管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理有限公司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453,246,978.64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7,611.76</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453,254,590.40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福建南威软件有限公司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106,949,196.87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136,969.97</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107,086,166.84</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网链科技集团有限公司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31,449,985.28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14,547,755.15</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45,997,740.43</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73"/>
              <w:jc w:val="left"/>
              <w:rPr>
                <w:rFonts w:ascii="宋体" w:hAnsi="宋体" w:cs="宋体" w:eastAsia="宋体" w:hint="default"/>
                <w:sz w:val="24"/>
                <w:szCs w:val="24"/>
              </w:rPr>
            </w:pPr>
            <w:r>
              <w:rPr>
                <w:rFonts w:ascii="宋体" w:hAnsi="宋体" w:cs="宋体" w:eastAsia="宋体" w:hint="default"/>
                <w:spacing w:val="-2"/>
                <w:sz w:val="21"/>
                <w:szCs w:val="21"/>
              </w:rPr>
              <w:t>泉州威盾智能交通系统有限公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40,031,849.77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7,394.29</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40,039,244.06</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福建南腾科技有限公司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31,264,975.22</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31,264,975.22</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65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173"/>
              <w:jc w:val="left"/>
              <w:rPr>
                <w:rFonts w:ascii="宋体" w:hAnsi="宋体" w:cs="宋体" w:eastAsia="宋体" w:hint="default"/>
                <w:sz w:val="24"/>
                <w:szCs w:val="24"/>
              </w:rPr>
            </w:pPr>
            <w:r>
              <w:rPr>
                <w:rFonts w:ascii="宋体" w:hAnsi="宋体" w:cs="宋体" w:eastAsia="宋体" w:hint="default"/>
                <w:spacing w:val="-2"/>
                <w:sz w:val="21"/>
                <w:szCs w:val="21"/>
              </w:rPr>
              <w:t>衡阳智慧城市科技发展有限公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24,000,000.00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24,000,000.00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北京南威科技有限公司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10,038,621.94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5,000,741.41</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15,039,363.35</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73"/>
              <w:jc w:val="left"/>
              <w:rPr>
                <w:rFonts w:ascii="宋体" w:hAnsi="宋体" w:cs="宋体" w:eastAsia="宋体" w:hint="default"/>
                <w:sz w:val="24"/>
                <w:szCs w:val="24"/>
              </w:rPr>
            </w:pPr>
            <w:r>
              <w:rPr>
                <w:rFonts w:ascii="宋体" w:hAnsi="宋体" w:cs="宋体" w:eastAsia="宋体" w:hint="default"/>
                <w:spacing w:val="-2"/>
                <w:sz w:val="21"/>
                <w:szCs w:val="21"/>
              </w:rPr>
              <w:t>河南省南威信息技术集团有限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14,003,202.95</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14,003,202.95</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福建威盾科技集团有限公司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10,825,128.24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155,279.54</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10,980,407.78</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00" w:bottom="2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3022"/>
        <w:gridCol w:w="1873"/>
        <w:gridCol w:w="1805"/>
        <w:gridCol w:w="1928"/>
        <w:gridCol w:w="1927"/>
        <w:gridCol w:w="1760"/>
        <w:gridCol w:w="1776"/>
      </w:tblGrid>
      <w:tr>
        <w:trPr>
          <w:trHeight w:val="32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厦门市南威软件科技有限公司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10,584,679.49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18,101.55</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10,602,781.04</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浙江易政信息技术有限公司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10,283,227.24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11,961.35</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10,295,188.59</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重庆南威信息技术有限公司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10,008,981.97</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8,981.97</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福建南威资产管理有限公司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73"/>
              <w:jc w:val="left"/>
              <w:rPr>
                <w:rFonts w:ascii="宋体" w:hAnsi="宋体" w:cs="宋体" w:eastAsia="宋体" w:hint="default"/>
                <w:sz w:val="24"/>
                <w:szCs w:val="24"/>
              </w:rPr>
            </w:pPr>
            <w:r>
              <w:rPr>
                <w:rFonts w:ascii="宋体" w:hAnsi="宋体" w:cs="宋体" w:eastAsia="宋体" w:hint="default"/>
                <w:spacing w:val="-2"/>
                <w:sz w:val="21"/>
                <w:szCs w:val="21"/>
              </w:rPr>
              <w:t>南威利民（邹城）智慧城市运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营有限公司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7,088,995.00</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7,088,995.00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1"/>
                <w:szCs w:val="21"/>
              </w:rPr>
              <w:t>上海宜喆智能科技有限公司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pacing w:val="-1"/>
                <w:sz w:val="21"/>
              </w:rPr>
              <w:t>7,000,000.00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pacing w:val="-1"/>
                <w:sz w:val="21"/>
              </w:rPr>
              <w:t>7,000,000.00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pacing w:val="-1"/>
                <w:sz w:val="21"/>
              </w:rPr>
              <w:t>7,000,000.00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6"/>
              <w:jc w:val="right"/>
              <w:rPr>
                <w:rFonts w:ascii="Times New Roman" w:hAnsi="Times New Roman" w:cs="Times New Roman" w:eastAsia="Times New Roman" w:hint="default"/>
                <w:sz w:val="21"/>
                <w:szCs w:val="21"/>
              </w:rPr>
            </w:pPr>
            <w:r>
              <w:rPr>
                <w:rFonts w:ascii="Times New Roman"/>
                <w:spacing w:val="-1"/>
                <w:sz w:val="21"/>
              </w:rPr>
              <w:t>7,000,000.00</w:t>
            </w:r>
          </w:p>
        </w:tc>
      </w:tr>
      <w:tr>
        <w:trPr>
          <w:trHeight w:val="650"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73"/>
              <w:jc w:val="left"/>
              <w:rPr>
                <w:rFonts w:ascii="宋体" w:hAnsi="宋体" w:cs="宋体" w:eastAsia="宋体" w:hint="default"/>
                <w:sz w:val="24"/>
                <w:szCs w:val="24"/>
              </w:rPr>
            </w:pPr>
            <w:r>
              <w:rPr>
                <w:rFonts w:ascii="宋体" w:hAnsi="宋体" w:cs="宋体" w:eastAsia="宋体" w:hint="default"/>
                <w:spacing w:val="-2"/>
                <w:sz w:val="21"/>
                <w:szCs w:val="21"/>
              </w:rPr>
              <w:t>福建南威通平台科技发展有限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6,512,462.18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23,613.87</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6,536,076.05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2,461,788.61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2,461,788.61</w:t>
            </w:r>
          </w:p>
        </w:tc>
      </w:tr>
      <w:tr>
        <w:trPr>
          <w:trHeight w:val="32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北京南威水科技术有限公司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5,414,801.20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5,414,801.20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5,414,801.20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5,414,801.20</w:t>
            </w:r>
          </w:p>
        </w:tc>
      </w:tr>
      <w:tr>
        <w:trPr>
          <w:trHeight w:val="33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4"/>
                <w:szCs w:val="24"/>
              </w:rPr>
            </w:pPr>
            <w:r>
              <w:rPr>
                <w:rFonts w:ascii="宋体" w:hAnsi="宋体" w:cs="宋体" w:eastAsia="宋体" w:hint="default"/>
                <w:sz w:val="21"/>
                <w:szCs w:val="21"/>
              </w:rPr>
              <w:t>上杭智慧杭川科技有限公司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6"/>
              <w:jc w:val="right"/>
              <w:rPr>
                <w:rFonts w:ascii="Times New Roman" w:hAnsi="Times New Roman" w:cs="Times New Roman" w:eastAsia="Times New Roman" w:hint="default"/>
                <w:sz w:val="21"/>
                <w:szCs w:val="21"/>
              </w:rPr>
            </w:pPr>
            <w:r>
              <w:rPr>
                <w:rFonts w:ascii="Times New Roman"/>
                <w:spacing w:val="-1"/>
                <w:sz w:val="21"/>
              </w:rPr>
              <w:t>5,400,000.00</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5,400,000.00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江西南威软件有限公司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5,124,011.86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1,720.08</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5,125,731.94</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4"/>
                <w:szCs w:val="24"/>
              </w:rPr>
            </w:pPr>
            <w:r>
              <w:rPr>
                <w:rFonts w:ascii="宋体" w:hAnsi="宋体" w:cs="宋体" w:eastAsia="宋体" w:hint="default"/>
                <w:sz w:val="21"/>
                <w:szCs w:val="21"/>
              </w:rPr>
              <w:t>安徽国正信息科技有限公司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pacing w:val="-1"/>
                <w:sz w:val="21"/>
              </w:rPr>
              <w:t>5,038,400.84</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3,603.23</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5,034,797.61</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福建腾匠科技有限公司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z w:val="21"/>
              </w:rPr>
              <w:t>197.71</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5,000,197.71</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4"/>
                <w:szCs w:val="24"/>
              </w:rPr>
            </w:pPr>
            <w:r>
              <w:rPr>
                <w:rFonts w:ascii="宋体" w:hAnsi="宋体" w:cs="宋体" w:eastAsia="宋体" w:hint="default"/>
                <w:sz w:val="21"/>
                <w:szCs w:val="21"/>
              </w:rPr>
              <w:t>新疆南威软件有限公司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1,606,204.40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6"/>
              <w:jc w:val="right"/>
              <w:rPr>
                <w:rFonts w:ascii="Times New Roman" w:hAnsi="Times New Roman" w:cs="Times New Roman" w:eastAsia="Times New Roman" w:hint="default"/>
                <w:sz w:val="21"/>
                <w:szCs w:val="21"/>
              </w:rPr>
            </w:pPr>
            <w:r>
              <w:rPr>
                <w:rFonts w:ascii="Times New Roman"/>
                <w:spacing w:val="-1"/>
                <w:sz w:val="21"/>
              </w:rPr>
              <w:t>1,606,204.40</w:t>
            </w:r>
          </w:p>
        </w:tc>
      </w:tr>
      <w:tr>
        <w:trPr>
          <w:trHeight w:val="32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福建南慧大数据科技有限公司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4,994,768.34</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4,994,768.34</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4"/>
                <w:szCs w:val="24"/>
              </w:rPr>
            </w:pPr>
            <w:r>
              <w:rPr>
                <w:rFonts w:ascii="宋体" w:hAnsi="宋体" w:cs="宋体" w:eastAsia="宋体" w:hint="default"/>
                <w:sz w:val="21"/>
                <w:szCs w:val="21"/>
              </w:rPr>
              <w:t>福建南威智创科技有限公司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6"/>
              <w:jc w:val="right"/>
              <w:rPr>
                <w:rFonts w:ascii="Times New Roman" w:hAnsi="Times New Roman" w:cs="Times New Roman" w:eastAsia="Times New Roman" w:hint="default"/>
                <w:sz w:val="21"/>
                <w:szCs w:val="21"/>
              </w:rPr>
            </w:pPr>
            <w:r>
              <w:rPr>
                <w:rFonts w:ascii="Times New Roman"/>
                <w:spacing w:val="-1"/>
                <w:sz w:val="21"/>
              </w:rPr>
              <w:t>3,920,000.00</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3,920,000.00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湖北省南楚信息技术有限公司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2,700,000.00</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3,700,000.00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173"/>
              <w:jc w:val="left"/>
              <w:rPr>
                <w:rFonts w:ascii="宋体" w:hAnsi="宋体" w:cs="宋体" w:eastAsia="宋体" w:hint="default"/>
                <w:sz w:val="24"/>
                <w:szCs w:val="24"/>
              </w:rPr>
            </w:pPr>
            <w:r>
              <w:rPr>
                <w:rFonts w:ascii="宋体" w:hAnsi="宋体" w:cs="宋体" w:eastAsia="宋体" w:hint="default"/>
                <w:spacing w:val="-2"/>
                <w:sz w:val="21"/>
                <w:szCs w:val="21"/>
              </w:rPr>
              <w:t>西安南威信息科技有限责任公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3,505,370.03</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3,505,370.03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3,505,370.03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3,505,370.03</w:t>
            </w:r>
          </w:p>
        </w:tc>
      </w:tr>
      <w:tr>
        <w:trPr>
          <w:trHeight w:val="650"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73"/>
              <w:jc w:val="left"/>
              <w:rPr>
                <w:rFonts w:ascii="宋体" w:hAnsi="宋体" w:cs="宋体" w:eastAsia="宋体" w:hint="default"/>
                <w:sz w:val="24"/>
                <w:szCs w:val="24"/>
              </w:rPr>
            </w:pPr>
            <w:r>
              <w:rPr>
                <w:rFonts w:ascii="宋体" w:hAnsi="宋体" w:cs="宋体" w:eastAsia="宋体" w:hint="default"/>
                <w:spacing w:val="-2"/>
                <w:sz w:val="21"/>
                <w:szCs w:val="21"/>
              </w:rPr>
              <w:t>北京南威致远科技发展有限公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1"/>
                <w:szCs w:val="21"/>
              </w:rPr>
              <w:t>上海南信信息科技有限公司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pacing w:val="-1"/>
                <w:sz w:val="21"/>
              </w:rPr>
              <w:t>2,256,695.08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6"/>
              <w:jc w:val="right"/>
              <w:rPr>
                <w:rFonts w:ascii="Times New Roman" w:hAnsi="Times New Roman" w:cs="Times New Roman" w:eastAsia="Times New Roman" w:hint="default"/>
                <w:sz w:val="21"/>
                <w:szCs w:val="21"/>
              </w:rPr>
            </w:pPr>
            <w:r>
              <w:rPr>
                <w:rFonts w:ascii="Times New Roman"/>
                <w:spacing w:val="-1"/>
                <w:sz w:val="21"/>
              </w:rPr>
              <w:t>9,242.81</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pacing w:val="-1"/>
                <w:sz w:val="21"/>
              </w:rPr>
              <w:t>2,265,937.89</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成都南威软件有限公司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1,098,041.11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1,006,820.99</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2,104,862.10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73"/>
              <w:jc w:val="left"/>
              <w:rPr>
                <w:rFonts w:ascii="宋体" w:hAnsi="宋体" w:cs="宋体" w:eastAsia="宋体" w:hint="default"/>
                <w:sz w:val="24"/>
                <w:szCs w:val="24"/>
              </w:rPr>
            </w:pPr>
            <w:r>
              <w:rPr>
                <w:rFonts w:ascii="宋体" w:hAnsi="宋体" w:cs="宋体" w:eastAsia="宋体" w:hint="default"/>
                <w:spacing w:val="-2"/>
                <w:sz w:val="21"/>
                <w:szCs w:val="21"/>
              </w:rPr>
              <w:t>福建省南安智慧城市科技发展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2,040,000.00</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2,040,000.00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7" w:footer="980"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3022"/>
        <w:gridCol w:w="1873"/>
        <w:gridCol w:w="1805"/>
        <w:gridCol w:w="1928"/>
        <w:gridCol w:w="1927"/>
        <w:gridCol w:w="1760"/>
        <w:gridCol w:w="1776"/>
      </w:tblGrid>
      <w:tr>
        <w:trPr>
          <w:trHeight w:val="32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广西弘政软件有限公司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1,000,000.00</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2,000,000.00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福建通证科技有限公司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2,000,000.00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南威软件（海南）有限公司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1,556,236.18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16,311.01</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1,572,547.19</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甘肃南威信息技术有限公司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1,530,000.00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1,530,000.00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北京南威文旅科技有限公司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1,530,000.00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1,530,000.00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65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73"/>
              <w:jc w:val="left"/>
              <w:rPr>
                <w:rFonts w:ascii="宋体" w:hAnsi="宋体" w:cs="宋体" w:eastAsia="宋体" w:hint="default"/>
                <w:sz w:val="24"/>
                <w:szCs w:val="24"/>
              </w:rPr>
            </w:pPr>
            <w:r>
              <w:rPr>
                <w:rFonts w:ascii="宋体" w:hAnsi="宋体" w:cs="宋体" w:eastAsia="宋体" w:hint="default"/>
                <w:spacing w:val="-2"/>
                <w:sz w:val="21"/>
                <w:szCs w:val="21"/>
              </w:rPr>
              <w:t>江苏南威汇鼎信息技术有限公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1,111,342.17</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1,111,342.17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1,111,342.17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1,111,342.17</w:t>
            </w:r>
          </w:p>
        </w:tc>
      </w:tr>
      <w:tr>
        <w:trPr>
          <w:trHeight w:val="33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宁德南威软件有限公司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南平南威软件有限公司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平潭力信软件有限公司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3,057.62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3,057.62</w:t>
            </w:r>
          </w:p>
        </w:tc>
      </w:tr>
      <w:tr>
        <w:trPr>
          <w:trHeight w:val="32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安溪县南威信息科技有限公司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1,088.18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1,088.18</w:t>
            </w:r>
          </w:p>
        </w:tc>
      </w:tr>
      <w:tr>
        <w:trPr>
          <w:trHeight w:val="33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南威互联网科技集团有限公司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1,000,000.00</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648"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73"/>
              <w:jc w:val="left"/>
              <w:rPr>
                <w:rFonts w:ascii="宋体" w:hAnsi="宋体" w:cs="宋体" w:eastAsia="宋体" w:hint="default"/>
                <w:sz w:val="24"/>
                <w:szCs w:val="24"/>
              </w:rPr>
            </w:pPr>
            <w:r>
              <w:rPr>
                <w:rFonts w:ascii="宋体" w:hAnsi="宋体" w:cs="宋体" w:eastAsia="宋体" w:hint="default"/>
                <w:spacing w:val="-2"/>
                <w:sz w:val="21"/>
                <w:szCs w:val="21"/>
              </w:rPr>
              <w:t>南威智慧城市（将乐）科技有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700,000.00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4"/>
                <w:szCs w:val="24"/>
              </w:rPr>
            </w:pPr>
            <w:r>
              <w:rPr>
                <w:rFonts w:ascii="宋体" w:hAnsi="宋体" w:cs="宋体" w:eastAsia="宋体" w:hint="default"/>
                <w:sz w:val="21"/>
                <w:szCs w:val="21"/>
              </w:rPr>
              <w:t>福建省集瀚海洋科技有限公司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6"/>
              <w:jc w:val="right"/>
              <w:rPr>
                <w:rFonts w:ascii="Times New Roman" w:hAnsi="Times New Roman" w:cs="Times New Roman" w:eastAsia="Times New Roman" w:hint="default"/>
                <w:sz w:val="21"/>
                <w:szCs w:val="21"/>
              </w:rPr>
            </w:pPr>
            <w:r>
              <w:rPr>
                <w:rFonts w:ascii="Times New Roman"/>
                <w:spacing w:val="-1"/>
                <w:sz w:val="21"/>
              </w:rPr>
              <w:t>600,000.00</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600,000.00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1"/>
                <w:szCs w:val="21"/>
              </w:rPr>
              <w:t>南京迅奇信信息技术有限公司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927"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4"/>
                <w:szCs w:val="24"/>
              </w:rPr>
            </w:pPr>
            <w:r>
              <w:rPr>
                <w:rFonts w:ascii="宋体" w:hAnsi="宋体" w:cs="宋体" w:eastAsia="宋体" w:hint="default"/>
                <w:sz w:val="21"/>
                <w:szCs w:val="21"/>
              </w:rPr>
              <w:t>深圳太极云软技术有限公司</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pacing w:val="-1"/>
                <w:sz w:val="21"/>
              </w:rPr>
              <w:t>213,488,450.00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pacing w:val="-1"/>
                <w:sz w:val="21"/>
              </w:rPr>
              <w:t>213,488,450.00</w:t>
            </w:r>
          </w:p>
        </w:tc>
        <w:tc>
          <w:tcPr>
            <w:tcW w:w="1927"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118"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1,026,544,203.65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63,695,919.44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214,501,035.20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875,739,087.89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21,103,652.21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21,103,652.21</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57" w:footer="980" w:top="1120" w:bottom="1160" w:left="1220" w:right="1300"/>
        </w:sectPr>
      </w:pPr>
    </w:p>
    <w:p>
      <w:pPr>
        <w:pStyle w:val="BodyText"/>
        <w:spacing w:line="236" w:lineRule="exact"/>
        <w:ind w:left="220" w:right="0"/>
        <w:jc w:val="left"/>
        <w:rPr>
          <w:rFonts w:ascii="宋体" w:hAnsi="宋体" w:cs="宋体" w:eastAsia="宋体" w:hint="default"/>
        </w:rPr>
      </w:pPr>
      <w:r>
        <w:rPr>
          <w:rFonts w:ascii="宋体"/>
          <w:w w:val="100"/>
        </w:rPr>
        <w:t> </w:t>
      </w:r>
    </w:p>
    <w:p>
      <w:pPr>
        <w:pStyle w:val="Heading3"/>
        <w:spacing w:line="309" w:lineRule="exact"/>
        <w:ind w:left="220" w:right="0"/>
        <w:jc w:val="left"/>
      </w:pPr>
      <w:r>
        <w:rPr/>
        <w:t> </w:t>
      </w:r>
    </w:p>
    <w:p>
      <w:pPr>
        <w:pStyle w:val="Heading4"/>
        <w:spacing w:line="240" w:lineRule="auto"/>
        <w:ind w:left="220"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00" w:bottom="280" w:left="1220" w:right="1300"/>
          <w:cols w:num="2" w:equalWidth="0">
            <w:col w:w="2962" w:space="8601"/>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012"/>
        <w:gridCol w:w="1728"/>
        <w:gridCol w:w="1585"/>
        <w:gridCol w:w="1440"/>
        <w:gridCol w:w="1443"/>
        <w:gridCol w:w="578"/>
        <w:gridCol w:w="1586"/>
        <w:gridCol w:w="718"/>
        <w:gridCol w:w="432"/>
        <w:gridCol w:w="434"/>
        <w:gridCol w:w="1586"/>
        <w:gridCol w:w="530"/>
      </w:tblGrid>
      <w:tr>
        <w:trPr>
          <w:trHeight w:val="370" w:hRule="exact"/>
        </w:trPr>
        <w:tc>
          <w:tcPr>
            <w:tcW w:w="201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14" w:lineRule="auto"/>
              <w:ind w:left="790" w:right="684"/>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r>
              <w:rPr>
                <w:rFonts w:ascii="宋体" w:hAnsi="宋体" w:cs="宋体" w:eastAsia="宋体" w:hint="default"/>
                <w:sz w:val="21"/>
                <w:szCs w:val="21"/>
              </w:rPr>
              <w:t> </w:t>
            </w:r>
          </w:p>
        </w:tc>
        <w:tc>
          <w:tcPr>
            <w:tcW w:w="172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14" w:lineRule="auto"/>
              <w:ind w:left="647" w:right="542"/>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82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58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14" w:lineRule="auto"/>
              <w:ind w:left="576" w:right="473"/>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30" w:type="dxa"/>
            <w:vMerge w:val="restart"/>
            <w:tcBorders>
              <w:top w:val="single" w:sz="4" w:space="0" w:color="000000"/>
              <w:left w:val="single" w:sz="4" w:space="0" w:color="000000"/>
              <w:right w:val="single" w:sz="4" w:space="0" w:color="000000"/>
            </w:tcBorders>
          </w:tcPr>
          <w:p>
            <w:pPr>
              <w:pStyle w:val="TableParagraph"/>
              <w:spacing w:line="314" w:lineRule="auto" w:before="47"/>
              <w:ind w:left="156" w:right="151"/>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p>
        </w:tc>
      </w:tr>
      <w:tr>
        <w:trPr>
          <w:trHeight w:val="732" w:hRule="exact"/>
        </w:trPr>
        <w:tc>
          <w:tcPr>
            <w:tcW w:w="2012" w:type="dxa"/>
            <w:vMerge/>
            <w:tcBorders>
              <w:left w:val="single" w:sz="4" w:space="0" w:color="000000"/>
              <w:bottom w:val="single" w:sz="4" w:space="0" w:color="000000"/>
              <w:right w:val="single" w:sz="4" w:space="0" w:color="000000"/>
            </w:tcBorders>
          </w:tcPr>
          <w:p>
            <w:pPr/>
          </w:p>
        </w:tc>
        <w:tc>
          <w:tcPr>
            <w:tcW w:w="1728" w:type="dxa"/>
            <w:vMerge/>
            <w:tcBorders>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left="305" w:right="0"/>
              <w:jc w:val="left"/>
              <w:rPr>
                <w:rFonts w:ascii="宋体" w:hAnsi="宋体" w:cs="宋体" w:eastAsia="宋体" w:hint="default"/>
                <w:sz w:val="24"/>
                <w:szCs w:val="24"/>
              </w:rPr>
            </w:pPr>
            <w:r>
              <w:rPr>
                <w:rFonts w:ascii="宋体" w:hAnsi="宋体" w:cs="宋体" w:eastAsia="宋体" w:hint="default"/>
                <w:sz w:val="24"/>
                <w:szCs w:val="24"/>
              </w:rPr>
              <w:t>追加投资</w:t>
            </w:r>
            <w:r>
              <w:rPr>
                <w:rFonts w:ascii="宋体" w:hAnsi="宋体" w:cs="宋体" w:eastAsia="宋体" w:hint="default"/>
                <w:sz w:val="24"/>
                <w:szCs w:val="24"/>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left="235" w:right="0"/>
              <w:jc w:val="left"/>
              <w:rPr>
                <w:rFonts w:ascii="宋体" w:hAnsi="宋体" w:cs="宋体" w:eastAsia="宋体" w:hint="default"/>
                <w:sz w:val="24"/>
                <w:szCs w:val="24"/>
              </w:rPr>
            </w:pPr>
            <w:r>
              <w:rPr>
                <w:rFonts w:ascii="宋体" w:hAnsi="宋体" w:cs="宋体" w:eastAsia="宋体" w:hint="default"/>
                <w:sz w:val="24"/>
                <w:szCs w:val="24"/>
              </w:rPr>
              <w:t>减少投资</w:t>
            </w:r>
            <w:r>
              <w:rPr>
                <w:rFonts w:ascii="宋体" w:hAnsi="宋体" w:cs="宋体" w:eastAsia="宋体" w:hint="default"/>
                <w:sz w:val="24"/>
                <w:szCs w:val="24"/>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115" w:right="117"/>
              <w:jc w:val="left"/>
              <w:rPr>
                <w:rFonts w:ascii="宋体" w:hAnsi="宋体" w:cs="宋体" w:eastAsia="宋体" w:hint="default"/>
                <w:sz w:val="24"/>
                <w:szCs w:val="24"/>
              </w:rPr>
            </w:pPr>
            <w:r>
              <w:rPr>
                <w:rFonts w:ascii="宋体" w:hAnsi="宋体" w:cs="宋体" w:eastAsia="宋体" w:hint="default"/>
                <w:sz w:val="24"/>
                <w:szCs w:val="24"/>
              </w:rPr>
              <w:t>权益法下确 认的投资损</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165" w:right="161"/>
              <w:jc w:val="left"/>
              <w:rPr>
                <w:rFonts w:ascii="宋体" w:hAnsi="宋体" w:cs="宋体" w:eastAsia="宋体" w:hint="default"/>
                <w:sz w:val="24"/>
                <w:szCs w:val="24"/>
              </w:rPr>
            </w:pPr>
            <w:r>
              <w:rPr>
                <w:rFonts w:ascii="宋体" w:hAnsi="宋体" w:cs="宋体" w:eastAsia="宋体" w:hint="default"/>
                <w:sz w:val="24"/>
                <w:szCs w:val="24"/>
              </w:rPr>
              <w:t>其 他</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667" w:right="187" w:hanging="480"/>
              <w:jc w:val="left"/>
              <w:rPr>
                <w:rFonts w:ascii="宋体" w:hAnsi="宋体" w:cs="宋体" w:eastAsia="宋体" w:hint="default"/>
                <w:sz w:val="24"/>
                <w:szCs w:val="24"/>
              </w:rPr>
            </w:pPr>
            <w:r>
              <w:rPr>
                <w:rFonts w:ascii="宋体" w:hAnsi="宋体" w:cs="宋体" w:eastAsia="宋体" w:hint="default"/>
                <w:sz w:val="24"/>
                <w:szCs w:val="24"/>
              </w:rPr>
              <w:t>其他权益变 动</w:t>
            </w:r>
            <w:r>
              <w:rPr>
                <w:rFonts w:ascii="宋体" w:hAnsi="宋体" w:cs="宋体" w:eastAsia="宋体" w:hint="default"/>
                <w:sz w:val="24"/>
                <w:szCs w:val="24"/>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112" w:right="113"/>
              <w:jc w:val="left"/>
              <w:rPr>
                <w:rFonts w:ascii="宋体" w:hAnsi="宋体" w:cs="宋体" w:eastAsia="宋体" w:hint="default"/>
                <w:sz w:val="24"/>
                <w:szCs w:val="24"/>
              </w:rPr>
            </w:pPr>
            <w:r>
              <w:rPr>
                <w:rFonts w:ascii="宋体" w:hAnsi="宋体" w:cs="宋体" w:eastAsia="宋体" w:hint="default"/>
                <w:sz w:val="24"/>
                <w:szCs w:val="24"/>
              </w:rPr>
              <w:t>宣告 发放</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103" w:right="77"/>
              <w:jc w:val="left"/>
              <w:rPr>
                <w:rFonts w:ascii="宋体" w:hAnsi="宋体" w:cs="宋体" w:eastAsia="宋体" w:hint="default"/>
                <w:sz w:val="24"/>
                <w:szCs w:val="24"/>
              </w:rPr>
            </w:pPr>
            <w:r>
              <w:rPr>
                <w:rFonts w:ascii="宋体" w:hAnsi="宋体" w:cs="宋体" w:eastAsia="宋体" w:hint="default"/>
                <w:sz w:val="24"/>
                <w:szCs w:val="24"/>
              </w:rPr>
              <w:t>计 提</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103" w:right="-39"/>
              <w:jc w:val="left"/>
              <w:rPr>
                <w:rFonts w:ascii="宋体" w:hAnsi="宋体" w:cs="宋体" w:eastAsia="宋体" w:hint="default"/>
                <w:sz w:val="24"/>
                <w:szCs w:val="24"/>
              </w:rPr>
            </w:pPr>
            <w:r>
              <w:rPr>
                <w:rFonts w:ascii="宋体" w:hAnsi="宋体" w:cs="宋体" w:eastAsia="宋体" w:hint="default"/>
                <w:sz w:val="24"/>
                <w:szCs w:val="24"/>
              </w:rPr>
              <w:t>其 他</w:t>
            </w:r>
            <w:r>
              <w:rPr>
                <w:rFonts w:ascii="宋体" w:hAnsi="宋体" w:cs="宋体" w:eastAsia="宋体" w:hint="default"/>
                <w:sz w:val="24"/>
                <w:szCs w:val="24"/>
              </w:rPr>
              <w:t> </w:t>
            </w:r>
          </w:p>
        </w:tc>
        <w:tc>
          <w:tcPr>
            <w:tcW w:w="1586"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00" w:bottom="2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012"/>
        <w:gridCol w:w="1728"/>
        <w:gridCol w:w="1585"/>
        <w:gridCol w:w="1440"/>
        <w:gridCol w:w="1443"/>
        <w:gridCol w:w="578"/>
        <w:gridCol w:w="1586"/>
        <w:gridCol w:w="718"/>
        <w:gridCol w:w="432"/>
        <w:gridCol w:w="434"/>
        <w:gridCol w:w="1586"/>
        <w:gridCol w:w="530"/>
      </w:tblGrid>
      <w:tr>
        <w:trPr>
          <w:trHeight w:val="2170" w:hRule="exact"/>
        </w:trPr>
        <w:tc>
          <w:tcPr>
            <w:tcW w:w="201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95" w:right="0"/>
              <w:jc w:val="left"/>
              <w:rPr>
                <w:rFonts w:ascii="宋体" w:hAnsi="宋体" w:cs="宋体" w:eastAsia="宋体" w:hint="default"/>
                <w:sz w:val="24"/>
                <w:szCs w:val="24"/>
              </w:rPr>
            </w:pPr>
            <w:r>
              <w:rPr>
                <w:rFonts w:ascii="宋体" w:hAnsi="宋体" w:cs="宋体" w:eastAsia="宋体" w:hint="default"/>
                <w:sz w:val="24"/>
                <w:szCs w:val="24"/>
              </w:rPr>
              <w:t>益</w:t>
            </w:r>
            <w:r>
              <w:rPr>
                <w:rFonts w:ascii="宋体" w:hAnsi="宋体" w:cs="宋体" w:eastAsia="宋体" w:hint="default"/>
                <w:sz w:val="24"/>
                <w:szCs w:val="24"/>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165" w:right="41"/>
              <w:jc w:val="both"/>
              <w:rPr>
                <w:rFonts w:ascii="宋体" w:hAnsi="宋体" w:cs="宋体" w:eastAsia="宋体" w:hint="default"/>
                <w:sz w:val="24"/>
                <w:szCs w:val="24"/>
              </w:rPr>
            </w:pPr>
            <w:r>
              <w:rPr>
                <w:rFonts w:ascii="宋体" w:hAnsi="宋体" w:cs="宋体" w:eastAsia="宋体" w:hint="default"/>
                <w:sz w:val="24"/>
                <w:szCs w:val="24"/>
              </w:rPr>
              <w:t>综 合 收 益 调 整</w:t>
            </w:r>
            <w:r>
              <w:rPr>
                <w:rFonts w:ascii="宋体" w:hAnsi="宋体" w:cs="宋体" w:eastAsia="宋体" w:hint="default"/>
                <w:sz w:val="24"/>
                <w:szCs w:val="24"/>
              </w:rPr>
              <w:t> </w:t>
            </w:r>
          </w:p>
        </w:tc>
        <w:tc>
          <w:tcPr>
            <w:tcW w:w="158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112" w:right="113"/>
              <w:jc w:val="both"/>
              <w:rPr>
                <w:rFonts w:ascii="宋体" w:hAnsi="宋体" w:cs="宋体" w:eastAsia="宋体" w:hint="default"/>
                <w:sz w:val="24"/>
                <w:szCs w:val="24"/>
              </w:rPr>
            </w:pPr>
            <w:r>
              <w:rPr>
                <w:rFonts w:ascii="宋体" w:hAnsi="宋体" w:cs="宋体" w:eastAsia="宋体" w:hint="default"/>
                <w:sz w:val="24"/>
                <w:szCs w:val="24"/>
              </w:rPr>
              <w:t>现金 股利 或利 润</w:t>
            </w:r>
            <w:r>
              <w:rPr>
                <w:rFonts w:ascii="宋体" w:hAnsi="宋体" w:cs="宋体" w:eastAsia="宋体" w:hint="default"/>
                <w:sz w:val="24"/>
                <w:szCs w:val="24"/>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103" w:right="-41"/>
              <w:jc w:val="both"/>
              <w:rPr>
                <w:rFonts w:ascii="宋体" w:hAnsi="宋体" w:cs="宋体" w:eastAsia="宋体" w:hint="default"/>
                <w:sz w:val="24"/>
                <w:szCs w:val="24"/>
              </w:rPr>
            </w:pPr>
            <w:r>
              <w:rPr>
                <w:rFonts w:ascii="宋体" w:hAnsi="宋体" w:cs="宋体" w:eastAsia="宋体" w:hint="default"/>
                <w:sz w:val="24"/>
                <w:szCs w:val="24"/>
              </w:rPr>
              <w:t>减 值 准 备</w:t>
            </w:r>
            <w:r>
              <w:rPr>
                <w:rFonts w:ascii="宋体" w:hAnsi="宋体" w:cs="宋体" w:eastAsia="宋体" w:hint="default"/>
                <w:sz w:val="24"/>
                <w:szCs w:val="24"/>
              </w:rPr>
              <w:t> </w:t>
            </w:r>
          </w:p>
        </w:tc>
        <w:tc>
          <w:tcPr>
            <w:tcW w:w="43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56" w:right="47"/>
              <w:jc w:val="both"/>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r>
      <w:tr>
        <w:trPr>
          <w:trHeight w:val="370" w:hRule="exact"/>
        </w:trPr>
        <w:tc>
          <w:tcPr>
            <w:tcW w:w="140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一、合营企业</w:t>
            </w:r>
            <w:r>
              <w:rPr>
                <w:rFonts w:ascii="宋体" w:hAnsi="宋体" w:cs="宋体" w:eastAsia="宋体" w:hint="default"/>
                <w:sz w:val="24"/>
                <w:szCs w:val="24"/>
              </w:rPr>
              <w:t> </w:t>
            </w:r>
          </w:p>
        </w:tc>
      </w:tr>
      <w:tr>
        <w:trPr>
          <w:trHeight w:val="37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sz w:val="24"/>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宋体" w:hAnsi="宋体" w:cs="宋体" w:eastAsia="宋体" w:hint="default"/>
                <w:sz w:val="24"/>
                <w:szCs w:val="24"/>
              </w:rPr>
            </w:pPr>
            <w:r>
              <w:rPr>
                <w:rFonts w:ascii="宋体"/>
                <w:sz w:val="24"/>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5"/>
              <w:jc w:val="right"/>
              <w:rPr>
                <w:rFonts w:ascii="宋体" w:hAnsi="宋体" w:cs="宋体" w:eastAsia="宋体" w:hint="default"/>
                <w:sz w:val="24"/>
                <w:szCs w:val="24"/>
              </w:rPr>
            </w:pPr>
            <w:r>
              <w:rPr>
                <w:rFonts w:ascii="宋体"/>
                <w:sz w:val="24"/>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宋体" w:hAnsi="宋体" w:cs="宋体" w:eastAsia="宋体" w:hint="default"/>
                <w:sz w:val="24"/>
                <w:szCs w:val="24"/>
              </w:rPr>
            </w:pPr>
            <w:r>
              <w:rPr>
                <w:rFonts w:ascii="宋体"/>
                <w:sz w:val="24"/>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5"/>
              <w:jc w:val="right"/>
              <w:rPr>
                <w:rFonts w:ascii="宋体" w:hAnsi="宋体" w:cs="宋体" w:eastAsia="宋体" w:hint="default"/>
                <w:sz w:val="24"/>
                <w:szCs w:val="24"/>
              </w:rPr>
            </w:pPr>
            <w:r>
              <w:rPr>
                <w:rFonts w:ascii="宋体"/>
                <w:sz w:val="24"/>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5"/>
              <w:jc w:val="right"/>
              <w:rPr>
                <w:rFonts w:ascii="宋体" w:hAnsi="宋体" w:cs="宋体" w:eastAsia="宋体" w:hint="default"/>
                <w:sz w:val="24"/>
                <w:szCs w:val="24"/>
              </w:rPr>
            </w:pPr>
            <w:r>
              <w:rPr>
                <w:rFonts w:ascii="宋体"/>
                <w:sz w:val="24"/>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宋体" w:hAnsi="宋体" w:cs="宋体" w:eastAsia="宋体" w:hint="default"/>
                <w:sz w:val="24"/>
                <w:szCs w:val="24"/>
              </w:rPr>
            </w:pPr>
            <w:r>
              <w:rPr>
                <w:rFonts w:ascii="宋体"/>
                <w:sz w:val="24"/>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宋体" w:hAnsi="宋体" w:cs="宋体" w:eastAsia="宋体" w:hint="default"/>
                <w:sz w:val="24"/>
                <w:szCs w:val="24"/>
              </w:rPr>
            </w:pPr>
            <w:r>
              <w:rPr>
                <w:rFonts w:ascii="宋体"/>
                <w:sz w:val="24"/>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5"/>
              <w:jc w:val="right"/>
              <w:rPr>
                <w:rFonts w:ascii="宋体" w:hAnsi="宋体" w:cs="宋体" w:eastAsia="宋体" w:hint="default"/>
                <w:sz w:val="24"/>
                <w:szCs w:val="24"/>
              </w:rPr>
            </w:pPr>
            <w:r>
              <w:rPr>
                <w:rFonts w:ascii="宋体"/>
                <w:sz w:val="24"/>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宋体" w:hAnsi="宋体" w:cs="宋体" w:eastAsia="宋体" w:hint="default"/>
                <w:sz w:val="24"/>
                <w:szCs w:val="24"/>
              </w:rPr>
            </w:pPr>
            <w:r>
              <w:rPr>
                <w:rFonts w:ascii="宋体"/>
                <w:sz w:val="24"/>
              </w:rPr>
              <w:t> </w:t>
            </w:r>
          </w:p>
        </w:tc>
      </w:tr>
      <w:tr>
        <w:trPr>
          <w:trHeight w:val="37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sz w:val="24"/>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宋体" w:hAnsi="宋体" w:cs="宋体" w:eastAsia="宋体" w:hint="default"/>
                <w:sz w:val="24"/>
                <w:szCs w:val="24"/>
              </w:rPr>
            </w:pPr>
            <w:r>
              <w:rPr>
                <w:rFonts w:ascii="宋体"/>
                <w:sz w:val="24"/>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5"/>
              <w:jc w:val="right"/>
              <w:rPr>
                <w:rFonts w:ascii="宋体" w:hAnsi="宋体" w:cs="宋体" w:eastAsia="宋体" w:hint="default"/>
                <w:sz w:val="24"/>
                <w:szCs w:val="24"/>
              </w:rPr>
            </w:pPr>
            <w:r>
              <w:rPr>
                <w:rFonts w:ascii="宋体"/>
                <w:sz w:val="24"/>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宋体" w:hAnsi="宋体" w:cs="宋体" w:eastAsia="宋体" w:hint="default"/>
                <w:sz w:val="24"/>
                <w:szCs w:val="24"/>
              </w:rPr>
            </w:pPr>
            <w:r>
              <w:rPr>
                <w:rFonts w:ascii="宋体"/>
                <w:sz w:val="24"/>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5"/>
              <w:jc w:val="right"/>
              <w:rPr>
                <w:rFonts w:ascii="宋体" w:hAnsi="宋体" w:cs="宋体" w:eastAsia="宋体" w:hint="default"/>
                <w:sz w:val="24"/>
                <w:szCs w:val="24"/>
              </w:rPr>
            </w:pPr>
            <w:r>
              <w:rPr>
                <w:rFonts w:ascii="宋体"/>
                <w:sz w:val="24"/>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5"/>
              <w:jc w:val="right"/>
              <w:rPr>
                <w:rFonts w:ascii="宋体" w:hAnsi="宋体" w:cs="宋体" w:eastAsia="宋体" w:hint="default"/>
                <w:sz w:val="24"/>
                <w:szCs w:val="24"/>
              </w:rPr>
            </w:pPr>
            <w:r>
              <w:rPr>
                <w:rFonts w:ascii="宋体"/>
                <w:sz w:val="24"/>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宋体" w:hAnsi="宋体" w:cs="宋体" w:eastAsia="宋体" w:hint="default"/>
                <w:sz w:val="24"/>
                <w:szCs w:val="24"/>
              </w:rPr>
            </w:pPr>
            <w:r>
              <w:rPr>
                <w:rFonts w:ascii="宋体"/>
                <w:sz w:val="24"/>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宋体" w:hAnsi="宋体" w:cs="宋体" w:eastAsia="宋体" w:hint="default"/>
                <w:sz w:val="24"/>
                <w:szCs w:val="24"/>
              </w:rPr>
            </w:pPr>
            <w:r>
              <w:rPr>
                <w:rFonts w:ascii="宋体"/>
                <w:sz w:val="24"/>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5"/>
              <w:jc w:val="right"/>
              <w:rPr>
                <w:rFonts w:ascii="宋体" w:hAnsi="宋体" w:cs="宋体" w:eastAsia="宋体" w:hint="default"/>
                <w:sz w:val="24"/>
                <w:szCs w:val="24"/>
              </w:rPr>
            </w:pPr>
            <w:r>
              <w:rPr>
                <w:rFonts w:ascii="宋体"/>
                <w:sz w:val="24"/>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宋体" w:hAnsi="宋体" w:cs="宋体" w:eastAsia="宋体" w:hint="default"/>
                <w:sz w:val="24"/>
                <w:szCs w:val="24"/>
              </w:rPr>
            </w:pPr>
            <w:r>
              <w:rPr>
                <w:rFonts w:ascii="宋体"/>
                <w:sz w:val="24"/>
              </w:rPr>
              <w:t> </w:t>
            </w:r>
          </w:p>
        </w:tc>
      </w:tr>
      <w:tr>
        <w:trPr>
          <w:trHeight w:val="372"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4"/>
                <w:szCs w:val="24"/>
              </w:rPr>
            </w:pPr>
            <w:r>
              <w:rPr>
                <w:rFonts w:ascii="宋体" w:hAnsi="宋体" w:cs="宋体" w:eastAsia="宋体" w:hint="default"/>
                <w:sz w:val="24"/>
                <w:szCs w:val="24"/>
              </w:rPr>
              <w:t>小计</w:t>
            </w:r>
            <w:r>
              <w:rPr>
                <w:rFonts w:ascii="宋体" w:hAnsi="宋体" w:cs="宋体" w:eastAsia="宋体" w:hint="default"/>
                <w:sz w:val="24"/>
                <w:szCs w:val="24"/>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24"/>
                <w:szCs w:val="24"/>
              </w:rPr>
            </w:pPr>
            <w:r>
              <w:rPr>
                <w:rFonts w:ascii="宋体"/>
                <w:sz w:val="24"/>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
              <w:jc w:val="right"/>
              <w:rPr>
                <w:rFonts w:ascii="宋体" w:hAnsi="宋体" w:cs="宋体" w:eastAsia="宋体" w:hint="default"/>
                <w:sz w:val="24"/>
                <w:szCs w:val="24"/>
              </w:rPr>
            </w:pPr>
            <w:r>
              <w:rPr>
                <w:rFonts w:ascii="宋体"/>
                <w:sz w:val="24"/>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24"/>
                <w:szCs w:val="24"/>
              </w:rPr>
            </w:pPr>
            <w:r>
              <w:rPr>
                <w:rFonts w:ascii="宋体"/>
                <w:sz w:val="24"/>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
              <w:jc w:val="right"/>
              <w:rPr>
                <w:rFonts w:ascii="宋体" w:hAnsi="宋体" w:cs="宋体" w:eastAsia="宋体" w:hint="default"/>
                <w:sz w:val="24"/>
                <w:szCs w:val="24"/>
              </w:rPr>
            </w:pPr>
            <w:r>
              <w:rPr>
                <w:rFonts w:ascii="宋体"/>
                <w:sz w:val="24"/>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
              <w:jc w:val="right"/>
              <w:rPr>
                <w:rFonts w:ascii="宋体" w:hAnsi="宋体" w:cs="宋体" w:eastAsia="宋体" w:hint="default"/>
                <w:sz w:val="24"/>
                <w:szCs w:val="24"/>
              </w:rPr>
            </w:pPr>
            <w:r>
              <w:rPr>
                <w:rFonts w:ascii="宋体"/>
                <w:sz w:val="24"/>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24"/>
                <w:szCs w:val="24"/>
              </w:rPr>
            </w:pPr>
            <w:r>
              <w:rPr>
                <w:rFonts w:ascii="宋体"/>
                <w:sz w:val="24"/>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24"/>
                <w:szCs w:val="24"/>
              </w:rPr>
            </w:pPr>
            <w:r>
              <w:rPr>
                <w:rFonts w:ascii="宋体"/>
                <w:sz w:val="24"/>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24"/>
                <w:szCs w:val="24"/>
              </w:rPr>
            </w:pPr>
            <w:r>
              <w:rPr>
                <w:rFonts w:ascii="宋体"/>
                <w:sz w:val="24"/>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
              <w:jc w:val="right"/>
              <w:rPr>
                <w:rFonts w:ascii="宋体" w:hAnsi="宋体" w:cs="宋体" w:eastAsia="宋体" w:hint="default"/>
                <w:sz w:val="24"/>
                <w:szCs w:val="24"/>
              </w:rPr>
            </w:pPr>
            <w:r>
              <w:rPr>
                <w:rFonts w:ascii="宋体"/>
                <w:sz w:val="24"/>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24"/>
                <w:szCs w:val="24"/>
              </w:rPr>
            </w:pPr>
            <w:r>
              <w:rPr>
                <w:rFonts w:ascii="宋体"/>
                <w:sz w:val="24"/>
              </w:rPr>
              <w:t> </w:t>
            </w:r>
          </w:p>
        </w:tc>
      </w:tr>
      <w:tr>
        <w:trPr>
          <w:trHeight w:val="370" w:hRule="exact"/>
        </w:trPr>
        <w:tc>
          <w:tcPr>
            <w:tcW w:w="1407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二、联营企业</w:t>
            </w:r>
            <w:r>
              <w:rPr>
                <w:rFonts w:ascii="宋体" w:hAnsi="宋体" w:cs="宋体" w:eastAsia="宋体" w:hint="default"/>
                <w:sz w:val="24"/>
                <w:szCs w:val="24"/>
              </w:rPr>
              <w:t> </w:t>
            </w:r>
          </w:p>
        </w:tc>
      </w:tr>
      <w:tr>
        <w:trPr>
          <w:trHeight w:val="73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14"/>
              <w:jc w:val="left"/>
              <w:rPr>
                <w:rFonts w:ascii="宋体" w:hAnsi="宋体" w:cs="宋体" w:eastAsia="宋体" w:hint="default"/>
                <w:sz w:val="21"/>
                <w:szCs w:val="21"/>
              </w:rPr>
            </w:pPr>
            <w:r>
              <w:rPr>
                <w:rFonts w:ascii="宋体" w:hAnsi="宋体" w:cs="宋体" w:eastAsia="宋体" w:hint="default"/>
                <w:sz w:val="21"/>
                <w:szCs w:val="21"/>
              </w:rPr>
              <w:t>成都四方伟业软件</w:t>
            </w:r>
            <w:r>
              <w:rPr>
                <w:rFonts w:ascii="宋体" w:hAnsi="宋体" w:cs="宋体" w:eastAsia="宋体" w:hint="default"/>
                <w:w w:val="100"/>
                <w:sz w:val="21"/>
                <w:szCs w:val="21"/>
              </w:rPr>
              <w:t> </w:t>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07" w:right="0"/>
              <w:jc w:val="left"/>
              <w:rPr>
                <w:rFonts w:ascii="Times New Roman" w:hAnsi="Times New Roman" w:cs="Times New Roman" w:eastAsia="Times New Roman" w:hint="default"/>
                <w:sz w:val="21"/>
                <w:szCs w:val="21"/>
              </w:rPr>
            </w:pPr>
            <w:r>
              <w:rPr>
                <w:rFonts w:ascii="Times New Roman"/>
                <w:sz w:val="21"/>
              </w:rPr>
              <w:t>77,809,927.69</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2" w:right="0"/>
              <w:jc w:val="left"/>
              <w:rPr>
                <w:rFonts w:ascii="Times New Roman" w:hAnsi="Times New Roman" w:cs="Times New Roman" w:eastAsia="Times New Roman" w:hint="default"/>
                <w:sz w:val="21"/>
                <w:szCs w:val="21"/>
              </w:rPr>
            </w:pPr>
            <w:r>
              <w:rPr>
                <w:rFonts w:ascii="Times New Roman"/>
                <w:sz w:val="21"/>
              </w:rPr>
              <w:t>50,000,000.00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4,576,070.59</w:t>
            </w:r>
          </w:p>
        </w:tc>
        <w:tc>
          <w:tcPr>
            <w:tcW w:w="57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4" w:right="0"/>
              <w:jc w:val="left"/>
              <w:rPr>
                <w:rFonts w:ascii="Times New Roman" w:hAnsi="Times New Roman" w:cs="Times New Roman" w:eastAsia="Times New Roman" w:hint="default"/>
                <w:sz w:val="21"/>
                <w:szCs w:val="21"/>
              </w:rPr>
            </w:pPr>
            <w:r>
              <w:rPr>
                <w:rFonts w:ascii="Times New Roman"/>
                <w:sz w:val="21"/>
              </w:rPr>
              <w:t>31,283,533.90</w:t>
            </w:r>
          </w:p>
        </w:tc>
        <w:tc>
          <w:tcPr>
            <w:tcW w:w="71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58" w:right="0"/>
              <w:jc w:val="left"/>
              <w:rPr>
                <w:rFonts w:ascii="Times New Roman" w:hAnsi="Times New Roman" w:cs="Times New Roman" w:eastAsia="Times New Roman" w:hint="default"/>
                <w:sz w:val="21"/>
                <w:szCs w:val="21"/>
              </w:rPr>
            </w:pPr>
            <w:r>
              <w:rPr>
                <w:rFonts w:ascii="Times New Roman"/>
                <w:sz w:val="21"/>
              </w:rPr>
              <w:t>163,669,532.18</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14"/>
              <w:jc w:val="left"/>
              <w:rPr>
                <w:rFonts w:ascii="宋体" w:hAnsi="宋体" w:cs="宋体" w:eastAsia="宋体" w:hint="default"/>
                <w:sz w:val="21"/>
                <w:szCs w:val="21"/>
              </w:rPr>
            </w:pPr>
            <w:r>
              <w:rPr>
                <w:rFonts w:ascii="宋体" w:hAnsi="宋体" w:cs="宋体" w:eastAsia="宋体" w:hint="default"/>
                <w:sz w:val="21"/>
                <w:szCs w:val="21"/>
              </w:rPr>
              <w:t>福建省应急通信运</w:t>
            </w:r>
            <w:r>
              <w:rPr>
                <w:rFonts w:ascii="宋体" w:hAnsi="宋体" w:cs="宋体" w:eastAsia="宋体" w:hint="default"/>
                <w:w w:val="100"/>
                <w:sz w:val="21"/>
                <w:szCs w:val="21"/>
              </w:rPr>
              <w:t> </w:t>
            </w:r>
            <w:r>
              <w:rPr>
                <w:rFonts w:ascii="宋体" w:hAnsi="宋体" w:cs="宋体" w:eastAsia="宋体" w:hint="default"/>
                <w:sz w:val="21"/>
                <w:szCs w:val="21"/>
              </w:rPr>
              <w:t>营有限公司</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07" w:right="0"/>
              <w:jc w:val="left"/>
              <w:rPr>
                <w:rFonts w:ascii="Times New Roman" w:hAnsi="Times New Roman" w:cs="Times New Roman" w:eastAsia="Times New Roman" w:hint="default"/>
                <w:sz w:val="21"/>
                <w:szCs w:val="21"/>
              </w:rPr>
            </w:pPr>
            <w:r>
              <w:rPr>
                <w:rFonts w:ascii="Times New Roman"/>
                <w:sz w:val="21"/>
              </w:rPr>
              <w:t>82,356,260.80</w:t>
            </w:r>
          </w:p>
        </w:tc>
        <w:tc>
          <w:tcPr>
            <w:tcW w:w="158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2,694,036.10</w:t>
            </w:r>
          </w:p>
        </w:tc>
        <w:tc>
          <w:tcPr>
            <w:tcW w:w="57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4" w:right="0"/>
              <w:jc w:val="left"/>
              <w:rPr>
                <w:rFonts w:ascii="Times New Roman" w:hAnsi="Times New Roman" w:cs="Times New Roman" w:eastAsia="Times New Roman" w:hint="default"/>
                <w:sz w:val="21"/>
                <w:szCs w:val="21"/>
              </w:rPr>
            </w:pPr>
            <w:r>
              <w:rPr>
                <w:rFonts w:ascii="Times New Roman"/>
                <w:sz w:val="21"/>
              </w:rPr>
              <w:t>85,050,296.90</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14"/>
              <w:jc w:val="both"/>
              <w:rPr>
                <w:rFonts w:ascii="宋体" w:hAnsi="宋体" w:cs="宋体" w:eastAsia="宋体" w:hint="default"/>
                <w:sz w:val="21"/>
                <w:szCs w:val="21"/>
              </w:rPr>
            </w:pPr>
            <w:r>
              <w:rPr>
                <w:rFonts w:ascii="宋体" w:hAnsi="宋体" w:cs="宋体" w:eastAsia="宋体" w:hint="default"/>
                <w:spacing w:val="-2"/>
                <w:sz w:val="21"/>
                <w:szCs w:val="21"/>
              </w:rPr>
              <w:t>泉州市数字云谷信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息产业发展有限公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07" w:right="0"/>
              <w:jc w:val="left"/>
              <w:rPr>
                <w:rFonts w:ascii="Times New Roman" w:hAnsi="Times New Roman" w:cs="Times New Roman" w:eastAsia="Times New Roman" w:hint="default"/>
                <w:sz w:val="21"/>
                <w:szCs w:val="21"/>
              </w:rPr>
            </w:pPr>
            <w:r>
              <w:rPr>
                <w:rFonts w:ascii="Times New Roman"/>
                <w:sz w:val="21"/>
              </w:rPr>
              <w:t>13,382,238.30</w:t>
            </w:r>
          </w:p>
        </w:tc>
        <w:tc>
          <w:tcPr>
            <w:tcW w:w="158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1,350,314.55</w:t>
            </w:r>
          </w:p>
        </w:tc>
        <w:tc>
          <w:tcPr>
            <w:tcW w:w="57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64" w:right="0"/>
              <w:jc w:val="left"/>
              <w:rPr>
                <w:rFonts w:ascii="Times New Roman" w:hAnsi="Times New Roman" w:cs="Times New Roman" w:eastAsia="Times New Roman" w:hint="default"/>
                <w:sz w:val="21"/>
                <w:szCs w:val="21"/>
              </w:rPr>
            </w:pPr>
            <w:r>
              <w:rPr>
                <w:rFonts w:ascii="Times New Roman"/>
                <w:sz w:val="21"/>
              </w:rPr>
              <w:t>14,732,552.85</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14"/>
              <w:jc w:val="left"/>
              <w:rPr>
                <w:rFonts w:ascii="宋体" w:hAnsi="宋体" w:cs="宋体" w:eastAsia="宋体" w:hint="default"/>
                <w:sz w:val="21"/>
                <w:szCs w:val="21"/>
              </w:rPr>
            </w:pPr>
            <w:r>
              <w:rPr>
                <w:rFonts w:ascii="宋体" w:hAnsi="宋体" w:cs="宋体" w:eastAsia="宋体" w:hint="default"/>
                <w:sz w:val="21"/>
                <w:szCs w:val="21"/>
              </w:rPr>
              <w:t>福建神威系统集成</w:t>
            </w:r>
            <w:r>
              <w:rPr>
                <w:rFonts w:ascii="宋体" w:hAnsi="宋体" w:cs="宋体" w:eastAsia="宋体" w:hint="default"/>
                <w:w w:val="100"/>
                <w:sz w:val="21"/>
                <w:szCs w:val="21"/>
              </w:rPr>
              <w:t> </w:t>
            </w: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07" w:right="0"/>
              <w:jc w:val="left"/>
              <w:rPr>
                <w:rFonts w:ascii="Times New Roman" w:hAnsi="Times New Roman" w:cs="Times New Roman" w:eastAsia="Times New Roman" w:hint="default"/>
                <w:sz w:val="21"/>
                <w:szCs w:val="21"/>
              </w:rPr>
            </w:pPr>
            <w:r>
              <w:rPr>
                <w:rFonts w:ascii="Times New Roman"/>
                <w:sz w:val="21"/>
              </w:rPr>
              <w:t>13,361,210.79</w:t>
            </w:r>
          </w:p>
        </w:tc>
        <w:tc>
          <w:tcPr>
            <w:tcW w:w="158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-2,156,744.50</w:t>
            </w:r>
          </w:p>
        </w:tc>
        <w:tc>
          <w:tcPr>
            <w:tcW w:w="57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4" w:right="0"/>
              <w:jc w:val="left"/>
              <w:rPr>
                <w:rFonts w:ascii="Times New Roman" w:hAnsi="Times New Roman" w:cs="Times New Roman" w:eastAsia="Times New Roman" w:hint="default"/>
                <w:sz w:val="21"/>
                <w:szCs w:val="21"/>
              </w:rPr>
            </w:pPr>
            <w:r>
              <w:rPr>
                <w:rFonts w:ascii="Times New Roman"/>
                <w:sz w:val="21"/>
              </w:rPr>
              <w:t>11,204,466.29</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1092"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9"/>
              <w:jc w:val="left"/>
              <w:rPr>
                <w:rFonts w:ascii="宋体" w:hAnsi="宋体" w:cs="宋体" w:eastAsia="宋体" w:hint="default"/>
                <w:sz w:val="21"/>
                <w:szCs w:val="21"/>
              </w:rPr>
            </w:pPr>
            <w:r>
              <w:rPr>
                <w:rFonts w:ascii="宋体" w:hAnsi="宋体" w:cs="宋体" w:eastAsia="宋体" w:hint="default"/>
                <w:sz w:val="21"/>
                <w:szCs w:val="21"/>
              </w:rPr>
              <w:t>厦门会同鼎盛股权</w:t>
            </w:r>
            <w:r>
              <w:rPr>
                <w:rFonts w:ascii="宋体" w:hAnsi="宋体" w:cs="宋体" w:eastAsia="宋体" w:hint="default"/>
                <w:spacing w:val="-3"/>
                <w:w w:val="100"/>
                <w:sz w:val="21"/>
                <w:szCs w:val="21"/>
              </w:rPr>
              <w:t> </w:t>
            </w:r>
            <w:r>
              <w:rPr>
                <w:rFonts w:ascii="宋体" w:hAnsi="宋体" w:cs="宋体" w:eastAsia="宋体" w:hint="default"/>
                <w:spacing w:val="-12"/>
                <w:w w:val="100"/>
                <w:sz w:val="21"/>
                <w:szCs w:val="21"/>
              </w:rPr>
              <w:t>投资合伙企业（有限</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合伙）</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513" w:right="0"/>
              <w:jc w:val="left"/>
              <w:rPr>
                <w:rFonts w:ascii="Times New Roman" w:hAnsi="Times New Roman" w:cs="Times New Roman" w:eastAsia="Times New Roman" w:hint="default"/>
                <w:sz w:val="21"/>
                <w:szCs w:val="21"/>
              </w:rPr>
            </w:pPr>
            <w:r>
              <w:rPr>
                <w:rFonts w:ascii="Times New Roman"/>
                <w:sz w:val="21"/>
              </w:rPr>
              <w:t>6,629,793.35</w:t>
            </w:r>
          </w:p>
        </w:tc>
        <w:tc>
          <w:tcPr>
            <w:tcW w:w="158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-1,825,887.08</w:t>
            </w:r>
          </w:p>
        </w:tc>
        <w:tc>
          <w:tcPr>
            <w:tcW w:w="57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4,803,906.27</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泉州市搏浪信息科</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3" w:right="0"/>
              <w:jc w:val="left"/>
              <w:rPr>
                <w:rFonts w:ascii="Times New Roman" w:hAnsi="Times New Roman" w:cs="Times New Roman" w:eastAsia="Times New Roman" w:hint="default"/>
                <w:sz w:val="21"/>
                <w:szCs w:val="21"/>
              </w:rPr>
            </w:pPr>
            <w:r>
              <w:rPr>
                <w:rFonts w:ascii="Times New Roman"/>
                <w:sz w:val="21"/>
              </w:rPr>
              <w:t>1,808,427.75</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2,414,400.00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152,303.22</w:t>
            </w:r>
          </w:p>
        </w:tc>
        <w:tc>
          <w:tcPr>
            <w:tcW w:w="57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4,375,130.97</w:t>
            </w:r>
          </w:p>
        </w:tc>
        <w:tc>
          <w:tcPr>
            <w:tcW w:w="5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7" w:footer="980" w:top="1120" w:bottom="1160" w:left="122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012"/>
        <w:gridCol w:w="1728"/>
        <w:gridCol w:w="1585"/>
        <w:gridCol w:w="1440"/>
        <w:gridCol w:w="1443"/>
        <w:gridCol w:w="578"/>
        <w:gridCol w:w="1586"/>
        <w:gridCol w:w="718"/>
        <w:gridCol w:w="432"/>
        <w:gridCol w:w="434"/>
        <w:gridCol w:w="1586"/>
        <w:gridCol w:w="530"/>
      </w:tblGrid>
      <w:tr>
        <w:trPr>
          <w:trHeight w:val="37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14"/>
              <w:jc w:val="left"/>
              <w:rPr>
                <w:rFonts w:ascii="宋体" w:hAnsi="宋体" w:cs="宋体" w:eastAsia="宋体" w:hint="default"/>
                <w:sz w:val="21"/>
                <w:szCs w:val="21"/>
              </w:rPr>
            </w:pPr>
            <w:r>
              <w:rPr>
                <w:rFonts w:ascii="宋体" w:hAnsi="宋体" w:cs="宋体" w:eastAsia="宋体" w:hint="default"/>
                <w:sz w:val="21"/>
                <w:szCs w:val="21"/>
              </w:rPr>
              <w:t>福建金证智城科技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2,532,000.00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330,091.65</w:t>
            </w:r>
          </w:p>
        </w:tc>
        <w:tc>
          <w:tcPr>
            <w:tcW w:w="57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2,862,091.65</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16"/>
              <w:jc w:val="left"/>
              <w:rPr>
                <w:rFonts w:ascii="宋体" w:hAnsi="宋体" w:cs="宋体" w:eastAsia="宋体" w:hint="default"/>
                <w:sz w:val="21"/>
                <w:szCs w:val="21"/>
              </w:rPr>
            </w:pPr>
            <w:r>
              <w:rPr>
                <w:rFonts w:ascii="宋体" w:hAnsi="宋体" w:cs="宋体" w:eastAsia="宋体" w:hint="default"/>
                <w:spacing w:val="-2"/>
                <w:sz w:val="21"/>
                <w:szCs w:val="21"/>
              </w:rPr>
              <w:t>福建龙睿智城信息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1,950,000.00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3,475.68</w:t>
            </w:r>
          </w:p>
        </w:tc>
        <w:tc>
          <w:tcPr>
            <w:tcW w:w="57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1,953,475.68</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214"/>
              <w:jc w:val="left"/>
              <w:rPr>
                <w:rFonts w:ascii="宋体" w:hAnsi="宋体" w:cs="宋体" w:eastAsia="宋体" w:hint="default"/>
                <w:sz w:val="21"/>
                <w:szCs w:val="21"/>
              </w:rPr>
            </w:pPr>
            <w:r>
              <w:rPr>
                <w:rFonts w:ascii="宋体" w:hAnsi="宋体" w:cs="宋体" w:eastAsia="宋体" w:hint="default"/>
                <w:sz w:val="21"/>
                <w:szCs w:val="21"/>
              </w:rPr>
              <w:t>山东南威信息科技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980,000.00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-178,778.64</w:t>
            </w:r>
          </w:p>
        </w:tc>
        <w:tc>
          <w:tcPr>
            <w:tcW w:w="57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801,221.36</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16"/>
              <w:jc w:val="left"/>
              <w:rPr>
                <w:rFonts w:ascii="宋体" w:hAnsi="宋体" w:cs="宋体" w:eastAsia="宋体" w:hint="default"/>
                <w:sz w:val="21"/>
                <w:szCs w:val="21"/>
              </w:rPr>
            </w:pPr>
            <w:r>
              <w:rPr>
                <w:rFonts w:ascii="宋体" w:hAnsi="宋体" w:cs="宋体" w:eastAsia="宋体" w:hint="default"/>
                <w:spacing w:val="-2"/>
                <w:sz w:val="21"/>
                <w:szCs w:val="21"/>
              </w:rPr>
              <w:t>南京伍安信息科技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156,737.63</w:t>
            </w:r>
          </w:p>
        </w:tc>
        <w:tc>
          <w:tcPr>
            <w:tcW w:w="158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154,390.56</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-2,347.07</w:t>
            </w:r>
          </w:p>
        </w:tc>
        <w:tc>
          <w:tcPr>
            <w:tcW w:w="57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195,504,596.31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57,876,400.00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154,390.56</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4,942,534.50</w:t>
            </w:r>
          </w:p>
        </w:tc>
        <w:tc>
          <w:tcPr>
            <w:tcW w:w="57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31,283,533.90</w:t>
            </w:r>
          </w:p>
        </w:tc>
        <w:tc>
          <w:tcPr>
            <w:tcW w:w="71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289,452,674.15</w:t>
            </w: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195,504,596.31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57,876,400.00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154,390.56</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4,942,534.50</w:t>
            </w:r>
          </w:p>
        </w:tc>
        <w:tc>
          <w:tcPr>
            <w:tcW w:w="57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31,283,533.90</w:t>
            </w:r>
          </w:p>
        </w:tc>
        <w:tc>
          <w:tcPr>
            <w:tcW w:w="71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289,452,674.15</w:t>
            </w:r>
          </w:p>
        </w:tc>
        <w:tc>
          <w:tcPr>
            <w:tcW w:w="5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7" w:lineRule="exact"/>
        <w:ind w:left="220" w:right="0"/>
        <w:jc w:val="left"/>
        <w:rPr>
          <w:rFonts w:ascii="宋体" w:hAnsi="宋体" w:cs="宋体" w:eastAsia="宋体" w:hint="default"/>
        </w:rPr>
      </w:pPr>
      <w:r>
        <w:rPr>
          <w:rFonts w:ascii="宋体"/>
          <w:w w:val="100"/>
        </w:rPr>
        <w:t> </w:t>
      </w:r>
    </w:p>
    <w:p>
      <w:pPr>
        <w:pStyle w:val="Heading3"/>
        <w:spacing w:line="237" w:lineRule="auto"/>
        <w:ind w:left="220" w:right="12658"/>
        <w:jc w:val="left"/>
      </w:pPr>
      <w:r>
        <w:rPr/>
        <w:t>  </w:t>
      </w:r>
      <w:r>
        <w:rPr>
          <w:rFonts w:ascii="宋体" w:hAnsi="宋体" w:cs="宋体" w:eastAsia="宋体" w:hint="default"/>
        </w:rPr>
        <w:t>其他说明：       </w:t>
      </w:r>
      <w:r>
        <w:rPr/>
      </w:r>
      <w:r>
        <w:rPr>
          <w:rFonts w:ascii="宋体" w:hAnsi="宋体" w:cs="宋体" w:eastAsia="宋体" w:hint="default"/>
        </w:rPr>
        <w:t>无</w:t>
      </w:r>
      <w:r>
        <w:rPr/>
        <w:t> </w:t>
      </w:r>
    </w:p>
    <w:p>
      <w:pPr>
        <w:spacing w:after="0" w:line="237" w:lineRule="auto"/>
        <w:jc w:val="left"/>
        <w:sectPr>
          <w:pgSz w:w="16840" w:h="11910" w:orient="landscape"/>
          <w:pgMar w:header="857" w:footer="980" w:top="1120" w:bottom="1160" w:left="1220" w:right="132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80"/>
          <w:footerReference w:type="default" r:id="rId81"/>
          <w:pgSz w:w="11910" w:h="16840"/>
          <w:pgMar w:header="857" w:footer="979" w:top="1120" w:bottom="1160" w:left="1580" w:right="1040"/>
          <w:pgNumType w:start="235"/>
        </w:sectPr>
      </w:pPr>
    </w:p>
    <w:p>
      <w:pPr>
        <w:pStyle w:val="Heading3"/>
        <w:spacing w:line="240" w:lineRule="auto" w:before="26"/>
        <w:ind w:left="218" w:right="0"/>
        <w:jc w:val="left"/>
      </w:pPr>
      <w:r>
        <w:rPr/>
        <w:t> </w:t>
      </w:r>
    </w:p>
    <w:p>
      <w:pPr>
        <w:pStyle w:val="Heading4"/>
        <w:spacing w:line="240" w:lineRule="auto"/>
        <w:ind w:left="225" w:right="0"/>
        <w:jc w:val="left"/>
        <w:rPr>
          <w:b w:val="0"/>
          <w:bCs w:val="0"/>
        </w:rPr>
      </w:pPr>
      <w:r>
        <w:rPr>
          <w:rFonts w:ascii="Times New Roman" w:hAnsi="Times New Roman" w:cs="Times New Roman" w:eastAsia="Times New Roman" w:hint="default"/>
        </w:rPr>
        <w:t>4</w:t>
      </w:r>
      <w:r>
        <w:rPr/>
        <w:t>、</w:t>
      </w:r>
      <w:r>
        <w:rPr>
          <w:spacing w:val="6"/>
        </w:rPr>
        <w:t> </w:t>
      </w:r>
      <w:r>
        <w:rPr/>
        <w:t>营业收入和营业成本</w:t>
      </w:r>
      <w:r>
        <w:rPr>
          <w:b w:val="0"/>
          <w:bCs w:val="0"/>
        </w:rPr>
      </w:r>
    </w:p>
    <w:p>
      <w:pPr>
        <w:pStyle w:val="Heading4"/>
        <w:spacing w:line="240" w:lineRule="auto" w:before="43"/>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580" w:right="1040"/>
          <w:cols w:num="2" w:equalWidth="0">
            <w:col w:w="3171" w:space="335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41"/>
        <w:gridCol w:w="1685"/>
        <w:gridCol w:w="1565"/>
        <w:gridCol w:w="1529"/>
        <w:gridCol w:w="1529"/>
      </w:tblGrid>
      <w:tr>
        <w:trPr>
          <w:trHeight w:val="283" w:hRule="exact"/>
        </w:trPr>
        <w:tc>
          <w:tcPr>
            <w:tcW w:w="2741" w:type="dxa"/>
            <w:vMerge w:val="restart"/>
            <w:tcBorders>
              <w:top w:val="single" w:sz="4" w:space="0" w:color="000000"/>
              <w:left w:val="single" w:sz="4" w:space="0" w:color="000000"/>
              <w:right w:val="single" w:sz="4" w:space="0" w:color="000000"/>
            </w:tcBorders>
          </w:tcPr>
          <w:p>
            <w:pPr>
              <w:pStyle w:val="TableParagraph"/>
              <w:spacing w:line="240" w:lineRule="auto" w:before="107"/>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2741"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1,124,659,944.94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905,685,410.32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sz w:val="21"/>
              </w:rPr>
              <w:t>843,598,493.93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637,380,822.84</w:t>
            </w:r>
          </w:p>
        </w:tc>
      </w:tr>
      <w:tr>
        <w:trPr>
          <w:trHeight w:val="283"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2,375,021.44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552,262.19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3" w:right="0"/>
              <w:jc w:val="center"/>
              <w:rPr>
                <w:rFonts w:ascii="Times New Roman" w:hAnsi="Times New Roman" w:cs="Times New Roman" w:eastAsia="Times New Roman" w:hint="default"/>
                <w:sz w:val="21"/>
                <w:szCs w:val="21"/>
              </w:rPr>
            </w:pPr>
            <w:r>
              <w:rPr>
                <w:rFonts w:ascii="Times New Roman"/>
                <w:sz w:val="21"/>
              </w:rPr>
              <w:t>3,164,023.66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608,264.40</w:t>
            </w:r>
          </w:p>
        </w:tc>
      </w:tr>
      <w:tr>
        <w:trPr>
          <w:trHeight w:val="281"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1,127,034,966.38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906,237,672.51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sz w:val="21"/>
              </w:rPr>
              <w:t>846,762,517.59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637,989,087.24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580" w:right="1040"/>
        </w:sectPr>
      </w:pPr>
    </w:p>
    <w:p>
      <w:pPr>
        <w:pStyle w:val="Heading3"/>
        <w:spacing w:line="274" w:lineRule="exact"/>
        <w:ind w:left="218" w:right="0"/>
        <w:jc w:val="left"/>
      </w:pPr>
      <w:r>
        <w:rPr/>
        <w:t> </w:t>
      </w:r>
    </w:p>
    <w:p>
      <w:pPr>
        <w:pStyle w:val="BodyText"/>
        <w:spacing w:line="240" w:lineRule="auto" w:before="64"/>
        <w:ind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2" w:lineRule="exact" w:before="53"/>
        <w:ind w:left="218" w:right="0"/>
        <w:jc w:val="left"/>
      </w:pPr>
      <w:r>
        <w:rPr>
          <w:rFonts w:ascii="宋体" w:hAnsi="宋体" w:cs="宋体" w:eastAsia="宋体" w:hint="default"/>
        </w:rPr>
        <w:t>无</w:t>
      </w:r>
      <w:r>
        <w:rPr/>
        <w:t> </w:t>
      </w:r>
    </w:p>
    <w:p>
      <w:pPr>
        <w:pStyle w:val="Heading3"/>
        <w:spacing w:line="312" w:lineRule="exact"/>
        <w:ind w:left="218" w:right="0"/>
        <w:jc w:val="left"/>
      </w:pPr>
      <w:r>
        <w:rPr/>
        <w:t> </w:t>
      </w:r>
    </w:p>
    <w:p>
      <w:pPr>
        <w:pStyle w:val="Heading4"/>
        <w:spacing w:line="240" w:lineRule="auto"/>
        <w:ind w:left="225" w:right="0"/>
        <w:jc w:val="left"/>
        <w:rPr>
          <w:rFonts w:ascii="宋体" w:hAnsi="宋体" w:cs="宋体" w:eastAsia="宋体" w:hint="default"/>
          <w:b w:val="0"/>
          <w:bCs w:val="0"/>
        </w:rPr>
      </w:pPr>
      <w:r>
        <w:rPr>
          <w:rFonts w:ascii="Times New Roman" w:hAnsi="Times New Roman" w:cs="Times New Roman" w:eastAsia="Times New Roman" w:hint="default"/>
        </w:rPr>
        <w:t>5</w:t>
      </w:r>
      <w:r>
        <w:rPr/>
        <w:t>、</w:t>
      </w:r>
      <w:r>
        <w:rPr>
          <w:spacing w:val="1"/>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sz w:val="24"/>
          <w:szCs w:val="24"/>
        </w:rPr>
        <w:t> </w:t>
      </w:r>
      <w:r>
        <w:rPr>
          <w:rFonts w:ascii="宋体" w:hAnsi="宋体" w:cs="宋体" w:eastAsia="宋体" w:hint="default"/>
          <w:sz w:val="24"/>
          <w:szCs w:val="24"/>
        </w:rPr>
      </w:r>
    </w:p>
    <w:p>
      <w:pPr>
        <w:spacing w:after="0" w:line="240" w:lineRule="auto"/>
        <w:jc w:val="left"/>
        <w:rPr>
          <w:rFonts w:ascii="宋体" w:hAnsi="宋体" w:cs="宋体" w:eastAsia="宋体" w:hint="default"/>
          <w:sz w:val="24"/>
          <w:szCs w:val="24"/>
        </w:rPr>
        <w:sectPr>
          <w:type w:val="continuous"/>
          <w:pgSz w:w="11910" w:h="16840"/>
          <w:pgMar w:top="1500" w:bottom="2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66"/>
        <w:gridCol w:w="2472"/>
        <w:gridCol w:w="2511"/>
      </w:tblGrid>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4,942,534.50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1,212,661.87</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-3,024,175.77</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3,315,000.00</w:t>
            </w:r>
          </w:p>
        </w:tc>
      </w:tr>
      <w:tr>
        <w:trPr>
          <w:trHeight w:val="55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951,828.04</w:t>
            </w:r>
          </w:p>
        </w:tc>
      </w:tr>
      <w:tr>
        <w:trPr>
          <w:trHeight w:val="28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957,808.22</w:t>
            </w: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578,949.78</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7,417,953.43</w:t>
            </w:r>
          </w:p>
        </w:tc>
      </w:tr>
      <w:tr>
        <w:trPr>
          <w:trHeight w:val="322"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3,455,116.73</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12,897,443.34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00" w:bottom="280" w:left="1580" w:right="1040"/>
        </w:sectPr>
      </w:pPr>
    </w:p>
    <w:p>
      <w:pPr>
        <w:pStyle w:val="BodyText"/>
        <w:spacing w:line="240" w:lineRule="auto" w:before="42"/>
        <w:ind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2" w:lineRule="exact" w:before="2"/>
        <w:ind w:left="218" w:right="0"/>
        <w:jc w:val="left"/>
      </w:pPr>
      <w:r>
        <w:rPr>
          <w:rFonts w:ascii="宋体" w:hAnsi="宋体" w:cs="宋体" w:eastAsia="宋体" w:hint="default"/>
        </w:rPr>
        <w:t>无</w:t>
      </w:r>
      <w:r>
        <w:rPr/>
        <w:t> </w:t>
      </w:r>
    </w:p>
    <w:p>
      <w:pPr>
        <w:pStyle w:val="Heading3"/>
        <w:spacing w:line="312" w:lineRule="exact"/>
        <w:ind w:left="218" w:right="0"/>
        <w:jc w:val="left"/>
      </w:pPr>
      <w:r>
        <w:rPr/>
        <w:t> </w:t>
      </w:r>
    </w:p>
    <w:p>
      <w:pPr>
        <w:pStyle w:val="Heading4"/>
        <w:spacing w:line="240" w:lineRule="auto"/>
        <w:ind w:left="225" w:right="0"/>
        <w:jc w:val="left"/>
        <w:rPr>
          <w:b w:val="0"/>
          <w:bCs w:val="0"/>
        </w:rPr>
      </w:pPr>
      <w:r>
        <w:rPr>
          <w:rFonts w:ascii="Times New Roman" w:hAnsi="Times New Roman" w:cs="Times New Roman" w:eastAsia="Times New Roman" w:hint="default"/>
        </w:rPr>
        <w:t>6</w:t>
      </w:r>
      <w:r>
        <w:rPr/>
        <w:t>、</w:t>
      </w:r>
      <w:r>
        <w:rPr>
          <w:spacing w:val="3"/>
        </w:rPr>
        <w:t> </w:t>
      </w:r>
      <w:r>
        <w:rPr/>
        <w:t>其他</w:t>
      </w:r>
      <w:r>
        <w:rPr>
          <w:b w:val="0"/>
          <w:bCs w:val="0"/>
        </w:rPr>
      </w:r>
    </w:p>
    <w:p>
      <w:pPr>
        <w:pStyle w:val="BodyText"/>
        <w:spacing w:line="271" w:lineRule="exact" w:before="40"/>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8" w:right="0"/>
        <w:jc w:val="left"/>
      </w:pPr>
      <w:r>
        <w:rPr/>
        <w:t> </w:t>
      </w:r>
    </w:p>
    <w:p>
      <w:pPr>
        <w:pStyle w:val="Heading4"/>
        <w:spacing w:line="240" w:lineRule="auto"/>
        <w:ind w:right="0"/>
        <w:jc w:val="left"/>
        <w:rPr>
          <w:rFonts w:ascii="宋体" w:hAnsi="宋体" w:cs="宋体" w:eastAsia="宋体" w:hint="default"/>
          <w:b w:val="0"/>
          <w:bCs w:val="0"/>
        </w:rPr>
      </w:pPr>
      <w:r>
        <w:rPr/>
        <w:t>十八、补充资料</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right="0"/>
        <w:jc w:val="left"/>
        <w:rPr>
          <w:rFonts w:ascii="宋体" w:hAnsi="宋体" w:cs="宋体" w:eastAsia="宋体" w:hint="default"/>
          <w:b w:val="0"/>
          <w:bCs w:val="0"/>
        </w:rPr>
      </w:pPr>
      <w:r>
        <w:rPr>
          <w:rFonts w:ascii="Times New Roman" w:hAnsi="Times New Roman" w:cs="Times New Roman" w:eastAsia="Times New Roman" w:hint="default"/>
        </w:rPr>
        <w:t>1</w:t>
      </w:r>
      <w:r>
        <w:rPr/>
        <w:t>、</w:t>
      </w:r>
      <w:r>
        <w:rPr>
          <w:spacing w:val="-1"/>
        </w:rPr>
        <w:t> </w:t>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00" w:bottom="280" w:left="1580" w:right="1040"/>
          <w:cols w:num="2" w:equalWidth="0">
            <w:col w:w="3066" w:space="345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2326"/>
        <w:gridCol w:w="2221"/>
      </w:tblGrid>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-2,905,689.49</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b/>
                <w:w w:val="99"/>
                <w:sz w:val="21"/>
              </w:rPr>
              <w:t> </w:t>
            </w:r>
            <w:r>
              <w:rPr>
                <w:rFonts w:ascii="宋体"/>
                <w:sz w:val="21"/>
              </w:rPr>
            </w:r>
          </w:p>
        </w:tc>
      </w:tr>
      <w:tr>
        <w:trPr>
          <w:trHeight w:val="826"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w:t>
            </w:r>
          </w:p>
          <w:p>
            <w:pPr>
              <w:pStyle w:val="TableParagraph"/>
              <w:spacing w:line="240" w:lineRule="auto"/>
              <w:ind w:left="103" w:right="182"/>
              <w:jc w:val="left"/>
              <w:rPr>
                <w:rFonts w:ascii="宋体" w:hAnsi="宋体" w:cs="宋体" w:eastAsia="宋体" w:hint="default"/>
                <w:sz w:val="21"/>
                <w:szCs w:val="21"/>
              </w:rPr>
            </w:pPr>
            <w:r>
              <w:rPr>
                <w:rFonts w:ascii="宋体" w:hAnsi="宋体" w:cs="宋体" w:eastAsia="宋体" w:hint="default"/>
                <w:spacing w:val="-2"/>
                <w:sz w:val="21"/>
                <w:szCs w:val="21"/>
              </w:rPr>
              <w:t>关，按照国家统一标准定额或定量享受的政府</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补助除外）</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14,817,858.80</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110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w:t>
            </w:r>
          </w:p>
          <w:p>
            <w:pPr>
              <w:pStyle w:val="TableParagraph"/>
              <w:spacing w:line="237" w:lineRule="auto"/>
              <w:ind w:left="103" w:right="182"/>
              <w:jc w:val="both"/>
              <w:rPr>
                <w:rFonts w:ascii="宋体" w:hAnsi="宋体" w:cs="宋体" w:eastAsia="宋体" w:hint="default"/>
                <w:sz w:val="21"/>
                <w:szCs w:val="21"/>
              </w:rPr>
            </w:pPr>
            <w:r>
              <w:rPr>
                <w:rFonts w:ascii="宋体" w:hAnsi="宋体" w:cs="宋体" w:eastAsia="宋体" w:hint="default"/>
                <w:spacing w:val="-2"/>
                <w:sz w:val="21"/>
                <w:szCs w:val="21"/>
              </w:rPr>
              <w:t>务外，持有交易性金融资产、衍生金融资产、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交易性金融负债、衍生金融负债产生的公允价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值变动损益，以及处置交易性金融资产、衍生</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4,911,978.37</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3" w:lineRule="exact"/>
        <w:jc w:val="left"/>
        <w:rPr>
          <w:rFonts w:ascii="宋体" w:hAnsi="宋体" w:cs="宋体" w:eastAsia="宋体" w:hint="default"/>
          <w:sz w:val="21"/>
          <w:szCs w:val="21"/>
        </w:rPr>
        <w:sectPr>
          <w:type w:val="continuous"/>
          <w:pgSz w:w="11910" w:h="16840"/>
          <w:pgMar w:top="1500" w:bottom="2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03"/>
        <w:gridCol w:w="2326"/>
        <w:gridCol w:w="2221"/>
      </w:tblGrid>
      <w:tr>
        <w:trPr>
          <w:trHeight w:val="557"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金融资产、交易性金融负债、衍生金融负债和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其他债权投资取得的投资收益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-2,046,805.55</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-1,618,945.01</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-844,771.77</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12,313,625.35</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80" w:lineRule="exact"/>
        <w:ind w:right="0"/>
        <w:jc w:val="left"/>
      </w:pPr>
      <w:r>
        <w:rPr/>
        <w:t>对公司根据《公开发行证券的公司信息披露解释性公告第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非经常性损益》定义界定的非</w:t>
      </w:r>
    </w:p>
    <w:p>
      <w:pPr>
        <w:pStyle w:val="BodyText"/>
        <w:spacing w:line="274" w:lineRule="exact" w:before="16"/>
        <w:ind w:right="232"/>
        <w:jc w:val="left"/>
        <w:rPr>
          <w:rFonts w:ascii="宋体" w:hAnsi="宋体" w:cs="宋体" w:eastAsia="宋体" w:hint="default"/>
        </w:rPr>
      </w:pPr>
      <w:r>
        <w:rPr/>
        <w:t>经常性损益项目，以及把《公开发行证券的公司信息披露解释性公告第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46" w:lineRule="exact"/>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4"/>
        <w:spacing w:line="240" w:lineRule="auto" w:before="58"/>
        <w:ind w:right="0"/>
        <w:jc w:val="left"/>
        <w:rPr>
          <w:b w:val="0"/>
          <w:bCs w:val="0"/>
        </w:rPr>
      </w:pPr>
      <w:r>
        <w:rPr>
          <w:rFonts w:ascii="Times New Roman" w:hAnsi="Times New Roman" w:cs="Times New Roman" w:eastAsia="Times New Roman" w:hint="default"/>
        </w:rPr>
        <w:t>2</w:t>
      </w:r>
      <w:r>
        <w:rPr/>
        <w:t>、</w:t>
      </w:r>
      <w:r>
        <w:rPr>
          <w:spacing w:val="1"/>
        </w:rPr>
        <w:t> </w:t>
      </w:r>
      <w:r>
        <w:rPr/>
        <w:t>净资产收益率及每股收益</w:t>
      </w:r>
      <w:r>
        <w:rPr>
          <w:b w:val="0"/>
          <w:bCs w:val="0"/>
        </w:rPr>
      </w:r>
    </w:p>
    <w:p>
      <w:pPr>
        <w:pStyle w:val="BodyText"/>
        <w:spacing w:line="240" w:lineRule="auto"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8"/>
        <w:gridCol w:w="1743"/>
        <w:gridCol w:w="1670"/>
        <w:gridCol w:w="2149"/>
      </w:tblGrid>
      <w:tr>
        <w:trPr>
          <w:trHeight w:val="281" w:hRule="exact"/>
        </w:trPr>
        <w:tc>
          <w:tcPr>
            <w:tcW w:w="3488" w:type="dxa"/>
            <w:vMerge w:val="restart"/>
            <w:tcBorders>
              <w:top w:val="single" w:sz="4" w:space="0" w:color="000000"/>
              <w:left w:val="single" w:sz="4" w:space="0" w:color="000000"/>
              <w:right w:val="single" w:sz="4" w:space="0" w:color="000000"/>
            </w:tcBorders>
          </w:tcPr>
          <w:p>
            <w:pPr>
              <w:pStyle w:val="TableParagraph"/>
              <w:spacing w:line="240" w:lineRule="auto" w:before="150"/>
              <w:ind w:left="1211"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743" w:type="dxa"/>
            <w:vMerge w:val="restart"/>
            <w:tcBorders>
              <w:top w:val="single" w:sz="4" w:space="0" w:color="000000"/>
              <w:left w:val="single" w:sz="4" w:space="0" w:color="000000"/>
              <w:right w:val="single" w:sz="4" w:space="0" w:color="000000"/>
            </w:tcBorders>
          </w:tcPr>
          <w:p>
            <w:pPr>
              <w:pStyle w:val="TableParagraph"/>
              <w:spacing w:line="240" w:lineRule="auto" w:before="14"/>
              <w:ind w:left="285" w:right="130"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3488" w:type="dxa"/>
            <w:vMerge/>
            <w:tcBorders>
              <w:left w:val="single" w:sz="4" w:space="0" w:color="000000"/>
              <w:bottom w:val="single" w:sz="4" w:space="0" w:color="000000"/>
              <w:right w:val="single" w:sz="4" w:space="0" w:color="000000"/>
            </w:tcBorders>
          </w:tcPr>
          <w:p>
            <w:pPr/>
          </w:p>
        </w:tc>
        <w:tc>
          <w:tcPr>
            <w:tcW w:w="1743" w:type="dxa"/>
            <w:vMerge/>
            <w:tcBorders>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1"/>
              <w:jc w:val="right"/>
              <w:rPr>
                <w:rFonts w:ascii="宋体" w:hAnsi="宋体" w:cs="宋体" w:eastAsia="宋体" w:hint="default"/>
                <w:sz w:val="21"/>
                <w:szCs w:val="21"/>
              </w:rPr>
            </w:pPr>
            <w:r>
              <w:rPr>
                <w:rFonts w:ascii="宋体" w:hAnsi="宋体" w:cs="宋体" w:eastAsia="宋体" w:hint="default"/>
                <w:spacing w:val="-2"/>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372"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z w:val="21"/>
              </w:rPr>
              <w:t>11.66</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z w:val="21"/>
              </w:rPr>
              <w:t>0.40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0.39</w:t>
            </w:r>
          </w:p>
        </w:tc>
      </w:tr>
      <w:tr>
        <w:trPr>
          <w:trHeight w:val="554"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扣除非经常性损益后归属于公司普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通股股东的净利润</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10.98</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0.38</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0.37</w:t>
            </w:r>
          </w:p>
        </w:tc>
      </w:tr>
    </w:tbl>
    <w:p>
      <w:pPr>
        <w:pStyle w:val="Heading3"/>
        <w:spacing w:line="274" w:lineRule="exact"/>
        <w:ind w:left="218" w:right="0"/>
        <w:jc w:val="left"/>
      </w:pPr>
      <w:r>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1"/>
        </w:rPr>
        <w:t> </w:t>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40"/>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10" w:lineRule="exact"/>
        <w:ind w:left="218" w:right="0"/>
        <w:jc w:val="left"/>
      </w:pPr>
      <w:r>
        <w:rPr/>
        <w:t> </w:t>
      </w:r>
    </w:p>
    <w:p>
      <w:pPr>
        <w:pStyle w:val="Heading4"/>
        <w:spacing w:line="240" w:lineRule="auto" w:before="61"/>
        <w:ind w:right="0"/>
        <w:jc w:val="left"/>
        <w:rPr>
          <w:b w:val="0"/>
          <w:bCs w:val="0"/>
        </w:rPr>
      </w:pPr>
      <w:r>
        <w:rPr>
          <w:rFonts w:ascii="Times New Roman" w:hAnsi="Times New Roman" w:cs="Times New Roman" w:eastAsia="Times New Roman" w:hint="default"/>
        </w:rPr>
        <w:t>4</w:t>
      </w:r>
      <w:r>
        <w:rPr/>
        <w:t>、 其他</w:t>
      </w:r>
      <w:r>
        <w:rPr>
          <w:b w:val="0"/>
          <w:bCs w:val="0"/>
        </w:rPr>
      </w:r>
    </w:p>
    <w:p>
      <w:pPr>
        <w:pStyle w:val="BodyText"/>
        <w:spacing w:line="240" w:lineRule="auto" w:before="43"/>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r>
        <w:rPr>
          <w:rFonts w:ascii="宋体" w:hAnsi="宋体" w:cs="宋体" w:eastAsia="宋体" w:hint="default"/>
          <w:spacing w:val="-3"/>
          <w:sz w:val="24"/>
          <w:szCs w:val="24"/>
        </w:rPr>
        <w:t> </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pgSz w:w="11910" w:h="16840"/>
          <w:pgMar w:header="857" w:footer="979" w:top="1120" w:bottom="1160" w:left="1580" w:right="1040"/>
        </w:sectPr>
      </w:pPr>
    </w:p>
    <w:p>
      <w:pPr>
        <w:spacing w:line="240" w:lineRule="auto" w:before="0"/>
        <w:rPr>
          <w:rFonts w:ascii="宋体" w:hAnsi="宋体" w:cs="宋体" w:eastAsia="宋体" w:hint="default"/>
          <w:sz w:val="20"/>
          <w:szCs w:val="20"/>
        </w:rPr>
      </w:pPr>
    </w:p>
    <w:p>
      <w:pPr>
        <w:pStyle w:val="Heading1"/>
        <w:spacing w:line="240" w:lineRule="auto" w:before="146"/>
        <w:ind w:left="3078" w:right="0"/>
        <w:jc w:val="left"/>
        <w:rPr>
          <w:rFonts w:ascii="宋体" w:hAnsi="宋体" w:cs="宋体" w:eastAsia="宋体" w:hint="default"/>
          <w:b w:val="0"/>
          <w:bCs w:val="0"/>
        </w:rPr>
      </w:pPr>
      <w:bookmarkStart w:name="_bookmark11" w:id="20"/>
      <w:bookmarkEnd w:id="20"/>
      <w:r>
        <w:rPr>
          <w:b w:val="0"/>
          <w:bCs w:val="0"/>
        </w:rPr>
      </w:r>
      <w:r>
        <w:rPr>
          <w:rFonts w:ascii="宋体" w:hAnsi="宋体" w:cs="宋体" w:eastAsia="宋体" w:hint="default"/>
        </w:rPr>
        <w:t>第十二节</w:t>
      </w:r>
      <w:r>
        <w:rPr>
          <w:rFonts w:ascii="宋体" w:hAnsi="宋体" w:cs="宋体" w:eastAsia="宋体" w:hint="default"/>
          <w:spacing w:val="-4"/>
        </w:rPr>
        <w:t> </w:t>
      </w:r>
      <w:r>
        <w:rPr>
          <w:rFonts w:ascii="宋体" w:hAnsi="宋体" w:cs="宋体" w:eastAsia="宋体" w:hint="default"/>
          <w:spacing w:val="-4"/>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载有法定代表人、主管会计工作负责人和会计机构负责人签名并盖章的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r>
              <w:rPr>
                <w:rFonts w:ascii="宋体" w:hAnsi="宋体" w:cs="宋体" w:eastAsia="宋体" w:hint="default"/>
                <w:sz w:val="21"/>
                <w:szCs w:val="21"/>
              </w:rPr>
              <w:t> </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载有会计师事务所、注册会计师签名并盖章的审计报告原件。</w:t>
            </w:r>
            <w:r>
              <w:rPr>
                <w:rFonts w:ascii="宋体" w:hAnsi="宋体" w:cs="宋体" w:eastAsia="宋体" w:hint="default"/>
                <w:sz w:val="21"/>
                <w:szCs w:val="21"/>
              </w:rPr>
              <w:t> </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公告原稿。</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pgSz w:w="11910" w:h="16840"/>
          <w:pgMar w:header="857" w:footer="979" w:top="1120" w:bottom="1160" w:left="1660" w:right="11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BodyText"/>
        <w:spacing w:line="240" w:lineRule="auto"/>
        <w:ind w:left="138" w:right="0"/>
        <w:jc w:val="left"/>
        <w:rPr>
          <w:rFonts w:ascii="宋体" w:hAnsi="宋体" w:cs="宋体" w:eastAsia="宋体" w:hint="default"/>
        </w:rPr>
      </w:pPr>
      <w:r>
        <w:rPr>
          <w:rFonts w:ascii="宋体"/>
          <w:w w:val="100"/>
        </w:rPr>
        <w:t> </w:t>
      </w:r>
    </w:p>
    <w:p>
      <w:pPr>
        <w:spacing w:line="314" w:lineRule="auto" w:before="85"/>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修订信</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18" w:lineRule="exact"/>
        <w:ind w:left="1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314" w:lineRule="auto" w:before="42"/>
        <w:ind w:left="138" w:right="148" w:firstLine="2153"/>
        <w:jc w:val="left"/>
      </w:pPr>
      <w:r>
        <w:rPr>
          <w:spacing w:val="-1"/>
        </w:rPr>
        <w:br w:type="column"/>
      </w:r>
      <w:r>
        <w:rPr>
          <w:spacing w:val="-1"/>
        </w:rPr>
        <w:t>董事长：吴志雄</w:t>
      </w:r>
      <w:r>
        <w:rPr>
          <w:w w:val="100"/>
        </w:rPr>
        <w:t> </w:t>
      </w:r>
      <w:r>
        <w:rPr/>
        <w:t>董事会批准报送日期：</w:t>
      </w:r>
      <w:r>
        <w:rPr>
          <w:rFonts w:ascii="Times New Roman" w:hAnsi="Times New Roman" w:cs="Times New Roman" w:eastAsia="Times New Roman" w:hint="default"/>
        </w:rPr>
        <w:t>2020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w:t>
      </w:r>
    </w:p>
    <w:sectPr>
      <w:type w:val="continuous"/>
      <w:pgSz w:w="11910" w:h="16840"/>
      <w:pgMar w:top="1500" w:bottom="280" w:left="1660" w:right="1120"/>
      <w:cols w:num="2" w:equalWidth="0">
        <w:col w:w="1939" w:space="3266"/>
        <w:col w:w="392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5pt;margin-top:781.957947pt;width:28.05pt;height:11pt;mso-position-horizontal-relative:page;mso-position-vertical-relative:page;z-index:-1170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237</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089996pt;margin-top:535.333923pt;width:32.6pt;height:11pt;mso-position-horizontal-relative:page;mso-position-vertical-relative:page;z-index:-1169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48</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237</w:t>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57947pt;width:32.6pt;height:11pt;mso-position-horizontal-relative:page;mso-position-vertical-relative:page;z-index:-1169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52</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237</w:t>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57947pt;width:32.6pt;height:11pt;mso-position-horizontal-relative:page;mso-position-vertical-relative:page;z-index:-1169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58</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237</w:t>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290009pt;margin-top:535.333923pt;width:32.65pt;height:11pt;mso-position-horizontal-relative:page;mso-position-vertical-relative:page;z-index:-1169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64</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237</w:t>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57947pt;width:32.6pt;height:11pt;mso-position-horizontal-relative:page;mso-position-vertical-relative:page;z-index:-1169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70</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237</w:t>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290009pt;margin-top:535.333923pt;width:32.6pt;height:11pt;mso-position-horizontal-relative:page;mso-position-vertical-relative:page;z-index:-1169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90</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237</w:t>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929993pt;margin-top:781.957947pt;width:32.6pt;height:11pt;mso-position-horizontal-relative:page;mso-position-vertical-relative:page;z-index:-1169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97</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237</w:t>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649994pt;margin-top:781.957947pt;width:36.050pt;height:11pt;mso-position-horizontal-relative:page;mso-position-vertical-relative:page;z-index:-11691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b/>
                    <w:sz w:val="18"/>
                  </w:rPr>
                  <w:t>100 </w:t>
                </w:r>
                <w:r>
                  <w:rPr>
                    <w:rFonts w:ascii="Times New Roman"/>
                    <w:sz w:val="18"/>
                  </w:rPr>
                  <w:t>/</w:t>
                </w:r>
                <w:r>
                  <w:rPr>
                    <w:rFonts w:ascii="Times New Roman"/>
                    <w:spacing w:val="-2"/>
                    <w:sz w:val="18"/>
                  </w:rPr>
                  <w:t> </w:t>
                </w:r>
                <w:r>
                  <w:rPr>
                    <w:rFonts w:ascii="Times New Roman"/>
                    <w:b/>
                    <w:sz w:val="18"/>
                  </w:rPr>
                  <w:t>237</w:t>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649994pt;margin-top:781.957947pt;width:37.050pt;height:11pt;mso-position-horizontal-relative:page;mso-position-vertical-relative:page;z-index:-1169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101</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237</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929993pt;margin-top:781.957947pt;width:32.6pt;height:11pt;mso-position-horizontal-relative:page;mso-position-vertical-relative:page;z-index:-1170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237</w:t>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649994pt;margin-top:781.957947pt;width:37.050pt;height:11pt;mso-position-horizontal-relative:page;mso-position-vertical-relative:page;z-index:-1169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146</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237</w:t>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01001pt;margin-top:535.333923pt;width:37.050pt;height:11pt;mso-position-horizontal-relative:page;mso-position-vertical-relative:page;z-index:-1169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157</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237</w:t>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649994pt;margin-top:781.957947pt;width:37.050pt;height:11pt;mso-position-horizontal-relative:page;mso-position-vertical-relative:page;z-index:-1168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159</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237</w:t>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01001pt;margin-top:535.333923pt;width:37.050pt;height:11pt;mso-position-horizontal-relative:page;mso-position-vertical-relative:page;z-index:-1168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161</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237</w:t>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649994pt;margin-top:781.957947pt;width:37.050pt;height:11pt;mso-position-horizontal-relative:page;mso-position-vertical-relative:page;z-index:-1168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165</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237</w:t>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01001pt;margin-top:535.333923pt;width:37.050pt;height:11pt;mso-position-horizontal-relative:page;mso-position-vertical-relative:page;z-index:-1168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167</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237</w:t>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649994pt;margin-top:781.957947pt;width:37.050pt;height:11pt;mso-position-horizontal-relative:page;mso-position-vertical-relative:page;z-index:-1168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169</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237</w:t>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649994pt;margin-top:781.957947pt;width:37.050pt;height:11pt;mso-position-horizontal-relative:page;mso-position-vertical-relative:page;z-index:-1168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179</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237</w:t>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290009pt;margin-top:535.333923pt;width:32.6pt;height:11pt;mso-position-horizontal-relative:page;mso-position-vertical-relative:page;z-index:-1170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26</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237</w:t>
                </w:r>
                <w:r>
                  <w:rPr>
                    <w:rFonts w:ascii="Times New Roman"/>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649994pt;margin-top:781.957947pt;width:37.050pt;height:11pt;mso-position-horizontal-relative:page;mso-position-vertical-relative:page;z-index:-1168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183</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237</w:t>
                </w:r>
                <w:r>
                  <w:rPr>
                    <w:rFonts w:ascii="Times New Roman"/>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690002pt;margin-top:781.957947pt;width:37.050pt;height:11pt;mso-position-horizontal-relative:page;mso-position-vertical-relative:page;z-index:-1168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198</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237</w:t>
                </w:r>
                <w:r>
                  <w:rPr>
                    <w:rFonts w:ascii="Times New Roman"/>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90002pt;margin-top:781.957947pt;width:36.050pt;height:11pt;mso-position-horizontal-relative:page;mso-position-vertical-relative:page;z-index:-11683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b/>
                    <w:sz w:val="18"/>
                  </w:rPr>
                  <w:t>200 </w:t>
                </w:r>
                <w:r>
                  <w:rPr>
                    <w:rFonts w:ascii="Times New Roman"/>
                    <w:sz w:val="18"/>
                  </w:rPr>
                  <w:t>/</w:t>
                </w:r>
                <w:r>
                  <w:rPr>
                    <w:rFonts w:ascii="Times New Roman"/>
                    <w:spacing w:val="-2"/>
                    <w:sz w:val="18"/>
                  </w:rPr>
                  <w:t> </w:t>
                </w:r>
                <w:r>
                  <w:rPr>
                    <w:rFonts w:ascii="Times New Roman"/>
                    <w:b/>
                    <w:sz w:val="18"/>
                  </w:rPr>
                  <w:t>237</w:t>
                </w:r>
                <w:r>
                  <w:rPr>
                    <w:rFonts w:ascii="Times New Roman"/>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690002pt;margin-top:781.957947pt;width:36.050pt;height:11pt;mso-position-horizontal-relative:page;mso-position-vertical-relative:page;z-index:-11683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b/>
                    <w:sz w:val="18"/>
                  </w:rPr>
                  <w:t>201 </w:t>
                </w:r>
                <w:r>
                  <w:rPr>
                    <w:rFonts w:ascii="Times New Roman"/>
                    <w:sz w:val="18"/>
                  </w:rPr>
                  <w:t>/</w:t>
                </w:r>
                <w:r>
                  <w:rPr>
                    <w:rFonts w:ascii="Times New Roman"/>
                    <w:spacing w:val="-2"/>
                    <w:sz w:val="18"/>
                  </w:rPr>
                  <w:t> </w:t>
                </w:r>
                <w:r>
                  <w:rPr>
                    <w:rFonts w:ascii="Times New Roman"/>
                    <w:b/>
                    <w:sz w:val="18"/>
                  </w:rPr>
                  <w:t>237</w:t>
                </w:r>
                <w:r>
                  <w:rPr>
                    <w:rFonts w:ascii="Times New Roman"/>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690002pt;margin-top:781.957947pt;width:37.050pt;height:11pt;mso-position-horizontal-relative:page;mso-position-vertical-relative:page;z-index:-1168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203</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237</w:t>
                </w:r>
                <w:r>
                  <w:rPr>
                    <w:rFonts w:ascii="Times New Roman"/>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690002pt;margin-top:781.957947pt;width:37.050pt;height:11pt;mso-position-horizontal-relative:page;mso-position-vertical-relative:page;z-index:-1168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223</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237</w:t>
                </w:r>
                <w:r>
                  <w:rPr>
                    <w:rFonts w:ascii="Times New Roman"/>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809998pt;margin-top:535.333923pt;width:37.050pt;height:11pt;mso-position-horizontal-relative:page;mso-position-vertical-relative:page;z-index:-1168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230</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237</w:t>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690002pt;margin-top:781.957947pt;width:37.050pt;height:11pt;mso-position-horizontal-relative:page;mso-position-vertical-relative:page;z-index:-1168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235</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237</w:t>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57947pt;width:32.6pt;height:11pt;mso-position-horizontal-relative:page;mso-position-vertical-relative:page;z-index:-1170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29</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237</w:t>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089996pt;margin-top:535.333923pt;width:32.6pt;height:11pt;mso-position-horizontal-relative:page;mso-position-vertical-relative:page;z-index:-1169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36</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237</w:t>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57947pt;width:32.6pt;height:11pt;mso-position-horizontal-relative:page;mso-position-vertical-relative:page;z-index:-1169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40</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237</w:t>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089996pt;margin-top:535.333923pt;width:32.6pt;height:11pt;mso-position-horizontal-relative:page;mso-position-vertical-relative:page;z-index:-1169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45</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237</w:t>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300003pt;margin-top:42.754883pt;width:51.594pt;height:9.235100pt;mso-position-horizontal-relative:page;mso-position-vertical-relative:page;z-index:-1170424" type="#_x0000_t75" stroked="false">
          <v:imagedata r:id="rId1" o:title=""/>
        </v:shape>
      </w:pict>
    </w:r>
    <w:r>
      <w:rPr/>
      <w:pict>
        <v:group style="position:absolute;margin-left:88.463997pt;margin-top:55.919983pt;width:443.6pt;height:.1pt;mso-position-horizontal-relative:page;mso-position-vertical-relative:page;z-index:-117040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47.699997pt;margin-top:43.225609pt;width:377.95pt;height:11.5pt;mso-position-horizontal-relative:page;mso-position-vertical-relative:page;z-index:-1170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5.449997pt;margin-top:42.754906pt;width:51.594pt;height:9.235100pt;mso-position-horizontal-relative:page;mso-position-vertical-relative:page;z-index:-1169752" type="#_x0000_t75" stroked="false">
          <v:imagedata r:id="rId1" o:title=""/>
        </v:shape>
      </w:pict>
    </w:r>
    <w:r>
      <w:rPr/>
      <w:pict>
        <v:group style="position:absolute;margin-left:70.559998pt;margin-top:55.920006pt;width:695.65pt;height:.1pt;mso-position-horizontal-relative:page;mso-position-vertical-relative:page;z-index:-116972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255.820007pt;margin-top:43.225632pt;width:377.9pt;height:11.5pt;mso-position-horizontal-relative:page;mso-position-vertical-relative:page;z-index:-11697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300003pt;margin-top:42.754883pt;width:51.594pt;height:9.235100pt;mso-position-horizontal-relative:page;mso-position-vertical-relative:page;z-index:-1169656" type="#_x0000_t75" stroked="false">
          <v:imagedata r:id="rId1" o:title=""/>
        </v:shape>
      </w:pict>
    </w:r>
    <w:r>
      <w:rPr/>
      <w:pict>
        <v:group style="position:absolute;margin-left:88.463997pt;margin-top:55.919983pt;width:443.6pt;height:.1pt;mso-position-horizontal-relative:page;mso-position-vertical-relative:page;z-index:-116963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147.699997pt;margin-top:43.225609pt;width:377.95pt;height:11.5pt;mso-position-horizontal-relative:page;mso-position-vertical-relative:page;z-index:-11696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9.699997pt;margin-top:42.754906pt;width:51.594pt;height:9.235100pt;mso-position-horizontal-relative:page;mso-position-vertical-relative:page;z-index:-1169536" type="#_x0000_t75" stroked="false">
          <v:imagedata r:id="rId1" o:title=""/>
        </v:shape>
      </w:pict>
    </w:r>
    <w:r>
      <w:rPr/>
      <w:pict>
        <v:group style="position:absolute;margin-left:74.760002pt;margin-top:55.920006pt;width:695.65pt;height:.1pt;mso-position-horizontal-relative:page;mso-position-vertical-relative:page;z-index:-116951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260.019989pt;margin-top:43.225632pt;width:377.9pt;height:11.5pt;mso-position-horizontal-relative:page;mso-position-vertical-relative:page;z-index:-11694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300003pt;margin-top:42.599983pt;width:51.594pt;height:9.19pt;mso-position-horizontal-relative:page;mso-position-vertical-relative:page;z-index:-1169440" type="#_x0000_t75" stroked="false">
          <v:imagedata r:id="rId1" o:title=""/>
        </v:shape>
      </w:pict>
    </w:r>
    <w:r>
      <w:rPr/>
      <w:pict>
        <v:group style="position:absolute;margin-left:88.463997pt;margin-top:55.799984pt;width:443.6pt;height:.1pt;mso-position-horizontal-relative:page;mso-position-vertical-relative:page;z-index:-116941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147.699997pt;margin-top:43.105606pt;width:377.95pt;height:11.5pt;mso-position-horizontal-relative:page;mso-position-vertical-relative:page;z-index:-1169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9.699997pt;margin-top:42.840008pt;width:51.594pt;height:9.2pt;mso-position-horizontal-relative:page;mso-position-vertical-relative:page;z-index:-1169344" type="#_x0000_t75" stroked="false">
          <v:imagedata r:id="rId1" o:title=""/>
        </v:shape>
      </w:pict>
    </w:r>
    <w:r>
      <w:rPr/>
      <w:pict>
        <v:group style="position:absolute;margin-left:74.760002pt;margin-top:56.040009pt;width:695.65pt;height:.1pt;mso-position-horizontal-relative:page;mso-position-vertical-relative:page;z-index:-1169320" coordorigin="1495,1121" coordsize="13913,2">
          <v:shape style="position:absolute;left:1495;top:1121;width:13913;height:2" coordorigin="1495,1121" coordsize="13913,0" path="m1495,1121l15408,1121e" filled="false" stroked="true" strokeweight=".72pt" strokecolor="#000000">
            <v:path arrowok="t"/>
          </v:shape>
          <w10:wrap type="none"/>
        </v:group>
      </w:pict>
    </w:r>
    <w:r>
      <w:rPr/>
      <w:pict>
        <v:shape style="position:absolute;margin-left:260.019989pt;margin-top:43.345631pt;width:377.9pt;height:11.5pt;mso-position-horizontal-relative:page;mso-position-vertical-relative:page;z-index:-11692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25pt;margin-top:42.839981pt;width:51.594pt;height:9.2pt;mso-position-horizontal-relative:page;mso-position-vertical-relative:page;z-index:-1169248" type="#_x0000_t75" stroked="false">
          <v:imagedata r:id="rId1" o:title=""/>
        </v:shape>
      </w:pict>
    </w:r>
    <w:r>
      <w:rPr/>
      <w:pict>
        <v:group style="position:absolute;margin-left:62.400002pt;margin-top:56.039982pt;width:443.65pt;height:.1pt;mso-position-horizontal-relative:page;mso-position-vertical-relative:page;z-index:-1169224" coordorigin="1248,1121" coordsize="8873,2">
          <v:shape style="position:absolute;left:1248;top:1121;width:8873;height:2" coordorigin="1248,1121" coordsize="8873,0" path="m1248,1121l10120,1121e" filled="false" stroked="true" strokeweight=".72pt" strokecolor="#000000">
            <v:path arrowok="t"/>
          </v:shape>
          <w10:wrap type="none"/>
        </v:group>
      </w:pict>
    </w:r>
    <w:r>
      <w:rPr/>
      <w:pict>
        <v:shape style="position:absolute;margin-left:121.660004pt;margin-top:43.345608pt;width:377.9pt;height:11.5pt;mso-position-horizontal-relative:page;mso-position-vertical-relative:page;z-index:-11692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9.699997pt;margin-top:42.840008pt;width:51.594pt;height:9.2pt;mso-position-horizontal-relative:page;mso-position-vertical-relative:page;z-index:-1169080" type="#_x0000_t75" stroked="false">
          <v:imagedata r:id="rId1" o:title=""/>
        </v:shape>
      </w:pict>
    </w:r>
    <w:r>
      <w:rPr/>
      <w:pict>
        <v:group style="position:absolute;margin-left:74.760002pt;margin-top:56.040009pt;width:695.65pt;height:.1pt;mso-position-horizontal-relative:page;mso-position-vertical-relative:page;z-index:-1169056" coordorigin="1495,1121" coordsize="13913,2">
          <v:shape style="position:absolute;left:1495;top:1121;width:13913;height:2" coordorigin="1495,1121" coordsize="13913,0" path="m1495,1121l15408,1121e" filled="false" stroked="true" strokeweight=".72pt" strokecolor="#000000">
            <v:path arrowok="t"/>
          </v:shape>
          <w10:wrap type="none"/>
        </v:group>
      </w:pict>
    </w:r>
    <w:r>
      <w:rPr/>
      <w:pict>
        <v:shape style="position:absolute;margin-left:260.019989pt;margin-top:43.345631pt;width:377.9pt;height:11.5pt;mso-position-horizontal-relative:page;mso-position-vertical-relative:page;z-index:-11690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25pt;margin-top:42.839981pt;width:51.594pt;height:9.2pt;mso-position-horizontal-relative:page;mso-position-vertical-relative:page;z-index:-1168984" type="#_x0000_t75" stroked="false">
          <v:imagedata r:id="rId1" o:title=""/>
        </v:shape>
      </w:pict>
    </w:r>
    <w:r>
      <w:rPr/>
      <w:pict>
        <v:group style="position:absolute;margin-left:62.400002pt;margin-top:56.039982pt;width:443.65pt;height:.1pt;mso-position-horizontal-relative:page;mso-position-vertical-relative:page;z-index:-1168960" coordorigin="1248,1121" coordsize="8873,2">
          <v:shape style="position:absolute;left:1248;top:1121;width:8873;height:2" coordorigin="1248,1121" coordsize="8873,0" path="m1248,1121l10120,1121e" filled="false" stroked="true" strokeweight=".72pt" strokecolor="#000000">
            <v:path arrowok="t"/>
          </v:shape>
          <w10:wrap type="none"/>
        </v:group>
      </w:pict>
    </w:r>
    <w:r>
      <w:rPr/>
      <w:pict>
        <v:shape style="position:absolute;margin-left:121.660004pt;margin-top:43.345608pt;width:377.9pt;height:11.5pt;mso-position-horizontal-relative:page;mso-position-vertical-relative:page;z-index:-1168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25pt;margin-top:42.754883pt;width:51.594pt;height:9.235100pt;mso-position-horizontal-relative:page;mso-position-vertical-relative:page;z-index:-1170328" type="#_x0000_t75" stroked="false">
          <v:imagedata r:id="rId1" o:title=""/>
        </v:shape>
      </w:pict>
    </w:r>
    <w:r>
      <w:rPr/>
      <w:pict>
        <v:group style="position:absolute;margin-left:62.400002pt;margin-top:55.919983pt;width:443.65pt;height:.1pt;mso-position-horizontal-relative:page;mso-position-vertical-relative:page;z-index:-1170304"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121.660004pt;margin-top:43.225609pt;width:377.9pt;height:11.5pt;mso-position-horizontal-relative:page;mso-position-vertical-relative:page;z-index:-1170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9.699997pt;margin-top:42.840008pt;width:51.594pt;height:9.2pt;mso-position-horizontal-relative:page;mso-position-vertical-relative:page;z-index:-1168888" type="#_x0000_t75" stroked="false">
          <v:imagedata r:id="rId1" o:title=""/>
        </v:shape>
      </w:pict>
    </w:r>
    <w:r>
      <w:rPr/>
      <w:pict>
        <v:group style="position:absolute;margin-left:74.760002pt;margin-top:56.040009pt;width:695.65pt;height:.1pt;mso-position-horizontal-relative:page;mso-position-vertical-relative:page;z-index:-1168864" coordorigin="1495,1121" coordsize="13913,2">
          <v:shape style="position:absolute;left:1495;top:1121;width:13913;height:2" coordorigin="1495,1121" coordsize="13913,0" path="m1495,1121l15408,1121e" filled="false" stroked="true" strokeweight=".72pt" strokecolor="#000000">
            <v:path arrowok="t"/>
          </v:shape>
          <w10:wrap type="none"/>
        </v:group>
      </w:pict>
    </w:r>
    <w:r>
      <w:rPr/>
      <w:pict>
        <v:shape style="position:absolute;margin-left:260.019989pt;margin-top:43.345631pt;width:377.9pt;height:11.5pt;mso-position-horizontal-relative:page;mso-position-vertical-relative:page;z-index:-11688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25pt;margin-top:42.839981pt;width:51.594pt;height:9.2pt;mso-position-horizontal-relative:page;mso-position-vertical-relative:page;z-index:-1168792" type="#_x0000_t75" stroked="false">
          <v:imagedata r:id="rId1" o:title=""/>
        </v:shape>
      </w:pict>
    </w:r>
    <w:r>
      <w:rPr/>
      <w:pict>
        <v:group style="position:absolute;margin-left:62.400002pt;margin-top:56.039982pt;width:443.65pt;height:.1pt;mso-position-horizontal-relative:page;mso-position-vertical-relative:page;z-index:-1168768" coordorigin="1248,1121" coordsize="8873,2">
          <v:shape style="position:absolute;left:1248;top:1121;width:8873;height:2" coordorigin="1248,1121" coordsize="8873,0" path="m1248,1121l10120,1121e" filled="false" stroked="true" strokeweight=".72pt" strokecolor="#000000">
            <v:path arrowok="t"/>
          </v:shape>
          <w10:wrap type="none"/>
        </v:group>
      </w:pict>
    </w:r>
    <w:r>
      <w:rPr/>
      <w:pict>
        <v:shape style="position:absolute;margin-left:121.660004pt;margin-top:43.345608pt;width:377.9pt;height:11.5pt;mso-position-horizontal-relative:page;mso-position-vertical-relative:page;z-index:-1168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9.699997pt;margin-top:42.840008pt;width:51.594pt;height:9.2pt;mso-position-horizontal-relative:page;mso-position-vertical-relative:page;z-index:-1168696" type="#_x0000_t75" stroked="false">
          <v:imagedata r:id="rId1" o:title=""/>
        </v:shape>
      </w:pict>
    </w:r>
    <w:r>
      <w:rPr/>
      <w:pict>
        <v:group style="position:absolute;margin-left:74.760002pt;margin-top:56.040009pt;width:695.65pt;height:.1pt;mso-position-horizontal-relative:page;mso-position-vertical-relative:page;z-index:-1168672" coordorigin="1495,1121" coordsize="13913,2">
          <v:shape style="position:absolute;left:1495;top:1121;width:13913;height:2" coordorigin="1495,1121" coordsize="13913,0" path="m1495,1121l15408,1121e" filled="false" stroked="true" strokeweight=".72pt" strokecolor="#000000">
            <v:path arrowok="t"/>
          </v:shape>
          <w10:wrap type="none"/>
        </v:group>
      </w:pict>
    </w:r>
    <w:r>
      <w:rPr/>
      <w:pict>
        <v:shape style="position:absolute;margin-left:260.019989pt;margin-top:43.345631pt;width:377.9pt;height:11.5pt;mso-position-horizontal-relative:page;mso-position-vertical-relative:page;z-index:-11686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25pt;margin-top:42.839981pt;width:51.594pt;height:9.2pt;mso-position-horizontal-relative:page;mso-position-vertical-relative:page;z-index:-1168600" type="#_x0000_t75" stroked="false">
          <v:imagedata r:id="rId1" o:title=""/>
        </v:shape>
      </w:pict>
    </w:r>
    <w:r>
      <w:rPr/>
      <w:pict>
        <v:group style="position:absolute;margin-left:62.400002pt;margin-top:56.039982pt;width:443.65pt;height:.1pt;mso-position-horizontal-relative:page;mso-position-vertical-relative:page;z-index:-1168576" coordorigin="1248,1121" coordsize="8873,2">
          <v:shape style="position:absolute;left:1248;top:1121;width:8873;height:2" coordorigin="1248,1121" coordsize="8873,0" path="m1248,1121l10120,1121e" filled="false" stroked="true" strokeweight=".72pt" strokecolor="#000000">
            <v:path arrowok="t"/>
          </v:shape>
          <w10:wrap type="none"/>
        </v:group>
      </w:pict>
    </w:r>
    <w:r>
      <w:rPr/>
      <w:pict>
        <v:shape style="position:absolute;margin-left:121.660004pt;margin-top:43.345608pt;width:377.9pt;height:11.5pt;mso-position-horizontal-relative:page;mso-position-vertical-relative:page;z-index:-11685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300003pt;margin-top:42.839981pt;width:51.594pt;height:9.2pt;mso-position-horizontal-relative:page;mso-position-vertical-relative:page;z-index:-1168456" type="#_x0000_t75" stroked="false">
          <v:imagedata r:id="rId1" o:title=""/>
        </v:shape>
      </w:pict>
    </w:r>
    <w:r>
      <w:rPr/>
      <w:pict>
        <v:group style="position:absolute;margin-left:88.463997pt;margin-top:56.039982pt;width:443.6pt;height:.1pt;mso-position-horizontal-relative:page;mso-position-vertical-relative:page;z-index:-1168432" coordorigin="1769,1121" coordsize="8872,2">
          <v:shape style="position:absolute;left:1769;top:1121;width:8872;height:2" coordorigin="1769,1121" coordsize="8872,0" path="m1769,1121l10641,1121e" filled="false" stroked="true" strokeweight=".72pt" strokecolor="#000000">
            <v:path arrowok="t"/>
          </v:shape>
          <w10:wrap type="none"/>
        </v:group>
      </w:pict>
    </w:r>
    <w:r>
      <w:rPr/>
      <w:pict>
        <v:shape style="position:absolute;margin-left:147.699997pt;margin-top:43.345608pt;width:377.95pt;height:11.5pt;mso-position-horizontal-relative:page;mso-position-vertical-relative:page;z-index:-11684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5.449997pt;margin-top:42.840008pt;width:51.594pt;height:9.2pt;mso-position-horizontal-relative:page;mso-position-vertical-relative:page;z-index:-1168264" type="#_x0000_t75" stroked="false">
          <v:imagedata r:id="rId1" o:title=""/>
        </v:shape>
      </w:pict>
    </w:r>
    <w:r>
      <w:rPr/>
      <w:pict>
        <v:group style="position:absolute;margin-left:70.559998pt;margin-top:56.040009pt;width:695.65pt;height:.1pt;mso-position-horizontal-relative:page;mso-position-vertical-relative:page;z-index:-1168240" coordorigin="1411,1121" coordsize="13913,2">
          <v:shape style="position:absolute;left:1411;top:1121;width:13913;height:2" coordorigin="1411,1121" coordsize="13913,0" path="m1411,1121l15324,1121e" filled="false" stroked="true" strokeweight=".72pt" strokecolor="#000000">
            <v:path arrowok="t"/>
          </v:shape>
          <w10:wrap type="none"/>
        </v:group>
      </w:pict>
    </w:r>
    <w:r>
      <w:rPr/>
      <w:pict>
        <v:shape style="position:absolute;margin-left:255.820007pt;margin-top:43.345631pt;width:377.9pt;height:11.5pt;mso-position-horizontal-relative:page;mso-position-vertical-relative:page;z-index:-1168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9.699997pt;margin-top:42.754906pt;width:51.594pt;height:9.235100pt;mso-position-horizontal-relative:page;mso-position-vertical-relative:page;z-index:-1170232" type="#_x0000_t75" stroked="false">
          <v:imagedata r:id="rId1" o:title=""/>
        </v:shape>
      </w:pict>
    </w:r>
    <w:r>
      <w:rPr/>
      <w:pict>
        <v:group style="position:absolute;margin-left:74.760002pt;margin-top:55.920006pt;width:695.65pt;height:.1pt;mso-position-horizontal-relative:page;mso-position-vertical-relative:page;z-index:-117020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260.019989pt;margin-top:43.225632pt;width:377.9pt;height:11.5pt;mso-position-horizontal-relative:page;mso-position-vertical-relative:page;z-index:-1170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300003pt;margin-top:42.839981pt;width:51.594pt;height:9.2pt;mso-position-horizontal-relative:page;mso-position-vertical-relative:page;z-index:-1168168" type="#_x0000_t75" stroked="false">
          <v:imagedata r:id="rId1" o:title=""/>
        </v:shape>
      </w:pict>
    </w:r>
    <w:r>
      <w:rPr/>
      <w:pict>
        <v:group style="position:absolute;margin-left:88.463997pt;margin-top:56.039982pt;width:443.6pt;height:.1pt;mso-position-horizontal-relative:page;mso-position-vertical-relative:page;z-index:-1168144" coordorigin="1769,1121" coordsize="8872,2">
          <v:shape style="position:absolute;left:1769;top:1121;width:8872;height:2" coordorigin="1769,1121" coordsize="8872,0" path="m1769,1121l10641,1121e" filled="false" stroked="true" strokeweight=".72pt" strokecolor="#000000">
            <v:path arrowok="t"/>
          </v:shape>
          <w10:wrap type="none"/>
        </v:group>
      </w:pict>
    </w:r>
    <w:r>
      <w:rPr/>
      <w:pict>
        <v:shape style="position:absolute;margin-left:147.699997pt;margin-top:43.345608pt;width:377.95pt;height:11.5pt;mso-position-horizontal-relative:page;mso-position-vertical-relative:page;z-index:-11681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300003pt;margin-top:42.754883pt;width:51.594pt;height:9.235100pt;mso-position-horizontal-relative:page;mso-position-vertical-relative:page;z-index:-1170136" type="#_x0000_t75" stroked="false">
          <v:imagedata r:id="rId1" o:title=""/>
        </v:shape>
      </w:pict>
    </w:r>
    <w:r>
      <w:rPr/>
      <w:pict>
        <v:group style="position:absolute;margin-left:88.463997pt;margin-top:55.919983pt;width:443.6pt;height:.1pt;mso-position-horizontal-relative:page;mso-position-vertical-relative:page;z-index:-117011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147.699997pt;margin-top:43.225609pt;width:377.95pt;height:11.5pt;mso-position-horizontal-relative:page;mso-position-vertical-relative:page;z-index:-1170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5.449997pt;margin-top:42.754906pt;width:51.594pt;height:9.235100pt;mso-position-horizontal-relative:page;mso-position-vertical-relative:page;z-index:-1170040" type="#_x0000_t75" stroked="false">
          <v:imagedata r:id="rId1" o:title=""/>
        </v:shape>
      </w:pict>
    </w:r>
    <w:r>
      <w:rPr/>
      <w:pict>
        <v:group style="position:absolute;margin-left:70.559998pt;margin-top:55.920006pt;width:695.65pt;height:.1pt;mso-position-horizontal-relative:page;mso-position-vertical-relative:page;z-index:-117001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255.820007pt;margin-top:43.225632pt;width:377.9pt;height:11.5pt;mso-position-horizontal-relative:page;mso-position-vertical-relative:page;z-index:-1169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7.300003pt;margin-top:42.754883pt;width:51.594pt;height:9.235100pt;mso-position-horizontal-relative:page;mso-position-vertical-relative:page;z-index:-1169944" type="#_x0000_t75" stroked="false">
          <v:imagedata r:id="rId1" o:title=""/>
        </v:shape>
      </w:pict>
    </w:r>
    <w:r>
      <w:rPr/>
      <w:pict>
        <v:group style="position:absolute;margin-left:88.463997pt;margin-top:55.919983pt;width:443.6pt;height:.1pt;mso-position-horizontal-relative:page;mso-position-vertical-relative:page;z-index:-116992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147.699997pt;margin-top:43.225609pt;width:377.95pt;height:11.5pt;mso-position-horizontal-relative:page;mso-position-vertical-relative:page;z-index:-1169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5.449997pt;margin-top:42.754906pt;width:51.594pt;height:9.235100pt;mso-position-horizontal-relative:page;mso-position-vertical-relative:page;z-index:-1169848" type="#_x0000_t75" stroked="false">
          <v:imagedata r:id="rId1" o:title=""/>
        </v:shape>
      </w:pict>
    </w:r>
    <w:r>
      <w:rPr/>
      <w:pict>
        <v:group style="position:absolute;margin-left:70.559998pt;margin-top:55.920006pt;width:695.65pt;height:.1pt;mso-position-horizontal-relative:page;mso-position-vertical-relative:page;z-index:-116982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255.820007pt;margin-top:43.225632pt;width:377.9pt;height:11.5pt;mso-position-horizontal-relative:page;mso-position-vertical-relative:page;z-index:-11698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南威软件股份有限公司                                            </w:t>
                </w:r>
                <w:r>
                  <w:rPr>
                    <w:rFonts w:ascii="宋体" w:hAnsi="宋体" w:cs="宋体" w:eastAsia="宋体" w:hint="default"/>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138"/>
    </w:pPr>
    <w:rPr>
      <w:rFonts w:ascii="宋体" w:hAnsi="宋体" w:eastAsia="宋体"/>
      <w:b/>
      <w:bCs/>
      <w:sz w:val="24"/>
      <w:szCs w:val="24"/>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ind w:left="2115"/>
      <w:outlineLvl w:val="1"/>
    </w:pPr>
    <w:rPr>
      <w:rFonts w:ascii="黑体" w:hAnsi="黑体" w:eastAsia="黑体"/>
      <w:b/>
      <w:bCs/>
      <w:sz w:val="28"/>
      <w:szCs w:val="28"/>
    </w:rPr>
  </w:style>
  <w:style w:styleId="Heading2" w:type="paragraph">
    <w:name w:val="Heading 2"/>
    <w:basedOn w:val="Normal"/>
    <w:uiPriority w:val="1"/>
    <w:qFormat/>
    <w:pPr>
      <w:ind w:left="138"/>
      <w:outlineLvl w:val="2"/>
    </w:pPr>
    <w:rPr>
      <w:rFonts w:ascii="宋体" w:hAnsi="宋体" w:eastAsia="宋体"/>
      <w:b/>
      <w:bCs/>
      <w:sz w:val="24"/>
      <w:szCs w:val="24"/>
    </w:rPr>
  </w:style>
  <w:style w:styleId="Heading3" w:type="paragraph">
    <w:name w:val="Heading 3"/>
    <w:basedOn w:val="Normal"/>
    <w:uiPriority w:val="1"/>
    <w:qFormat/>
    <w:pPr>
      <w:ind w:left="236"/>
      <w:outlineLvl w:val="3"/>
    </w:pPr>
    <w:rPr>
      <w:rFonts w:ascii="宋体" w:hAnsi="宋体" w:eastAsia="宋体"/>
      <w:sz w:val="24"/>
      <w:szCs w:val="24"/>
    </w:rPr>
  </w:style>
  <w:style w:styleId="Heading4" w:type="paragraph">
    <w:name w:val="Heading 4"/>
    <w:basedOn w:val="Normal"/>
    <w:uiPriority w:val="1"/>
    <w:qFormat/>
    <w:pPr>
      <w:spacing w:before="64"/>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mailto:bona@linewell.com" TargetMode="External"/><Relationship Id="rId11" Type="http://schemas.openxmlformats.org/officeDocument/2006/relationships/hyperlink" Target="http://www.linewell.com/" TargetMode="External"/><Relationship Id="rId12" Type="http://schemas.openxmlformats.org/officeDocument/2006/relationships/hyperlink" Target="mailto:ir@linewell.com" TargetMode="External"/><Relationship Id="rId13" Type="http://schemas.openxmlformats.org/officeDocument/2006/relationships/hyperlink" Target="http://www.sse.com.cn/"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image" Target="media/image2.jpeg"/><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footer" Target="footer13.xml"/><Relationship Id="rId36" Type="http://schemas.openxmlformats.org/officeDocument/2006/relationships/image" Target="media/image3.png"/><Relationship Id="rId37" Type="http://schemas.openxmlformats.org/officeDocument/2006/relationships/header" Target="header13.xml"/><Relationship Id="rId38" Type="http://schemas.openxmlformats.org/officeDocument/2006/relationships/footer" Target="footer14.xml"/><Relationship Id="rId39" Type="http://schemas.openxmlformats.org/officeDocument/2006/relationships/header" Target="header14.xml"/><Relationship Id="rId40" Type="http://schemas.openxmlformats.org/officeDocument/2006/relationships/footer" Target="footer15.xml"/><Relationship Id="rId41" Type="http://schemas.openxmlformats.org/officeDocument/2006/relationships/header" Target="header15.xml"/><Relationship Id="rId42" Type="http://schemas.openxmlformats.org/officeDocument/2006/relationships/footer" Target="footer16.xml"/><Relationship Id="rId43" Type="http://schemas.openxmlformats.org/officeDocument/2006/relationships/header" Target="header16.xml"/><Relationship Id="rId44" Type="http://schemas.openxmlformats.org/officeDocument/2006/relationships/footer" Target="footer17.xml"/><Relationship Id="rId45" Type="http://schemas.openxmlformats.org/officeDocument/2006/relationships/footer" Target="footer18.xml"/><Relationship Id="rId46" Type="http://schemas.openxmlformats.org/officeDocument/2006/relationships/footer" Target="footer19.xml"/><Relationship Id="rId47" Type="http://schemas.openxmlformats.org/officeDocument/2006/relationships/header" Target="header17.xml"/><Relationship Id="rId48" Type="http://schemas.openxmlformats.org/officeDocument/2006/relationships/footer" Target="footer20.xml"/><Relationship Id="rId49" Type="http://schemas.openxmlformats.org/officeDocument/2006/relationships/footer" Target="footer21.xml"/><Relationship Id="rId50" Type="http://schemas.openxmlformats.org/officeDocument/2006/relationships/header" Target="header18.xml"/><Relationship Id="rId51" Type="http://schemas.openxmlformats.org/officeDocument/2006/relationships/footer" Target="footer22.xml"/><Relationship Id="rId52" Type="http://schemas.openxmlformats.org/officeDocument/2006/relationships/header" Target="header19.xml"/><Relationship Id="rId53" Type="http://schemas.openxmlformats.org/officeDocument/2006/relationships/footer" Target="footer23.xml"/><Relationship Id="rId54" Type="http://schemas.openxmlformats.org/officeDocument/2006/relationships/header" Target="header20.xml"/><Relationship Id="rId55" Type="http://schemas.openxmlformats.org/officeDocument/2006/relationships/footer" Target="footer24.xml"/><Relationship Id="rId56" Type="http://schemas.openxmlformats.org/officeDocument/2006/relationships/header" Target="header21.xml"/><Relationship Id="rId57" Type="http://schemas.openxmlformats.org/officeDocument/2006/relationships/footer" Target="footer25.xml"/><Relationship Id="rId58" Type="http://schemas.openxmlformats.org/officeDocument/2006/relationships/header" Target="header22.xml"/><Relationship Id="rId59" Type="http://schemas.openxmlformats.org/officeDocument/2006/relationships/footer" Target="footer26.xml"/><Relationship Id="rId60" Type="http://schemas.openxmlformats.org/officeDocument/2006/relationships/header" Target="header23.xml"/><Relationship Id="rId61" Type="http://schemas.openxmlformats.org/officeDocument/2006/relationships/footer" Target="footer27.xml"/><Relationship Id="rId62" Type="http://schemas.openxmlformats.org/officeDocument/2006/relationships/header" Target="header24.xml"/><Relationship Id="rId63" Type="http://schemas.openxmlformats.org/officeDocument/2006/relationships/footer" Target="footer28.xml"/><Relationship Id="rId64" Type="http://schemas.openxmlformats.org/officeDocument/2006/relationships/footer" Target="footer29.xml"/><Relationship Id="rId65" Type="http://schemas.openxmlformats.org/officeDocument/2006/relationships/header" Target="header25.xml"/><Relationship Id="rId66" Type="http://schemas.openxmlformats.org/officeDocument/2006/relationships/footer" Target="footer30.xml"/><Relationship Id="rId67" Type="http://schemas.openxmlformats.org/officeDocument/2006/relationships/footer" Target="footer31.xml"/><Relationship Id="rId68" Type="http://schemas.openxmlformats.org/officeDocument/2006/relationships/header" Target="header26.xml"/><Relationship Id="rId69" Type="http://schemas.openxmlformats.org/officeDocument/2006/relationships/footer" Target="footer32.xml"/><Relationship Id="rId70" Type="http://schemas.openxmlformats.org/officeDocument/2006/relationships/footer" Target="footer33.xml"/><Relationship Id="rId71" Type="http://schemas.openxmlformats.org/officeDocument/2006/relationships/footer" Target="footer34.xml"/><Relationship Id="rId72" Type="http://schemas.openxmlformats.org/officeDocument/2006/relationships/header" Target="header27.xml"/><Relationship Id="rId73" Type="http://schemas.openxmlformats.org/officeDocument/2006/relationships/footer" Target="footer35.xml"/><Relationship Id="rId74" Type="http://schemas.openxmlformats.org/officeDocument/2006/relationships/footer" Target="footer36.xml"/><Relationship Id="rId75" Type="http://schemas.openxmlformats.org/officeDocument/2006/relationships/header" Target="header28.xml"/><Relationship Id="rId76" Type="http://schemas.openxmlformats.org/officeDocument/2006/relationships/footer" Target="footer37.xml"/><Relationship Id="rId77" Type="http://schemas.openxmlformats.org/officeDocument/2006/relationships/footer" Target="footer38.xml"/><Relationship Id="rId78" Type="http://schemas.openxmlformats.org/officeDocument/2006/relationships/header" Target="header29.xml"/><Relationship Id="rId79" Type="http://schemas.openxmlformats.org/officeDocument/2006/relationships/footer" Target="footer39.xml"/><Relationship Id="rId80" Type="http://schemas.openxmlformats.org/officeDocument/2006/relationships/header" Target="header30.xml"/><Relationship Id="rId81" Type="http://schemas.openxmlformats.org/officeDocument/2006/relationships/footer" Target="footer40.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1" Type="http://schemas.openxmlformats.org/officeDocument/2006/relationships/image" Target="media/image2.jpeg"/></Relationships>

</file>

<file path=word/_rels/header14.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1" Type="http://schemas.openxmlformats.org/officeDocument/2006/relationships/image" Target="media/image2.jpeg"/></Relationships>

</file>

<file path=word/_rels/header18.xml.rels><?xml version="1.0" encoding="UTF-8" standalone="yes"?>
<Relationships xmlns="http://schemas.openxmlformats.org/package/2006/relationships"><Relationship Id="rId1" Type="http://schemas.openxmlformats.org/officeDocument/2006/relationships/image" Target="media/image2.jpeg"/></Relationships>

</file>

<file path=word/_rels/header19.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20.xml.rels><?xml version="1.0" encoding="UTF-8" standalone="yes"?>
<Relationships xmlns="http://schemas.openxmlformats.org/package/2006/relationships"><Relationship Id="rId1" Type="http://schemas.openxmlformats.org/officeDocument/2006/relationships/image" Target="media/image2.jpeg"/></Relationships>

</file>

<file path=word/_rels/header21.xml.rels><?xml version="1.0" encoding="UTF-8" standalone="yes"?>
<Relationships xmlns="http://schemas.openxmlformats.org/package/2006/relationships"><Relationship Id="rId1" Type="http://schemas.openxmlformats.org/officeDocument/2006/relationships/image" Target="media/image2.jpeg"/></Relationships>

</file>

<file path=word/_rels/header22.xml.rels><?xml version="1.0" encoding="UTF-8" standalone="yes"?>
<Relationships xmlns="http://schemas.openxmlformats.org/package/2006/relationships"><Relationship Id="rId1" Type="http://schemas.openxmlformats.org/officeDocument/2006/relationships/image" Target="media/image2.jpeg"/></Relationships>

</file>

<file path=word/_rels/header23.xml.rels><?xml version="1.0" encoding="UTF-8" standalone="yes"?>
<Relationships xmlns="http://schemas.openxmlformats.org/package/2006/relationships"><Relationship Id="rId1" Type="http://schemas.openxmlformats.org/officeDocument/2006/relationships/image" Target="media/image2.jpeg"/></Relationships>

</file>

<file path=word/_rels/header26.xml.rels><?xml version="1.0" encoding="UTF-8" standalone="yes"?>
<Relationships xmlns="http://schemas.openxmlformats.org/package/2006/relationships"><Relationship Id="rId1" Type="http://schemas.openxmlformats.org/officeDocument/2006/relationships/image" Target="media/image2.jpeg"/></Relationships>

</file>

<file path=word/_rels/header29.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30.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2020-05-19T02:40:55Z</dcterms:created>
  <dcterms:modified xsi:type="dcterms:W3CDTF">2020-05-19T02:40:55Z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2020-04-02T00:00:00Z</vt:filetime>
  </property>
  <property fmtid="{D5CDD505-2E9C-101B-9397-08002B2CF9AE}" pid="3" name="Creator">
    <vt:lpwstr>Microsoft® Office Word 2007</vt:lpwstr>
  </property>
  <property fmtid="{D5CDD505-2E9C-101B-9397-08002B2CF9AE}" pid="4" name="LastSaved">
    <vt:filetime>2020-05-18T00:00:00Z</vt:filetime>
  </property>
</Properties>
</file>